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a008e1a84659" /><Relationship Type="http://schemas.openxmlformats.org/package/2006/relationships/metadata/core-properties" Target="/package/services/metadata/core-properties/033ffafb6bfb4327b9379d5198f89445.psmdcp" Id="R7552e298fa1648cc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20" w:after="0" w:line="239" w:lineRule="auto"/>
        <w:ind w:firstLine="3300"/>
        <w:jc w:val="both"/>
        <w:rPr>
          <w:sz w:val="12"/>
        </w:rPr>
      </w:pPr>
      <w:r>
        <w:rPr>
          <w:rFonts w:hint="eastAsia" w:ascii="SimSun" w:hAnsi="SimSun" w:eastAsia="SimSun"/>
          <w:b/>
          <w:color w:val="000000"/>
          <w:sz w:val="12"/>
        </w:rPr>
        <w:t xml:space="preserve">乌鲁木齐市</w:t>
      </w:r>
      <w:r>
        <w:rPr>
          <w:rFonts w:hint="eastAsia" w:ascii="Calibri" w:hAnsi="Calibri" w:eastAsia="Calibri"/>
          <w:b/>
          <w:color w:val="000000"/>
          <w:sz w:val="12"/>
        </w:rPr>
        <w:t xml:space="preserve">XX</w:t>
      </w:r>
      <w:r>
        <w:rPr>
          <w:rFonts w:hint="eastAsia" w:ascii="SimSun" w:hAnsi="SimSun" w:eastAsia="SimSun"/>
          <w:b/>
          <w:color w:val="000000"/>
          <w:sz w:val="12"/>
        </w:rPr>
        <w:t xml:space="preserve">单位涉企行政检查事项清单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tabs>
          <w:tab w:val="left" w:leader="none" w:pos="7020"/>
        </w:tabs>
        <w:spacing w:before="56" w:after="0" w:line="239" w:lineRule="auto"/>
        <w:ind w:firstLine="20"/>
        <w:jc w:val="both"/>
        <w:rPr>
          <w:sz w:val="12"/>
        </w:rPr>
      </w:pPr>
      <w:r>
        <w:rPr>
          <w:rFonts w:hint="eastAsia" w:ascii="SimSun" w:hAnsi="SimSun" w:eastAsia="SimSun"/>
          <w:color w:val="000000"/>
          <w:sz w:val="12"/>
        </w:rPr>
        <w:t xml:space="preserve">填报单位：乌鲁木齐住房公积金管理中心</w:t>
      </w:r>
      <w:r>
        <w:rPr>
          <w:rFonts w:hint="eastAsia" w:ascii="SimSun" w:hAnsi="SimSun" w:eastAsia="SimSun"/>
          <w:color w:val="000000"/>
          <w:sz w:val="12"/>
        </w:rPr>
        <w:tab/>
      </w:r>
      <w:r>
        <w:rPr>
          <w:rFonts w:hint="eastAsia" w:ascii="SimSun" w:hAnsi="SimSun" w:eastAsia="SimSun"/>
          <w:color w:val="000000"/>
          <w:sz w:val="12"/>
        </w:rPr>
        <w:t xml:space="preserve">联系人及电话</w:t>
      </w:r>
      <w:r>
        <w:rPr>
          <w:rFonts w:hint="eastAsia" w:ascii="Calibri" w:hAnsi="Calibri" w:eastAsia="Calibri"/>
          <w:color w:val="000000"/>
          <w:sz w:val="12"/>
        </w:rPr>
        <w:t xml:space="preserve">：</w:t>
      </w:r>
      <w:r>
        <w:rPr>
          <w:rFonts w:hint="eastAsia" w:ascii="SimSun" w:hAnsi="SimSun" w:eastAsia="SimSun"/>
          <w:color w:val="000000"/>
          <w:sz w:val="12"/>
        </w:rPr>
        <w:t xml:space="preserve">袁榴红</w:t>
      </w:r>
      <w:r>
        <w:rPr>
          <w:rFonts w:hint="eastAsia" w:ascii="Calibri" w:hAnsi="Calibri" w:eastAsia="Calibri"/>
          <w:color w:val="000000"/>
          <w:sz w:val="12"/>
        </w:rPr>
        <w:t xml:space="preserve"> 15340540330</w:t>
      </w:r>
    </w:p>
    <w:p>
      <w:pPr>
        <w:wordWrap w:val="false"/>
        <w:spacing w:before="0" w:after="0" w:line="185" w:lineRule="auto"/>
        <w:ind w:firstLine="0"/>
        <w:jc w:val="both"/>
        <w:rPr>
          <w:sz w:val="12"/>
        </w:rPr>
        <w:rPr>
          <w:rFonts w:hint="eastAsia" w:ascii="SimSun" w:hAnsi="SimSun" w:eastAsia="SimSun"/>
          <w:color w:val="000000"/>
          <w:sz w:val="12"/>
        </w:rPr>
      </w:pPr>
    </w:p>
    <w:tbl>
      <w:tblPr>
        <w:tblInd w:w="20" w:type="dxa"/>
        <w:jc w:val="left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520"/>
        <w:gridCol w:w="860"/>
        <w:gridCol w:w="780"/>
        <w:gridCol w:w="1320"/>
        <w:gridCol w:w="3520"/>
        <w:gridCol w:w="1740"/>
        <w:gridCol w:w="740"/>
        <w:gridCol w:w="920"/>
      </w:tblGrid>
      <w:tr w:rsidR="00A23914" w:rsidTr="00A23914">
        <w:trPr>
          <w:trHeight w:val="52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序号</w:t>
            </w:r>
          </w:p>
        </w:tc>
        <w:tc>
          <w:tcPr>
            <w:tcW w:w="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检查主体</w:t>
            </w:r>
          </w:p>
        </w:tc>
        <w:tc>
          <w:tcPr>
            <w:tcW w:w="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权力类型</w:t>
            </w:r>
          </w:p>
        </w:tc>
        <w:tc>
          <w:tcPr>
            <w:tcW w:w="1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检查事项</w:t>
            </w:r>
          </w:p>
        </w:tc>
        <w:tc>
          <w:tcPr>
            <w:tcW w:w="3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 w:firstLine="1433.4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法定依据</w:t>
            </w:r>
          </w:p>
        </w:tc>
        <w:tc>
          <w:tcPr>
            <w:tcW w:w="1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检查标准</w:t>
            </w:r>
          </w:p>
        </w:tc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7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检查频次</w:t>
            </w:r>
          </w:p>
          <w:p>
            <w:pPr>
              <w:spacing w:before="6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上限</w:t>
            </w:r>
          </w:p>
        </w:tc>
        <w:tc>
          <w:tcPr>
            <w:tcW w:w="9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 w:firstLine="316.4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备注</w:t>
            </w:r>
          </w:p>
        </w:tc>
      </w:tr>
      <w:tr w:rsidR="00A23914" w:rsidTr="00A23914">
        <w:trPr>
          <w:trHeight w:val="1220"/>
        </w:trPr>
        <w:tc>
          <w:tcPr>
            <w:tcW w:w="52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64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</w:t>
            </w:r>
          </w:p>
        </w:tc>
        <w:tc>
          <w:tcPr>
            <w:tcW w:w="8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21" w:after="0" w:line="25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乌鲁木齐市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住房公积金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管理中心</w:t>
            </w:r>
          </w:p>
        </w:tc>
        <w:tc>
          <w:tcPr>
            <w:tcW w:w="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0" w:after="0" w:line="201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行政检查</w:t>
            </w:r>
          </w:p>
        </w:tc>
        <w:tc>
          <w:tcPr>
            <w:tcW w:w="1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42" w:after="0" w:line="254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对单位缴存住房公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积金情况的检查</w:t>
            </w:r>
          </w:p>
        </w:tc>
        <w:tc>
          <w:tcPr>
            <w:tcW w:w="3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62" w:after="0" w:line="225" w:lineRule="auto"/>
              <w:ind w:left="33.4" w:right="93" w:firstLine="20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【行政法规】《住房公积金管理条例》（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1999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年国务院令第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262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号发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布 根据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2002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24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日《国务院关于修改＜住房公积金管理条例＞的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决定》和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2019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24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日《国务院关于修改部分行政法规的决定》修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订）</w:t>
            </w:r>
          </w:p>
          <w:p>
            <w:pPr>
              <w:spacing w:before="62" w:after="0" w:line="225" w:lineRule="auto"/>
              <w:ind w:left="53.4" w:right="33" w:firstLine="0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第三十四条：住房公积金管理中心和职工有权督促单位履行下列义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务：（一）住房公积金的缴存登记或变更、注销登记；（二）住房公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积金账户的设立、转移或封存；（三）足额缴存住房公积金。</w:t>
            </w:r>
          </w:p>
        </w:tc>
        <w:tc>
          <w:tcPr>
            <w:tcW w:w="1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left="27" w:right="86.4" w:firstLine="20"/>
              <w:jc w:val="both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．随机抽取检查对象（“双随机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”比例≤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％）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.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名以上执法人员充证检查、使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用执法记录仪全程录像；</w:t>
            </w:r>
          </w:p>
          <w:p>
            <w:pPr>
              <w:spacing w:before="32" w:after="0" w:line="225" w:lineRule="auto"/>
              <w:ind w:left="47" w:right="126.4" w:firstLine="0"/>
              <w:jc w:val="both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．保存检查记录，检查结果向壮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会公开</w:t>
            </w:r>
          </w:p>
        </w:tc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0" w:after="0" w:line="201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每年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次</w:t>
            </w:r>
          </w:p>
        </w:tc>
        <w:tc>
          <w:tcPr>
            <w:tcW w:w="9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wordWrap w:val="false"/>
              <w:spacing w:before="0" w:after="0" w:line="384" w:lineRule="auto"/>
              <w:ind w:firstLine="0"/>
              <w:jc w:val="both"/>
              <w:rPr>
                <w:sz w:val="21"/>
              </w:rPr>
              <w:rPr>
                <w:rFonts w:hint="eastAsia" w:ascii="SimSun" w:hAnsi="SimSun" w:eastAsia="SimSun"/>
                <w:color w:val="000000"/>
                <w:sz w:val="21"/>
              </w:rPr>
            </w:pPr>
          </w:p>
        </w:tc>
      </w:tr>
      <w:tr w:rsidR="00A23914" w:rsidTr="00A23914">
        <w:trPr>
          <w:trHeight w:val="19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Merge/>
          </w:tcPr>
          <w:p w:rsidR="00A23914" w:rsidP="00A23914" w:rsidRDefault="00A23914"/>
        </w:tc>
        <w:tc>
          <w:tcPr>
            <w:tcW w:w="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41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行政处罚</w:t>
            </w:r>
          </w:p>
        </w:tc>
        <w:tc>
          <w:tcPr>
            <w:tcW w:w="1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86" w:after="0" w:line="350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对单位不办理住房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公积金缴存登记或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不为职工办理住房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公积金账户设立手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续的处罚</w:t>
            </w:r>
          </w:p>
        </w:tc>
        <w:tc>
          <w:tcPr>
            <w:tcW w:w="3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7" w:after="0" w:line="220" w:lineRule="auto"/>
              <w:ind w:left="33.4" w:right="33" w:firstLine="40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【行政法规】《住房公积金管理条例》（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1999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年国务院令第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262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号发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布 根据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2002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24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日《国务院关于修改＜住房公积金管理条例＞的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决定》和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2019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24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日《国务院关于修改部分行政法规的决定》修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订）第十四条：新设立的单位应当自设立之日起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30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日内向住房公积金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管理中心办理住房公积金缴存登记，并自登记之日起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20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日内，为本单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位职工办理住房公积金账户设立手续；第十五条：单位录用职工的，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应当自录用之日起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30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日内向住房公积金管理中心办理缴存登记，并办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理职工住房公积金账户的设立或者转移手续；第三十七条：违反本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条例的规定，单位不办理住房公积金缴存登记或者不为本单位职工办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理住房公积金账户设立手续的，由住房公积金管理中心贵令限期办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理，逾期不办理的，处一万元以上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万元以下的罚款。</w:t>
            </w:r>
          </w:p>
        </w:tc>
        <w:tc>
          <w:tcPr>
            <w:tcW w:w="1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0" w:after="0" w:line="201" w:lineRule="auto"/>
              <w:ind/>
              <w:jc w:val="center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．单位是否在设立之日起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30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日内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办理住房公积金缴存登记、单位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是否自录用之日起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30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日内为职工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开立个人公积金账户；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．单位登记、账户设立信息完整</w:t>
            </w:r>
          </w:p>
        </w:tc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41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每年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次</w:t>
            </w:r>
          </w:p>
        </w:tc>
        <w:tc>
          <w:tcPr>
            <w:tcW w:w="9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0" w:after="0" w:line="192" w:lineRule="auto"/>
              <w:ind w:left="76.39999999999999" w:right="60" w:firstLine="0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上述行政执法事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项包含相应的行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政检查事项</w:t>
            </w:r>
          </w:p>
        </w:tc>
      </w:tr>
      <w:tr w:rsidR="00A23914" w:rsidTr="00A23914">
        <w:trPr>
          <w:trHeight w:val="128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0" w:type="dxa"/>
            <w:vMerge/>
          </w:tcPr>
          <w:p w:rsidR="00A23914" w:rsidP="00A23914" w:rsidRDefault="00A23914"/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0" w:type="dxa"/>
            <w:vMerge/>
          </w:tcPr>
          <w:p w:rsidR="00A23914" w:rsidP="00A23914" w:rsidRDefault="00A23914"/>
        </w:tc>
        <w:tc>
          <w:tcPr>
            <w:tcW w:w="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8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行政强制</w:t>
            </w:r>
          </w:p>
        </w:tc>
        <w:tc>
          <w:tcPr>
            <w:tcW w:w="1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114" w:after="0" w:line="383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对单位逾期不缴或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少缴住房公积金的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强制</w:t>
            </w:r>
          </w:p>
        </w:tc>
        <w:tc>
          <w:tcPr>
            <w:tcW w:w="3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34" w:after="0" w:line="239" w:lineRule="auto"/>
              <w:ind w:left="33.4" w:right="53" w:firstLine="40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【行政法规】《住房公积金管理条例》（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1999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年国务院令第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262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号发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布 根据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2002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24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日《国务院关于修改＜住房公积金管理条例＞的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决定》和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2019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月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24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日《国务院关于修改部分行政法规的决定》修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订）第三十八条：违反本条例的规定，单位逾期不缴或少缴住房公积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金的，由住房公积金管理中心贵令限期缴存；逾期仍不缴存的，可申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请人民法院强制执行。</w:t>
            </w:r>
          </w:p>
        </w:tc>
        <w:tc>
          <w:tcPr>
            <w:tcW w:w="1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 w:after="0" w:line="225" w:lineRule="auto"/>
              <w:ind w:left="47" w:right="106.4" w:firstLine="0"/>
              <w:jc w:val="both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．缴存基数为职工上年度月平均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工资，缴存基数的范围不低于当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地最低工资、不高于社会平均工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资的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倍；</w:t>
            </w:r>
          </w:p>
          <w:p>
            <w:pPr>
              <w:spacing w:before="52" w:after="0" w:line="225" w:lineRule="auto"/>
              <w:ind w:left="47" w:right="126.4" w:hanging="20" w:firstLine="0"/>
              <w:jc w:val="both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．职工和单位住房公积金的缴存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比例均为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5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％-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12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％；</w:t>
            </w:r>
          </w:p>
          <w:p>
            <w:pPr>
              <w:spacing w:before="4" w:after="0" w:line="239" w:lineRule="auto"/>
              <w:ind w:firstLine="27"/>
              <w:jc w:val="both"/>
              <w:rPr>
                <w:sz w:val="12"/>
              </w:rPr>
            </w:pP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3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．按月足额缴存</w:t>
            </w:r>
          </w:p>
        </w:tc>
        <w:tc>
          <w:tcPr>
            <w:tcW w:w="7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8" w:after="0" w:line="239" w:lineRule="auto"/>
              <w:ind/>
              <w:jc w:val="center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每年</w:t>
            </w:r>
            <w:r>
              <w:rPr>
                <w:rFonts w:hint="eastAsia" w:ascii="Calibri" w:hAnsi="Calibri" w:eastAsia="Calibri"/>
                <w:color w:val="000000"/>
                <w:sz w:val="12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次</w:t>
            </w:r>
          </w:p>
        </w:tc>
        <w:tc>
          <w:tcPr>
            <w:tcW w:w="9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wordWrap w:val="false"/>
              <w:spacing w:before="0" w:after="0" w:line="215" w:lineRule="auto"/>
              <w:ind w:firstLine="0"/>
              <w:jc w:val="both"/>
              <w:rPr>
                <w:sz w:val="12"/>
              </w:rPr>
              <w:rPr>
                <w:rFonts w:hint="eastAsia" w:ascii="SimSun" w:hAnsi="SimSun" w:eastAsia="SimSun"/>
                <w:color w:val="000000"/>
                <w:sz w:val="12"/>
              </w:rPr>
            </w:pPr>
          </w:p>
          <w:p>
            <w:pPr>
              <w:spacing w:before="0" w:after="0" w:line="192" w:lineRule="auto"/>
              <w:ind w:left="56.4" w:right="60" w:firstLine="20"/>
              <w:jc w:val="both"/>
              <w:rPr>
                <w:sz w:val="12"/>
              </w:rPr>
            </w:pP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上述行政执法事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项包含相应的行</w:t>
            </w:r>
            <w:r>
              <w:rPr>
                <w:rFonts w:hint="eastAsia" w:ascii="SimSun" w:hAnsi="SimSun" w:eastAsia="SimSun"/>
                <w:color w:val="000000"/>
                <w:sz w:val="12"/>
              </w:rPr>
              <w:t xml:space="preserve">政检查事项</w:t>
            </w:r>
          </w:p>
        </w:tc>
      </w:tr>
    </w:tbl>
    <w:p>
      <w:pPr>
        <w:spacing w:line="1" w:lineRule="exact"/>
      </w:pPr>
    </w:p>
    <w:sectPr>
      <w:headerReference w:type="default" r:id="Ra1e16b3244b541b1"/>
      <w:type w:val="continuous"/>
      <w:pgSz w:w="11900" w:h="8600" w:orient="portrait"/>
      <w:pgMar w:top="1200" w:right="720" w:bottom="1200" w:left="720" w:header="600" w:footer="600"/>
      <w:cols w:equalWidth="true" w:num="1"/>
    </w:sectPr>
  </w:body>
</w:document>
</file>

<file path=word/header1.xml><?xml version="1.0" encoding="utf-8"?>
<w:hdr xmlns:w="http://schemas.openxmlformats.org/wordprocessingml/2006/main">
  <w:p>
    <w:pPr>
      <w:spacing w:line="239" w:lineRule="auto"/>
      <w:ind/>
      <w:jc w:val="center"/>
    </w:pPr>
    <w:r>
      <w:rPr>
        <w:sz w:val="12"/>
        <w:color w:val="000000"/>
        <w:rFonts w:hint="eastAsia" w:ascii="SimSun" w:hAnsi="SimSun" w:eastAsia="SimSun"/>
      </w:rPr>
      <w:t xml:space="preserve">附件</w:t>
    </w:r>
    <w:r>
      <w:rPr>
        <w:sz w:val="12"/>
        <w:color w:val="000000"/>
        <w:rFonts w:hint="eastAsia" w:ascii="Calibri" w:hAnsi="Calibri" w:eastAsia="Calibri"/>
      </w:rPr>
      <w:t xml:space="preserve"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header" Target="/word/header1.xml" Id="Ra1e16b3244b541b1" /></Relationships>
</file>