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34B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74F89C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63C97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87ED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1D15A3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3F89C1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586E3F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61BB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5F394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6FFA0F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1732029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sz w:val="32"/>
          <w:szCs w:val="32"/>
        </w:rPr>
        <w:t>乌公管</w:t>
      </w:r>
      <w:r>
        <w:rPr>
          <w:rFonts w:hint="default"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14:paraId="36119D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EEACD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sz w:val="44"/>
          <w:szCs w:val="44"/>
          <w:lang w:val="en-US" w:eastAsia="zh-CN"/>
        </w:rPr>
      </w:pPr>
    </w:p>
    <w:p w14:paraId="09E385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关于调整购买本地再交易住房公积金</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val="en-US" w:eastAsia="zh-CN"/>
        </w:rPr>
        <w:t>业务办理流程的通知</w:t>
      </w:r>
    </w:p>
    <w:p w14:paraId="698377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p>
    <w:p w14:paraId="0643E3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各住房公积金缴存职工：</w:t>
      </w:r>
    </w:p>
    <w:p w14:paraId="5F810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为进一步丰富本地再交易住房公积金业务服务模式，更好地满足缴存职工多样化购房资金需求，充分发挥公积金住房保障作用，现就调整购买本地再交易住房公积金业务办理流程有关事项通知如下：</w:t>
      </w:r>
    </w:p>
    <w:p w14:paraId="5DFEA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一、调整购买本地再交易住房贷款办理流程</w:t>
      </w:r>
    </w:p>
    <w:p w14:paraId="19EA9C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展先行审批的购买本地再交易住房公积金贷款业务，该类型业务办理流程为：缴存职工申请再交易住房公积金贷款时，先行向中心提交贷款申请并完成审批流程；待贷款审批通过后，再前往不动产登记中心办理不动产转移登记与抵押登记手续。</w:t>
      </w:r>
    </w:p>
    <w:p w14:paraId="4F2B5EA2">
      <w:pPr>
        <w:pStyle w:val="8"/>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lang w:val="en-US" w:eastAsia="zh-CN"/>
        </w:rPr>
        <w:t>二、</w:t>
      </w:r>
      <w:r>
        <w:rPr>
          <w:rFonts w:hint="eastAsia" w:ascii="方正黑体_GBK" w:hAnsi="方正黑体_GBK" w:eastAsia="方正黑体_GBK" w:cs="方正黑体_GBK"/>
          <w:sz w:val="32"/>
          <w:szCs w:val="32"/>
          <w:lang w:val="en-US" w:eastAsia="zh-CN"/>
        </w:rPr>
        <w:t>先行审批的购买本地再交易住房公积金贷款业务审批资料及注意事项</w:t>
      </w:r>
    </w:p>
    <w:p w14:paraId="6B04F14C">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lang w:val="en-US" w:eastAsia="zh-CN"/>
        </w:rPr>
      </w:pPr>
      <w:r>
        <w:rPr>
          <w:rFonts w:hint="eastAsia" w:ascii="方正楷体_GBK" w:hAnsi="方正楷体_GBK" w:eastAsia="方正楷体_GBK" w:cs="方正楷体_GBK"/>
          <w:sz w:val="32"/>
          <w:szCs w:val="32"/>
          <w:lang w:val="en-US" w:eastAsia="zh-CN"/>
        </w:rPr>
        <w:t>（一）所需资料：</w:t>
      </w:r>
    </w:p>
    <w:p w14:paraId="5729534B">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卖方名下《不动产权证书》；</w:t>
      </w:r>
    </w:p>
    <w:p w14:paraId="1CEADA1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《房屋买卖合同》；</w:t>
      </w:r>
    </w:p>
    <w:p w14:paraId="695BF1F4">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卖方身份证与银行卡（一类卡）。</w:t>
      </w:r>
    </w:p>
    <w:p w14:paraId="77660FB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（二）注意事项：</w:t>
      </w:r>
    </w:p>
    <w:p w14:paraId="15C20DE2">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贷款资金转入卖方银行卡</w:t>
      </w:r>
      <w:r>
        <w:rPr>
          <w:rFonts w:hint="eastAsia" w:ascii="Times New Roman" w:hAnsi="Times New Roman" w:eastAsia="方正仿宋_GBK" w:cs="Times New Roman"/>
          <w:sz w:val="32"/>
          <w:szCs w:val="32"/>
          <w:lang w:val="en-US" w:eastAsia="zh-CN"/>
        </w:rPr>
        <w:t>；</w:t>
      </w:r>
    </w:p>
    <w:p w14:paraId="4F5B9297">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在不动产登记中心办理过户时，填写的购房人、房屋交易价格等应与贷款申请时填写的购房人、交易价格一致，契税计税价不低于房屋交易价</w:t>
      </w:r>
      <w:r>
        <w:rPr>
          <w:rFonts w:hint="eastAsia" w:ascii="Times New Roman" w:hAnsi="Times New Roman" w:eastAsia="方正仿宋_GBK" w:cs="Times New Roman"/>
          <w:sz w:val="32"/>
          <w:szCs w:val="32"/>
          <w:lang w:val="en-US" w:eastAsia="zh-CN"/>
        </w:rPr>
        <w:t>；</w:t>
      </w:r>
    </w:p>
    <w:p w14:paraId="788D237F">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11"/>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pacing w:val="11"/>
          <w:sz w:val="32"/>
          <w:szCs w:val="32"/>
          <w:lang w:val="en-US" w:eastAsia="zh-CN"/>
        </w:rPr>
        <w:t>贷款发放时，卖方应携带身份证与银行卡到场。如卖方在申请环节提前在《放款凭证》上签字，放款时可不到场；</w:t>
      </w:r>
    </w:p>
    <w:p w14:paraId="0593729C">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乌鲁木齐行政区域（不含兵团）内的再交易住房，住房用途为“公寓”，且土地用途为住宅或商住等住宅类用地的均可受理；</w:t>
      </w:r>
    </w:p>
    <w:p w14:paraId="0478FAE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5.房屋修建年限30年以上的不予受理。</w:t>
      </w:r>
    </w:p>
    <w:p w14:paraId="726A61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三、优化提取与贷款融合办理机制</w:t>
      </w:r>
    </w:p>
    <w:p w14:paraId="15E6F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先行审批的购买本地再交易住房公积金贷款业务的缴存人，办理购买本地再交易住房提取业务时，优化业务办理渠道。即：缴存人（含夫妻双方）提取与贷款业务统一整合办理，仅在先行审批贷款时填报提交一次相关资料，确定拟提取金额即可完成提取与贷款业务的同步办理，提取款项转入相应提取人一类银行卡中。</w:t>
      </w:r>
    </w:p>
    <w:p w14:paraId="14994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只提取不申请公积金贷款的缴存人购买本地再交易住房提取业务，业务流程不变。</w:t>
      </w:r>
    </w:p>
    <w:p w14:paraId="5C36E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四、新老贷款业务衔接安排</w:t>
      </w:r>
    </w:p>
    <w:p w14:paraId="284DD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自2027年1月1日起，中心不再受理已完成不动产过户为前提的本地再交易住房公积金贷款业务，仅保留先行审</w:t>
      </w:r>
      <w:r>
        <w:rPr>
          <w:rFonts w:hint="default" w:ascii="Times New Roman" w:hAnsi="Times New Roman" w:eastAsia="方正仿宋_GBK" w:cs="Times New Roman"/>
          <w:spacing w:val="11"/>
          <w:sz w:val="32"/>
          <w:szCs w:val="32"/>
          <w:lang w:val="en-US" w:eastAsia="zh-CN"/>
        </w:rPr>
        <w:t>批的再交易住房公积金贷款业务及配套的提贷融合办理模式。</w:t>
      </w:r>
    </w:p>
    <w:p w14:paraId="5778F2BE">
      <w:pPr>
        <w:keepNext w:val="0"/>
        <w:keepLines w:val="0"/>
        <w:pageBreakBefore w:val="0"/>
        <w:widowControl w:val="0"/>
        <w:kinsoku/>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rPr>
        <w:t>本</w:t>
      </w:r>
      <w:r>
        <w:rPr>
          <w:rFonts w:hint="default" w:ascii="Times New Roman" w:hAnsi="Times New Roman" w:eastAsia="方正仿宋_GBK" w:cs="Times New Roman"/>
          <w:color w:val="auto"/>
          <w:sz w:val="32"/>
          <w:szCs w:val="32"/>
          <w:shd w:val="clear" w:color="auto" w:fill="auto"/>
          <w:lang w:val="en-US" w:eastAsia="zh-CN"/>
        </w:rPr>
        <w:t>通知自发布之日起</w:t>
      </w:r>
      <w:r>
        <w:rPr>
          <w:rFonts w:hint="default" w:ascii="Times New Roman" w:hAnsi="Times New Roman" w:eastAsia="方正仿宋_GBK" w:cs="Times New Roman"/>
          <w:color w:val="auto"/>
          <w:sz w:val="32"/>
          <w:szCs w:val="32"/>
          <w:shd w:val="clear" w:color="auto" w:fill="auto"/>
        </w:rPr>
        <w:t>施行</w:t>
      </w:r>
      <w:r>
        <w:rPr>
          <w:rFonts w:hint="default" w:ascii="Times New Roman" w:hAnsi="Times New Roman" w:eastAsia="方正仿宋_GBK" w:cs="Times New Roman"/>
          <w:color w:val="auto"/>
          <w:sz w:val="32"/>
          <w:szCs w:val="32"/>
          <w:shd w:val="clear" w:color="auto" w:fill="auto"/>
          <w:lang w:eastAsia="zh-CN"/>
        </w:rPr>
        <w:t>，有效期</w:t>
      </w:r>
      <w:r>
        <w:rPr>
          <w:rFonts w:hint="default" w:ascii="Times New Roman" w:hAnsi="Times New Roman" w:eastAsia="方正仿宋_GBK" w:cs="Times New Roman"/>
          <w:color w:val="auto"/>
          <w:sz w:val="32"/>
          <w:szCs w:val="32"/>
          <w:shd w:val="clear" w:color="auto" w:fill="auto"/>
          <w:lang w:val="en-US" w:eastAsia="zh-CN"/>
        </w:rPr>
        <w:t>五年。</w:t>
      </w:r>
    </w:p>
    <w:p w14:paraId="33B5681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030C8842">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方正仿宋_GBK" w:cs="Times New Roman"/>
          <w:sz w:val="32"/>
          <w:szCs w:val="32"/>
          <w:lang w:val="en-US" w:eastAsia="zh-CN"/>
        </w:rPr>
      </w:pPr>
    </w:p>
    <w:p w14:paraId="75D2770B">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乌鲁木齐住房公积金管理中心</w:t>
      </w:r>
    </w:p>
    <w:p w14:paraId="5DC833C7">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 年10月24日</w:t>
      </w:r>
    </w:p>
    <w:p w14:paraId="0B3F56E7">
      <w:pPr>
        <w:keepNext w:val="0"/>
        <w:keepLines w:val="0"/>
        <w:pageBreakBefore w:val="0"/>
        <w:widowControl w:val="0"/>
        <w:kinsoku/>
        <w:wordWrap w:val="0"/>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301F1F63">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13483339">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222CEACA">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691FCEB0">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4F5F1C56">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79CA7870">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17EC948D">
      <w:pPr>
        <w:keepNext w:val="0"/>
        <w:keepLines w:val="0"/>
        <w:pageBreakBefore w:val="0"/>
        <w:widowControl w:val="0"/>
        <w:kinsoku/>
        <w:wordWrap/>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p>
    <w:p w14:paraId="4D82D4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4EE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87AF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E387AF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67CF2C9B"/>
    <w:rsid w:val="01D44300"/>
    <w:rsid w:val="022A3356"/>
    <w:rsid w:val="05235611"/>
    <w:rsid w:val="0563311C"/>
    <w:rsid w:val="059F6179"/>
    <w:rsid w:val="099C23BE"/>
    <w:rsid w:val="0A9444DB"/>
    <w:rsid w:val="16D87FA7"/>
    <w:rsid w:val="171D11C5"/>
    <w:rsid w:val="1B297793"/>
    <w:rsid w:val="26AF11C5"/>
    <w:rsid w:val="2C545A76"/>
    <w:rsid w:val="36754341"/>
    <w:rsid w:val="3F751B5B"/>
    <w:rsid w:val="46686AB9"/>
    <w:rsid w:val="48E367BA"/>
    <w:rsid w:val="49400772"/>
    <w:rsid w:val="4D2F0C06"/>
    <w:rsid w:val="4F2F314D"/>
    <w:rsid w:val="4FB27D36"/>
    <w:rsid w:val="545C0CE6"/>
    <w:rsid w:val="5A553C2D"/>
    <w:rsid w:val="5F77E0F8"/>
    <w:rsid w:val="5FBF4EFC"/>
    <w:rsid w:val="5FFD1716"/>
    <w:rsid w:val="60802870"/>
    <w:rsid w:val="61A067F6"/>
    <w:rsid w:val="65577EE7"/>
    <w:rsid w:val="660258DE"/>
    <w:rsid w:val="6604063E"/>
    <w:rsid w:val="674B456B"/>
    <w:rsid w:val="67B2043E"/>
    <w:rsid w:val="67CF2C9B"/>
    <w:rsid w:val="6B9D0AFB"/>
    <w:rsid w:val="6BBC02AB"/>
    <w:rsid w:val="6BED2903"/>
    <w:rsid w:val="704E596B"/>
    <w:rsid w:val="75C07063"/>
    <w:rsid w:val="77FE5FEF"/>
    <w:rsid w:val="7AD1C587"/>
    <w:rsid w:val="7B9226EF"/>
    <w:rsid w:val="7B9F5520"/>
    <w:rsid w:val="7BBF3DD4"/>
    <w:rsid w:val="7D7F7D02"/>
    <w:rsid w:val="7FEE5355"/>
    <w:rsid w:val="B7F890ED"/>
    <w:rsid w:val="CDFD1470"/>
    <w:rsid w:val="F63747E0"/>
    <w:rsid w:val="FA7D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ind w:firstLine="640" w:firstLineChars="200"/>
    </w:pPr>
    <w:rPr>
      <w:rFonts w:ascii="黑体" w:hAnsi="宋体" w:eastAsia="黑体"/>
      <w:kern w:val="0"/>
      <w:sz w:val="32"/>
      <w:szCs w:val="32"/>
    </w:rPr>
  </w:style>
  <w:style w:type="paragraph" w:customStyle="1" w:styleId="3">
    <w:name w:val=" Char Char Char"/>
    <w:basedOn w:val="1"/>
    <w:qFormat/>
    <w:uiPriority w:val="0"/>
    <w:rPr>
      <w:sz w:val="21"/>
      <w:szCs w:val="24"/>
    </w:rPr>
  </w:style>
  <w:style w:type="paragraph" w:styleId="4">
    <w:name w:val="toc 5"/>
    <w:basedOn w:val="1"/>
    <w:next w:val="1"/>
    <w:unhideWhenUsed/>
    <w:qFormat/>
    <w:uiPriority w:val="39"/>
    <w:pPr>
      <w:ind w:left="0" w:leftChars="0"/>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2"/>
    <w:next w:val="5"/>
    <w:unhideWhenUsed/>
    <w:qFormat/>
    <w:uiPriority w:val="99"/>
    <w:pPr>
      <w:ind w:firstLine="420" w:firstLineChars="200"/>
    </w:pPr>
    <w:rPr>
      <w:rFonts w:ascii="Calibri" w:hAnsi="Calibri"/>
      <w:szCs w:val="22"/>
    </w:rPr>
  </w:style>
  <w:style w:type="paragraph" w:customStyle="1" w:styleId="11">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299</Words>
  <Characters>303</Characters>
  <Lines>0</Lines>
  <Paragraphs>0</Paragraphs>
  <TotalTime>5</TotalTime>
  <ScaleCrop>false</ScaleCrop>
  <LinksUpToDate>false</LinksUpToDate>
  <CharactersWithSpaces>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2025-08-26T19:27:00Z</dcterms:created>
  <dc:creator>Administrator</dc:creator>
  <cp:lastModifiedBy>Administrator</cp:lastModifiedBy>
  <cp:lastPrinted>2025-10-25T00:17:00Z</cp:lastPrinted>
  <dcterms:modified xsi:type="dcterms:W3CDTF">2025-11-18T07:57:33Z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eyJoZGlkIjoiNWQ0ZDE5NjY0NjU3ZTRmZDIxYjM2ODVjYmQ5MjQzYWYifQ==</vt:lpwstr>
  </property>
  <property fmtid="{D5CDD505-2E9C-101B-9397-08002B2CF9AE}" pid="4" name="ICV">
    <vt:lpwstr>84EB6196C0509B9060250869BE0F031E</vt:lpwstr>
  </property>
</Properties>
</file>