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spacing w:line="560" w:lineRule="exact"/>
        <w:jc w:val="both"/>
        <w:textAlignment w:val="auto"/>
        <w:rPr>
          <w:rFonts w:hint="default" w:ascii="Times New Roman" w:hAnsi="Times New Roman" w:eastAsia="方正公文小标宋" w:cs="Times New Roman"/>
          <w:sz w:val="44"/>
          <w:szCs w:val="44"/>
          <w:lang w:eastAsia="zh-CN"/>
        </w:rPr>
      </w:pPr>
    </w:p>
    <w:p>
      <w:pPr>
        <w:keepNext w:val="0"/>
        <w:keepLines w:val="0"/>
        <w:pageBreakBefore w:val="0"/>
        <w:widowControl w:val="0"/>
        <w:kinsoku/>
        <w:wordWrap/>
        <w:overflowPunct w:val="0"/>
        <w:topLinePunct w:val="0"/>
        <w:autoSpaceDE/>
        <w:autoSpaceDN/>
        <w:bidi w:val="0"/>
        <w:adjustRightInd/>
        <w:snapToGrid/>
        <w:spacing w:line="560" w:lineRule="exact"/>
        <w:jc w:val="both"/>
        <w:textAlignment w:val="auto"/>
        <w:rPr>
          <w:rFonts w:hint="default" w:ascii="Times New Roman" w:hAnsi="Times New Roman" w:eastAsia="方正公文小标宋" w:cs="Times New Roman"/>
          <w:sz w:val="44"/>
          <w:szCs w:val="44"/>
          <w:lang w:eastAsia="zh-CN"/>
        </w:rPr>
      </w:pPr>
    </w:p>
    <w:p>
      <w:pPr>
        <w:keepNext w:val="0"/>
        <w:keepLines w:val="0"/>
        <w:pageBreakBefore w:val="0"/>
        <w:widowControl w:val="0"/>
        <w:kinsoku/>
        <w:wordWrap/>
        <w:overflowPunct w:val="0"/>
        <w:topLinePunct w:val="0"/>
        <w:autoSpaceDE/>
        <w:autoSpaceDN/>
        <w:bidi w:val="0"/>
        <w:adjustRightInd/>
        <w:snapToGrid/>
        <w:spacing w:line="560" w:lineRule="exact"/>
        <w:jc w:val="both"/>
        <w:textAlignment w:val="auto"/>
        <w:rPr>
          <w:rFonts w:hint="default" w:ascii="Times New Roman" w:hAnsi="Times New Roman" w:eastAsia="方正公文小标宋" w:cs="Times New Roman"/>
          <w:sz w:val="44"/>
          <w:szCs w:val="44"/>
          <w:lang w:eastAsia="zh-CN"/>
        </w:rPr>
      </w:pPr>
    </w:p>
    <w:p>
      <w:pPr>
        <w:keepNext w:val="0"/>
        <w:keepLines w:val="0"/>
        <w:pageBreakBefore w:val="0"/>
        <w:widowControl w:val="0"/>
        <w:kinsoku/>
        <w:wordWrap/>
        <w:overflowPunct w:val="0"/>
        <w:topLinePunct w:val="0"/>
        <w:autoSpaceDE/>
        <w:autoSpaceDN/>
        <w:bidi w:val="0"/>
        <w:adjustRightInd/>
        <w:snapToGrid/>
        <w:spacing w:line="560" w:lineRule="exact"/>
        <w:jc w:val="both"/>
        <w:textAlignment w:val="auto"/>
        <w:rPr>
          <w:rFonts w:hint="default" w:ascii="Times New Roman" w:hAnsi="Times New Roman" w:eastAsia="方正公文小标宋" w:cs="Times New Roman"/>
          <w:sz w:val="44"/>
          <w:szCs w:val="44"/>
          <w:lang w:eastAsia="zh-CN"/>
        </w:rPr>
      </w:pPr>
    </w:p>
    <w:p>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lang w:val="en-US" w:eastAsia="zh-CN"/>
        </w:rPr>
      </w:pPr>
    </w:p>
    <w:p>
      <w:pPr>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hint="default" w:ascii="Times New Roman" w:hAnsi="Times New Roman" w:eastAsia="方正公文小标宋" w:cs="Times New Roman"/>
          <w:sz w:val="44"/>
          <w:szCs w:val="44"/>
          <w:lang w:val="en-US" w:eastAsia="zh-CN"/>
        </w:rPr>
      </w:pPr>
      <w:r>
        <w:rPr>
          <w:rFonts w:hint="default" w:ascii="Times New Roman" w:hAnsi="Times New Roman" w:eastAsia="方正仿宋_GBK" w:cs="Times New Roman"/>
          <w:sz w:val="32"/>
          <w:szCs w:val="32"/>
          <w:lang w:val="en-US" w:eastAsia="zh-CN"/>
        </w:rPr>
        <w:t>乌政</w:t>
      </w:r>
      <w:r>
        <w:rPr>
          <w:rFonts w:hint="eastAsia" w:cs="Times New Roman"/>
          <w:sz w:val="32"/>
          <w:szCs w:val="32"/>
          <w:lang w:val="en-US" w:eastAsia="zh-CN"/>
        </w:rPr>
        <w:t>发</w:t>
      </w:r>
      <w:r>
        <w:rPr>
          <w:rFonts w:hint="eastAsia" w:ascii="方正书宋_GBK" w:hAnsi="方正书宋_GBK" w:eastAsia="方正书宋_GBK" w:cs="方正书宋_GBK"/>
          <w:sz w:val="32"/>
          <w:szCs w:val="32"/>
          <w:lang w:val="en-US" w:eastAsia="zh-CN"/>
        </w:rPr>
        <w:t>〔</w:t>
      </w:r>
      <w:r>
        <w:rPr>
          <w:rFonts w:hint="default" w:ascii="Times New Roman" w:hAnsi="Times New Roman" w:eastAsia="方正书宋_GBK" w:cs="Times New Roman"/>
          <w:sz w:val="32"/>
          <w:szCs w:val="32"/>
          <w:lang w:val="en-US" w:eastAsia="zh-CN"/>
        </w:rPr>
        <w:t>2026</w:t>
      </w:r>
      <w:r>
        <w:rPr>
          <w:rFonts w:hint="eastAsia" w:ascii="方正书宋_GBK" w:hAnsi="方正书宋_GBK" w:eastAsia="方正书宋_GBK" w:cs="方正书宋_GBK"/>
          <w:sz w:val="32"/>
          <w:szCs w:val="32"/>
          <w:lang w:val="en-US" w:eastAsia="zh-CN"/>
        </w:rPr>
        <w:t>〕</w:t>
      </w:r>
      <w:r>
        <w:rPr>
          <w:rFonts w:hint="eastAsia" w:cs="Times New Roman"/>
          <w:sz w:val="32"/>
          <w:szCs w:val="32"/>
          <w:lang w:val="en-US" w:eastAsia="zh-CN"/>
        </w:rPr>
        <w:t>95</w:t>
      </w:r>
      <w:r>
        <w:rPr>
          <w:rFonts w:hint="default" w:cs="Times New Roman"/>
          <w:sz w:val="32"/>
          <w:szCs w:val="32"/>
          <w:lang w:val="en-US" w:eastAsia="zh-CN"/>
        </w:rPr>
        <w:t>号</w:t>
      </w:r>
    </w:p>
    <w:p>
      <w:pPr>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hint="default" w:ascii="Times New Roman" w:hAnsi="Times New Roman" w:eastAsia="方正公文小标宋" w:cs="Times New Roman"/>
          <w:sz w:val="44"/>
          <w:szCs w:val="44"/>
          <w:lang w:eastAsia="zh-CN"/>
        </w:rPr>
      </w:pPr>
    </w:p>
    <w:p>
      <w:pPr>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hint="default" w:ascii="Times New Roman" w:hAnsi="Times New Roman" w:eastAsia="方正公文小标宋" w:cs="Times New Roman"/>
          <w:sz w:val="44"/>
          <w:szCs w:val="44"/>
          <w:lang w:eastAsia="zh-CN"/>
        </w:rPr>
      </w:pPr>
      <w:r>
        <w:rPr>
          <w:rFonts w:hint="default" w:ascii="Times New Roman" w:hAnsi="Times New Roman" w:eastAsia="方正公文小标宋" w:cs="Times New Roman"/>
          <w:sz w:val="44"/>
          <w:szCs w:val="44"/>
          <w:lang w:eastAsia="zh-CN"/>
        </w:rPr>
        <w:t>关于</w:t>
      </w:r>
      <w:r>
        <w:rPr>
          <w:rFonts w:hint="eastAsia" w:eastAsia="方正公文小标宋" w:cs="Times New Roman"/>
          <w:sz w:val="44"/>
          <w:szCs w:val="44"/>
          <w:lang w:eastAsia="zh-CN"/>
        </w:rPr>
        <w:t>印发</w:t>
      </w:r>
      <w:r>
        <w:rPr>
          <w:rFonts w:hint="default" w:ascii="Times New Roman" w:hAnsi="Times New Roman" w:eastAsia="方正公文小标宋" w:cs="Times New Roman"/>
          <w:sz w:val="44"/>
          <w:szCs w:val="44"/>
          <w:lang w:eastAsia="zh-CN"/>
        </w:rPr>
        <w:t>《乌鲁木齐市</w:t>
      </w:r>
      <w:r>
        <w:rPr>
          <w:rFonts w:hint="eastAsia" w:eastAsia="方正公文小标宋" w:cs="Times New Roman"/>
          <w:sz w:val="44"/>
          <w:szCs w:val="44"/>
          <w:lang w:eastAsia="zh-CN"/>
        </w:rPr>
        <w:t>“</w:t>
      </w:r>
      <w:r>
        <w:rPr>
          <w:rFonts w:hint="default" w:ascii="Times New Roman" w:hAnsi="Times New Roman" w:eastAsia="方正公文小标宋" w:cs="Times New Roman"/>
          <w:sz w:val="44"/>
          <w:szCs w:val="44"/>
          <w:lang w:eastAsia="zh-CN"/>
        </w:rPr>
        <w:t>十五五</w:t>
      </w:r>
      <w:r>
        <w:rPr>
          <w:rFonts w:hint="eastAsia" w:eastAsia="方正公文小标宋" w:cs="Times New Roman"/>
          <w:sz w:val="44"/>
          <w:szCs w:val="44"/>
          <w:lang w:eastAsia="zh-CN"/>
        </w:rPr>
        <w:t>”</w:t>
      </w:r>
      <w:r>
        <w:rPr>
          <w:rFonts w:hint="default" w:ascii="Times New Roman" w:hAnsi="Times New Roman" w:eastAsia="方正公文小标宋" w:cs="Times New Roman"/>
          <w:sz w:val="44"/>
          <w:szCs w:val="44"/>
          <w:lang w:eastAsia="zh-CN"/>
        </w:rPr>
        <w:t>应急管理体系规划（2026</w:t>
      </w:r>
      <w:r>
        <w:rPr>
          <w:rFonts w:hint="eastAsia" w:eastAsia="方正公文小标宋" w:cs="Times New Roman"/>
          <w:sz w:val="44"/>
          <w:szCs w:val="44"/>
          <w:lang w:eastAsia="zh-CN"/>
        </w:rPr>
        <w:t>—</w:t>
      </w:r>
      <w:r>
        <w:rPr>
          <w:rFonts w:hint="default" w:ascii="Times New Roman" w:hAnsi="Times New Roman" w:eastAsia="方正公文小标宋" w:cs="Times New Roman"/>
          <w:sz w:val="44"/>
          <w:szCs w:val="44"/>
          <w:lang w:eastAsia="zh-CN"/>
        </w:rPr>
        <w:t>2030年</w:t>
      </w:r>
      <w:r>
        <w:rPr>
          <w:rFonts w:hint="default" w:ascii="Times New Roman" w:hAnsi="Times New Roman" w:eastAsia="方正公文小标宋" w:cs="Times New Roman"/>
          <w:sz w:val="44"/>
          <w:szCs w:val="44"/>
        </w:rPr>
        <w:t>）</w:t>
      </w:r>
      <w:r>
        <w:rPr>
          <w:rFonts w:hint="default" w:ascii="Times New Roman" w:hAnsi="Times New Roman" w:eastAsia="方正公文小标宋" w:cs="Times New Roman"/>
          <w:sz w:val="44"/>
          <w:szCs w:val="44"/>
          <w:lang w:eastAsia="zh-CN"/>
        </w:rPr>
        <w:t>》的</w:t>
      </w:r>
      <w:r>
        <w:rPr>
          <w:rFonts w:hint="eastAsia" w:eastAsia="方正公文小标宋" w:cs="Times New Roman"/>
          <w:sz w:val="44"/>
          <w:szCs w:val="44"/>
          <w:lang w:eastAsia="zh-CN"/>
        </w:rPr>
        <w:t>通知</w:t>
      </w:r>
    </w:p>
    <w:p>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default" w:ascii="Times New Roman" w:hAnsi="Times New Roman" w:eastAsia="方正仿宋_GB18030" w:cs="Times New Roman"/>
          <w:sz w:val="32"/>
          <w:szCs w:val="32"/>
        </w:rPr>
      </w:pPr>
    </w:p>
    <w:p>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r>
        <w:rPr>
          <w:rFonts w:hint="eastAsia" w:ascii="Times New Roman" w:hAnsi="Times New Roman" w:cs="Times New Roman"/>
          <w:sz w:val="32"/>
          <w:szCs w:val="32"/>
          <w:lang w:eastAsia="zh-CN"/>
        </w:rPr>
        <w:t>乌鲁木齐县、各区人民政府，乌鲁木齐经济技术开发区、高新技术产业开发区、甘泉堡经济技术开发区（工业区）管委会，市属各委、办、局：</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eastAsia="zh-CN"/>
        </w:rPr>
      </w:pPr>
      <w:r>
        <w:rPr>
          <w:rFonts w:hint="eastAsia" w:cs="Times New Roman"/>
          <w:sz w:val="32"/>
          <w:szCs w:val="32"/>
          <w:lang w:eastAsia="zh-CN"/>
        </w:rPr>
        <w:t>《乌鲁木齐市“十五五”应急管理体系规划（2026—2030年）》已经市委、市人民政府同意，现印发你们，请认真贯彻落实</w:t>
      </w:r>
      <w:r>
        <w:rPr>
          <w:rFonts w:hint="default" w:ascii="Times New Roman" w:hAnsi="Times New Roman" w:eastAsia="方正仿宋_GBK" w:cs="Times New Roman"/>
          <w:sz w:val="32"/>
          <w:szCs w:val="32"/>
          <w:lang w:eastAsia="zh-CN"/>
        </w:rPr>
        <w:t>。</w:t>
      </w:r>
    </w:p>
    <w:p>
      <w:pPr>
        <w:pStyle w:val="2"/>
        <w:keepNext w:val="0"/>
        <w:keepLines w:val="0"/>
        <w:pageBreakBefore w:val="0"/>
        <w:widowControl w:val="0"/>
        <w:kinsoku/>
        <w:topLinePunct w:val="0"/>
        <w:bidi w:val="0"/>
        <w:spacing w:line="560" w:lineRule="exact"/>
        <w:textAlignment w:val="auto"/>
        <w:rPr>
          <w:rFonts w:hint="default"/>
          <w:lang w:eastAsia="zh-CN"/>
        </w:rPr>
      </w:pPr>
    </w:p>
    <w:p>
      <w:pPr>
        <w:keepNext w:val="0"/>
        <w:keepLines w:val="0"/>
        <w:pageBreakBefore w:val="0"/>
        <w:widowControl w:val="0"/>
        <w:kinsoku/>
        <w:wordWrap w:val="0"/>
        <w:overflowPunct w:val="0"/>
        <w:topLinePunct w:val="0"/>
        <w:autoSpaceDE/>
        <w:autoSpaceDN/>
        <w:bidi w:val="0"/>
        <w:adjustRightInd/>
        <w:snapToGrid/>
        <w:spacing w:line="560" w:lineRule="exact"/>
        <w:jc w:val="right"/>
        <w:textAlignment w:val="auto"/>
        <w:rPr>
          <w:rFonts w:hint="default"/>
          <w:lang w:val="en-US" w:eastAsia="zh-CN"/>
        </w:rPr>
      </w:pPr>
      <w:r>
        <w:rPr>
          <w:rFonts w:hint="eastAsia"/>
          <w:lang w:val="en-US" w:eastAsia="zh-CN"/>
        </w:rPr>
        <w:t xml:space="preserve">乌鲁木齐市人民政府     </w:t>
      </w:r>
    </w:p>
    <w:p>
      <w:pPr>
        <w:keepNext w:val="0"/>
        <w:keepLines w:val="0"/>
        <w:pageBreakBefore w:val="0"/>
        <w:widowControl w:val="0"/>
        <w:kinsoku/>
        <w:wordWrap w:val="0"/>
        <w:overflowPunct w:val="0"/>
        <w:topLinePunct w:val="0"/>
        <w:autoSpaceDE/>
        <w:autoSpaceDN/>
        <w:bidi w:val="0"/>
        <w:adjustRightInd/>
        <w:snapToGrid/>
        <w:spacing w:line="560" w:lineRule="exact"/>
        <w:jc w:val="right"/>
        <w:textAlignment w:val="auto"/>
        <w:rPr>
          <w:rFonts w:hint="default"/>
          <w:lang w:val="en-US" w:eastAsia="zh-CN"/>
        </w:rPr>
      </w:pPr>
      <w:r>
        <w:rPr>
          <w:rFonts w:hint="eastAsia"/>
          <w:lang w:val="en-US" w:eastAsia="zh-CN"/>
        </w:rPr>
        <w:t xml:space="preserve">2026年10月24日      </w:t>
      </w:r>
    </w:p>
    <w:p>
      <w:pPr>
        <w:keepNext w:val="0"/>
        <w:keepLines w:val="0"/>
        <w:pageBreakBefore w:val="0"/>
        <w:widowControl w:val="0"/>
        <w:kinsoku/>
        <w:topLinePunct w:val="0"/>
        <w:bidi w:val="0"/>
        <w:spacing w:line="560" w:lineRule="exact"/>
        <w:textAlignment w:val="auto"/>
        <w:rPr>
          <w:rStyle w:val="13"/>
          <w:rFonts w:hint="eastAsia" w:ascii="方正黑体_GBK" w:hAnsi="方正黑体_GBK" w:eastAsia="方正黑体_GBK" w:cs="方正黑体_GBK"/>
          <w:color w:val="auto"/>
          <w:spacing w:val="-20"/>
          <w:w w:val="100"/>
          <w:kern w:val="2"/>
          <w:position w:val="0"/>
          <w:sz w:val="36"/>
          <w:szCs w:val="36"/>
          <w:highlight w:val="none"/>
          <w:lang w:val="zh-TW" w:eastAsia="zh-CN" w:bidi="ar-SA"/>
        </w:rPr>
      </w:pPr>
      <w:r>
        <w:rPr>
          <w:rStyle w:val="13"/>
          <w:rFonts w:hint="eastAsia" w:ascii="方正黑体_GBK" w:hAnsi="方正黑体_GBK" w:eastAsia="方正黑体_GBK" w:cs="方正黑体_GBK"/>
          <w:color w:val="auto"/>
          <w:spacing w:val="-20"/>
          <w:w w:val="100"/>
          <w:kern w:val="2"/>
          <w:position w:val="0"/>
          <w:sz w:val="36"/>
          <w:szCs w:val="36"/>
          <w:highlight w:val="none"/>
          <w:lang w:val="zh-TW" w:eastAsia="zh-CN" w:bidi="ar-SA"/>
        </w:rPr>
        <w:br w:type="page"/>
      </w:r>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center"/>
        <w:textAlignment w:val="auto"/>
        <w:rPr>
          <w:rStyle w:val="13"/>
          <w:rFonts w:hint="default" w:ascii="Times New Roman" w:hAnsi="Times New Roman" w:eastAsia="方正小标宋_GBK" w:cs="Times New Roman"/>
          <w:color w:val="auto"/>
          <w:spacing w:val="0"/>
          <w:w w:val="100"/>
          <w:kern w:val="2"/>
          <w:position w:val="0"/>
          <w:sz w:val="44"/>
          <w:szCs w:val="44"/>
          <w:highlight w:val="none"/>
          <w:lang w:val="zh-TW" w:eastAsia="zh-CN" w:bidi="ar-SA"/>
        </w:rPr>
      </w:pPr>
      <w:r>
        <w:rPr>
          <w:rStyle w:val="13"/>
          <w:rFonts w:hint="default" w:ascii="Times New Roman" w:hAnsi="Times New Roman" w:eastAsia="方正小标宋_GBK" w:cs="Times New Roman"/>
          <w:color w:val="auto"/>
          <w:spacing w:val="0"/>
          <w:w w:val="100"/>
          <w:kern w:val="2"/>
          <w:position w:val="0"/>
          <w:sz w:val="44"/>
          <w:szCs w:val="44"/>
          <w:highlight w:val="none"/>
          <w:lang w:val="zh-TW" w:eastAsia="zh-CN" w:bidi="ar-SA"/>
        </w:rPr>
        <w:t>乌鲁木齐市</w:t>
      </w:r>
      <w:r>
        <w:rPr>
          <w:rStyle w:val="13"/>
          <w:rFonts w:hint="eastAsia" w:eastAsia="方正小标宋_GBK" w:cs="Times New Roman"/>
          <w:color w:val="auto"/>
          <w:spacing w:val="0"/>
          <w:w w:val="100"/>
          <w:kern w:val="2"/>
          <w:position w:val="0"/>
          <w:sz w:val="44"/>
          <w:szCs w:val="44"/>
          <w:highlight w:val="none"/>
          <w:lang w:val="zh-TW" w:eastAsia="zh-CN" w:bidi="ar-SA"/>
        </w:rPr>
        <w:t>“</w:t>
      </w:r>
      <w:r>
        <w:rPr>
          <w:rStyle w:val="13"/>
          <w:rFonts w:hint="default" w:ascii="Times New Roman" w:hAnsi="Times New Roman" w:eastAsia="方正小标宋_GBK" w:cs="Times New Roman"/>
          <w:color w:val="auto"/>
          <w:spacing w:val="0"/>
          <w:w w:val="100"/>
          <w:kern w:val="2"/>
          <w:position w:val="0"/>
          <w:sz w:val="44"/>
          <w:szCs w:val="44"/>
          <w:highlight w:val="none"/>
          <w:lang w:val="zh-TW" w:eastAsia="zh-CN" w:bidi="ar-SA"/>
        </w:rPr>
        <w:t>十五五</w:t>
      </w:r>
      <w:r>
        <w:rPr>
          <w:rStyle w:val="13"/>
          <w:rFonts w:hint="eastAsia" w:eastAsia="方正小标宋_GBK" w:cs="Times New Roman"/>
          <w:color w:val="auto"/>
          <w:spacing w:val="0"/>
          <w:w w:val="100"/>
          <w:kern w:val="2"/>
          <w:position w:val="0"/>
          <w:sz w:val="44"/>
          <w:szCs w:val="44"/>
          <w:highlight w:val="none"/>
          <w:lang w:val="zh-TW" w:eastAsia="zh-CN" w:bidi="ar-SA"/>
        </w:rPr>
        <w:t>”</w:t>
      </w:r>
      <w:r>
        <w:rPr>
          <w:rStyle w:val="13"/>
          <w:rFonts w:hint="default" w:ascii="Times New Roman" w:hAnsi="Times New Roman" w:eastAsia="方正小标宋_GBK" w:cs="Times New Roman"/>
          <w:color w:val="auto"/>
          <w:spacing w:val="0"/>
          <w:w w:val="100"/>
          <w:kern w:val="2"/>
          <w:position w:val="0"/>
          <w:sz w:val="44"/>
          <w:szCs w:val="44"/>
          <w:highlight w:val="none"/>
          <w:lang w:val="zh-TW" w:eastAsia="zh-CN" w:bidi="ar-SA"/>
        </w:rPr>
        <w:t>应急管理</w:t>
      </w:r>
      <w:r>
        <w:rPr>
          <w:rStyle w:val="13"/>
          <w:rFonts w:hint="default" w:ascii="Times New Roman" w:hAnsi="Times New Roman" w:eastAsia="方正小标宋_GBK" w:cs="Times New Roman"/>
          <w:color w:val="auto"/>
          <w:spacing w:val="0"/>
          <w:w w:val="100"/>
          <w:kern w:val="2"/>
          <w:position w:val="0"/>
          <w:sz w:val="44"/>
          <w:szCs w:val="44"/>
          <w:highlight w:val="none"/>
          <w:lang w:val="en-US" w:eastAsia="zh-CN" w:bidi="ar-SA"/>
        </w:rPr>
        <w:t>体系</w:t>
      </w:r>
      <w:r>
        <w:rPr>
          <w:rStyle w:val="13"/>
          <w:rFonts w:hint="default" w:ascii="Times New Roman" w:hAnsi="Times New Roman" w:eastAsia="方正小标宋_GBK" w:cs="Times New Roman"/>
          <w:color w:val="auto"/>
          <w:spacing w:val="0"/>
          <w:w w:val="100"/>
          <w:kern w:val="2"/>
          <w:position w:val="0"/>
          <w:sz w:val="44"/>
          <w:szCs w:val="44"/>
          <w:highlight w:val="none"/>
          <w:lang w:val="zh-TW" w:eastAsia="zh-CN" w:bidi="ar-SA"/>
        </w:rPr>
        <w:t>规划</w:t>
      </w:r>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center"/>
        <w:textAlignment w:val="auto"/>
        <w:rPr>
          <w:rStyle w:val="13"/>
          <w:rFonts w:hint="default" w:ascii="Times New Roman" w:hAnsi="Times New Roman" w:eastAsia="方正小标宋_GBK" w:cs="Times New Roman"/>
          <w:color w:val="auto"/>
          <w:spacing w:val="0"/>
          <w:w w:val="100"/>
          <w:kern w:val="2"/>
          <w:position w:val="0"/>
          <w:sz w:val="44"/>
          <w:szCs w:val="44"/>
          <w:highlight w:val="none"/>
          <w:lang w:val="en-US" w:eastAsia="zh-CN" w:bidi="ar-SA"/>
        </w:rPr>
      </w:pPr>
      <w:r>
        <w:rPr>
          <w:rStyle w:val="13"/>
          <w:rFonts w:hint="default" w:ascii="Times New Roman" w:hAnsi="Times New Roman" w:eastAsia="方正小标宋_GBK" w:cs="Times New Roman"/>
          <w:color w:val="auto"/>
          <w:spacing w:val="0"/>
          <w:w w:val="100"/>
          <w:kern w:val="2"/>
          <w:position w:val="0"/>
          <w:sz w:val="44"/>
          <w:szCs w:val="44"/>
          <w:highlight w:val="none"/>
          <w:lang w:val="en-US" w:eastAsia="zh-CN" w:bidi="ar-SA"/>
        </w:rPr>
        <w:t>（2026</w:t>
      </w:r>
      <w:r>
        <w:rPr>
          <w:rStyle w:val="13"/>
          <w:rFonts w:hint="eastAsia" w:eastAsia="方正小标宋_GBK" w:cs="Times New Roman"/>
          <w:color w:val="auto"/>
          <w:spacing w:val="0"/>
          <w:w w:val="100"/>
          <w:kern w:val="2"/>
          <w:position w:val="0"/>
          <w:sz w:val="44"/>
          <w:szCs w:val="44"/>
          <w:highlight w:val="none"/>
          <w:lang w:val="en-US" w:eastAsia="zh-CN" w:bidi="ar-SA"/>
        </w:rPr>
        <w:t>—</w:t>
      </w:r>
      <w:r>
        <w:rPr>
          <w:rStyle w:val="13"/>
          <w:rFonts w:hint="default" w:ascii="Times New Roman" w:hAnsi="Times New Roman" w:eastAsia="方正小标宋_GBK" w:cs="Times New Roman"/>
          <w:color w:val="auto"/>
          <w:spacing w:val="0"/>
          <w:w w:val="100"/>
          <w:kern w:val="2"/>
          <w:position w:val="0"/>
          <w:sz w:val="44"/>
          <w:szCs w:val="44"/>
          <w:highlight w:val="none"/>
          <w:lang w:val="en-US" w:eastAsia="zh-CN" w:bidi="ar-SA"/>
        </w:rPr>
        <w:t>2030年）</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720" w:firstLineChars="200"/>
        <w:jc w:val="both"/>
        <w:textAlignment w:val="auto"/>
        <w:rPr>
          <w:rFonts w:hint="default" w:ascii="Times New Roman" w:hAnsi="Times New Roman" w:eastAsia="方正仿宋_GBK" w:cs="Times New Roman"/>
          <w:color w:val="auto"/>
          <w:sz w:val="36"/>
          <w:szCs w:val="36"/>
          <w:highlight w:val="none"/>
          <w:lang w:eastAsia="zh-CN"/>
        </w:rPr>
      </w:pPr>
    </w:p>
    <w:p>
      <w:pPr>
        <w:keepNext w:val="0"/>
        <w:keepLines w:val="0"/>
        <w:pageBreakBefore w:val="0"/>
        <w:widowControl w:val="0"/>
        <w:shd w:val="clear" w:color="auto" w:fill="auto"/>
        <w:kinsoku/>
        <w:wordWrap/>
        <w:overflowPunct w:val="0"/>
        <w:topLinePunct w:val="0"/>
        <w:autoSpaceDE/>
        <w:autoSpaceDN/>
        <w:bidi w:val="0"/>
        <w:adjustRightInd/>
        <w:snapToGrid/>
        <w:spacing w:before="0" w:after="0" w:line="560" w:lineRule="exact"/>
        <w:ind w:left="0" w:leftChars="0" w:right="0" w:firstLine="640" w:firstLineChars="200"/>
        <w:jc w:val="both"/>
        <w:textAlignment w:val="auto"/>
        <w:rPr>
          <w:rFonts w:hint="default" w:ascii="Times New Roman" w:hAnsi="Times New Roman" w:eastAsia="方正黑体_GBK" w:cs="Times New Roman"/>
          <w:color w:val="auto"/>
          <w:spacing w:val="0"/>
          <w:w w:val="100"/>
          <w:kern w:val="2"/>
          <w:position w:val="0"/>
          <w:sz w:val="24"/>
          <w:szCs w:val="24"/>
          <w:highlight w:val="none"/>
          <w:u w:val="none"/>
          <w:lang w:val="zh-TW" w:eastAsia="zh-CN" w:bidi="ar-SA"/>
        </w:rPr>
      </w:pPr>
      <w:bookmarkStart w:id="0" w:name="_Toc16979"/>
      <w:r>
        <w:rPr>
          <w:rFonts w:hint="eastAsia" w:cs="Times New Roman"/>
          <w:color w:val="auto"/>
          <w:spacing w:val="0"/>
          <w:w w:val="100"/>
          <w:kern w:val="2"/>
          <w:position w:val="0"/>
          <w:sz w:val="32"/>
          <w:szCs w:val="32"/>
          <w:highlight w:val="none"/>
          <w:u w:val="none"/>
          <w:lang w:val="en-US" w:eastAsia="zh-CN" w:bidi="ar-SA"/>
        </w:rPr>
        <w:t>“</w:t>
      </w:r>
      <w:r>
        <w:rPr>
          <w:rFonts w:hint="default" w:ascii="Times New Roman" w:hAnsi="Times New Roman" w:eastAsia="方正仿宋_GBK" w:cs="Times New Roman"/>
          <w:color w:val="auto"/>
          <w:spacing w:val="0"/>
          <w:w w:val="100"/>
          <w:kern w:val="2"/>
          <w:position w:val="0"/>
          <w:sz w:val="32"/>
          <w:szCs w:val="32"/>
          <w:highlight w:val="none"/>
          <w:u w:val="none"/>
          <w:lang w:val="en-US" w:eastAsia="zh-CN" w:bidi="ar-SA"/>
        </w:rPr>
        <w:t>十五五</w:t>
      </w:r>
      <w:r>
        <w:rPr>
          <w:rFonts w:hint="eastAsia" w:cs="Times New Roman"/>
          <w:color w:val="auto"/>
          <w:spacing w:val="0"/>
          <w:w w:val="100"/>
          <w:kern w:val="2"/>
          <w:position w:val="0"/>
          <w:sz w:val="32"/>
          <w:szCs w:val="32"/>
          <w:highlight w:val="none"/>
          <w:u w:val="none"/>
          <w:lang w:val="en-US" w:eastAsia="zh-CN" w:bidi="ar-SA"/>
        </w:rPr>
        <w:t>”</w:t>
      </w:r>
      <w:r>
        <w:rPr>
          <w:rFonts w:hint="default" w:ascii="Times New Roman" w:hAnsi="Times New Roman" w:eastAsia="方正仿宋_GBK" w:cs="Times New Roman"/>
          <w:color w:val="auto"/>
          <w:spacing w:val="0"/>
          <w:w w:val="100"/>
          <w:kern w:val="2"/>
          <w:position w:val="0"/>
          <w:sz w:val="32"/>
          <w:szCs w:val="32"/>
          <w:highlight w:val="none"/>
          <w:u w:val="none"/>
          <w:lang w:val="en-US" w:eastAsia="zh-CN" w:bidi="ar-SA"/>
        </w:rPr>
        <w:t>时期是乌鲁木齐市锚定社会稳定和长治久安总目标，加快应急管理向事前预防转型的关键窗口期。乌鲁木齐市地处北天山地震带中段，地震风险较高，作为干旱区特大城市，局地干旱灾害、森林草原火灾、地震等灾害多发，老城区生命线工程老化、高层建筑密集，机动车保有量突破200万辆，交通拥堵常态化等各类风险交织，安全形势复杂严峻，立足首府定位，必须以更高标准推进应急管理体系和能力现代化。本规划围绕全灾种统筹、全链条预防、全过程准备、全社会参与，聚焦韧性提升、源头管控、力量优化和综合保障等重点任务，构建与城市相匹配的安全发展新格局。依据国家、自治区</w:t>
      </w:r>
      <w:r>
        <w:rPr>
          <w:rFonts w:hint="eastAsia" w:ascii="方正仿宋_GBK" w:hAnsi="方正仿宋_GBK" w:eastAsia="方正仿宋_GBK" w:cs="方正仿宋_GBK"/>
          <w:color w:val="auto"/>
          <w:spacing w:val="0"/>
          <w:w w:val="100"/>
          <w:kern w:val="2"/>
          <w:position w:val="0"/>
          <w:sz w:val="32"/>
          <w:szCs w:val="32"/>
          <w:highlight w:val="none"/>
          <w:u w:val="none"/>
          <w:lang w:val="en-US" w:eastAsia="zh-CN" w:bidi="ar-SA"/>
        </w:rPr>
        <w:t>“十五五”</w:t>
      </w:r>
      <w:r>
        <w:rPr>
          <w:rFonts w:hint="default" w:ascii="Times New Roman" w:hAnsi="Times New Roman" w:eastAsia="方正仿宋_GBK" w:cs="Times New Roman"/>
          <w:color w:val="auto"/>
          <w:spacing w:val="0"/>
          <w:w w:val="100"/>
          <w:kern w:val="2"/>
          <w:position w:val="0"/>
          <w:sz w:val="32"/>
          <w:szCs w:val="32"/>
          <w:highlight w:val="none"/>
          <w:u w:val="none"/>
          <w:lang w:val="en-US" w:eastAsia="zh-CN" w:bidi="ar-SA"/>
        </w:rPr>
        <w:t>规划总体部署及相关法律法规，编制本规划。</w:t>
      </w:r>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left"/>
        <w:textAlignment w:val="auto"/>
        <w:outlineLvl w:val="0"/>
        <w:rPr>
          <w:rFonts w:hint="default" w:ascii="Times New Roman" w:hAnsi="Times New Roman" w:eastAsia="黑体" w:cs="Times New Roman"/>
          <w:color w:val="auto"/>
          <w:spacing w:val="0"/>
          <w:w w:val="100"/>
          <w:kern w:val="2"/>
          <w:position w:val="0"/>
          <w:sz w:val="32"/>
          <w:szCs w:val="32"/>
          <w:highlight w:val="none"/>
          <w:lang w:val="en-US" w:eastAsia="zh-CN" w:bidi="ar-SA"/>
        </w:rPr>
      </w:pPr>
      <w:bookmarkStart w:id="1" w:name="_Toc12983"/>
      <w:bookmarkStart w:id="2" w:name="_Toc6328"/>
      <w:bookmarkStart w:id="3" w:name="_Toc7619"/>
      <w:r>
        <w:rPr>
          <w:rFonts w:hint="default" w:ascii="Times New Roman" w:hAnsi="Times New Roman" w:eastAsia="黑体" w:cs="Times New Roman"/>
          <w:color w:val="auto"/>
          <w:spacing w:val="0"/>
          <w:w w:val="100"/>
          <w:kern w:val="2"/>
          <w:position w:val="0"/>
          <w:sz w:val="32"/>
          <w:szCs w:val="32"/>
          <w:highlight w:val="none"/>
          <w:lang w:val="en-US" w:eastAsia="zh-CN" w:bidi="ar-SA"/>
        </w:rPr>
        <w:t>一、</w:t>
      </w:r>
      <w:bookmarkEnd w:id="0"/>
      <w:bookmarkEnd w:id="1"/>
      <w:bookmarkEnd w:id="2"/>
      <w:r>
        <w:rPr>
          <w:rFonts w:hint="default" w:ascii="Times New Roman" w:hAnsi="Times New Roman" w:eastAsia="黑体" w:cs="Times New Roman"/>
          <w:color w:val="auto"/>
          <w:spacing w:val="0"/>
          <w:w w:val="100"/>
          <w:kern w:val="2"/>
          <w:position w:val="0"/>
          <w:sz w:val="32"/>
          <w:szCs w:val="32"/>
          <w:highlight w:val="none"/>
          <w:lang w:val="en-US" w:eastAsia="zh-CN" w:bidi="ar-SA"/>
        </w:rPr>
        <w:t>总体要求</w:t>
      </w:r>
      <w:bookmarkEnd w:id="3"/>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left"/>
        <w:textAlignment w:val="auto"/>
        <w:outlineLvl w:val="1"/>
        <w:rPr>
          <w:rFonts w:hint="default" w:ascii="Times New Roman" w:hAnsi="Times New Roman" w:eastAsia="方正楷体_GBK" w:cs="Times New Roman"/>
          <w:b w:val="0"/>
          <w:bCs w:val="0"/>
          <w:color w:val="auto"/>
          <w:spacing w:val="0"/>
          <w:w w:val="100"/>
          <w:kern w:val="2"/>
          <w:position w:val="0"/>
          <w:sz w:val="32"/>
          <w:szCs w:val="32"/>
          <w:highlight w:val="none"/>
          <w:lang w:val="en-US" w:eastAsia="zh-CN" w:bidi="ar-SA"/>
        </w:rPr>
      </w:pPr>
      <w:bookmarkStart w:id="4" w:name="_Toc4213"/>
      <w:bookmarkStart w:id="5" w:name="_Toc89"/>
      <w:bookmarkStart w:id="6" w:name="_Toc18058"/>
      <w:bookmarkStart w:id="7" w:name="_Toc8250"/>
      <w:r>
        <w:rPr>
          <w:rFonts w:hint="default" w:ascii="Times New Roman" w:hAnsi="Times New Roman" w:eastAsia="方正楷体_GBK" w:cs="Times New Roman"/>
          <w:b w:val="0"/>
          <w:bCs w:val="0"/>
          <w:color w:val="auto"/>
          <w:spacing w:val="0"/>
          <w:w w:val="100"/>
          <w:kern w:val="2"/>
          <w:position w:val="0"/>
          <w:sz w:val="32"/>
          <w:szCs w:val="32"/>
          <w:highlight w:val="none"/>
          <w:lang w:val="en-US" w:eastAsia="zh-CN" w:bidi="ar-SA"/>
        </w:rPr>
        <w:t>（一）指导思想</w:t>
      </w:r>
      <w:bookmarkEnd w:id="4"/>
      <w:bookmarkEnd w:id="5"/>
      <w:bookmarkEnd w:id="6"/>
      <w:bookmarkEnd w:id="7"/>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9"/>
        <w:rPr>
          <w:rFonts w:hint="eastAsia" w:ascii="方正仿宋_GBK" w:hAnsi="方正仿宋_GBK" w:eastAsia="方正仿宋_GBK" w:cs="方正仿宋_GBK"/>
          <w:color w:val="auto"/>
          <w:spacing w:val="0"/>
          <w:w w:val="100"/>
          <w:kern w:val="2"/>
          <w:position w:val="0"/>
          <w:sz w:val="32"/>
          <w:szCs w:val="32"/>
          <w:highlight w:val="none"/>
          <w:lang w:val="en-US" w:eastAsia="zh-CN" w:bidi="ar-SA"/>
        </w:rPr>
      </w:pPr>
      <w:r>
        <w:rPr>
          <w:rFonts w:hint="eastAsia" w:ascii="方正仿宋_GBK" w:hAnsi="方正仿宋_GBK" w:eastAsia="方正仿宋_GBK" w:cs="方正仿宋_GBK"/>
          <w:color w:val="auto"/>
          <w:spacing w:val="0"/>
          <w:w w:val="100"/>
          <w:kern w:val="2"/>
          <w:position w:val="0"/>
          <w:sz w:val="32"/>
          <w:szCs w:val="32"/>
          <w:highlight w:val="none"/>
          <w:u w:val="none"/>
          <w:lang w:val="zh-TW" w:eastAsia="zh-CN" w:bidi="ar-SA"/>
        </w:rPr>
        <w:t>坚持以习近平新时代中国特色社会主义思想为指导，全面贯彻党的二十大和</w:t>
      </w:r>
      <w:r>
        <w:rPr>
          <w:rFonts w:hint="eastAsia" w:ascii="方正仿宋_GBK" w:hAnsi="方正仿宋_GBK" w:cs="方正仿宋_GBK"/>
          <w:color w:val="auto"/>
          <w:spacing w:val="0"/>
          <w:w w:val="100"/>
          <w:kern w:val="2"/>
          <w:position w:val="0"/>
          <w:sz w:val="32"/>
          <w:szCs w:val="32"/>
          <w:highlight w:val="none"/>
          <w:u w:val="none"/>
          <w:lang w:val="zh-TW" w:eastAsia="zh-CN" w:bidi="ar-SA"/>
        </w:rPr>
        <w:t>二十届</w:t>
      </w:r>
      <w:bookmarkStart w:id="154" w:name="_GoBack"/>
      <w:bookmarkEnd w:id="154"/>
      <w:r>
        <w:rPr>
          <w:rFonts w:hint="eastAsia" w:ascii="方正仿宋_GBK" w:hAnsi="方正仿宋_GBK" w:eastAsia="方正仿宋_GBK" w:cs="方正仿宋_GBK"/>
          <w:color w:val="auto"/>
          <w:spacing w:val="0"/>
          <w:w w:val="100"/>
          <w:kern w:val="2"/>
          <w:position w:val="0"/>
          <w:sz w:val="32"/>
          <w:szCs w:val="32"/>
          <w:highlight w:val="none"/>
          <w:u w:val="none"/>
          <w:lang w:val="zh-TW" w:eastAsia="zh-CN" w:bidi="ar-SA"/>
        </w:rPr>
        <w:t>历次全会精神，</w:t>
      </w:r>
      <w:r>
        <w:rPr>
          <w:rFonts w:hint="eastAsia" w:ascii="方正仿宋_GBK" w:hAnsi="方正仿宋_GBK" w:cs="方正仿宋_GBK"/>
          <w:color w:val="auto"/>
          <w:spacing w:val="0"/>
          <w:w w:val="100"/>
          <w:kern w:val="2"/>
          <w:position w:val="0"/>
          <w:sz w:val="32"/>
          <w:szCs w:val="32"/>
          <w:highlight w:val="none"/>
          <w:u w:val="none"/>
          <w:lang w:val="zh-TW" w:eastAsia="zh-CN" w:bidi="ar-SA"/>
        </w:rPr>
        <w:t>完整准确全面贯彻落实</w:t>
      </w:r>
      <w:r>
        <w:rPr>
          <w:rFonts w:hint="eastAsia" w:ascii="方正仿宋_GBK" w:hAnsi="方正仿宋_GBK" w:eastAsia="方正仿宋_GBK" w:cs="方正仿宋_GBK"/>
          <w:color w:val="auto"/>
          <w:spacing w:val="0"/>
          <w:w w:val="100"/>
          <w:kern w:val="2"/>
          <w:position w:val="0"/>
          <w:sz w:val="32"/>
          <w:szCs w:val="32"/>
          <w:highlight w:val="none"/>
          <w:u w:val="none"/>
          <w:lang w:val="zh-TW" w:eastAsia="zh-CN" w:bidi="ar-SA"/>
        </w:rPr>
        <w:t>新发展理念和新时代党的治疆方略，牢牢扭住社会稳定和长治久安总目标。以铸牢中华民族共同体意识为主线，以“人民至上、生命至上”为根本遵循，以事前预防转型为主线，以深化改革和科技赋能为动力，</w:t>
      </w:r>
      <w:r>
        <w:rPr>
          <w:rFonts w:hint="eastAsia" w:ascii="方正仿宋_GBK" w:hAnsi="方正仿宋_GBK" w:eastAsia="方正仿宋_GBK" w:cs="方正仿宋_GBK"/>
          <w:color w:val="auto"/>
          <w:spacing w:val="0"/>
          <w:w w:val="100"/>
          <w:kern w:val="2"/>
          <w:position w:val="0"/>
          <w:sz w:val="32"/>
          <w:szCs w:val="32"/>
          <w:highlight w:val="none"/>
          <w:u w:val="none"/>
          <w:lang w:val="en-US" w:eastAsia="zh-CN" w:bidi="ar-SA"/>
        </w:rPr>
        <w:t>坚持预防为主、源头治理，坚持科技赋能、夯基强能，</w:t>
      </w:r>
      <w:r>
        <w:rPr>
          <w:rFonts w:hint="eastAsia" w:ascii="方正仿宋_GBK" w:hAnsi="方正仿宋_GBK" w:eastAsia="方正仿宋_GBK" w:cs="方正仿宋_GBK"/>
          <w:color w:val="auto"/>
          <w:spacing w:val="0"/>
          <w:w w:val="100"/>
          <w:kern w:val="2"/>
          <w:position w:val="0"/>
          <w:sz w:val="32"/>
          <w:szCs w:val="32"/>
          <w:highlight w:val="none"/>
          <w:u w:val="none"/>
          <w:lang w:val="zh-TW" w:eastAsia="zh-CN" w:bidi="ar-SA"/>
        </w:rPr>
        <w:t>统筹发展和安全。着力破解地震灾害风险、化工园区风险集聚、老城区安全欠账、监测预警覆盖不均等突出难题，推动应急管理体系和能力现代化，为乌鲁木齐现代化建设提供坚实安全保障。</w:t>
      </w:r>
      <w:bookmarkStart w:id="8" w:name="_Toc30368"/>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left"/>
        <w:textAlignment w:val="auto"/>
        <w:outlineLvl w:val="1"/>
        <w:rPr>
          <w:rFonts w:hint="default" w:ascii="Times New Roman" w:hAnsi="Times New Roman" w:eastAsia="方正楷体_GBK" w:cs="Times New Roman"/>
          <w:b w:val="0"/>
          <w:bCs w:val="0"/>
          <w:color w:val="auto"/>
          <w:spacing w:val="0"/>
          <w:w w:val="100"/>
          <w:kern w:val="2"/>
          <w:position w:val="0"/>
          <w:sz w:val="32"/>
          <w:szCs w:val="32"/>
          <w:highlight w:val="none"/>
          <w:lang w:val="en-US" w:eastAsia="zh-CN" w:bidi="ar-SA"/>
        </w:rPr>
      </w:pPr>
      <w:bookmarkStart w:id="9" w:name="_Toc328"/>
      <w:bookmarkStart w:id="10" w:name="_Toc28769"/>
      <w:bookmarkStart w:id="11" w:name="_Toc12236"/>
      <w:r>
        <w:rPr>
          <w:rFonts w:hint="default" w:ascii="Times New Roman" w:hAnsi="Times New Roman" w:eastAsia="方正楷体_GBK" w:cs="Times New Roman"/>
          <w:b w:val="0"/>
          <w:bCs w:val="0"/>
          <w:color w:val="auto"/>
          <w:spacing w:val="0"/>
          <w:w w:val="100"/>
          <w:kern w:val="2"/>
          <w:position w:val="0"/>
          <w:sz w:val="32"/>
          <w:szCs w:val="32"/>
          <w:highlight w:val="none"/>
          <w:lang w:val="en-US" w:eastAsia="zh-CN" w:bidi="ar-SA"/>
        </w:rPr>
        <w:t>（二）</w:t>
      </w:r>
      <w:bookmarkEnd w:id="8"/>
      <w:bookmarkEnd w:id="9"/>
      <w:bookmarkEnd w:id="10"/>
      <w:bookmarkStart w:id="12" w:name="_Toc6008"/>
      <w:bookmarkStart w:id="13" w:name="_Toc3034"/>
      <w:bookmarkStart w:id="14" w:name="_Toc7626"/>
      <w:bookmarkStart w:id="15" w:name="_Toc32612"/>
      <w:r>
        <w:rPr>
          <w:rFonts w:hint="eastAsia" w:eastAsia="方正楷体_GBK" w:cs="Times New Roman"/>
          <w:b w:val="0"/>
          <w:bCs w:val="0"/>
          <w:color w:val="auto"/>
          <w:spacing w:val="0"/>
          <w:w w:val="100"/>
          <w:kern w:val="2"/>
          <w:position w:val="0"/>
          <w:sz w:val="32"/>
          <w:szCs w:val="32"/>
          <w:highlight w:val="none"/>
          <w:lang w:val="zh-TW" w:eastAsia="zh-CN" w:bidi="ar-SA"/>
        </w:rPr>
        <w:t>工作</w:t>
      </w:r>
      <w:r>
        <w:rPr>
          <w:rFonts w:hint="default" w:ascii="Times New Roman" w:hAnsi="Times New Roman" w:eastAsia="方正楷体_GBK" w:cs="Times New Roman"/>
          <w:b w:val="0"/>
          <w:bCs w:val="0"/>
          <w:color w:val="auto"/>
          <w:spacing w:val="0"/>
          <w:w w:val="100"/>
          <w:kern w:val="2"/>
          <w:position w:val="0"/>
          <w:sz w:val="32"/>
          <w:szCs w:val="32"/>
          <w:highlight w:val="none"/>
          <w:lang w:val="zh-TW" w:eastAsia="zh-CN" w:bidi="ar-SA"/>
        </w:rPr>
        <w:t>目标</w:t>
      </w:r>
      <w:bookmarkEnd w:id="11"/>
      <w:bookmarkEnd w:id="12"/>
      <w:bookmarkEnd w:id="13"/>
      <w:bookmarkEnd w:id="14"/>
      <w:bookmarkEnd w:id="15"/>
    </w:p>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9"/>
        <w:rPr>
          <w:rFonts w:hint="default" w:ascii="Times New Roman" w:hAnsi="Times New Roman" w:eastAsia="方正仿宋_GBK" w:cs="Times New Roman"/>
          <w:b w:val="0"/>
          <w:bCs w:val="0"/>
          <w:i w:val="0"/>
          <w:iCs w:val="0"/>
          <w:caps w:val="0"/>
          <w:color w:val="auto"/>
          <w:spacing w:val="0"/>
          <w:w w:val="100"/>
          <w:kern w:val="0"/>
          <w:position w:val="0"/>
          <w:sz w:val="24"/>
          <w:szCs w:val="24"/>
          <w:highlight w:val="none"/>
          <w:u w:val="none"/>
          <w:shd w:val="clear" w:color="auto" w:fill="FFFFFF"/>
          <w:lang w:val="zh-TW" w:eastAsia="zh-CN"/>
        </w:rPr>
      </w:pPr>
      <w:r>
        <w:rPr>
          <w:rFonts w:hint="default" w:ascii="Times New Roman" w:hAnsi="Times New Roman" w:eastAsia="方正仿宋_GBK" w:cs="Times New Roman"/>
          <w:color w:val="auto"/>
          <w:spacing w:val="0"/>
          <w:w w:val="100"/>
          <w:kern w:val="2"/>
          <w:position w:val="0"/>
          <w:sz w:val="32"/>
          <w:szCs w:val="32"/>
          <w:highlight w:val="none"/>
          <w:u w:val="none"/>
          <w:lang w:val="en-US" w:eastAsia="zh-CN" w:bidi="ar-SA"/>
        </w:rPr>
        <w:t>到2030年，全市应急管理体系和能力现代化建设迈出坚实步伐。事前预防、精准防控、快速响应、高效处置的公共安全治理模式初步构建。重点领域本质安全水平稳步提升，防灾减灾救灾基础能力持续增强，地震灾害防范、化工园区安全管控、老城区高层建筑消防隐患整治等重点任务取得实质性进展。南部山区等薄弱区域监测预警覆盖短板逐步补齐，跨部门应急数据共享机制初步建立，各类突发事件应对处置更加规范高效，为全市经济社会高质量发展提供更加可靠的安全保障。</w:t>
      </w:r>
    </w:p>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9"/>
        <w:rPr>
          <w:rFonts w:hint="default" w:ascii="Times New Roman" w:hAnsi="Times New Roman" w:eastAsia="方正仿宋_GBK" w:cs="Times New Roman"/>
          <w:color w:val="auto"/>
          <w:spacing w:val="0"/>
          <w:w w:val="100"/>
          <w:kern w:val="2"/>
          <w:position w:val="0"/>
          <w:sz w:val="32"/>
          <w:szCs w:val="32"/>
          <w:highlight w:val="none"/>
          <w:u w:val="none"/>
          <w:lang w:val="zh-TW" w:eastAsia="zh-CN" w:bidi="ar-SA"/>
        </w:rPr>
      </w:pPr>
      <w:r>
        <w:rPr>
          <w:rFonts w:hint="default" w:ascii="Times New Roman" w:hAnsi="Times New Roman" w:eastAsia="方正仿宋_GBK" w:cs="Times New Roman"/>
          <w:color w:val="auto"/>
          <w:spacing w:val="0"/>
          <w:w w:val="100"/>
          <w:kern w:val="2"/>
          <w:position w:val="0"/>
          <w:sz w:val="32"/>
          <w:szCs w:val="32"/>
          <w:highlight w:val="none"/>
          <w:u w:val="none"/>
          <w:lang w:val="en-US" w:eastAsia="zh-CN" w:bidi="ar-SA"/>
        </w:rPr>
        <w:t>到2035年，基本建成与首府城市风险特点和城市定位相适应的现代化应急管理体系。地震、山洪、暴雪冰冻等自然灾害防御能力显著增强，化工园区、高层建筑、交通枢纽等城市运行重点领域安全韧性持续提升。风险源头管控、监测预警、应急指挥、抢险救援、综合保障等各环节能力实现整体跃升，服务经济社会高质量发展的安全支撑功能更加有力，各族群众安全感和满意度持续提高，应急管理事业迈上新台阶。</w:t>
      </w:r>
    </w:p>
    <w:tbl>
      <w:tblPr>
        <w:tblStyle w:val="9"/>
        <w:tblW w:w="8867" w:type="dxa"/>
        <w:jc w:val="center"/>
        <w:tblInd w:w="0" w:type="dxa"/>
        <w:tblLayout w:type="fixed"/>
        <w:tblCellMar>
          <w:top w:w="0" w:type="dxa"/>
          <w:left w:w="10" w:type="dxa"/>
          <w:bottom w:w="0" w:type="dxa"/>
          <w:right w:w="10" w:type="dxa"/>
        </w:tblCellMar>
      </w:tblPr>
      <w:tblGrid>
        <w:gridCol w:w="850"/>
        <w:gridCol w:w="4857"/>
        <w:gridCol w:w="1937"/>
        <w:gridCol w:w="1223"/>
      </w:tblGrid>
      <w:tr>
        <w:tblPrEx>
          <w:tblLayout w:type="fixed"/>
          <w:tblCellMar>
            <w:top w:w="0" w:type="dxa"/>
            <w:left w:w="10" w:type="dxa"/>
            <w:bottom w:w="0" w:type="dxa"/>
            <w:right w:w="10" w:type="dxa"/>
          </w:tblCellMar>
        </w:tblPrEx>
        <w:trPr>
          <w:trHeight w:val="567" w:hRule="exact"/>
          <w:jc w:val="center"/>
        </w:trPr>
        <w:tc>
          <w:tcPr>
            <w:tcW w:w="8867" w:type="dxa"/>
            <w:gridSpan w:val="4"/>
            <w:tcBorders>
              <w:top w:val="single" w:color="auto" w:sz="4" w:space="0"/>
              <w:left w:val="single" w:color="auto" w:sz="4" w:space="0"/>
              <w:bottom w:val="single" w:color="auto" w:sz="4" w:space="0"/>
              <w:right w:val="single" w:color="auto" w:sz="4" w:space="0"/>
            </w:tcBorders>
            <w:noWrap w:val="0"/>
            <w:vAlign w:val="top"/>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jc w:val="center"/>
              <w:textAlignment w:val="auto"/>
              <w:rPr>
                <w:rFonts w:hint="default" w:ascii="Times New Roman" w:hAnsi="Times New Roman" w:eastAsia="仿宋" w:cs="Times New Roman"/>
                <w:color w:val="auto"/>
                <w:w w:val="100"/>
                <w:kern w:val="0"/>
                <w:position w:val="0"/>
                <w:sz w:val="32"/>
                <w:szCs w:val="32"/>
                <w:highlight w:val="none"/>
                <w:lang w:val="en-US" w:eastAsia="zh-CN"/>
              </w:rPr>
            </w:pPr>
            <w:r>
              <w:rPr>
                <w:rFonts w:hint="default" w:ascii="Times New Roman" w:hAnsi="Times New Roman" w:eastAsia="仿宋" w:cs="Times New Roman"/>
                <w:color w:val="auto"/>
                <w:w w:val="100"/>
                <w:kern w:val="0"/>
                <w:position w:val="0"/>
                <w:sz w:val="32"/>
                <w:szCs w:val="32"/>
                <w:highlight w:val="none"/>
                <w:lang w:val="en-US" w:eastAsia="zh-CN"/>
              </w:rPr>
              <w:tab/>
            </w:r>
            <w:r>
              <w:rPr>
                <w:rFonts w:hint="eastAsia" w:ascii="方正仿宋_GBK" w:hAnsi="方正仿宋_GBK" w:eastAsia="方正仿宋_GBK" w:cs="方正仿宋_GBK"/>
                <w:b/>
                <w:bCs/>
                <w:color w:val="auto"/>
                <w:spacing w:val="0"/>
                <w:w w:val="100"/>
                <w:kern w:val="0"/>
                <w:position w:val="0"/>
                <w:sz w:val="32"/>
                <w:szCs w:val="32"/>
                <w:highlight w:val="none"/>
                <w:lang w:val="en-US" w:eastAsia="zh-CN"/>
              </w:rPr>
              <w:t>“十五五”</w:t>
            </w:r>
            <w:r>
              <w:rPr>
                <w:rFonts w:hint="default" w:ascii="Times New Roman" w:hAnsi="Times New Roman" w:eastAsia="仿宋" w:cs="Times New Roman"/>
                <w:b/>
                <w:bCs/>
                <w:color w:val="auto"/>
                <w:spacing w:val="0"/>
                <w:w w:val="100"/>
                <w:kern w:val="0"/>
                <w:position w:val="0"/>
                <w:sz w:val="32"/>
                <w:szCs w:val="32"/>
                <w:highlight w:val="none"/>
                <w:lang w:val="en-US" w:eastAsia="zh-CN"/>
              </w:rPr>
              <w:t>应急管理体系建设主要指标</w:t>
            </w:r>
          </w:p>
        </w:tc>
      </w:tr>
      <w:tr>
        <w:tblPrEx>
          <w:tblLayout w:type="fixed"/>
          <w:tblCellMar>
            <w:top w:w="0" w:type="dxa"/>
            <w:left w:w="10" w:type="dxa"/>
            <w:bottom w:w="0" w:type="dxa"/>
            <w:right w:w="10" w:type="dxa"/>
          </w:tblCellMar>
        </w:tblPrEx>
        <w:trPr>
          <w:trHeight w:val="567" w:hRule="exact"/>
          <w:jc w:val="center"/>
        </w:trPr>
        <w:tc>
          <w:tcPr>
            <w:tcW w:w="850" w:type="dxa"/>
            <w:tcBorders>
              <w:top w:val="single" w:color="auto" w:sz="4" w:space="0"/>
              <w:left w:val="single" w:color="auto" w:sz="4" w:space="0"/>
              <w:bottom w:val="single" w:color="auto" w:sz="4" w:space="0"/>
            </w:tcBorders>
            <w:noWrap w:val="0"/>
            <w:vAlign w:val="top"/>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jc w:val="center"/>
              <w:textAlignment w:val="auto"/>
              <w:rPr>
                <w:rFonts w:hint="default" w:ascii="Times New Roman" w:hAnsi="Times New Roman" w:eastAsia="仿宋" w:cs="Times New Roman"/>
                <w:b/>
                <w:bCs/>
                <w:color w:val="auto"/>
                <w:w w:val="100"/>
                <w:kern w:val="0"/>
                <w:position w:val="0"/>
                <w:sz w:val="24"/>
                <w:szCs w:val="24"/>
                <w:highlight w:val="none"/>
                <w:lang w:val="en-US" w:eastAsia="zh-CN"/>
              </w:rPr>
            </w:pPr>
            <w:r>
              <w:rPr>
                <w:rFonts w:hint="default" w:ascii="Times New Roman" w:hAnsi="Times New Roman" w:eastAsia="仿宋" w:cs="Times New Roman"/>
                <w:b/>
                <w:bCs/>
                <w:color w:val="auto"/>
                <w:w w:val="100"/>
                <w:kern w:val="0"/>
                <w:position w:val="0"/>
                <w:sz w:val="24"/>
                <w:szCs w:val="24"/>
                <w:highlight w:val="none"/>
                <w:lang w:val="en-US" w:eastAsia="zh-CN"/>
              </w:rPr>
              <w:t>序号</w:t>
            </w:r>
          </w:p>
        </w:tc>
        <w:tc>
          <w:tcPr>
            <w:tcW w:w="4857" w:type="dxa"/>
            <w:tcBorders>
              <w:top w:val="single" w:color="auto" w:sz="4" w:space="0"/>
              <w:left w:val="single" w:color="auto" w:sz="4" w:space="0"/>
              <w:bottom w:val="single" w:color="auto" w:sz="4" w:space="0"/>
            </w:tcBorders>
            <w:noWrap w:val="0"/>
            <w:vAlign w:val="top"/>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jc w:val="center"/>
              <w:textAlignment w:val="auto"/>
              <w:rPr>
                <w:rFonts w:hint="default" w:ascii="Times New Roman" w:hAnsi="Times New Roman" w:eastAsia="仿宋" w:cs="Times New Roman"/>
                <w:b/>
                <w:bCs/>
                <w:color w:val="auto"/>
                <w:w w:val="100"/>
                <w:kern w:val="0"/>
                <w:position w:val="0"/>
                <w:sz w:val="24"/>
                <w:szCs w:val="24"/>
                <w:highlight w:val="none"/>
                <w:lang w:val="zh-TW" w:eastAsia="zh-CN"/>
              </w:rPr>
            </w:pPr>
            <w:r>
              <w:rPr>
                <w:rFonts w:hint="default" w:ascii="Times New Roman" w:hAnsi="Times New Roman" w:eastAsia="仿宋" w:cs="Times New Roman"/>
                <w:b/>
                <w:bCs/>
                <w:color w:val="auto"/>
                <w:w w:val="100"/>
                <w:kern w:val="0"/>
                <w:position w:val="0"/>
                <w:sz w:val="24"/>
                <w:szCs w:val="24"/>
                <w:highlight w:val="none"/>
                <w:lang w:val="zh-TW" w:eastAsia="zh-CN"/>
              </w:rPr>
              <w:t>指标名称</w:t>
            </w:r>
          </w:p>
        </w:tc>
        <w:tc>
          <w:tcPr>
            <w:tcW w:w="1937" w:type="dxa"/>
            <w:tcBorders>
              <w:top w:val="single" w:color="auto" w:sz="4" w:space="0"/>
              <w:left w:val="single" w:color="auto" w:sz="4" w:space="0"/>
              <w:bottom w:val="single" w:color="auto" w:sz="4" w:space="0"/>
            </w:tcBorders>
            <w:noWrap w:val="0"/>
            <w:vAlign w:val="top"/>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jc w:val="center"/>
              <w:textAlignment w:val="auto"/>
              <w:rPr>
                <w:rFonts w:hint="default" w:ascii="Times New Roman" w:hAnsi="Times New Roman" w:eastAsia="仿宋" w:cs="Times New Roman"/>
                <w:b/>
                <w:bCs/>
                <w:color w:val="auto"/>
                <w:w w:val="100"/>
                <w:kern w:val="0"/>
                <w:position w:val="0"/>
                <w:sz w:val="24"/>
                <w:szCs w:val="24"/>
                <w:highlight w:val="none"/>
                <w:lang w:val="zh-TW" w:eastAsia="zh-CN"/>
              </w:rPr>
            </w:pPr>
            <w:r>
              <w:rPr>
                <w:rFonts w:hint="default" w:ascii="Times New Roman" w:hAnsi="Times New Roman" w:eastAsia="仿宋" w:cs="Times New Roman"/>
                <w:b/>
                <w:bCs/>
                <w:color w:val="auto"/>
                <w:w w:val="100"/>
                <w:kern w:val="0"/>
                <w:position w:val="0"/>
                <w:sz w:val="24"/>
                <w:szCs w:val="24"/>
                <w:highlight w:val="none"/>
                <w:lang w:val="en-US" w:eastAsia="zh-CN"/>
              </w:rPr>
              <w:t>预期</w:t>
            </w:r>
            <w:r>
              <w:rPr>
                <w:rFonts w:hint="default" w:ascii="Times New Roman" w:hAnsi="Times New Roman" w:eastAsia="仿宋" w:cs="Times New Roman"/>
                <w:b/>
                <w:bCs/>
                <w:color w:val="auto"/>
                <w:w w:val="100"/>
                <w:kern w:val="0"/>
                <w:position w:val="0"/>
                <w:sz w:val="24"/>
                <w:szCs w:val="24"/>
                <w:highlight w:val="none"/>
                <w:lang w:val="zh-TW" w:eastAsia="zh-CN"/>
              </w:rPr>
              <w:t>值</w:t>
            </w:r>
          </w:p>
        </w:tc>
        <w:tc>
          <w:tcPr>
            <w:tcW w:w="1223" w:type="dxa"/>
            <w:tcBorders>
              <w:top w:val="single" w:color="auto" w:sz="4" w:space="0"/>
              <w:left w:val="single" w:color="auto" w:sz="4" w:space="0"/>
              <w:bottom w:val="single" w:color="auto" w:sz="4" w:space="0"/>
              <w:right w:val="single" w:color="auto" w:sz="4" w:space="0"/>
            </w:tcBorders>
            <w:noWrap w:val="0"/>
            <w:vAlign w:val="top"/>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jc w:val="center"/>
              <w:textAlignment w:val="auto"/>
              <w:rPr>
                <w:rFonts w:hint="default" w:ascii="Times New Roman" w:hAnsi="Times New Roman" w:eastAsia="仿宋" w:cs="Times New Roman"/>
                <w:b/>
                <w:bCs/>
                <w:color w:val="auto"/>
                <w:w w:val="100"/>
                <w:kern w:val="0"/>
                <w:position w:val="0"/>
                <w:sz w:val="24"/>
                <w:szCs w:val="24"/>
                <w:highlight w:val="none"/>
                <w:lang w:val="zh-TW" w:eastAsia="zh-CN"/>
              </w:rPr>
            </w:pPr>
            <w:r>
              <w:rPr>
                <w:rFonts w:hint="default" w:ascii="Times New Roman" w:hAnsi="Times New Roman" w:eastAsia="仿宋" w:cs="Times New Roman"/>
                <w:b/>
                <w:bCs/>
                <w:color w:val="auto"/>
                <w:w w:val="100"/>
                <w:kern w:val="0"/>
                <w:position w:val="0"/>
                <w:sz w:val="24"/>
                <w:szCs w:val="24"/>
                <w:highlight w:val="none"/>
                <w:lang w:val="en-US" w:eastAsia="zh-CN"/>
              </w:rPr>
              <w:t>属性</w:t>
            </w:r>
          </w:p>
        </w:tc>
      </w:tr>
      <w:tr>
        <w:tblPrEx>
          <w:tblLayout w:type="fixed"/>
          <w:tblCellMar>
            <w:top w:w="0" w:type="dxa"/>
            <w:left w:w="10" w:type="dxa"/>
            <w:bottom w:w="0" w:type="dxa"/>
            <w:right w:w="10" w:type="dxa"/>
          </w:tblCellMar>
        </w:tblPrEx>
        <w:trPr>
          <w:trHeight w:val="652" w:hRule="exact"/>
          <w:jc w:val="center"/>
        </w:trPr>
        <w:tc>
          <w:tcPr>
            <w:tcW w:w="850" w:type="dxa"/>
            <w:tcBorders>
              <w:top w:val="single" w:color="auto" w:sz="4" w:space="0"/>
              <w:left w:val="single" w:color="auto" w:sz="4" w:space="0"/>
              <w:bottom w:val="single" w:color="auto" w:sz="4" w:space="0"/>
            </w:tcBorders>
            <w:noWrap w:val="0"/>
            <w:vAlign w:val="center"/>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center"/>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1</w:t>
            </w:r>
          </w:p>
        </w:tc>
        <w:tc>
          <w:tcPr>
            <w:tcW w:w="4857" w:type="dxa"/>
            <w:tcBorders>
              <w:top w:val="single" w:color="auto" w:sz="4" w:space="0"/>
              <w:left w:val="single" w:color="auto" w:sz="4" w:space="0"/>
              <w:bottom w:val="single" w:color="auto" w:sz="4" w:space="0"/>
            </w:tcBorders>
            <w:noWrap w:val="0"/>
            <w:vAlign w:val="center"/>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left"/>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较大生产安全事故起数</w:t>
            </w:r>
          </w:p>
        </w:tc>
        <w:tc>
          <w:tcPr>
            <w:tcW w:w="1937" w:type="dxa"/>
            <w:tcBorders>
              <w:top w:val="single" w:color="auto" w:sz="4" w:space="0"/>
              <w:left w:val="single" w:color="auto" w:sz="4" w:space="0"/>
              <w:bottom w:val="single" w:color="auto" w:sz="4" w:space="0"/>
            </w:tcBorders>
            <w:noWrap w:val="0"/>
            <w:vAlign w:val="top"/>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center"/>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年均不超过</w:t>
            </w:r>
            <w:r>
              <w:rPr>
                <w:rStyle w:val="15"/>
                <w:rFonts w:hint="eastAsia" w:ascii="Times New Roman" w:hAnsi="Times New Roman" w:eastAsia="仿宋" w:cs="Times New Roman"/>
                <w:b w:val="0"/>
                <w:bCs w:val="0"/>
                <w:i w:val="0"/>
                <w:iCs w:val="0"/>
                <w:smallCaps w:val="0"/>
                <w:strike w:val="0"/>
                <w:color w:val="auto"/>
                <w:kern w:val="0"/>
                <w:sz w:val="24"/>
                <w:szCs w:val="24"/>
                <w:highlight w:val="none"/>
                <w:lang w:val="en-US" w:eastAsia="zh-CN"/>
              </w:rPr>
              <w:t>3</w:t>
            </w: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起</w:t>
            </w:r>
          </w:p>
        </w:tc>
        <w:tc>
          <w:tcPr>
            <w:tcW w:w="1223" w:type="dxa"/>
            <w:tcBorders>
              <w:top w:val="single" w:color="auto" w:sz="4" w:space="0"/>
              <w:left w:val="single" w:color="auto" w:sz="4" w:space="0"/>
              <w:bottom w:val="single" w:color="auto" w:sz="4" w:space="0"/>
              <w:right w:val="single" w:color="auto" w:sz="4" w:space="0"/>
            </w:tcBorders>
            <w:noWrap w:val="0"/>
            <w:vAlign w:val="top"/>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center"/>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约束性</w:t>
            </w:r>
          </w:p>
        </w:tc>
      </w:tr>
      <w:tr>
        <w:tblPrEx>
          <w:tblLayout w:type="fixed"/>
          <w:tblCellMar>
            <w:top w:w="0" w:type="dxa"/>
            <w:left w:w="10" w:type="dxa"/>
            <w:bottom w:w="0" w:type="dxa"/>
            <w:right w:w="10" w:type="dxa"/>
          </w:tblCellMar>
        </w:tblPrEx>
        <w:trPr>
          <w:trHeight w:val="652" w:hRule="exact"/>
          <w:jc w:val="center"/>
        </w:trPr>
        <w:tc>
          <w:tcPr>
            <w:tcW w:w="850" w:type="dxa"/>
            <w:tcBorders>
              <w:top w:val="single" w:color="auto" w:sz="4" w:space="0"/>
              <w:left w:val="single" w:color="auto" w:sz="4" w:space="0"/>
            </w:tcBorders>
            <w:noWrap w:val="0"/>
            <w:vAlign w:val="center"/>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center"/>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2</w:t>
            </w:r>
          </w:p>
        </w:tc>
        <w:tc>
          <w:tcPr>
            <w:tcW w:w="4857" w:type="dxa"/>
            <w:tcBorders>
              <w:top w:val="single" w:color="auto" w:sz="4" w:space="0"/>
              <w:left w:val="single" w:color="auto" w:sz="4" w:space="0"/>
            </w:tcBorders>
            <w:noWrap w:val="0"/>
            <w:vAlign w:val="top"/>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left"/>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亿元地区生产总值生产安全事故死亡率</w:t>
            </w:r>
          </w:p>
        </w:tc>
        <w:tc>
          <w:tcPr>
            <w:tcW w:w="1937" w:type="dxa"/>
            <w:tcBorders>
              <w:top w:val="single" w:color="auto" w:sz="4" w:space="0"/>
              <w:left w:val="single" w:color="auto" w:sz="4" w:space="0"/>
            </w:tcBorders>
            <w:noWrap w:val="0"/>
            <w:vAlign w:val="top"/>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center"/>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下降25%</w:t>
            </w:r>
          </w:p>
        </w:tc>
        <w:tc>
          <w:tcPr>
            <w:tcW w:w="1223" w:type="dxa"/>
            <w:tcBorders>
              <w:top w:val="single" w:color="auto" w:sz="4" w:space="0"/>
              <w:left w:val="single" w:color="auto" w:sz="4" w:space="0"/>
              <w:right w:val="single" w:color="auto" w:sz="4" w:space="0"/>
            </w:tcBorders>
            <w:noWrap w:val="0"/>
            <w:vAlign w:val="top"/>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center"/>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约束性</w:t>
            </w:r>
          </w:p>
        </w:tc>
      </w:tr>
      <w:tr>
        <w:tblPrEx>
          <w:tblLayout w:type="fixed"/>
          <w:tblCellMar>
            <w:top w:w="0" w:type="dxa"/>
            <w:left w:w="10" w:type="dxa"/>
            <w:bottom w:w="0" w:type="dxa"/>
            <w:right w:w="10" w:type="dxa"/>
          </w:tblCellMar>
        </w:tblPrEx>
        <w:trPr>
          <w:trHeight w:val="652" w:hRule="exact"/>
          <w:jc w:val="center"/>
        </w:trPr>
        <w:tc>
          <w:tcPr>
            <w:tcW w:w="850" w:type="dxa"/>
            <w:tcBorders>
              <w:top w:val="single" w:color="auto" w:sz="4" w:space="0"/>
              <w:left w:val="single" w:color="auto" w:sz="4" w:space="0"/>
            </w:tcBorders>
            <w:noWrap w:val="0"/>
            <w:vAlign w:val="center"/>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center"/>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3</w:t>
            </w:r>
          </w:p>
        </w:tc>
        <w:tc>
          <w:tcPr>
            <w:tcW w:w="4857" w:type="dxa"/>
            <w:tcBorders>
              <w:top w:val="single" w:color="auto" w:sz="4" w:space="0"/>
              <w:left w:val="single" w:color="auto" w:sz="4" w:space="0"/>
            </w:tcBorders>
            <w:noWrap w:val="0"/>
            <w:vAlign w:val="top"/>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left"/>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煤矿百万吨死亡率</w:t>
            </w:r>
          </w:p>
        </w:tc>
        <w:tc>
          <w:tcPr>
            <w:tcW w:w="1937" w:type="dxa"/>
            <w:tcBorders>
              <w:top w:val="single" w:color="auto" w:sz="4" w:space="0"/>
              <w:left w:val="single" w:color="auto" w:sz="4" w:space="0"/>
            </w:tcBorders>
            <w:noWrap w:val="0"/>
            <w:vAlign w:val="top"/>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center"/>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方正仿宋_GBK" w:cs="Times New Roman"/>
                <w:b w:val="0"/>
                <w:bCs w:val="0"/>
                <w:i w:val="0"/>
                <w:iCs w:val="0"/>
                <w:smallCaps w:val="0"/>
                <w:strike w:val="0"/>
                <w:color w:val="auto"/>
                <w:kern w:val="0"/>
                <w:sz w:val="24"/>
                <w:szCs w:val="24"/>
                <w:highlight w:val="none"/>
                <w:lang w:val="en-US" w:eastAsia="zh-CN"/>
              </w:rPr>
              <w:t>&lt;</w:t>
            </w: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0.</w:t>
            </w:r>
            <w:r>
              <w:rPr>
                <w:rStyle w:val="15"/>
                <w:rFonts w:hint="eastAsia" w:ascii="Times New Roman" w:hAnsi="Times New Roman" w:eastAsia="仿宋" w:cs="Times New Roman"/>
                <w:b w:val="0"/>
                <w:bCs w:val="0"/>
                <w:i w:val="0"/>
                <w:iCs w:val="0"/>
                <w:smallCaps w:val="0"/>
                <w:strike w:val="0"/>
                <w:color w:val="auto"/>
                <w:kern w:val="0"/>
                <w:sz w:val="24"/>
                <w:szCs w:val="24"/>
                <w:highlight w:val="none"/>
                <w:lang w:val="en-US" w:eastAsia="zh-CN"/>
              </w:rPr>
              <w:t>67</w:t>
            </w:r>
          </w:p>
        </w:tc>
        <w:tc>
          <w:tcPr>
            <w:tcW w:w="1223" w:type="dxa"/>
            <w:tcBorders>
              <w:top w:val="single" w:color="auto" w:sz="4" w:space="0"/>
              <w:left w:val="single" w:color="auto" w:sz="4" w:space="0"/>
              <w:right w:val="single" w:color="auto" w:sz="4" w:space="0"/>
            </w:tcBorders>
            <w:noWrap w:val="0"/>
            <w:vAlign w:val="top"/>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center"/>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预期性</w:t>
            </w:r>
          </w:p>
        </w:tc>
      </w:tr>
      <w:tr>
        <w:tblPrEx>
          <w:tblLayout w:type="fixed"/>
          <w:tblCellMar>
            <w:top w:w="0" w:type="dxa"/>
            <w:left w:w="10" w:type="dxa"/>
            <w:bottom w:w="0" w:type="dxa"/>
            <w:right w:w="10" w:type="dxa"/>
          </w:tblCellMar>
        </w:tblPrEx>
        <w:trPr>
          <w:trHeight w:val="652" w:hRule="exact"/>
          <w:jc w:val="center"/>
        </w:trPr>
        <w:tc>
          <w:tcPr>
            <w:tcW w:w="850" w:type="dxa"/>
            <w:tcBorders>
              <w:top w:val="single" w:color="auto" w:sz="4" w:space="0"/>
              <w:left w:val="single" w:color="auto" w:sz="4" w:space="0"/>
            </w:tcBorders>
            <w:noWrap w:val="0"/>
            <w:vAlign w:val="center"/>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center"/>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4</w:t>
            </w:r>
          </w:p>
        </w:tc>
        <w:tc>
          <w:tcPr>
            <w:tcW w:w="4857" w:type="dxa"/>
            <w:tcBorders>
              <w:top w:val="single" w:color="auto" w:sz="4" w:space="0"/>
              <w:left w:val="single" w:color="auto" w:sz="4" w:space="0"/>
            </w:tcBorders>
            <w:noWrap w:val="0"/>
            <w:vAlign w:val="top"/>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left"/>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年均每百万人口因灾死亡率</w:t>
            </w:r>
          </w:p>
        </w:tc>
        <w:tc>
          <w:tcPr>
            <w:tcW w:w="1937" w:type="dxa"/>
            <w:tcBorders>
              <w:top w:val="single" w:color="auto" w:sz="4" w:space="0"/>
              <w:left w:val="single" w:color="auto" w:sz="4" w:space="0"/>
            </w:tcBorders>
            <w:noWrap w:val="0"/>
            <w:vAlign w:val="top"/>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center"/>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方正仿宋_GBK" w:cs="Times New Roman"/>
                <w:b w:val="0"/>
                <w:bCs w:val="0"/>
                <w:i w:val="0"/>
                <w:iCs w:val="0"/>
                <w:smallCaps w:val="0"/>
                <w:strike w:val="0"/>
                <w:color w:val="auto"/>
                <w:kern w:val="0"/>
                <w:sz w:val="24"/>
                <w:szCs w:val="24"/>
                <w:highlight w:val="none"/>
                <w:lang w:val="en-US" w:eastAsia="zh-CN"/>
              </w:rPr>
              <w:t>&lt;</w:t>
            </w: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0.9</w:t>
            </w:r>
          </w:p>
        </w:tc>
        <w:tc>
          <w:tcPr>
            <w:tcW w:w="1223" w:type="dxa"/>
            <w:tcBorders>
              <w:top w:val="single" w:color="auto" w:sz="4" w:space="0"/>
              <w:left w:val="single" w:color="auto" w:sz="4" w:space="0"/>
              <w:right w:val="single" w:color="auto" w:sz="4" w:space="0"/>
            </w:tcBorders>
            <w:noWrap w:val="0"/>
            <w:vAlign w:val="top"/>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center"/>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预期性</w:t>
            </w:r>
          </w:p>
        </w:tc>
      </w:tr>
      <w:tr>
        <w:tblPrEx>
          <w:tblLayout w:type="fixed"/>
          <w:tblCellMar>
            <w:top w:w="0" w:type="dxa"/>
            <w:left w:w="10" w:type="dxa"/>
            <w:bottom w:w="0" w:type="dxa"/>
            <w:right w:w="10" w:type="dxa"/>
          </w:tblCellMar>
        </w:tblPrEx>
        <w:trPr>
          <w:trHeight w:val="652" w:hRule="exact"/>
          <w:jc w:val="center"/>
        </w:trPr>
        <w:tc>
          <w:tcPr>
            <w:tcW w:w="850" w:type="dxa"/>
            <w:tcBorders>
              <w:top w:val="single" w:color="auto" w:sz="4" w:space="0"/>
              <w:left w:val="single" w:color="auto" w:sz="4" w:space="0"/>
            </w:tcBorders>
            <w:noWrap w:val="0"/>
            <w:vAlign w:val="center"/>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center"/>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5</w:t>
            </w:r>
          </w:p>
        </w:tc>
        <w:tc>
          <w:tcPr>
            <w:tcW w:w="4857" w:type="dxa"/>
            <w:tcBorders>
              <w:top w:val="single" w:color="auto" w:sz="4" w:space="0"/>
              <w:left w:val="single" w:color="auto" w:sz="4" w:space="0"/>
            </w:tcBorders>
            <w:noWrap w:val="0"/>
            <w:vAlign w:val="top"/>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left"/>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平均每十万人受灾人次</w:t>
            </w:r>
          </w:p>
        </w:tc>
        <w:tc>
          <w:tcPr>
            <w:tcW w:w="1937" w:type="dxa"/>
            <w:tcBorders>
              <w:top w:val="single" w:color="auto" w:sz="4" w:space="0"/>
              <w:left w:val="single" w:color="auto" w:sz="4" w:space="0"/>
            </w:tcBorders>
            <w:noWrap w:val="0"/>
            <w:vAlign w:val="top"/>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center"/>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方正仿宋_GBK" w:cs="Times New Roman"/>
                <w:b w:val="0"/>
                <w:bCs w:val="0"/>
                <w:i w:val="0"/>
                <w:iCs w:val="0"/>
                <w:smallCaps w:val="0"/>
                <w:strike w:val="0"/>
                <w:color w:val="auto"/>
                <w:kern w:val="0"/>
                <w:sz w:val="24"/>
                <w:szCs w:val="24"/>
                <w:highlight w:val="none"/>
                <w:lang w:val="en-US" w:eastAsia="zh-CN"/>
              </w:rPr>
              <w:t>&lt;</w:t>
            </w: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5</w:t>
            </w:r>
            <w:r>
              <w:rPr>
                <w:rStyle w:val="15"/>
                <w:rFonts w:hint="eastAsia" w:ascii="Times New Roman" w:hAnsi="Times New Roman" w:eastAsia="仿宋" w:cs="Times New Roman"/>
                <w:b w:val="0"/>
                <w:bCs w:val="0"/>
                <w:i w:val="0"/>
                <w:iCs w:val="0"/>
                <w:smallCaps w:val="0"/>
                <w:strike w:val="0"/>
                <w:color w:val="auto"/>
                <w:kern w:val="0"/>
                <w:sz w:val="24"/>
                <w:szCs w:val="24"/>
                <w:highlight w:val="none"/>
                <w:lang w:val="en-US" w:eastAsia="zh-CN"/>
              </w:rPr>
              <w:t>0</w:t>
            </w: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00</w:t>
            </w:r>
          </w:p>
        </w:tc>
        <w:tc>
          <w:tcPr>
            <w:tcW w:w="1223" w:type="dxa"/>
            <w:tcBorders>
              <w:top w:val="single" w:color="auto" w:sz="4" w:space="0"/>
              <w:left w:val="single" w:color="auto" w:sz="4" w:space="0"/>
              <w:right w:val="single" w:color="auto" w:sz="4" w:space="0"/>
            </w:tcBorders>
            <w:noWrap w:val="0"/>
            <w:vAlign w:val="top"/>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center"/>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预期性</w:t>
            </w:r>
          </w:p>
        </w:tc>
      </w:tr>
      <w:tr>
        <w:tblPrEx>
          <w:tblLayout w:type="fixed"/>
          <w:tblCellMar>
            <w:top w:w="0" w:type="dxa"/>
            <w:left w:w="10" w:type="dxa"/>
            <w:bottom w:w="0" w:type="dxa"/>
            <w:right w:w="10" w:type="dxa"/>
          </w:tblCellMar>
        </w:tblPrEx>
        <w:trPr>
          <w:trHeight w:val="652" w:hRule="exact"/>
          <w:jc w:val="center"/>
        </w:trPr>
        <w:tc>
          <w:tcPr>
            <w:tcW w:w="850" w:type="dxa"/>
            <w:tcBorders>
              <w:top w:val="single" w:color="auto" w:sz="4" w:space="0"/>
              <w:left w:val="single" w:color="auto" w:sz="4" w:space="0"/>
              <w:bottom w:val="single" w:color="auto" w:sz="4" w:space="0"/>
            </w:tcBorders>
            <w:noWrap w:val="0"/>
            <w:vAlign w:val="center"/>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center"/>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6</w:t>
            </w:r>
          </w:p>
        </w:tc>
        <w:tc>
          <w:tcPr>
            <w:tcW w:w="4857" w:type="dxa"/>
            <w:tcBorders>
              <w:top w:val="single" w:color="auto" w:sz="4" w:space="0"/>
              <w:left w:val="single" w:color="auto" w:sz="4" w:space="0"/>
              <w:bottom w:val="single" w:color="auto" w:sz="4" w:space="0"/>
            </w:tcBorders>
            <w:noWrap w:val="0"/>
            <w:vAlign w:val="top"/>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left"/>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年均因灾直接经济损失占地区生产总值比例</w:t>
            </w:r>
          </w:p>
        </w:tc>
        <w:tc>
          <w:tcPr>
            <w:tcW w:w="1937" w:type="dxa"/>
            <w:tcBorders>
              <w:top w:val="single" w:color="auto" w:sz="4" w:space="0"/>
              <w:left w:val="single" w:color="auto" w:sz="4" w:space="0"/>
              <w:bottom w:val="single" w:color="auto" w:sz="4" w:space="0"/>
            </w:tcBorders>
            <w:noWrap w:val="0"/>
            <w:vAlign w:val="top"/>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center"/>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方正仿宋_GBK" w:cs="Times New Roman"/>
                <w:b w:val="0"/>
                <w:bCs w:val="0"/>
                <w:i w:val="0"/>
                <w:iCs w:val="0"/>
                <w:smallCaps w:val="0"/>
                <w:strike w:val="0"/>
                <w:color w:val="auto"/>
                <w:kern w:val="0"/>
                <w:sz w:val="24"/>
                <w:szCs w:val="24"/>
                <w:highlight w:val="none"/>
                <w:lang w:val="en-US" w:eastAsia="zh-CN"/>
              </w:rPr>
              <w:t>&lt;</w:t>
            </w: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0.8%</w:t>
            </w:r>
          </w:p>
        </w:tc>
        <w:tc>
          <w:tcPr>
            <w:tcW w:w="1223" w:type="dxa"/>
            <w:tcBorders>
              <w:top w:val="single" w:color="auto" w:sz="4" w:space="0"/>
              <w:left w:val="single" w:color="auto" w:sz="4" w:space="0"/>
              <w:bottom w:val="single" w:color="auto" w:sz="4" w:space="0"/>
              <w:right w:val="single" w:color="auto" w:sz="4" w:space="0"/>
            </w:tcBorders>
            <w:noWrap w:val="0"/>
            <w:vAlign w:val="top"/>
          </w:tcPr>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0"/>
              <w:jc w:val="center"/>
              <w:textAlignment w:val="auto"/>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pPr>
            <w:r>
              <w:rPr>
                <w:rStyle w:val="15"/>
                <w:rFonts w:hint="default" w:ascii="Times New Roman" w:hAnsi="Times New Roman" w:eastAsia="仿宋" w:cs="Times New Roman"/>
                <w:b w:val="0"/>
                <w:bCs w:val="0"/>
                <w:i w:val="0"/>
                <w:iCs w:val="0"/>
                <w:smallCaps w:val="0"/>
                <w:strike w:val="0"/>
                <w:color w:val="auto"/>
                <w:kern w:val="0"/>
                <w:sz w:val="24"/>
                <w:szCs w:val="24"/>
                <w:highlight w:val="none"/>
                <w:lang w:val="en-US" w:eastAsia="zh-CN"/>
              </w:rPr>
              <w:t>预期性</w:t>
            </w:r>
          </w:p>
        </w:tc>
      </w:tr>
    </w:tbl>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left"/>
        <w:textAlignment w:val="auto"/>
        <w:outlineLvl w:val="0"/>
        <w:rPr>
          <w:rFonts w:hint="default" w:ascii="Times New Roman" w:hAnsi="Times New Roman" w:eastAsia="黑体" w:cs="Times New Roman"/>
          <w:color w:val="auto"/>
          <w:spacing w:val="0"/>
          <w:w w:val="100"/>
          <w:kern w:val="2"/>
          <w:position w:val="0"/>
          <w:sz w:val="32"/>
          <w:szCs w:val="32"/>
          <w:highlight w:val="none"/>
          <w:lang w:val="en-US" w:eastAsia="zh-CN" w:bidi="ar-SA"/>
        </w:rPr>
      </w:pPr>
      <w:bookmarkStart w:id="16" w:name="_Toc2106"/>
      <w:bookmarkStart w:id="17" w:name="_Toc11873"/>
      <w:bookmarkStart w:id="18" w:name="_Toc31851"/>
      <w:bookmarkStart w:id="19" w:name="_Toc32732"/>
      <w:r>
        <w:rPr>
          <w:rFonts w:hint="default" w:ascii="Times New Roman" w:hAnsi="Times New Roman" w:eastAsia="黑体" w:cs="Times New Roman"/>
          <w:color w:val="auto"/>
          <w:spacing w:val="0"/>
          <w:w w:val="100"/>
          <w:kern w:val="2"/>
          <w:position w:val="0"/>
          <w:sz w:val="32"/>
          <w:szCs w:val="32"/>
          <w:highlight w:val="none"/>
          <w:lang w:val="en-US" w:eastAsia="zh-CN" w:bidi="ar-SA"/>
        </w:rPr>
        <w:t>二、主要任务</w:t>
      </w:r>
      <w:bookmarkEnd w:id="16"/>
      <w:bookmarkEnd w:id="17"/>
      <w:bookmarkEnd w:id="18"/>
      <w:bookmarkEnd w:id="19"/>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left"/>
        <w:textAlignment w:val="auto"/>
        <w:outlineLvl w:val="1"/>
        <w:rPr>
          <w:rFonts w:hint="default" w:ascii="Times New Roman" w:hAnsi="Times New Roman" w:eastAsia="方正楷体_GBK" w:cs="Times New Roman"/>
          <w:b/>
          <w:bCs/>
          <w:color w:val="auto"/>
          <w:spacing w:val="0"/>
          <w:w w:val="100"/>
          <w:kern w:val="2"/>
          <w:position w:val="0"/>
          <w:sz w:val="32"/>
          <w:szCs w:val="32"/>
          <w:highlight w:val="none"/>
          <w:lang w:val="en-US" w:eastAsia="zh-CN" w:bidi="ar-SA"/>
        </w:rPr>
      </w:pPr>
      <w:bookmarkStart w:id="20" w:name="_Toc4746"/>
      <w:bookmarkStart w:id="21" w:name="_Toc27624"/>
      <w:bookmarkStart w:id="22" w:name="_Toc2888"/>
      <w:bookmarkStart w:id="23" w:name="_Toc5168"/>
      <w:bookmarkStart w:id="24" w:name="_Toc17323"/>
      <w:bookmarkStart w:id="25" w:name="_Toc2065"/>
      <w:bookmarkStart w:id="26" w:name="OLE_LINK1"/>
      <w:r>
        <w:rPr>
          <w:rFonts w:hint="default" w:ascii="Times New Roman" w:hAnsi="Times New Roman" w:eastAsia="方正楷体_GBK" w:cs="Times New Roman"/>
          <w:b w:val="0"/>
          <w:bCs w:val="0"/>
          <w:color w:val="auto"/>
          <w:spacing w:val="0"/>
          <w:w w:val="100"/>
          <w:kern w:val="2"/>
          <w:position w:val="0"/>
          <w:sz w:val="32"/>
          <w:szCs w:val="32"/>
          <w:highlight w:val="none"/>
          <w:lang w:val="en-US" w:eastAsia="zh-CN" w:bidi="ar-SA"/>
        </w:rPr>
        <w:t>（一）</w:t>
      </w:r>
      <w:bookmarkEnd w:id="20"/>
      <w:bookmarkEnd w:id="21"/>
      <w:bookmarkStart w:id="27" w:name="_Toc7109"/>
      <w:bookmarkStart w:id="28" w:name="_Toc24979"/>
      <w:r>
        <w:rPr>
          <w:rFonts w:hint="default" w:ascii="Times New Roman" w:hAnsi="Times New Roman" w:eastAsia="方正楷体_GBK" w:cs="Times New Roman"/>
          <w:b w:val="0"/>
          <w:bCs w:val="0"/>
          <w:color w:val="auto"/>
          <w:spacing w:val="0"/>
          <w:w w:val="100"/>
          <w:kern w:val="2"/>
          <w:position w:val="0"/>
          <w:sz w:val="32"/>
          <w:szCs w:val="32"/>
          <w:highlight w:val="none"/>
          <w:lang w:val="en-US" w:eastAsia="zh-CN" w:bidi="ar-SA"/>
        </w:rPr>
        <w:t>完善风险防控体系，推动治理模式向事前预防转型</w:t>
      </w:r>
      <w:bookmarkEnd w:id="22"/>
      <w:bookmarkEnd w:id="23"/>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2"/>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pPr>
      <w:bookmarkStart w:id="29" w:name="_Toc16844"/>
      <w:bookmarkStart w:id="30" w:name="_Toc29135"/>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1.</w:t>
      </w:r>
      <w:r>
        <w:rPr>
          <w:rFonts w:hint="eastAsia" w:cs="Times New Roman"/>
          <w:b w:val="0"/>
          <w:bCs w:val="0"/>
          <w:color w:val="auto"/>
          <w:spacing w:val="0"/>
          <w:w w:val="100"/>
          <w:kern w:val="2"/>
          <w:position w:val="0"/>
          <w:sz w:val="32"/>
          <w:szCs w:val="32"/>
          <w:highlight w:val="none"/>
          <w:lang w:val="en-US" w:eastAsia="zh-CN" w:bidi="ar-SA"/>
        </w:rPr>
        <w:t xml:space="preserve"> </w:t>
      </w:r>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压实安全生产工作责任</w:t>
      </w:r>
      <w:bookmarkEnd w:id="29"/>
      <w:bookmarkEnd w:id="30"/>
    </w:p>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9"/>
        <w:rPr>
          <w:rFonts w:hint="eastAsia" w:ascii="方正仿宋_GBK" w:hAnsi="方正仿宋_GBK" w:eastAsia="方正仿宋_GBK" w:cs="方正仿宋_GBK"/>
          <w:b/>
          <w:bCs/>
          <w:i w:val="0"/>
          <w:iCs w:val="0"/>
          <w:caps w:val="0"/>
          <w:color w:val="auto"/>
          <w:spacing w:val="0"/>
          <w:w w:val="100"/>
          <w:kern w:val="0"/>
          <w:position w:val="0"/>
          <w:sz w:val="24"/>
          <w:szCs w:val="24"/>
          <w:highlight w:val="none"/>
          <w:u w:val="none"/>
          <w:shd w:val="clear" w:color="auto" w:fill="FFFFFF"/>
          <w:lang w:val="en-US" w:eastAsia="zh-CN"/>
        </w:rPr>
      </w:pPr>
      <w:r>
        <w:rPr>
          <w:rFonts w:hint="eastAsia" w:ascii="方正仿宋_GBK" w:hAnsi="方正仿宋_GBK" w:eastAsia="方正仿宋_GBK" w:cs="方正仿宋_GBK"/>
          <w:color w:val="auto"/>
          <w:spacing w:val="0"/>
          <w:w w:val="100"/>
          <w:kern w:val="2"/>
          <w:position w:val="0"/>
          <w:sz w:val="32"/>
          <w:szCs w:val="32"/>
          <w:highlight w:val="none"/>
          <w:u w:val="none"/>
          <w:lang w:val="zh-TW" w:eastAsia="zh-CN" w:bidi="ar-SA"/>
        </w:rPr>
        <w:t>严格落实《地方党政领导干部安全生产责任制规定》，坚持党政同责、“一岗双责”、失职追责，压实各级领导干部安全责任。健全市级月调度、季约谈工作机制，定期分析研判安全形势，对事故多发、工作滞后的区（县）和部门及时约谈提醒，推动责任落实。落实领导干部基层调研督导制度，聚焦</w:t>
      </w:r>
      <w:r>
        <w:rPr>
          <w:rFonts w:hint="eastAsia" w:ascii="方正仿宋_GBK" w:hAnsi="方正仿宋_GBK" w:eastAsia="方正仿宋_GBK" w:cs="方正仿宋_GBK"/>
          <w:strike w:val="0"/>
          <w:dstrike w:val="0"/>
          <w:color w:val="auto"/>
          <w:spacing w:val="0"/>
          <w:w w:val="100"/>
          <w:kern w:val="2"/>
          <w:position w:val="0"/>
          <w:sz w:val="32"/>
          <w:szCs w:val="32"/>
          <w:highlight w:val="none"/>
          <w:u w:val="none"/>
          <w:lang w:val="zh-TW" w:eastAsia="zh-CN" w:bidi="ar-SA"/>
        </w:rPr>
        <w:t>道路交通、建筑施工、消防、文化旅游、特种设备、城镇燃气、矿山、危险化学品、工贸</w:t>
      </w:r>
      <w:r>
        <w:rPr>
          <w:rFonts w:hint="eastAsia" w:ascii="方正仿宋_GBK" w:hAnsi="方正仿宋_GBK" w:eastAsia="方正仿宋_GBK" w:cs="方正仿宋_GBK"/>
          <w:color w:val="auto"/>
          <w:spacing w:val="0"/>
          <w:w w:val="100"/>
          <w:kern w:val="2"/>
          <w:position w:val="0"/>
          <w:sz w:val="32"/>
          <w:szCs w:val="32"/>
          <w:highlight w:val="none"/>
          <w:u w:val="none"/>
          <w:lang w:val="zh-TW" w:eastAsia="zh-CN" w:bidi="ar-SA"/>
        </w:rPr>
        <w:t>等重点行业领域，深入一线排查隐患、跟踪整改，建立问题台账，实行销号闭环管理。</w:t>
      </w:r>
    </w:p>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9"/>
        <w:rPr>
          <w:rFonts w:hint="eastAsia" w:ascii="方正仿宋_GBK" w:hAnsi="方正仿宋_GBK" w:eastAsia="方正仿宋_GBK" w:cs="方正仿宋_GBK"/>
          <w:b/>
          <w:bCs/>
          <w:i w:val="0"/>
          <w:iCs w:val="0"/>
          <w:caps w:val="0"/>
          <w:color w:val="auto"/>
          <w:spacing w:val="0"/>
          <w:w w:val="100"/>
          <w:kern w:val="0"/>
          <w:position w:val="0"/>
          <w:sz w:val="24"/>
          <w:szCs w:val="24"/>
          <w:highlight w:val="none"/>
          <w:u w:val="none"/>
          <w:shd w:val="clear" w:color="auto" w:fill="FFFFFF"/>
          <w:lang w:val="en-US" w:eastAsia="zh-CN"/>
        </w:rPr>
      </w:pPr>
      <w:r>
        <w:rPr>
          <w:rFonts w:hint="eastAsia" w:ascii="方正仿宋_GBK" w:hAnsi="方正仿宋_GBK" w:eastAsia="方正仿宋_GBK" w:cs="方正仿宋_GBK"/>
          <w:color w:val="auto"/>
          <w:spacing w:val="0"/>
          <w:w w:val="100"/>
          <w:kern w:val="2"/>
          <w:position w:val="0"/>
          <w:sz w:val="32"/>
          <w:szCs w:val="32"/>
          <w:highlight w:val="none"/>
          <w:u w:val="none"/>
          <w:lang w:val="zh-TW" w:eastAsia="zh-CN" w:bidi="ar-SA"/>
        </w:rPr>
        <w:t>厘清行业监管责任边界。系统梳理各领域监管职责，细化部门权责清单，把监管边界划清楚，解决职能交叉、多头管理、监管悬空等老问题。针对平台经济、低空经济、储能电站等新业态新领域，按照“谁主管谁牵头、谁为主谁牵头、谁靠近谁牵头”原则，明确牵头监管部门，填补监管空白。</w:t>
      </w:r>
    </w:p>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9"/>
        <w:rPr>
          <w:rFonts w:hint="eastAsia" w:ascii="方正仿宋_GBK" w:hAnsi="方正仿宋_GBK" w:eastAsia="方正仿宋_GBK" w:cs="方正仿宋_GBK"/>
          <w:b w:val="0"/>
          <w:bCs w:val="0"/>
          <w:i w:val="0"/>
          <w:iCs w:val="0"/>
          <w:caps w:val="0"/>
          <w:color w:val="auto"/>
          <w:spacing w:val="0"/>
          <w:w w:val="100"/>
          <w:kern w:val="0"/>
          <w:position w:val="0"/>
          <w:sz w:val="24"/>
          <w:szCs w:val="24"/>
          <w:highlight w:val="none"/>
          <w:u w:val="none"/>
          <w:shd w:val="clear" w:color="auto" w:fill="FFFFFF"/>
          <w:lang w:val="en-US" w:eastAsia="zh-CN"/>
        </w:rPr>
      </w:pPr>
      <w:r>
        <w:rPr>
          <w:rFonts w:hint="eastAsia" w:ascii="方正仿宋_GBK" w:hAnsi="方正仿宋_GBK" w:eastAsia="方正仿宋_GBK" w:cs="方正仿宋_GBK"/>
          <w:b w:val="0"/>
          <w:bCs w:val="0"/>
          <w:color w:val="auto"/>
          <w:spacing w:val="0"/>
          <w:w w:val="100"/>
          <w:kern w:val="2"/>
          <w:position w:val="0"/>
          <w:sz w:val="32"/>
          <w:szCs w:val="32"/>
          <w:highlight w:val="none"/>
          <w:u w:val="none"/>
          <w:lang w:val="en-US" w:eastAsia="zh-CN" w:bidi="ar-SA"/>
        </w:rPr>
        <w:t>推动企业主体责任落地。抓住企业法定代表人、实际控制人这一“关键少数”，将劳务派遣、临时用工等从业人员纳入企业安全统一管理，杜绝“外包即外责”。在高危行业依法推行“无监控不作业”，用技术手段管住现场违章。落实企业内部隐患报告奖励制度，充分调动一线从业人员主动上报隐患积极性，定期组织企业负责人安全培训，提升企业安全管理能力。</w:t>
      </w:r>
    </w:p>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9"/>
        <w:rPr>
          <w:rFonts w:hint="eastAsia" w:ascii="方正仿宋_GBK" w:hAnsi="方正仿宋_GBK" w:eastAsia="方正仿宋_GBK" w:cs="方正仿宋_GBK"/>
          <w:strike w:val="0"/>
          <w:color w:val="auto"/>
          <w:spacing w:val="0"/>
          <w:w w:val="100"/>
          <w:kern w:val="2"/>
          <w:position w:val="0"/>
          <w:sz w:val="32"/>
          <w:szCs w:val="32"/>
          <w:highlight w:val="none"/>
          <w:u w:val="none"/>
          <w:lang w:val="en-US" w:eastAsia="zh-CN" w:bidi="ar-SA"/>
        </w:rPr>
      </w:pPr>
      <w:r>
        <w:rPr>
          <w:rFonts w:hint="eastAsia" w:ascii="方正仿宋_GBK" w:hAnsi="方正仿宋_GBK" w:eastAsia="方正仿宋_GBK" w:cs="方正仿宋_GBK"/>
          <w:color w:val="auto"/>
          <w:spacing w:val="0"/>
          <w:w w:val="100"/>
          <w:kern w:val="2"/>
          <w:position w:val="0"/>
          <w:sz w:val="32"/>
          <w:szCs w:val="32"/>
          <w:highlight w:val="none"/>
          <w:u w:val="none"/>
          <w:lang w:val="en-US" w:eastAsia="zh-CN" w:bidi="ar-SA"/>
        </w:rPr>
        <w:t>强化督查检查考核。</w:t>
      </w:r>
      <w:r>
        <w:rPr>
          <w:rFonts w:hint="eastAsia" w:ascii="方正仿宋_GBK" w:hAnsi="方正仿宋_GBK" w:eastAsia="方正仿宋_GBK" w:cs="方正仿宋_GBK"/>
          <w:b w:val="0"/>
          <w:bCs w:val="0"/>
          <w:color w:val="auto"/>
          <w:spacing w:val="0"/>
          <w:w w:val="100"/>
          <w:kern w:val="2"/>
          <w:position w:val="0"/>
          <w:sz w:val="32"/>
          <w:szCs w:val="32"/>
          <w:highlight w:val="none"/>
          <w:u w:val="none"/>
          <w:lang w:val="en-US" w:eastAsia="zh-CN" w:bidi="ar-SA"/>
        </w:rPr>
        <w:t>把考核巡查作为压实安全履职责任的重要抓手，督促各级干部筑牢底线思维与红线意识</w:t>
      </w:r>
      <w:r>
        <w:rPr>
          <w:rFonts w:hint="eastAsia" w:ascii="方正仿宋_GBK" w:hAnsi="方正仿宋_GBK" w:eastAsia="方正仿宋_GBK" w:cs="方正仿宋_GBK"/>
          <w:color w:val="auto"/>
          <w:spacing w:val="0"/>
          <w:w w:val="100"/>
          <w:kern w:val="2"/>
          <w:position w:val="0"/>
          <w:sz w:val="32"/>
          <w:szCs w:val="32"/>
          <w:highlight w:val="none"/>
          <w:u w:val="none"/>
          <w:lang w:val="en-US" w:eastAsia="zh-CN" w:bidi="ar-SA"/>
        </w:rPr>
        <w:t>，用</w:t>
      </w:r>
      <w:r>
        <w:rPr>
          <w:rFonts w:hint="eastAsia" w:ascii="方正仿宋_GBK" w:hAnsi="方正仿宋_GBK" w:eastAsia="方正仿宋_GBK" w:cs="方正仿宋_GBK"/>
          <w:b w:val="0"/>
          <w:bCs w:val="0"/>
          <w:color w:val="auto"/>
          <w:spacing w:val="0"/>
          <w:w w:val="100"/>
          <w:kern w:val="2"/>
          <w:position w:val="0"/>
          <w:sz w:val="32"/>
          <w:szCs w:val="32"/>
          <w:highlight w:val="none"/>
          <w:u w:val="none"/>
          <w:lang w:val="en-US" w:eastAsia="zh-CN" w:bidi="ar-SA"/>
        </w:rPr>
        <w:t>考核巡查</w:t>
      </w:r>
      <w:r>
        <w:rPr>
          <w:rFonts w:hint="eastAsia" w:ascii="方正仿宋_GBK" w:hAnsi="方正仿宋_GBK" w:eastAsia="方正仿宋_GBK" w:cs="方正仿宋_GBK"/>
          <w:color w:val="auto"/>
          <w:spacing w:val="0"/>
          <w:w w:val="100"/>
          <w:kern w:val="2"/>
          <w:position w:val="0"/>
          <w:sz w:val="32"/>
          <w:szCs w:val="32"/>
          <w:highlight w:val="none"/>
          <w:u w:val="none"/>
          <w:lang w:val="en-US" w:eastAsia="zh-CN" w:bidi="ar-SA"/>
        </w:rPr>
        <w:t>倒逼各级干部守住安全底线。完善重大事项闭环督办机制，对上级明察暗访、督导检查反馈的问题，逐项建台账、定责任、限时限，</w:t>
      </w:r>
      <w:r>
        <w:rPr>
          <w:rFonts w:hint="eastAsia" w:ascii="方正仿宋_GBK" w:hAnsi="方正仿宋_GBK" w:eastAsia="方正仿宋_GBK" w:cs="方正仿宋_GBK"/>
          <w:strike w:val="0"/>
          <w:dstrike w:val="0"/>
          <w:color w:val="auto"/>
          <w:spacing w:val="0"/>
          <w:w w:val="100"/>
          <w:kern w:val="2"/>
          <w:position w:val="0"/>
          <w:sz w:val="32"/>
          <w:szCs w:val="32"/>
          <w:highlight w:val="none"/>
          <w:u w:val="none"/>
          <w:lang w:val="en-US" w:eastAsia="zh-CN" w:bidi="ar-SA"/>
        </w:rPr>
        <w:t>确保各类安全隐患整改到位，全部隐患清零销号</w:t>
      </w:r>
      <w:r>
        <w:rPr>
          <w:rFonts w:hint="eastAsia" w:ascii="方正仿宋_GBK" w:hAnsi="方正仿宋_GBK" w:eastAsia="方正仿宋_GBK" w:cs="方正仿宋_GBK"/>
          <w:strike w:val="0"/>
          <w:color w:val="auto"/>
          <w:spacing w:val="0"/>
          <w:w w:val="100"/>
          <w:kern w:val="2"/>
          <w:position w:val="0"/>
          <w:sz w:val="32"/>
          <w:szCs w:val="32"/>
          <w:highlight w:val="none"/>
          <w:u w:val="none"/>
          <w:lang w:val="en-US" w:eastAsia="zh-CN" w:bidi="ar-SA"/>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2"/>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pPr>
      <w:bookmarkStart w:id="31" w:name="_Toc21327"/>
      <w:bookmarkStart w:id="32" w:name="_Toc20686"/>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2.</w:t>
      </w:r>
      <w:r>
        <w:rPr>
          <w:rFonts w:hint="eastAsia" w:cs="Times New Roman"/>
          <w:b w:val="0"/>
          <w:bCs w:val="0"/>
          <w:color w:val="auto"/>
          <w:spacing w:val="0"/>
          <w:w w:val="100"/>
          <w:kern w:val="2"/>
          <w:position w:val="0"/>
          <w:sz w:val="32"/>
          <w:szCs w:val="32"/>
          <w:highlight w:val="none"/>
          <w:lang w:val="en-US" w:eastAsia="zh-CN" w:bidi="ar-SA"/>
        </w:rPr>
        <w:t xml:space="preserve"> </w:t>
      </w:r>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强化安全监管依法治理</w:t>
      </w:r>
      <w:bookmarkEnd w:id="31"/>
      <w:bookmarkEnd w:id="32"/>
    </w:p>
    <w:p>
      <w:pPr>
        <w:keepNext w:val="0"/>
        <w:keepLines w:val="0"/>
        <w:pageBreakBefore w:val="0"/>
        <w:widowControl w:val="0"/>
        <w:shd w:val="clear" w:color="auto" w:fill="auto"/>
        <w:kinsoku/>
        <w:wordWrap/>
        <w:overflowPunct w:val="0"/>
        <w:topLinePunct w:val="0"/>
        <w:autoSpaceDE/>
        <w:autoSpaceDN/>
        <w:bidi w:val="0"/>
        <w:adjustRightInd/>
        <w:snapToGrid/>
        <w:spacing w:before="0" w:after="0" w:line="560" w:lineRule="exact"/>
        <w:ind w:left="0" w:leftChars="0" w:right="0" w:firstLine="640" w:firstLineChars="200"/>
        <w:jc w:val="left"/>
        <w:textAlignment w:val="auto"/>
        <w:rPr>
          <w:rFonts w:hint="eastAsia" w:ascii="Times New Roman" w:hAnsi="Times New Roman" w:eastAsia="方正仿宋_GBK" w:cs="方正仿宋_GBK"/>
          <w:b/>
          <w:bCs/>
          <w:i w:val="0"/>
          <w:iCs w:val="0"/>
          <w:caps w:val="0"/>
          <w:color w:val="auto"/>
          <w:spacing w:val="0"/>
          <w:w w:val="100"/>
          <w:kern w:val="0"/>
          <w:position w:val="0"/>
          <w:sz w:val="24"/>
          <w:szCs w:val="24"/>
          <w:highlight w:val="none"/>
          <w:u w:val="none"/>
          <w:shd w:val="clear" w:color="auto" w:fill="FFFFFF"/>
          <w:lang w:val="en-US" w:eastAsia="zh-CN"/>
        </w:rPr>
      </w:pPr>
      <w:r>
        <w:rPr>
          <w:rFonts w:hint="eastAsia" w:ascii="Times New Roman" w:hAnsi="Times New Roman" w:eastAsia="方正仿宋_GBK" w:cs="方正仿宋_GBK"/>
          <w:color w:val="auto"/>
          <w:spacing w:val="0"/>
          <w:w w:val="100"/>
          <w:kern w:val="2"/>
          <w:position w:val="0"/>
          <w:sz w:val="32"/>
          <w:szCs w:val="32"/>
          <w:highlight w:val="none"/>
          <w:u w:val="none"/>
          <w:lang w:val="en-US" w:eastAsia="zh-CN" w:bidi="ar-SA"/>
        </w:rPr>
        <w:t>健全法规制度体系。围绕</w:t>
      </w:r>
      <w:r>
        <w:rPr>
          <w:rFonts w:hint="eastAsia" w:ascii="Times New Roman" w:hAnsi="Times New Roman" w:eastAsia="方正仿宋_GBK" w:cs="方正仿宋_GBK"/>
          <w:color w:val="auto"/>
          <w:spacing w:val="0"/>
          <w:w w:val="100"/>
          <w:kern w:val="2"/>
          <w:position w:val="0"/>
          <w:sz w:val="32"/>
          <w:szCs w:val="32"/>
          <w:highlight w:val="none"/>
          <w:u w:val="none"/>
          <w:lang w:val="zh-TW" w:eastAsia="zh-CN" w:bidi="ar-SA"/>
        </w:rPr>
        <w:t>道路交通、建筑施工、消防、文化旅游、特种设备、城镇燃气、矿山、危险化学品、工贸等重点领域</w:t>
      </w:r>
      <w:r>
        <w:rPr>
          <w:rFonts w:hint="eastAsia" w:ascii="Times New Roman" w:hAnsi="Times New Roman" w:eastAsia="方正仿宋_GBK" w:cs="方正仿宋_GBK"/>
          <w:color w:val="auto"/>
          <w:spacing w:val="0"/>
          <w:w w:val="100"/>
          <w:kern w:val="2"/>
          <w:position w:val="0"/>
          <w:sz w:val="32"/>
          <w:szCs w:val="32"/>
          <w:highlight w:val="none"/>
          <w:u w:val="none"/>
          <w:lang w:val="en-US" w:eastAsia="zh-CN" w:bidi="ar-SA"/>
        </w:rPr>
        <w:t>实际</w:t>
      </w:r>
      <w:bookmarkStart w:id="33" w:name="OLE_LINK2"/>
      <w:r>
        <w:rPr>
          <w:rFonts w:hint="eastAsia" w:ascii="Times New Roman" w:hAnsi="Times New Roman" w:eastAsia="方正仿宋_GBK" w:cs="方正仿宋_GBK"/>
          <w:color w:val="auto"/>
          <w:spacing w:val="0"/>
          <w:w w:val="100"/>
          <w:kern w:val="2"/>
          <w:position w:val="0"/>
          <w:sz w:val="32"/>
          <w:szCs w:val="32"/>
          <w:highlight w:val="none"/>
          <w:u w:val="none"/>
          <w:lang w:val="en-US" w:eastAsia="zh-CN" w:bidi="ar-SA"/>
        </w:rPr>
        <w:t>，健全完善隐患排查治理、重大隐患挂牌督办、责任追究、重大隐患动态清零等制度文件，</w:t>
      </w:r>
      <w:r>
        <w:rPr>
          <w:rFonts w:hint="eastAsia" w:ascii="Times New Roman" w:hAnsi="Times New Roman" w:eastAsia="方正仿宋_GBK" w:cs="方正仿宋_GBK"/>
          <w:strike w:val="0"/>
          <w:dstrike w:val="0"/>
          <w:color w:val="auto"/>
          <w:spacing w:val="0"/>
          <w:w w:val="100"/>
          <w:kern w:val="2"/>
          <w:position w:val="0"/>
          <w:sz w:val="32"/>
          <w:szCs w:val="32"/>
          <w:highlight w:val="none"/>
          <w:u w:val="none"/>
          <w:lang w:val="en-US" w:eastAsia="zh-CN" w:bidi="ar-SA"/>
        </w:rPr>
        <w:t>补齐制度空白，</w:t>
      </w:r>
      <w:r>
        <w:rPr>
          <w:rFonts w:hint="eastAsia" w:ascii="Times New Roman" w:hAnsi="Times New Roman" w:eastAsia="方正仿宋_GBK" w:cs="方正仿宋_GBK"/>
          <w:color w:val="auto"/>
          <w:spacing w:val="0"/>
          <w:w w:val="100"/>
          <w:kern w:val="2"/>
          <w:position w:val="0"/>
          <w:sz w:val="32"/>
          <w:szCs w:val="32"/>
          <w:highlight w:val="none"/>
          <w:u w:val="none"/>
          <w:lang w:val="en-US" w:eastAsia="zh-CN" w:bidi="ar-SA"/>
        </w:rPr>
        <w:t>强化薄弱领域建设。</w:t>
      </w:r>
      <w:bookmarkEnd w:id="33"/>
      <w:r>
        <w:rPr>
          <w:rFonts w:hint="eastAsia" w:ascii="Times New Roman" w:hAnsi="Times New Roman" w:eastAsia="方正仿宋_GBK" w:cs="方正仿宋_GBK"/>
          <w:color w:val="auto"/>
          <w:spacing w:val="0"/>
          <w:w w:val="100"/>
          <w:kern w:val="2"/>
          <w:position w:val="0"/>
          <w:sz w:val="32"/>
          <w:szCs w:val="32"/>
          <w:highlight w:val="none"/>
          <w:u w:val="none"/>
          <w:lang w:val="en-US" w:eastAsia="zh-CN" w:bidi="ar-SA"/>
        </w:rPr>
        <w:t>同步把成熟管用的技术成果、操作规范及时上升为地方标准，建立标准动态更新机制，防止标准制定与现场执行“两张皮”。</w:t>
      </w:r>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9"/>
        <w:rPr>
          <w:rFonts w:hint="eastAsia" w:ascii="Times New Roman" w:hAnsi="Times New Roman" w:eastAsia="方正仿宋_GBK" w:cs="方正仿宋_GBK"/>
          <w:b/>
          <w:bCs/>
          <w:i w:val="0"/>
          <w:iCs w:val="0"/>
          <w:caps w:val="0"/>
          <w:color w:val="auto"/>
          <w:spacing w:val="0"/>
          <w:w w:val="100"/>
          <w:kern w:val="0"/>
          <w:position w:val="0"/>
          <w:sz w:val="24"/>
          <w:szCs w:val="24"/>
          <w:highlight w:val="none"/>
          <w:u w:val="none"/>
          <w:shd w:val="clear" w:color="auto" w:fill="FFFFFF"/>
          <w:lang w:val="en-US" w:eastAsia="zh-CN"/>
        </w:rPr>
      </w:pPr>
      <w:r>
        <w:rPr>
          <w:rFonts w:hint="eastAsia" w:ascii="Times New Roman" w:hAnsi="Times New Roman" w:eastAsia="方正仿宋_GBK" w:cs="方正仿宋_GBK"/>
          <w:color w:val="auto"/>
          <w:spacing w:val="0"/>
          <w:w w:val="100"/>
          <w:kern w:val="2"/>
          <w:position w:val="0"/>
          <w:sz w:val="32"/>
          <w:szCs w:val="32"/>
          <w:highlight w:val="none"/>
          <w:u w:val="none"/>
          <w:lang w:val="en-US" w:eastAsia="zh-CN" w:bidi="ar-SA"/>
        </w:rPr>
        <w:t>规范安全生产监管执法。科学编制年度执法计划，实施分类分级执法，持续依法推行“综合查一次”和“扫码入企”</w:t>
      </w:r>
      <w:bookmarkStart w:id="34" w:name="OLE_LINK5"/>
      <w:r>
        <w:rPr>
          <w:rFonts w:hint="eastAsia" w:ascii="Times New Roman" w:hAnsi="Times New Roman" w:eastAsia="方正仿宋_GBK" w:cs="方正仿宋_GBK"/>
          <w:color w:val="auto"/>
          <w:spacing w:val="0"/>
          <w:w w:val="100"/>
          <w:kern w:val="2"/>
          <w:position w:val="0"/>
          <w:sz w:val="32"/>
          <w:szCs w:val="32"/>
          <w:highlight w:val="none"/>
          <w:u w:val="none"/>
          <w:lang w:val="en-US" w:eastAsia="zh-CN" w:bidi="ar-SA"/>
        </w:rPr>
        <w:t>。深化应急安“E”达及AI辅助监管系统应用</w:t>
      </w:r>
      <w:bookmarkEnd w:id="34"/>
      <w:r>
        <w:rPr>
          <w:rFonts w:hint="eastAsia" w:ascii="Times New Roman" w:hAnsi="Times New Roman" w:eastAsia="方正仿宋_GBK" w:cs="方正仿宋_GBK"/>
          <w:color w:val="auto"/>
          <w:spacing w:val="0"/>
          <w:w w:val="100"/>
          <w:kern w:val="2"/>
          <w:position w:val="0"/>
          <w:sz w:val="32"/>
          <w:szCs w:val="32"/>
          <w:highlight w:val="none"/>
          <w:u w:val="none"/>
          <w:lang w:val="en-US" w:eastAsia="zh-CN" w:bidi="ar-SA"/>
        </w:rPr>
        <w:t>，畅通举报渠道，落实举报奖励，常态化暗访曝光典型隐患。配强市、县两级执法队伍装备，加强实战练兵，提升一线执法人员专业能力。</w:t>
      </w:r>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9"/>
        <w:rPr>
          <w:rFonts w:hint="eastAsia" w:ascii="Times New Roman" w:hAnsi="Times New Roman" w:eastAsia="方正仿宋_GBK" w:cs="方正仿宋_GBK"/>
          <w:color w:val="000000"/>
          <w:spacing w:val="0"/>
          <w:w w:val="100"/>
          <w:kern w:val="0"/>
          <w:position w:val="0"/>
          <w:sz w:val="24"/>
          <w:szCs w:val="24"/>
          <w:highlight w:val="none"/>
          <w:lang w:val="en-US" w:eastAsia="zh-CN"/>
        </w:rPr>
      </w:pPr>
      <w:r>
        <w:rPr>
          <w:rFonts w:hint="eastAsia" w:ascii="Times New Roman" w:hAnsi="Times New Roman" w:eastAsia="方正仿宋_GBK" w:cs="方正仿宋_GBK"/>
          <w:color w:val="auto"/>
          <w:spacing w:val="0"/>
          <w:w w:val="100"/>
          <w:kern w:val="2"/>
          <w:position w:val="0"/>
          <w:sz w:val="32"/>
          <w:szCs w:val="32"/>
          <w:highlight w:val="none"/>
          <w:u w:val="none"/>
          <w:lang w:val="en-US" w:eastAsia="zh-CN" w:bidi="ar-SA"/>
        </w:rPr>
        <w:t>严肃事故查处和责任追究。严格落实“四不放过”工作原则，全面深挖事故根源、精准界定各方责任、深刻汲取事故警示教训。严格执行事故信息“30分钟电话报告、1小时内书面报告”，对瞒报、谎报行为严肃追责问责。落实《乌鲁木齐市生产安全、自然灾害暨衍生事故复盘工作机制》，找准管理漏洞和制度缺陷，举一反三抓好整改，对发生事故的区（县）和部门，及时召开事故警示教育会，堵塞管理漏洞。</w:t>
      </w:r>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2"/>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pPr>
      <w:bookmarkStart w:id="35" w:name="_Toc788"/>
      <w:bookmarkStart w:id="36" w:name="_Toc32116"/>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3</w:t>
      </w:r>
      <w:r>
        <w:rPr>
          <w:rFonts w:hint="default" w:ascii="Times New Roman" w:hAnsi="Times New Roman" w:eastAsia="方正仿宋_GBK" w:cs="Times New Roman"/>
          <w:b w:val="0"/>
          <w:bCs w:val="0"/>
          <w:color w:val="000000"/>
          <w:spacing w:val="0"/>
          <w:w w:val="100"/>
          <w:kern w:val="2"/>
          <w:position w:val="0"/>
          <w:sz w:val="32"/>
          <w:szCs w:val="32"/>
          <w:highlight w:val="none"/>
          <w:lang w:val="en-US" w:eastAsia="zh-CN" w:bidi="ar-SA"/>
        </w:rPr>
        <w:t>.</w:t>
      </w:r>
      <w:r>
        <w:rPr>
          <w:rFonts w:hint="eastAsia" w:cs="Times New Roman"/>
          <w:b w:val="0"/>
          <w:bCs w:val="0"/>
          <w:color w:val="000000"/>
          <w:spacing w:val="0"/>
          <w:w w:val="100"/>
          <w:kern w:val="2"/>
          <w:position w:val="0"/>
          <w:sz w:val="32"/>
          <w:szCs w:val="32"/>
          <w:highlight w:val="none"/>
          <w:lang w:val="en-US" w:eastAsia="zh-CN" w:bidi="ar-SA"/>
        </w:rPr>
        <w:t xml:space="preserve"> </w:t>
      </w:r>
      <w:r>
        <w:rPr>
          <w:rFonts w:hint="default" w:ascii="Times New Roman" w:hAnsi="Times New Roman" w:eastAsia="方正仿宋_GBK" w:cs="Times New Roman"/>
          <w:b w:val="0"/>
          <w:bCs w:val="0"/>
          <w:color w:val="000000"/>
          <w:spacing w:val="0"/>
          <w:w w:val="100"/>
          <w:kern w:val="2"/>
          <w:position w:val="0"/>
          <w:sz w:val="32"/>
          <w:szCs w:val="32"/>
          <w:highlight w:val="none"/>
          <w:lang w:val="en-US" w:eastAsia="zh-CN" w:bidi="ar-SA"/>
        </w:rPr>
        <w:t>强化安全风险预警防控</w:t>
      </w:r>
      <w:bookmarkEnd w:id="35"/>
      <w:bookmarkEnd w:id="36"/>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9"/>
        <w:rPr>
          <w:rFonts w:hint="eastAsia" w:ascii="方正仿宋_GBK" w:hAnsi="方正仿宋_GBK" w:eastAsia="方正仿宋_GBK" w:cs="方正仿宋_GBK"/>
          <w:b/>
          <w:bCs/>
          <w:i w:val="0"/>
          <w:iCs w:val="0"/>
          <w:caps w:val="0"/>
          <w:color w:val="auto"/>
          <w:spacing w:val="0"/>
          <w:w w:val="100"/>
          <w:kern w:val="0"/>
          <w:position w:val="0"/>
          <w:sz w:val="24"/>
          <w:szCs w:val="24"/>
          <w:highlight w:val="none"/>
          <w:u w:val="none"/>
          <w:shd w:val="clear" w:color="auto" w:fill="FFFFFF"/>
          <w:lang w:val="en-US" w:eastAsia="zh-CN"/>
        </w:rPr>
      </w:pPr>
      <w:r>
        <w:rPr>
          <w:rFonts w:hint="eastAsia" w:ascii="方正仿宋_GBK" w:hAnsi="方正仿宋_GBK" w:eastAsia="方正仿宋_GBK" w:cs="方正仿宋_GBK"/>
          <w:color w:val="auto"/>
          <w:spacing w:val="0"/>
          <w:w w:val="100"/>
          <w:kern w:val="2"/>
          <w:position w:val="0"/>
          <w:sz w:val="32"/>
          <w:szCs w:val="32"/>
          <w:highlight w:val="none"/>
          <w:u w:val="none"/>
          <w:lang w:val="en-US" w:eastAsia="zh-CN" w:bidi="ar-SA"/>
        </w:rPr>
        <w:t>严格安全生产准入管理。把牢项目准入关口，从源头减少风险增量，健全高危行业建设项目评估会商机制，对新建、改扩建项目严格落实安全设施“三同时”要求。对照《产业结构调整指导目录》和</w:t>
      </w:r>
      <w:r>
        <w:rPr>
          <w:rFonts w:hint="eastAsia" w:ascii="方正仿宋_GBK" w:hAnsi="方正仿宋_GBK" w:eastAsia="方正仿宋_GBK" w:cs="方正仿宋_GBK"/>
          <w:strike w:val="0"/>
          <w:dstrike w:val="0"/>
          <w:color w:val="auto"/>
          <w:spacing w:val="0"/>
          <w:w w:val="100"/>
          <w:kern w:val="2"/>
          <w:position w:val="0"/>
          <w:sz w:val="32"/>
          <w:szCs w:val="32"/>
          <w:highlight w:val="none"/>
          <w:u w:val="none"/>
          <w:lang w:val="zh-TW" w:eastAsia="zh-CN" w:bidi="ar-SA"/>
        </w:rPr>
        <w:t>道路交通、建筑施工、消防、文化旅游、特种设备、城镇燃气、矿山、危险化学品、工贸等行业重点领域</w:t>
      </w:r>
      <w:r>
        <w:rPr>
          <w:rFonts w:hint="eastAsia" w:ascii="方正仿宋_GBK" w:hAnsi="方正仿宋_GBK" w:eastAsia="方正仿宋_GBK" w:cs="方正仿宋_GBK"/>
          <w:color w:val="auto"/>
          <w:spacing w:val="0"/>
          <w:w w:val="100"/>
          <w:kern w:val="2"/>
          <w:position w:val="0"/>
          <w:sz w:val="32"/>
          <w:szCs w:val="32"/>
          <w:highlight w:val="none"/>
          <w:u w:val="none"/>
          <w:lang w:val="en-US" w:eastAsia="zh-CN" w:bidi="ar-SA"/>
        </w:rPr>
        <w:t>“禁限控”目录，严格审批</w:t>
      </w:r>
      <w:r>
        <w:rPr>
          <w:rFonts w:hint="eastAsia" w:ascii="方正仿宋_GBK" w:hAnsi="方正仿宋_GBK" w:eastAsia="方正仿宋_GBK" w:cs="方正仿宋_GBK"/>
          <w:strike w:val="0"/>
          <w:dstrike w:val="0"/>
          <w:color w:val="auto"/>
          <w:spacing w:val="0"/>
          <w:w w:val="100"/>
          <w:kern w:val="2"/>
          <w:position w:val="0"/>
          <w:sz w:val="32"/>
          <w:szCs w:val="32"/>
          <w:highlight w:val="none"/>
          <w:u w:val="none"/>
          <w:lang w:val="en-US" w:eastAsia="zh-CN" w:bidi="ar-SA"/>
        </w:rPr>
        <w:t>高危行业</w:t>
      </w:r>
      <w:r>
        <w:rPr>
          <w:rFonts w:hint="eastAsia" w:ascii="方正仿宋_GBK" w:hAnsi="方正仿宋_GBK" w:eastAsia="方正仿宋_GBK" w:cs="方正仿宋_GBK"/>
          <w:color w:val="auto"/>
          <w:spacing w:val="0"/>
          <w:w w:val="100"/>
          <w:kern w:val="2"/>
          <w:position w:val="0"/>
          <w:sz w:val="32"/>
          <w:szCs w:val="32"/>
          <w:highlight w:val="none"/>
          <w:u w:val="none"/>
          <w:lang w:val="en-US" w:eastAsia="zh-CN" w:bidi="ar-SA"/>
        </w:rPr>
        <w:t>建设项目。加快淘汰石油化工领域落后工艺和设备，对重大风险隐患无法整改的企业，依法依规实施关停或搬迁转产。同步推进重点行业领域安全风险监测预警系统建设和升级，逐步构建覆盖全市的风险综合监测预警网络。落实高危行业企业安全生产责任保险应保尽保，严厉打击资格证书造假等违法行为，规范考试点建设和管理。</w:t>
      </w:r>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9"/>
        <w:rPr>
          <w:rFonts w:hint="default" w:ascii="Times New Roman" w:hAnsi="Times New Roman" w:eastAsia="方正仿宋_GBK" w:cs="Times New Roman"/>
          <w:strike w:val="0"/>
          <w:dstrike w:val="0"/>
          <w:color w:val="auto"/>
          <w:spacing w:val="0"/>
          <w:w w:val="100"/>
          <w:kern w:val="2"/>
          <w:position w:val="0"/>
          <w:sz w:val="32"/>
          <w:szCs w:val="32"/>
          <w:highlight w:val="none"/>
          <w:u w:val="none"/>
          <w:lang w:val="en-US" w:eastAsia="zh-CN" w:bidi="ar-SA"/>
        </w:rPr>
      </w:pPr>
      <w:r>
        <w:rPr>
          <w:rFonts w:hint="default" w:ascii="Times New Roman" w:hAnsi="Times New Roman" w:eastAsia="方正仿宋_GBK" w:cs="Times New Roman"/>
          <w:strike w:val="0"/>
          <w:dstrike w:val="0"/>
          <w:color w:val="auto"/>
          <w:spacing w:val="0"/>
          <w:w w:val="100"/>
          <w:kern w:val="2"/>
          <w:position w:val="0"/>
          <w:sz w:val="32"/>
          <w:szCs w:val="32"/>
          <w:highlight w:val="none"/>
          <w:u w:val="none"/>
          <w:lang w:val="en-US" w:eastAsia="zh-CN" w:bidi="ar-SA"/>
        </w:rPr>
        <w:t>强化风险分级管控。完善</w:t>
      </w:r>
      <w:r>
        <w:rPr>
          <w:rFonts w:hint="default" w:ascii="Times New Roman" w:hAnsi="Times New Roman" w:eastAsia="方正仿宋_GBK" w:cs="Times New Roman"/>
          <w:strike w:val="0"/>
          <w:dstrike w:val="0"/>
          <w:color w:val="auto"/>
          <w:spacing w:val="0"/>
          <w:w w:val="100"/>
          <w:kern w:val="2"/>
          <w:position w:val="0"/>
          <w:sz w:val="32"/>
          <w:szCs w:val="32"/>
          <w:highlight w:val="none"/>
          <w:u w:val="none"/>
          <w:lang w:val="zh-TW" w:eastAsia="zh-CN" w:bidi="ar-SA"/>
        </w:rPr>
        <w:t>道路交通、建筑施工、消防、文化旅游、特种设备、城镇燃气、矿山、危险化学品、工贸等重点行业领域</w:t>
      </w:r>
      <w:r>
        <w:rPr>
          <w:rFonts w:hint="default" w:ascii="Times New Roman" w:hAnsi="Times New Roman" w:eastAsia="方正仿宋_GBK" w:cs="Times New Roman"/>
          <w:strike w:val="0"/>
          <w:dstrike w:val="0"/>
          <w:color w:val="auto"/>
          <w:spacing w:val="0"/>
          <w:w w:val="100"/>
          <w:kern w:val="2"/>
          <w:position w:val="0"/>
          <w:sz w:val="32"/>
          <w:szCs w:val="32"/>
          <w:highlight w:val="none"/>
          <w:u w:val="none"/>
          <w:lang w:val="en-US" w:eastAsia="zh-CN" w:bidi="ar-SA"/>
        </w:rPr>
        <w:t>企业安全风险管控体系，把双重预防机制纳入企业日常管理，确保管理体系实质化运行，紧盯新工艺、新材料、新业态带来的增量风险。</w:t>
      </w:r>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9"/>
        <w:rPr>
          <w:rFonts w:hint="eastAsia" w:ascii="方正仿宋_GBK" w:hAnsi="方正仿宋_GBK" w:eastAsia="方正仿宋_GBK" w:cs="方正仿宋_GBK"/>
          <w:strike w:val="0"/>
          <w:dstrike w:val="0"/>
          <w:color w:val="auto"/>
          <w:spacing w:val="0"/>
          <w:w w:val="100"/>
          <w:kern w:val="2"/>
          <w:position w:val="0"/>
          <w:sz w:val="32"/>
          <w:szCs w:val="32"/>
          <w:highlight w:val="none"/>
          <w:u w:val="none"/>
          <w:lang w:val="en-US" w:eastAsia="zh-CN" w:bidi="ar-SA"/>
        </w:rPr>
      </w:pPr>
      <w:r>
        <w:rPr>
          <w:rFonts w:hint="eastAsia" w:ascii="方正仿宋_GBK" w:hAnsi="方正仿宋_GBK" w:eastAsia="方正仿宋_GBK" w:cs="方正仿宋_GBK"/>
          <w:strike w:val="0"/>
          <w:dstrike w:val="0"/>
          <w:color w:val="auto"/>
          <w:spacing w:val="0"/>
          <w:w w:val="100"/>
          <w:kern w:val="2"/>
          <w:position w:val="0"/>
          <w:sz w:val="32"/>
          <w:szCs w:val="32"/>
          <w:highlight w:val="none"/>
          <w:u w:val="none"/>
          <w:lang w:val="en-US" w:eastAsia="zh-CN" w:bidi="ar-SA"/>
        </w:rPr>
        <w:t>督促企业建立全员参与、全岗位覆盖的隐患排查机制，形成“自查、自改、自报、效果评估”的闭环管理，一般隐患立行立改，重大隐患及时上报、挂牌督办。聚焦重点行业领域和敏感时段，组织专家开展针对性排查，持续推进重大事故隐患动态清零，健全整改闭环和责任倒查机制，对隐患整改不力、虚假整改的企业依法落实“一案双罚”。</w:t>
      </w:r>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2"/>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pPr>
      <w:bookmarkStart w:id="37" w:name="_Toc18159"/>
      <w:bookmarkStart w:id="38" w:name="_Toc16491"/>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4.</w:t>
      </w:r>
      <w:r>
        <w:rPr>
          <w:rFonts w:hint="eastAsia" w:cs="Times New Roman"/>
          <w:b w:val="0"/>
          <w:bCs w:val="0"/>
          <w:color w:val="auto"/>
          <w:spacing w:val="0"/>
          <w:w w:val="100"/>
          <w:kern w:val="2"/>
          <w:position w:val="0"/>
          <w:sz w:val="32"/>
          <w:szCs w:val="32"/>
          <w:highlight w:val="none"/>
          <w:lang w:val="en-US" w:eastAsia="zh-CN" w:bidi="ar-SA"/>
        </w:rPr>
        <w:t xml:space="preserve"> </w:t>
      </w:r>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深化重点领域安全整治</w:t>
      </w:r>
      <w:bookmarkEnd w:id="37"/>
      <w:bookmarkEnd w:id="38"/>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9"/>
        <w:rPr>
          <w:rFonts w:hint="eastAsia" w:ascii="Times New Roman" w:hAnsi="Times New Roman" w:eastAsia="方正仿宋_GBK" w:cs="方正仿宋_GBK"/>
          <w:b/>
          <w:bCs/>
          <w:i w:val="0"/>
          <w:iCs w:val="0"/>
          <w:caps w:val="0"/>
          <w:color w:val="auto"/>
          <w:spacing w:val="0"/>
          <w:w w:val="100"/>
          <w:kern w:val="0"/>
          <w:position w:val="0"/>
          <w:sz w:val="24"/>
          <w:szCs w:val="24"/>
          <w:highlight w:val="none"/>
          <w:u w:val="none"/>
          <w:shd w:val="clear" w:color="auto" w:fill="FFFFFF"/>
          <w:lang w:val="en-US" w:eastAsia="zh-CN"/>
        </w:rPr>
      </w:pPr>
      <w:bookmarkStart w:id="39" w:name="OLE_LINK7"/>
      <w:r>
        <w:rPr>
          <w:rFonts w:hint="eastAsia" w:ascii="Times New Roman" w:hAnsi="Times New Roman" w:eastAsia="方正仿宋_GBK" w:cs="方正仿宋_GBK"/>
          <w:strike w:val="0"/>
          <w:dstrike w:val="0"/>
          <w:color w:val="auto"/>
          <w:spacing w:val="0"/>
          <w:w w:val="100"/>
          <w:kern w:val="2"/>
          <w:position w:val="0"/>
          <w:sz w:val="32"/>
          <w:szCs w:val="32"/>
          <w:highlight w:val="none"/>
          <w:u w:val="none"/>
          <w:lang w:val="en-US" w:eastAsia="zh-CN" w:bidi="ar-SA"/>
        </w:rPr>
        <w:t>紧盯</w:t>
      </w:r>
      <w:r>
        <w:rPr>
          <w:rFonts w:hint="eastAsia" w:ascii="Times New Roman" w:hAnsi="Times New Roman" w:eastAsia="方正仿宋_GBK" w:cs="方正仿宋_GBK"/>
          <w:strike w:val="0"/>
          <w:dstrike w:val="0"/>
          <w:color w:val="auto"/>
          <w:spacing w:val="0"/>
          <w:w w:val="100"/>
          <w:kern w:val="2"/>
          <w:position w:val="0"/>
          <w:sz w:val="32"/>
          <w:szCs w:val="32"/>
          <w:highlight w:val="none"/>
          <w:u w:val="none"/>
          <w:lang w:val="zh-TW" w:eastAsia="zh-CN" w:bidi="ar-SA"/>
        </w:rPr>
        <w:t>道路交通、建筑施工、消防、文化旅游、特种设备、城镇燃气、矿山、危险化学品、工贸等重点行业领域</w:t>
      </w:r>
      <w:r>
        <w:rPr>
          <w:rFonts w:hint="eastAsia" w:ascii="Times New Roman" w:hAnsi="Times New Roman" w:eastAsia="方正仿宋_GBK" w:cs="方正仿宋_GBK"/>
          <w:strike w:val="0"/>
          <w:dstrike w:val="0"/>
          <w:color w:val="auto"/>
          <w:spacing w:val="0"/>
          <w:w w:val="100"/>
          <w:kern w:val="2"/>
          <w:position w:val="0"/>
          <w:sz w:val="32"/>
          <w:szCs w:val="32"/>
          <w:highlight w:val="none"/>
          <w:u w:val="none"/>
          <w:lang w:val="en-US" w:eastAsia="zh-CN" w:bidi="ar-SA"/>
        </w:rPr>
        <w:t>，持续推进重大隐患清零，打好安全生产治本攻坚三年行动收官战。聚焦群众身边的安全风险，开展“一件事”全链条整治。</w:t>
      </w:r>
    </w:p>
    <w:bookmarkEnd w:id="39"/>
    <w:p>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方正仿宋_GBK" w:cs="方正仿宋_GBK"/>
          <w:b w:val="0"/>
          <w:bCs w:val="0"/>
          <w:i w:val="0"/>
          <w:iCs w:val="0"/>
          <w:caps w:val="0"/>
          <w:color w:val="0F1115"/>
          <w:spacing w:val="0"/>
          <w:sz w:val="32"/>
          <w:szCs w:val="32"/>
          <w:shd w:val="clear" w:color="auto" w:fill="FFFFFF"/>
        </w:rPr>
      </w:pPr>
      <w:r>
        <w:rPr>
          <w:rFonts w:hint="eastAsia" w:ascii="Times New Roman" w:hAnsi="Times New Roman" w:eastAsia="方正仿宋_GBK" w:cs="方正仿宋_GBK"/>
          <w:b w:val="0"/>
          <w:bCs w:val="0"/>
          <w:i w:val="0"/>
          <w:iCs w:val="0"/>
          <w:caps w:val="0"/>
          <w:color w:val="0F1115"/>
          <w:spacing w:val="0"/>
          <w:sz w:val="32"/>
          <w:szCs w:val="32"/>
          <w:shd w:val="clear" w:color="auto" w:fill="FFFFFF"/>
        </w:rPr>
        <w:t>全面提升交通与建筑施工安全治理能力</w:t>
      </w:r>
      <w:r>
        <w:rPr>
          <w:rFonts w:hint="eastAsia" w:ascii="Times New Roman" w:hAnsi="Times New Roman" w:eastAsia="方正仿宋_GBK" w:cs="方正仿宋_GBK"/>
          <w:b w:val="0"/>
          <w:bCs w:val="0"/>
          <w:i w:val="0"/>
          <w:iCs w:val="0"/>
          <w:caps w:val="0"/>
          <w:color w:val="0F1115"/>
          <w:spacing w:val="0"/>
          <w:sz w:val="32"/>
          <w:szCs w:val="32"/>
          <w:shd w:val="clear" w:color="auto" w:fill="FFFFFF"/>
          <w:lang w:eastAsia="zh-CN"/>
        </w:rPr>
        <w:t>，</w:t>
      </w:r>
      <w:r>
        <w:rPr>
          <w:rFonts w:hint="eastAsia" w:ascii="Times New Roman" w:hAnsi="Times New Roman" w:eastAsia="方正仿宋_GBK" w:cs="方正仿宋_GBK"/>
          <w:b w:val="0"/>
          <w:bCs w:val="0"/>
          <w:i w:val="0"/>
          <w:iCs w:val="0"/>
          <w:caps w:val="0"/>
          <w:color w:val="0F1115"/>
          <w:spacing w:val="0"/>
          <w:sz w:val="32"/>
          <w:szCs w:val="32"/>
          <w:shd w:val="clear" w:color="auto" w:fill="FFFFFF"/>
        </w:rPr>
        <w:t>深化重点路段安全风险感知与防控，针对达坂城风口区、乌尉高速等恶劣天气影响路段，实施风险评估与防护设施精细化提标改造，完善标志标线及主动预警系统。以老城区改造及新建重大工程为载体，全面推进智慧工地数字化监管平台建设，运用物联网感知、视频AI分析等手段，实现施工现场违章作业行为的智能识别与即时干预，推动安全管理由“人防”向“技防”深度转型。</w:t>
      </w:r>
    </w:p>
    <w:p>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方正仿宋_GBK" w:cs="方正仿宋_GBK"/>
          <w:b w:val="0"/>
          <w:bCs w:val="0"/>
          <w:i w:val="0"/>
          <w:iCs w:val="0"/>
          <w:caps w:val="0"/>
          <w:color w:val="0F1115"/>
          <w:spacing w:val="0"/>
          <w:sz w:val="32"/>
          <w:szCs w:val="32"/>
          <w:shd w:val="clear" w:color="auto" w:fill="FFFFFF"/>
        </w:rPr>
      </w:pPr>
      <w:r>
        <w:rPr>
          <w:rFonts w:hint="eastAsia" w:ascii="Times New Roman" w:hAnsi="Times New Roman" w:eastAsia="方正仿宋_GBK" w:cs="方正仿宋_GBK"/>
          <w:b w:val="0"/>
          <w:bCs w:val="0"/>
          <w:i w:val="0"/>
          <w:iCs w:val="0"/>
          <w:caps w:val="0"/>
          <w:color w:val="0F1115"/>
          <w:spacing w:val="0"/>
          <w:sz w:val="32"/>
          <w:szCs w:val="32"/>
          <w:shd w:val="clear" w:color="auto" w:fill="FFFFFF"/>
        </w:rPr>
        <w:t>强化消防安全与燃气设施本质安全</w:t>
      </w:r>
      <w:r>
        <w:rPr>
          <w:rFonts w:hint="eastAsia" w:ascii="Times New Roman" w:hAnsi="Times New Roman" w:eastAsia="方正仿宋_GBK" w:cs="方正仿宋_GBK"/>
          <w:b w:val="0"/>
          <w:bCs w:val="0"/>
          <w:i w:val="0"/>
          <w:iCs w:val="0"/>
          <w:caps w:val="0"/>
          <w:color w:val="0F1115"/>
          <w:spacing w:val="0"/>
          <w:sz w:val="32"/>
          <w:szCs w:val="32"/>
          <w:shd w:val="clear" w:color="auto" w:fill="FFFFFF"/>
          <w:lang w:eastAsia="zh-CN"/>
        </w:rPr>
        <w:t>管理。</w:t>
      </w:r>
      <w:r>
        <w:rPr>
          <w:rFonts w:hint="eastAsia" w:ascii="Times New Roman" w:hAnsi="Times New Roman" w:eastAsia="方正仿宋_GBK" w:cs="方正仿宋_GBK"/>
          <w:b w:val="0"/>
          <w:bCs w:val="0"/>
          <w:i w:val="0"/>
          <w:iCs w:val="0"/>
          <w:caps w:val="0"/>
          <w:color w:val="0F1115"/>
          <w:spacing w:val="0"/>
          <w:sz w:val="32"/>
          <w:szCs w:val="32"/>
          <w:shd w:val="clear" w:color="auto" w:fill="FFFFFF"/>
        </w:rPr>
        <w:t>紧盯大型商业综合体、医院</w:t>
      </w:r>
      <w:r>
        <w:rPr>
          <w:rFonts w:hint="eastAsia" w:ascii="Times New Roman" w:hAnsi="Times New Roman" w:eastAsia="方正仿宋_GBK" w:cs="方正仿宋_GBK"/>
          <w:b w:val="0"/>
          <w:bCs w:val="0"/>
          <w:i w:val="0"/>
          <w:iCs w:val="0"/>
          <w:caps w:val="0"/>
          <w:color w:val="0F1115"/>
          <w:spacing w:val="0"/>
          <w:sz w:val="32"/>
          <w:szCs w:val="32"/>
          <w:shd w:val="clear" w:color="auto" w:fill="FFFFFF"/>
          <w:lang w:eastAsia="zh-CN"/>
        </w:rPr>
        <w:t>、</w:t>
      </w:r>
      <w:r>
        <w:rPr>
          <w:rFonts w:hint="eastAsia" w:ascii="Times New Roman" w:hAnsi="Times New Roman" w:eastAsia="方正仿宋_GBK" w:cs="方正仿宋_GBK"/>
          <w:b w:val="0"/>
          <w:bCs w:val="0"/>
          <w:i w:val="0"/>
          <w:iCs w:val="0"/>
          <w:caps w:val="0"/>
          <w:color w:val="0F1115"/>
          <w:spacing w:val="0"/>
          <w:sz w:val="32"/>
          <w:szCs w:val="32"/>
          <w:shd w:val="clear" w:color="auto" w:fill="FFFFFF"/>
        </w:rPr>
        <w:t>学校、养老院及“九小场所”等人员密集</w:t>
      </w:r>
      <w:r>
        <w:rPr>
          <w:rFonts w:hint="eastAsia" w:ascii="Times New Roman" w:hAnsi="Times New Roman" w:eastAsia="方正仿宋_GBK" w:cs="方正仿宋_GBK"/>
          <w:b w:val="0"/>
          <w:bCs w:val="0"/>
          <w:i w:val="0"/>
          <w:iCs w:val="0"/>
          <w:caps w:val="0"/>
          <w:color w:val="0F1115"/>
          <w:spacing w:val="0"/>
          <w:sz w:val="32"/>
          <w:szCs w:val="32"/>
          <w:shd w:val="clear" w:color="auto" w:fill="FFFFFF"/>
          <w:lang w:eastAsia="zh-CN"/>
        </w:rPr>
        <w:t>场所</w:t>
      </w:r>
      <w:r>
        <w:rPr>
          <w:rFonts w:hint="eastAsia" w:ascii="Times New Roman" w:hAnsi="Times New Roman" w:eastAsia="方正仿宋_GBK" w:cs="方正仿宋_GBK"/>
          <w:b w:val="0"/>
          <w:bCs w:val="0"/>
          <w:i w:val="0"/>
          <w:iCs w:val="0"/>
          <w:caps w:val="0"/>
          <w:color w:val="0F1115"/>
          <w:spacing w:val="0"/>
          <w:sz w:val="32"/>
          <w:szCs w:val="32"/>
          <w:shd w:val="clear" w:color="auto" w:fill="FFFFFF"/>
        </w:rPr>
        <w:t>，推进</w:t>
      </w:r>
      <w:r>
        <w:rPr>
          <w:rFonts w:hint="eastAsia" w:ascii="Times New Roman" w:hAnsi="Times New Roman" w:eastAsia="方正仿宋_GBK" w:cs="方正仿宋_GBK"/>
          <w:b w:val="0"/>
          <w:bCs w:val="0"/>
          <w:i w:val="0"/>
          <w:iCs w:val="0"/>
          <w:caps w:val="0"/>
          <w:color w:val="0F1115"/>
          <w:spacing w:val="0"/>
          <w:sz w:val="32"/>
          <w:szCs w:val="32"/>
          <w:shd w:val="clear" w:color="auto" w:fill="FFFFFF"/>
          <w:lang w:eastAsia="zh-CN"/>
        </w:rPr>
        <w:t>消防设施提质改造、超高层建筑应急救援能力建设、</w:t>
      </w:r>
      <w:r>
        <w:rPr>
          <w:rFonts w:hint="eastAsia" w:ascii="Times New Roman" w:hAnsi="Times New Roman" w:eastAsia="方正仿宋_GBK" w:cs="方正仿宋_GBK"/>
          <w:b w:val="0"/>
          <w:bCs w:val="0"/>
          <w:i w:val="0"/>
          <w:iCs w:val="0"/>
          <w:caps w:val="0"/>
          <w:color w:val="0F1115"/>
          <w:spacing w:val="0"/>
          <w:sz w:val="32"/>
          <w:szCs w:val="32"/>
          <w:shd w:val="clear" w:color="auto" w:fill="FFFFFF"/>
        </w:rPr>
        <w:t>消防生命通道畅通</w:t>
      </w:r>
      <w:r>
        <w:rPr>
          <w:rFonts w:hint="eastAsia" w:ascii="Times New Roman" w:hAnsi="Times New Roman" w:eastAsia="方正仿宋_GBK" w:cs="方正仿宋_GBK"/>
          <w:b w:val="0"/>
          <w:bCs w:val="0"/>
          <w:i w:val="0"/>
          <w:iCs w:val="0"/>
          <w:caps w:val="0"/>
          <w:color w:val="0F1115"/>
          <w:spacing w:val="0"/>
          <w:sz w:val="32"/>
          <w:szCs w:val="32"/>
          <w:shd w:val="clear" w:color="auto" w:fill="FFFFFF"/>
          <w:lang w:val="en-US" w:eastAsia="zh-CN"/>
        </w:rPr>
        <w:t>等重点</w:t>
      </w:r>
      <w:r>
        <w:rPr>
          <w:rFonts w:hint="eastAsia" w:ascii="Times New Roman" w:hAnsi="Times New Roman" w:eastAsia="方正仿宋_GBK" w:cs="方正仿宋_GBK"/>
          <w:b w:val="0"/>
          <w:bCs w:val="0"/>
          <w:i w:val="0"/>
          <w:iCs w:val="0"/>
          <w:caps w:val="0"/>
          <w:color w:val="0F1115"/>
          <w:spacing w:val="0"/>
          <w:sz w:val="32"/>
          <w:szCs w:val="32"/>
          <w:shd w:val="clear" w:color="auto" w:fill="FFFFFF"/>
        </w:rPr>
        <w:t>工程</w:t>
      </w:r>
      <w:r>
        <w:rPr>
          <w:rFonts w:hint="eastAsia" w:ascii="Times New Roman" w:hAnsi="Times New Roman" w:eastAsia="方正仿宋_GBK" w:cs="方正仿宋_GBK"/>
          <w:b w:val="0"/>
          <w:bCs w:val="0"/>
          <w:i w:val="0"/>
          <w:iCs w:val="0"/>
          <w:caps w:val="0"/>
          <w:color w:val="0F1115"/>
          <w:spacing w:val="0"/>
          <w:sz w:val="32"/>
          <w:szCs w:val="32"/>
          <w:shd w:val="clear" w:color="auto" w:fill="FFFFFF"/>
          <w:lang w:eastAsia="zh-CN"/>
        </w:rPr>
        <w:t>。</w:t>
      </w:r>
      <w:r>
        <w:rPr>
          <w:rFonts w:hint="eastAsia" w:ascii="Times New Roman" w:hAnsi="Times New Roman" w:eastAsia="方正仿宋_GBK" w:cs="方正仿宋_GBK"/>
          <w:b w:val="0"/>
          <w:bCs w:val="0"/>
          <w:i w:val="0"/>
          <w:iCs w:val="0"/>
          <w:caps w:val="0"/>
          <w:color w:val="0F1115"/>
          <w:spacing w:val="0"/>
          <w:sz w:val="32"/>
          <w:szCs w:val="32"/>
          <w:shd w:val="clear" w:color="auto" w:fill="FFFFFF"/>
        </w:rPr>
        <w:t>严厉整治违规动火作业及使用易燃材料装修装饰行为，建立重大火灾隐患挂牌督办与闭环销号机制</w:t>
      </w:r>
      <w:r>
        <w:rPr>
          <w:rFonts w:hint="eastAsia" w:ascii="Times New Roman" w:hAnsi="Times New Roman" w:eastAsia="方正仿宋_GBK" w:cs="方正仿宋_GBK"/>
          <w:b w:val="0"/>
          <w:bCs w:val="0"/>
          <w:i w:val="0"/>
          <w:iCs w:val="0"/>
          <w:caps w:val="0"/>
          <w:color w:val="0F1115"/>
          <w:spacing w:val="0"/>
          <w:sz w:val="32"/>
          <w:szCs w:val="32"/>
          <w:shd w:val="clear" w:color="auto" w:fill="FFFFFF"/>
          <w:lang w:eastAsia="zh-CN"/>
        </w:rPr>
        <w:t>，</w:t>
      </w:r>
      <w:r>
        <w:rPr>
          <w:rFonts w:hint="eastAsia" w:ascii="Times New Roman" w:hAnsi="Times New Roman" w:eastAsia="方正仿宋_GBK" w:cs="方正仿宋_GBK"/>
          <w:b w:val="0"/>
          <w:bCs w:val="0"/>
          <w:i w:val="0"/>
          <w:iCs w:val="0"/>
          <w:caps w:val="0"/>
          <w:color w:val="0F1115"/>
          <w:spacing w:val="0"/>
          <w:sz w:val="32"/>
          <w:szCs w:val="32"/>
          <w:shd w:val="clear" w:color="auto" w:fill="FFFFFF"/>
        </w:rPr>
        <w:t>统筹实施城镇老旧燃气管道系统性更新改造，强化管网运行监测与泄漏预警能力，切实消除城市地下空间安全隐患。</w:t>
      </w:r>
    </w:p>
    <w:p>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方正仿宋_GBK" w:cs="方正仿宋_GBK"/>
          <w:b w:val="0"/>
          <w:bCs w:val="0"/>
          <w:i w:val="0"/>
          <w:iCs w:val="0"/>
          <w:caps w:val="0"/>
          <w:color w:val="0F1115"/>
          <w:spacing w:val="0"/>
          <w:sz w:val="32"/>
          <w:szCs w:val="32"/>
          <w:shd w:val="clear" w:color="auto" w:fill="FFFFFF"/>
        </w:rPr>
      </w:pPr>
      <w:r>
        <w:rPr>
          <w:rFonts w:hint="eastAsia" w:ascii="Times New Roman" w:hAnsi="Times New Roman" w:eastAsia="方正仿宋_GBK" w:cs="方正仿宋_GBK"/>
          <w:b w:val="0"/>
          <w:bCs w:val="0"/>
          <w:i w:val="0"/>
          <w:iCs w:val="0"/>
          <w:caps w:val="0"/>
          <w:color w:val="0F1115"/>
          <w:spacing w:val="0"/>
          <w:sz w:val="32"/>
          <w:szCs w:val="32"/>
          <w:shd w:val="clear" w:color="auto" w:fill="FFFFFF"/>
        </w:rPr>
        <w:t>深化文旅及特种设备安全风险精准管控</w:t>
      </w:r>
      <w:r>
        <w:rPr>
          <w:rFonts w:hint="eastAsia" w:ascii="Times New Roman" w:hAnsi="Times New Roman" w:eastAsia="方正仿宋_GBK" w:cs="方正仿宋_GBK"/>
          <w:b w:val="0"/>
          <w:bCs w:val="0"/>
          <w:i w:val="0"/>
          <w:iCs w:val="0"/>
          <w:caps w:val="0"/>
          <w:color w:val="0F1115"/>
          <w:spacing w:val="0"/>
          <w:sz w:val="32"/>
          <w:szCs w:val="32"/>
          <w:shd w:val="clear" w:color="auto" w:fill="FFFFFF"/>
          <w:lang w:eastAsia="zh-CN"/>
        </w:rPr>
        <w:t>，</w:t>
      </w:r>
      <w:r>
        <w:rPr>
          <w:rFonts w:hint="eastAsia" w:ascii="Times New Roman" w:hAnsi="Times New Roman" w:eastAsia="方正仿宋_GBK" w:cs="方正仿宋_GBK"/>
          <w:b w:val="0"/>
          <w:bCs w:val="0"/>
          <w:i w:val="0"/>
          <w:iCs w:val="0"/>
          <w:caps w:val="0"/>
          <w:color w:val="0F1115"/>
          <w:spacing w:val="0"/>
          <w:sz w:val="32"/>
          <w:szCs w:val="32"/>
          <w:shd w:val="clear" w:color="auto" w:fill="FFFFFF"/>
        </w:rPr>
        <w:t>健全A级旅游景区</w:t>
      </w:r>
      <w:r>
        <w:rPr>
          <w:rFonts w:hint="eastAsia" w:ascii="Times New Roman" w:hAnsi="Times New Roman" w:eastAsia="方正仿宋_GBK" w:cs="方正仿宋_GBK"/>
          <w:b w:val="0"/>
          <w:bCs w:val="0"/>
          <w:i w:val="0"/>
          <w:iCs w:val="0"/>
          <w:caps w:val="0"/>
          <w:color w:val="0F1115"/>
          <w:spacing w:val="0"/>
          <w:sz w:val="32"/>
          <w:szCs w:val="32"/>
          <w:shd w:val="clear" w:color="auto" w:fill="FFFFFF"/>
          <w:lang w:eastAsia="zh-CN"/>
        </w:rPr>
        <w:t>、</w:t>
      </w:r>
      <w:r>
        <w:rPr>
          <w:rFonts w:hint="eastAsia" w:ascii="Times New Roman" w:hAnsi="Times New Roman" w:eastAsia="方正仿宋_GBK" w:cs="方正仿宋_GBK"/>
          <w:b w:val="0"/>
          <w:bCs w:val="0"/>
          <w:i w:val="0"/>
          <w:iCs w:val="0"/>
          <w:caps w:val="0"/>
          <w:color w:val="0F1115"/>
          <w:spacing w:val="0"/>
          <w:sz w:val="32"/>
          <w:szCs w:val="32"/>
          <w:shd w:val="clear" w:color="auto" w:fill="FFFFFF"/>
        </w:rPr>
        <w:t>网红打卡点及大型演出活动安全评估与动态监测机制，强化大型游乐设施和高危游乐项目的全链条安全监管，提升超大体量文旅活动突发事件应急处置水平。加强特种设备检验检测环节质量管控，规范检测市场秩序，推进电梯等设备“一物一码”智慧化信息维护，实现全生命周期可追溯管理。</w:t>
      </w:r>
    </w:p>
    <w:p>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i w:val="0"/>
          <w:iCs w:val="0"/>
          <w:caps w:val="0"/>
          <w:color w:val="0F1115"/>
          <w:spacing w:val="0"/>
          <w:w w:val="100"/>
          <w:kern w:val="0"/>
          <w:position w:val="0"/>
          <w:sz w:val="32"/>
          <w:szCs w:val="32"/>
          <w:shd w:val="clear" w:color="auto" w:fill="FFFFFF"/>
          <w:lang w:val="zh-TW"/>
        </w:rPr>
      </w:pPr>
      <w:r>
        <w:rPr>
          <w:rFonts w:hint="eastAsia" w:ascii="Times New Roman" w:hAnsi="Times New Roman" w:eastAsia="方正仿宋_GBK" w:cs="方正仿宋_GBK"/>
          <w:b w:val="0"/>
          <w:bCs w:val="0"/>
          <w:i w:val="0"/>
          <w:iCs w:val="0"/>
          <w:caps w:val="0"/>
          <w:color w:val="0F1115"/>
          <w:spacing w:val="0"/>
          <w:w w:val="100"/>
          <w:kern w:val="0"/>
          <w:position w:val="0"/>
          <w:sz w:val="32"/>
          <w:szCs w:val="32"/>
          <w:shd w:val="clear" w:color="auto" w:fill="FFFFFF"/>
          <w:lang w:val="zh-TW" w:eastAsia="zh-CN"/>
        </w:rPr>
        <w:t>提升危险化学品、矿山、工贸行业领域管理水平</w:t>
      </w:r>
      <w:r>
        <w:rPr>
          <w:rFonts w:hint="eastAsia" w:ascii="Times New Roman" w:hAnsi="Times New Roman" w:eastAsia="方正仿宋_GBK" w:cs="方正仿宋_GBK"/>
          <w:b w:val="0"/>
          <w:bCs w:val="0"/>
          <w:i w:val="0"/>
          <w:iCs w:val="0"/>
          <w:caps w:val="0"/>
          <w:color w:val="0F1115"/>
          <w:spacing w:val="0"/>
          <w:w w:val="100"/>
          <w:kern w:val="0"/>
          <w:position w:val="0"/>
          <w:sz w:val="32"/>
          <w:szCs w:val="32"/>
          <w:shd w:val="clear" w:color="auto" w:fill="FFFFFF"/>
          <w:lang w:val="zh-TW"/>
        </w:rPr>
        <w:t>，筑牢本质安全根基</w:t>
      </w:r>
      <w:r>
        <w:rPr>
          <w:rFonts w:hint="eastAsia" w:ascii="Times New Roman" w:hAnsi="Times New Roman" w:eastAsia="方正仿宋_GBK" w:cs="方正仿宋_GBK"/>
          <w:b w:val="0"/>
          <w:bCs w:val="0"/>
          <w:i w:val="0"/>
          <w:iCs w:val="0"/>
          <w:caps w:val="0"/>
          <w:color w:val="0F1115"/>
          <w:spacing w:val="0"/>
          <w:w w:val="100"/>
          <w:kern w:val="0"/>
          <w:position w:val="0"/>
          <w:sz w:val="32"/>
          <w:szCs w:val="32"/>
          <w:shd w:val="clear" w:color="auto" w:fill="FFFFFF"/>
          <w:lang w:val="zh-TW" w:eastAsia="zh-CN"/>
        </w:rPr>
        <w:t>，</w:t>
      </w:r>
      <w:r>
        <w:rPr>
          <w:rFonts w:hint="eastAsia" w:ascii="Times New Roman" w:hAnsi="Times New Roman" w:eastAsia="方正仿宋_GBK" w:cs="方正仿宋_GBK"/>
          <w:b w:val="0"/>
          <w:bCs w:val="0"/>
          <w:i w:val="0"/>
          <w:iCs w:val="0"/>
          <w:caps w:val="0"/>
          <w:color w:val="0F1115"/>
          <w:spacing w:val="0"/>
          <w:w w:val="100"/>
          <w:kern w:val="0"/>
          <w:position w:val="0"/>
          <w:sz w:val="32"/>
          <w:szCs w:val="32"/>
          <w:shd w:val="clear" w:color="auto" w:fill="FFFFFF"/>
          <w:lang w:val="zh-TW"/>
        </w:rPr>
        <w:t>以米东化工工业园和甘泉堡工业园区为重点，纵深推进化工园区安全</w:t>
      </w:r>
      <w:r>
        <w:rPr>
          <w:rFonts w:hint="eastAsia" w:ascii="Times New Roman" w:hAnsi="Times New Roman" w:eastAsia="方正仿宋_GBK" w:cs="方正仿宋_GBK"/>
          <w:i w:val="0"/>
          <w:iCs w:val="0"/>
          <w:caps w:val="0"/>
          <w:color w:val="0F1115"/>
          <w:spacing w:val="0"/>
          <w:w w:val="100"/>
          <w:kern w:val="0"/>
          <w:position w:val="0"/>
          <w:sz w:val="32"/>
          <w:szCs w:val="32"/>
          <w:shd w:val="clear" w:color="auto" w:fill="FFFFFF"/>
          <w:lang w:val="zh-TW"/>
        </w:rPr>
        <w:t>整治提升与智能化管控平台全域覆盖</w:t>
      </w:r>
      <w:r>
        <w:rPr>
          <w:rFonts w:hint="eastAsia" w:ascii="Times New Roman" w:hAnsi="Times New Roman" w:eastAsia="方正仿宋_GBK" w:cs="方正仿宋_GBK"/>
          <w:i w:val="0"/>
          <w:iCs w:val="0"/>
          <w:caps w:val="0"/>
          <w:color w:val="0F1115"/>
          <w:spacing w:val="0"/>
          <w:w w:val="100"/>
          <w:kern w:val="0"/>
          <w:position w:val="0"/>
          <w:sz w:val="32"/>
          <w:szCs w:val="32"/>
          <w:shd w:val="clear" w:color="auto" w:fill="FFFFFF"/>
          <w:lang w:val="zh-TW" w:eastAsia="zh-CN"/>
        </w:rPr>
        <w:t>。</w:t>
      </w:r>
      <w:r>
        <w:rPr>
          <w:rFonts w:hint="eastAsia" w:ascii="Times New Roman" w:hAnsi="Times New Roman" w:eastAsia="方正仿宋_GBK" w:cs="方正仿宋_GBK"/>
          <w:i w:val="0"/>
          <w:iCs w:val="0"/>
          <w:caps w:val="0"/>
          <w:color w:val="0F1115"/>
          <w:spacing w:val="0"/>
          <w:w w:val="100"/>
          <w:kern w:val="0"/>
          <w:position w:val="0"/>
          <w:sz w:val="32"/>
          <w:szCs w:val="32"/>
          <w:shd w:val="clear" w:color="auto" w:fill="FFFFFF"/>
          <w:lang w:val="zh-TW"/>
        </w:rPr>
        <w:t>常态化开展油气长输管道外部干扰与内部腐蚀风险排查治理，实施烟花爆竹行业生产、储存、流通全</w:t>
      </w:r>
      <w:r>
        <w:rPr>
          <w:rFonts w:hint="eastAsia" w:ascii="Times New Roman" w:hAnsi="Times New Roman" w:eastAsia="方正仿宋_GBK" w:cs="方正仿宋_GBK"/>
          <w:b w:val="0"/>
          <w:bCs w:val="0"/>
          <w:i w:val="0"/>
          <w:iCs w:val="0"/>
          <w:caps w:val="0"/>
          <w:color w:val="0F1115"/>
          <w:spacing w:val="0"/>
          <w:w w:val="100"/>
          <w:kern w:val="2"/>
          <w:position w:val="0"/>
          <w:sz w:val="32"/>
          <w:szCs w:val="32"/>
          <w:shd w:val="clear" w:color="auto" w:fill="FFFFFF"/>
          <w:lang w:val="en-US" w:eastAsia="zh-CN" w:bidi="ar-SA"/>
        </w:rPr>
        <w:t>链条规范管控。</w:t>
      </w:r>
      <w:r>
        <w:rPr>
          <w:rFonts w:hint="eastAsia" w:ascii="Times New Roman" w:hAnsi="Times New Roman" w:eastAsia="方正仿宋_GBK" w:cs="方正仿宋_GBK"/>
          <w:i w:val="0"/>
          <w:iCs w:val="0"/>
          <w:caps w:val="0"/>
          <w:color w:val="0F1115"/>
          <w:spacing w:val="0"/>
          <w:w w:val="100"/>
          <w:kern w:val="0"/>
          <w:position w:val="0"/>
          <w:sz w:val="32"/>
          <w:szCs w:val="32"/>
          <w:shd w:val="clear" w:color="auto" w:fill="FFFFFF"/>
          <w:lang w:val="zh-TW"/>
        </w:rPr>
        <w:t>深化矿山隐蔽致灾因素普查治理，严厉打击隐蔽工作面、监控造假及不按设计施工等违法行为。聚焦金属冶炼、粉尘涉爆、涉危</w:t>
      </w:r>
      <w:r>
        <w:rPr>
          <w:rFonts w:hint="eastAsia" w:ascii="Times New Roman" w:hAnsi="Times New Roman" w:eastAsia="方正仿宋_GBK" w:cs="方正仿宋_GBK"/>
          <w:i w:val="0"/>
          <w:iCs w:val="0"/>
          <w:caps w:val="0"/>
          <w:color w:val="0F1115"/>
          <w:spacing w:val="0"/>
          <w:w w:val="100"/>
          <w:kern w:val="0"/>
          <w:position w:val="0"/>
          <w:sz w:val="32"/>
          <w:szCs w:val="32"/>
          <w:shd w:val="clear" w:color="auto" w:fill="FFFFFF"/>
          <w:lang w:val="zh-TW" w:eastAsia="zh-CN"/>
        </w:rPr>
        <w:t>险化学</w:t>
      </w:r>
      <w:r>
        <w:rPr>
          <w:rFonts w:hint="eastAsia" w:ascii="Times New Roman" w:hAnsi="Times New Roman" w:eastAsia="方正仿宋_GBK" w:cs="方正仿宋_GBK"/>
          <w:i w:val="0"/>
          <w:iCs w:val="0"/>
          <w:caps w:val="0"/>
          <w:color w:val="0F1115"/>
          <w:spacing w:val="0"/>
          <w:w w:val="100"/>
          <w:kern w:val="0"/>
          <w:position w:val="0"/>
          <w:sz w:val="32"/>
          <w:szCs w:val="32"/>
          <w:shd w:val="clear" w:color="auto" w:fill="FFFFFF"/>
          <w:lang w:val="zh-TW"/>
        </w:rPr>
        <w:t>品生产储存等重点企业，紧盯有限空间、登高、检修等高风险作业环节，建立常态化专家指导服务与精准执法协同机制，以高水平安全保障高质量发展。</w:t>
      </w:r>
    </w:p>
    <w:tbl>
      <w:tblPr>
        <w:tblStyle w:val="10"/>
        <w:tblW w:w="8820" w:type="dxa"/>
        <w:jc w:val="center"/>
        <w:tblInd w:w="1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8820" w:type="dxa"/>
            <w:noWrap w:val="0"/>
            <w:vAlign w:val="top"/>
          </w:tcPr>
          <w:p>
            <w:pPr>
              <w:keepNext w:val="0"/>
              <w:keepLines w:val="0"/>
              <w:pageBreakBefore w:val="0"/>
              <w:widowControl w:val="0"/>
              <w:shd w:val="clear" w:color="auto" w:fill="auto"/>
              <w:kinsoku/>
              <w:wordWrap/>
              <w:overflowPunct w:val="0"/>
              <w:topLinePunct w:val="0"/>
              <w:autoSpaceDE/>
              <w:autoSpaceDN/>
              <w:bidi w:val="0"/>
              <w:spacing w:before="0" w:after="0" w:line="560" w:lineRule="exact"/>
              <w:ind w:left="0" w:leftChars="0" w:right="0" w:firstLine="643" w:firstLineChars="200"/>
              <w:jc w:val="center"/>
              <w:textAlignment w:val="auto"/>
              <w:rPr>
                <w:rFonts w:hint="default" w:ascii="Times New Roman" w:hAnsi="Times New Roman" w:eastAsia="方正仿宋_GBK" w:cs="Times New Roman"/>
                <w:color w:val="auto"/>
                <w:spacing w:val="0"/>
                <w:w w:val="100"/>
                <w:position w:val="0"/>
                <w:sz w:val="24"/>
                <w:szCs w:val="24"/>
                <w:highlight w:val="none"/>
                <w:vertAlign w:val="baseline"/>
                <w:lang w:val="zh-TW"/>
              </w:rPr>
            </w:pPr>
            <w:r>
              <w:rPr>
                <w:rFonts w:hint="default" w:ascii="Times New Roman" w:hAnsi="Times New Roman" w:eastAsia="方正仿宋_GBK" w:cs="Times New Roman"/>
                <w:b/>
                <w:bCs/>
                <w:color w:val="auto"/>
                <w:spacing w:val="0"/>
                <w:w w:val="100"/>
                <w:position w:val="0"/>
                <w:sz w:val="32"/>
                <w:szCs w:val="32"/>
                <w:highlight w:val="none"/>
                <w:vertAlign w:val="baseline"/>
                <w:lang w:val="en-US" w:eastAsia="zh-CN"/>
              </w:rPr>
              <w:t>重点工程1  安全监管效能</w:t>
            </w:r>
            <w:r>
              <w:rPr>
                <w:rFonts w:hint="default" w:ascii="Times New Roman" w:hAnsi="Times New Roman" w:eastAsia="方正仿宋_GBK" w:cs="Times New Roman"/>
                <w:b/>
                <w:bCs/>
                <w:color w:val="auto"/>
                <w:spacing w:val="0"/>
                <w:w w:val="100"/>
                <w:position w:val="0"/>
                <w:sz w:val="32"/>
                <w:szCs w:val="32"/>
                <w:highlight w:val="none"/>
                <w:vertAlign w:val="baseline"/>
                <w:lang w:val="zh-TW"/>
              </w:rPr>
              <w:t>提升工程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8820" w:type="dxa"/>
            <w:noWrap w:val="0"/>
            <w:vAlign w:val="top"/>
          </w:tcPr>
          <w:p>
            <w:pPr>
              <w:pStyle w:val="14"/>
              <w:keepNext w:val="0"/>
              <w:keepLines w:val="0"/>
              <w:pageBreakBefore w:val="0"/>
              <w:widowControl w:val="0"/>
              <w:numPr>
                <w:ilvl w:val="0"/>
                <w:numId w:val="0"/>
              </w:numPr>
              <w:shd w:val="clear" w:color="auto" w:fill="auto"/>
              <w:kinsoku/>
              <w:wordWrap/>
              <w:overflowPunct w:val="0"/>
              <w:topLinePunct w:val="0"/>
              <w:autoSpaceDE/>
              <w:autoSpaceDN/>
              <w:bidi w:val="0"/>
              <w:adjustRightInd w:val="0"/>
              <w:snapToGrid w:val="0"/>
              <w:spacing w:before="0" w:after="0" w:line="560" w:lineRule="exact"/>
              <w:ind w:left="0" w:leftChars="0" w:right="0" w:rightChars="0" w:firstLine="643" w:firstLineChars="200"/>
              <w:jc w:val="both"/>
              <w:textAlignment w:val="auto"/>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pPr>
            <w:r>
              <w:rPr>
                <w:rFonts w:hint="default" w:ascii="Times New Roman" w:hAnsi="Times New Roman" w:eastAsia="方正仿宋_GBK" w:cs="Times New Roman"/>
                <w:b/>
                <w:bCs/>
                <w:color w:val="auto"/>
                <w:spacing w:val="0"/>
                <w:w w:val="100"/>
                <w:kern w:val="0"/>
                <w:position w:val="0"/>
                <w:sz w:val="32"/>
                <w:szCs w:val="32"/>
                <w:highlight w:val="none"/>
                <w:u w:val="none"/>
                <w:lang w:val="en-US" w:eastAsia="zh-CN"/>
              </w:rPr>
              <w:t>1.安全运行监测项目升级改造工程：</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安全运行监测系统升级改造，推动与自治区危险化学品安全生产风险监测预警系统、安全生产执法信息系统、国家矿山安全生产监管系统数据对接，实现基础资源充分共享利用。</w:t>
            </w:r>
          </w:p>
          <w:p>
            <w:pPr>
              <w:pStyle w:val="14"/>
              <w:keepNext w:val="0"/>
              <w:keepLines w:val="0"/>
              <w:pageBreakBefore w:val="0"/>
              <w:widowControl w:val="0"/>
              <w:numPr>
                <w:ilvl w:val="0"/>
                <w:numId w:val="0"/>
              </w:numPr>
              <w:shd w:val="clear" w:color="auto" w:fill="auto"/>
              <w:kinsoku/>
              <w:wordWrap/>
              <w:overflowPunct w:val="0"/>
              <w:topLinePunct w:val="0"/>
              <w:autoSpaceDE/>
              <w:autoSpaceDN/>
              <w:bidi w:val="0"/>
              <w:adjustRightInd w:val="0"/>
              <w:snapToGrid w:val="0"/>
              <w:spacing w:before="0" w:after="0" w:line="560" w:lineRule="exact"/>
              <w:ind w:left="0" w:leftChars="0" w:right="0" w:rightChars="0" w:firstLine="643" w:firstLineChars="200"/>
              <w:jc w:val="both"/>
              <w:textAlignment w:val="auto"/>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pPr>
            <w:r>
              <w:rPr>
                <w:rFonts w:hint="default" w:ascii="Times New Roman" w:hAnsi="Times New Roman" w:eastAsia="方正仿宋_GBK" w:cs="Times New Roman"/>
                <w:b/>
                <w:bCs/>
                <w:color w:val="auto"/>
                <w:spacing w:val="0"/>
                <w:w w:val="100"/>
                <w:kern w:val="2"/>
                <w:position w:val="0"/>
                <w:sz w:val="32"/>
                <w:szCs w:val="32"/>
                <w:highlight w:val="none"/>
                <w:lang w:val="en-US" w:eastAsia="zh-CN" w:bidi="ar-SA"/>
              </w:rPr>
              <w:t>2.数字化应急指挥系统升级改造工程：</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对接自治区危化品监测、执法信息、矿山监管等系统，整合数据破除信息壁垒；接入重大危险源、煤矿、工贸等重点行业数据，依托大数据与AI算法智能识别隐患、动态更新风险等级，实现靶向监管；简化操作流程、完善系统功能，提升检查人员隐患排查与处置能力；扩展子模块，整合安全信息，实现信息一体化集成。</w:t>
            </w:r>
          </w:p>
          <w:p>
            <w:pPr>
              <w:pStyle w:val="14"/>
              <w:keepNext w:val="0"/>
              <w:keepLines w:val="0"/>
              <w:pageBreakBefore w:val="0"/>
              <w:widowControl w:val="0"/>
              <w:numPr>
                <w:ilvl w:val="0"/>
                <w:numId w:val="0"/>
              </w:numPr>
              <w:shd w:val="clear" w:color="auto" w:fill="auto"/>
              <w:kinsoku/>
              <w:wordWrap/>
              <w:overflowPunct w:val="0"/>
              <w:topLinePunct w:val="0"/>
              <w:autoSpaceDE/>
              <w:autoSpaceDN/>
              <w:bidi w:val="0"/>
              <w:adjustRightInd w:val="0"/>
              <w:snapToGrid w:val="0"/>
              <w:spacing w:before="0" w:after="0" w:line="560" w:lineRule="exact"/>
              <w:ind w:left="0" w:leftChars="0" w:right="0" w:rightChars="0" w:firstLine="643" w:firstLineChars="200"/>
              <w:jc w:val="both"/>
              <w:textAlignment w:val="auto"/>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pPr>
            <w:r>
              <w:rPr>
                <w:rFonts w:hint="default" w:ascii="Times New Roman" w:hAnsi="Times New Roman" w:eastAsia="方正仿宋_GBK" w:cs="Times New Roman"/>
                <w:b/>
                <w:bCs/>
                <w:color w:val="auto"/>
                <w:spacing w:val="0"/>
                <w:w w:val="100"/>
                <w:kern w:val="0"/>
                <w:position w:val="0"/>
                <w:sz w:val="32"/>
                <w:szCs w:val="32"/>
                <w:highlight w:val="none"/>
                <w:u w:val="none"/>
                <w:lang w:val="en-US" w:eastAsia="zh-CN"/>
              </w:rPr>
              <w:t>3.</w:t>
            </w:r>
            <w:r>
              <w:rPr>
                <w:rFonts w:hint="eastAsia" w:ascii="Times New Roman" w:hAnsi="Times New Roman" w:eastAsia="方正仿宋_GBK" w:cs="Times New Roman"/>
                <w:b/>
                <w:bCs/>
                <w:color w:val="auto"/>
                <w:spacing w:val="0"/>
                <w:w w:val="100"/>
                <w:kern w:val="2"/>
                <w:position w:val="0"/>
                <w:sz w:val="32"/>
                <w:szCs w:val="32"/>
                <w:highlight w:val="none"/>
                <w:lang w:val="en-US" w:eastAsia="zh-CN" w:bidi="ar-SA"/>
              </w:rPr>
              <w:t>人工智能</w:t>
            </w:r>
            <w:r>
              <w:rPr>
                <w:rFonts w:hint="default" w:ascii="Times New Roman" w:hAnsi="Times New Roman" w:eastAsia="方正仿宋_GBK" w:cs="Times New Roman"/>
                <w:b/>
                <w:bCs/>
                <w:color w:val="auto"/>
                <w:spacing w:val="0"/>
                <w:w w:val="100"/>
                <w:kern w:val="2"/>
                <w:position w:val="0"/>
                <w:sz w:val="32"/>
                <w:szCs w:val="32"/>
                <w:highlight w:val="none"/>
                <w:lang w:val="en-US" w:eastAsia="zh-CN" w:bidi="ar-SA"/>
              </w:rPr>
              <w:t>与安全生产预警深度融合工程</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：依托“乌鲁木齐安全运行监测项目”（一期）、</w:t>
            </w:r>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数字化应急指挥</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系统，开发应急安“E”达，通过AI图像识别技术识别隐患并关联法规，检索法规规范，自动生成检查表，同步支持现场记录、证据上传与文书导出，简化流程、提升效率。</w:t>
            </w:r>
          </w:p>
          <w:p>
            <w:pPr>
              <w:pStyle w:val="14"/>
              <w:keepNext w:val="0"/>
              <w:keepLines w:val="0"/>
              <w:pageBreakBefore w:val="0"/>
              <w:widowControl w:val="0"/>
              <w:numPr>
                <w:ilvl w:val="0"/>
                <w:numId w:val="0"/>
              </w:numPr>
              <w:shd w:val="clear" w:color="auto" w:fill="auto"/>
              <w:kinsoku/>
              <w:wordWrap/>
              <w:overflowPunct w:val="0"/>
              <w:topLinePunct w:val="0"/>
              <w:autoSpaceDE/>
              <w:autoSpaceDN/>
              <w:bidi w:val="0"/>
              <w:adjustRightInd w:val="0"/>
              <w:snapToGrid w:val="0"/>
              <w:spacing w:before="0" w:after="0" w:line="560" w:lineRule="exact"/>
              <w:ind w:left="0" w:leftChars="0" w:right="0" w:rightChars="0" w:firstLine="643" w:firstLineChars="200"/>
              <w:jc w:val="both"/>
              <w:textAlignment w:val="auto"/>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b/>
                <w:bCs/>
                <w:color w:val="auto"/>
                <w:spacing w:val="0"/>
                <w:w w:val="100"/>
                <w:kern w:val="2"/>
                <w:position w:val="0"/>
                <w:sz w:val="32"/>
                <w:szCs w:val="32"/>
                <w:highlight w:val="none"/>
                <w:lang w:val="en-US" w:eastAsia="zh-CN" w:bidi="ar-SA"/>
              </w:rPr>
              <w:t>4.数字化应急指挥系统建设工程：</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开发轻量化移动程序，支持企业拍照上传并开展隐患排查整改，监管人员实时追踪进度，实现执法与隐患数据双向印证，为基层监管和企业防控提供数字化工具。</w:t>
            </w:r>
          </w:p>
        </w:tc>
      </w:tr>
    </w:tbl>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left"/>
        <w:textAlignment w:val="auto"/>
        <w:outlineLvl w:val="1"/>
        <w:rPr>
          <w:rFonts w:hint="default" w:ascii="Times New Roman" w:hAnsi="Times New Roman" w:eastAsia="方正楷体_GBK" w:cs="Times New Roman"/>
          <w:b w:val="0"/>
          <w:bCs w:val="0"/>
          <w:color w:val="auto"/>
          <w:spacing w:val="0"/>
          <w:w w:val="100"/>
          <w:kern w:val="2"/>
          <w:position w:val="0"/>
          <w:sz w:val="32"/>
          <w:szCs w:val="32"/>
          <w:highlight w:val="none"/>
          <w:lang w:val="en-US" w:eastAsia="zh-CN" w:bidi="ar-SA"/>
        </w:rPr>
      </w:pPr>
      <w:bookmarkStart w:id="40" w:name="_Toc5472"/>
      <w:bookmarkStart w:id="41" w:name="_Toc18504"/>
      <w:bookmarkStart w:id="42" w:name="_Toc9964"/>
      <w:bookmarkStart w:id="43" w:name="_Toc1574"/>
      <w:bookmarkStart w:id="44" w:name="_Toc2796"/>
      <w:r>
        <w:rPr>
          <w:rFonts w:hint="default" w:ascii="Times New Roman" w:hAnsi="Times New Roman" w:eastAsia="方正楷体_GBK" w:cs="Times New Roman"/>
          <w:b w:val="0"/>
          <w:bCs w:val="0"/>
          <w:color w:val="auto"/>
          <w:spacing w:val="0"/>
          <w:w w:val="100"/>
          <w:kern w:val="2"/>
          <w:position w:val="0"/>
          <w:sz w:val="32"/>
          <w:szCs w:val="32"/>
          <w:highlight w:val="none"/>
          <w:lang w:val="en-US" w:eastAsia="zh-CN" w:bidi="ar-SA"/>
        </w:rPr>
        <w:t>（二）推进灾害防治体系建设，</w:t>
      </w:r>
      <w:bookmarkEnd w:id="40"/>
      <w:bookmarkEnd w:id="41"/>
      <w:r>
        <w:rPr>
          <w:rFonts w:hint="default" w:ascii="Times New Roman" w:hAnsi="Times New Roman" w:eastAsia="方正楷体_GBK" w:cs="Times New Roman"/>
          <w:b w:val="0"/>
          <w:bCs w:val="0"/>
          <w:color w:val="auto"/>
          <w:spacing w:val="0"/>
          <w:w w:val="100"/>
          <w:kern w:val="2"/>
          <w:position w:val="0"/>
          <w:sz w:val="32"/>
          <w:szCs w:val="32"/>
          <w:highlight w:val="none"/>
          <w:lang w:val="en-US" w:eastAsia="zh-CN" w:bidi="ar-SA"/>
        </w:rPr>
        <w:t>提升综合减灾能力</w:t>
      </w:r>
      <w:bookmarkEnd w:id="42"/>
      <w:bookmarkEnd w:id="43"/>
      <w:bookmarkEnd w:id="44"/>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2"/>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pPr>
      <w:bookmarkStart w:id="45" w:name="_Toc21390"/>
      <w:bookmarkStart w:id="46" w:name="_Toc8016"/>
      <w:bookmarkStart w:id="47" w:name="_Toc4504"/>
      <w:bookmarkStart w:id="48" w:name="_Toc23984"/>
      <w:bookmarkStart w:id="49" w:name="_Toc30473"/>
      <w:bookmarkStart w:id="50" w:name="_Toc24891"/>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1.</w:t>
      </w:r>
      <w:bookmarkEnd w:id="45"/>
      <w:r>
        <w:rPr>
          <w:rFonts w:hint="eastAsia" w:cs="Times New Roman"/>
          <w:b w:val="0"/>
          <w:bCs w:val="0"/>
          <w:color w:val="auto"/>
          <w:spacing w:val="0"/>
          <w:w w:val="100"/>
          <w:kern w:val="2"/>
          <w:position w:val="0"/>
          <w:sz w:val="32"/>
          <w:szCs w:val="32"/>
          <w:highlight w:val="none"/>
          <w:lang w:val="en-US" w:eastAsia="zh-CN" w:bidi="ar-SA"/>
        </w:rPr>
        <w:t xml:space="preserve"> </w:t>
      </w:r>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健全灾害监测预警体系</w:t>
      </w:r>
      <w:bookmarkEnd w:id="46"/>
      <w:bookmarkEnd w:id="47"/>
    </w:p>
    <w:bookmarkEnd w:id="48"/>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9"/>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pPr>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夯实监测预警基础设施。扩大全域覆盖，统筹推进台站网络、视频监控等建设运维，保障设备稳定运行。严格落实地震监测站网规划，丰富观测手段。优化综合风险监测预警系统，加快建设市级监测预警中心，补齐社区、人员密集场所和偏远区域预警设施短板，构建稳定运行的监测硬件体系。</w:t>
      </w:r>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9"/>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pPr>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健全综合研判会商机制。建立重特大自然灾害快速研判机制，畅通信息共享，破除数据壁垒。开展全过程动态监测，实时更新灾情评估，加密会商频次，实现动态研判和快速联动。强化灾害性天气精细化、超前化预报，为防范处置提供科学支撑。</w:t>
      </w:r>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9"/>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pPr>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优化预警发布传播体系。开展临灾预警试点，健全预警与应急响应联动机制，严格落实避险措施。制定预警发布管理办法，升级发布系统，完善应急广播体系，下放靶向发布权限，整合传播渠道，实现分区域、分人群精准推送。</w:t>
      </w:r>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9"/>
        <w:rPr>
          <w:rFonts w:hint="eastAsia" w:ascii="方正仿宋_GBK" w:hAnsi="方正仿宋_GBK" w:eastAsia="方正仿宋_GBK" w:cs="方正仿宋_GBK"/>
          <w:color w:val="000000"/>
          <w:spacing w:val="0"/>
          <w:w w:val="100"/>
          <w:kern w:val="0"/>
          <w:position w:val="0"/>
          <w:sz w:val="24"/>
          <w:szCs w:val="24"/>
          <w:highlight w:val="none"/>
          <w:lang w:val="en-US" w:eastAsia="zh-CN"/>
        </w:rPr>
      </w:pPr>
      <w:r>
        <w:rPr>
          <w:rFonts w:hint="eastAsia" w:ascii="方正仿宋_GBK" w:hAnsi="方正仿宋_GBK" w:eastAsia="方正仿宋_GBK" w:cs="方正仿宋_GBK"/>
          <w:b w:val="0"/>
          <w:bCs w:val="0"/>
          <w:color w:val="auto"/>
          <w:spacing w:val="0"/>
          <w:w w:val="100"/>
          <w:kern w:val="0"/>
          <w:position w:val="0"/>
          <w:sz w:val="32"/>
          <w:szCs w:val="32"/>
          <w:highlight w:val="none"/>
          <w:u w:val="none"/>
          <w:lang w:val="en-US" w:eastAsia="zh-CN"/>
        </w:rPr>
        <w:t>完善群测群防体系。健全隐患信息报送制度，整合基层力量，配齐工作装备。严格落实临灾预警“叫应”机制，强化短临预警与落地响应衔接，督促基层常态化开展隐患排查和应急处置，补齐信息采集、报送短板，构建精准高效的监测预警格局。</w:t>
      </w:r>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2"/>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pPr>
      <w:bookmarkStart w:id="51" w:name="_Toc12765"/>
      <w:bookmarkStart w:id="52" w:name="_Toc25932"/>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2.</w:t>
      </w:r>
      <w:r>
        <w:rPr>
          <w:rFonts w:hint="eastAsia" w:cs="Times New Roman"/>
          <w:b w:val="0"/>
          <w:bCs w:val="0"/>
          <w:color w:val="auto"/>
          <w:spacing w:val="0"/>
          <w:w w:val="100"/>
          <w:kern w:val="2"/>
          <w:position w:val="0"/>
          <w:sz w:val="32"/>
          <w:szCs w:val="32"/>
          <w:highlight w:val="none"/>
          <w:lang w:val="en-US" w:eastAsia="zh-CN" w:bidi="ar-SA"/>
        </w:rPr>
        <w:t xml:space="preserve"> </w:t>
      </w:r>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强化自然灾害综合防治</w:t>
      </w:r>
      <w:bookmarkEnd w:id="51"/>
      <w:bookmarkEnd w:id="52"/>
    </w:p>
    <w:p>
      <w:pPr>
        <w:keepNext w:val="0"/>
        <w:keepLines w:val="0"/>
        <w:pageBreakBefore w:val="0"/>
        <w:widowControl w:val="0"/>
        <w:shd w:val="clear" w:color="auto" w:fill="auto"/>
        <w:kinsoku/>
        <w:wordWrap/>
        <w:overflowPunct w:val="0"/>
        <w:topLinePunct w:val="0"/>
        <w:autoSpaceDE/>
        <w:autoSpaceDN/>
        <w:bidi w:val="0"/>
        <w:adjustRightInd/>
        <w:snapToGrid/>
        <w:spacing w:before="0" w:after="0" w:line="560" w:lineRule="exact"/>
        <w:ind w:left="0" w:leftChars="0" w:right="0" w:firstLine="640" w:firstLineChars="200"/>
        <w:jc w:val="left"/>
        <w:textAlignment w:val="auto"/>
        <w:rPr>
          <w:rFonts w:hint="default" w:ascii="Times New Roman" w:hAnsi="Times New Roman" w:eastAsia="方正仿宋_GBK" w:cs="Times New Roman"/>
          <w:b w:val="0"/>
          <w:bCs w:val="0"/>
          <w:color w:val="auto"/>
          <w:spacing w:val="0"/>
          <w:w w:val="100"/>
          <w:position w:val="0"/>
          <w:sz w:val="32"/>
          <w:szCs w:val="32"/>
          <w:highlight w:val="none"/>
          <w:u w:val="none"/>
          <w:lang w:val="en-US" w:eastAsia="zh-CN"/>
        </w:rPr>
      </w:pPr>
      <w:r>
        <w:rPr>
          <w:rFonts w:hint="default" w:ascii="Times New Roman" w:hAnsi="Times New Roman" w:eastAsia="方正仿宋_GBK" w:cs="Times New Roman"/>
          <w:b w:val="0"/>
          <w:bCs w:val="0"/>
          <w:color w:val="auto"/>
          <w:spacing w:val="0"/>
          <w:w w:val="100"/>
          <w:position w:val="0"/>
          <w:sz w:val="32"/>
          <w:szCs w:val="32"/>
          <w:highlight w:val="none"/>
          <w:u w:val="none"/>
          <w:lang w:val="en-US" w:eastAsia="zh-CN"/>
        </w:rPr>
        <w:t>夯实综合防治基础。依托议事协调机构统筹职责，细化各行业全链条责任，聚焦短板推进九大工程建设。常态化开展风险调查和隐患排查，推进生态修复，优化森林草原防灭火体系；实施防汛抗旱水利提升工程，落实责任制，补齐水旱防御短板；开展地震断层探测、房屋加固及地质灾害治理。同步推进监测预警信息化、应急救援中心建设、技术装备现代化等工程，整合资源，健全机制，提升多灾种综合监测预警和应急处置能力。</w:t>
      </w:r>
    </w:p>
    <w:p>
      <w:pPr>
        <w:keepNext w:val="0"/>
        <w:keepLines w:val="0"/>
        <w:pageBreakBefore w:val="0"/>
        <w:widowControl w:val="0"/>
        <w:shd w:val="clear" w:color="auto" w:fill="auto"/>
        <w:kinsoku/>
        <w:wordWrap/>
        <w:overflowPunct w:val="0"/>
        <w:topLinePunct w:val="0"/>
        <w:autoSpaceDE/>
        <w:autoSpaceDN/>
        <w:bidi w:val="0"/>
        <w:adjustRightInd/>
        <w:snapToGrid/>
        <w:spacing w:before="0" w:after="0" w:line="560" w:lineRule="exact"/>
        <w:ind w:left="0" w:leftChars="0" w:right="0" w:firstLine="640" w:firstLineChars="200"/>
        <w:jc w:val="left"/>
        <w:textAlignment w:val="auto"/>
        <w:rPr>
          <w:rFonts w:hint="eastAsia" w:ascii="方正仿宋_GBK" w:hAnsi="方正仿宋_GBK" w:eastAsia="方正仿宋_GBK" w:cs="方正仿宋_GBK"/>
          <w:b w:val="0"/>
          <w:bCs w:val="0"/>
          <w:color w:val="auto"/>
          <w:spacing w:val="0"/>
          <w:w w:val="100"/>
          <w:position w:val="0"/>
          <w:sz w:val="32"/>
          <w:szCs w:val="32"/>
          <w:highlight w:val="none"/>
          <w:u w:val="none"/>
          <w:lang w:val="en-US" w:eastAsia="zh-CN"/>
        </w:rPr>
      </w:pPr>
      <w:r>
        <w:rPr>
          <w:rFonts w:hint="eastAsia" w:ascii="方正仿宋_GBK" w:hAnsi="方正仿宋_GBK" w:eastAsia="方正仿宋_GBK" w:cs="方正仿宋_GBK"/>
          <w:b w:val="0"/>
          <w:bCs w:val="0"/>
          <w:color w:val="auto"/>
          <w:spacing w:val="0"/>
          <w:w w:val="100"/>
          <w:position w:val="0"/>
          <w:sz w:val="32"/>
          <w:szCs w:val="32"/>
          <w:highlight w:val="none"/>
          <w:u w:val="none"/>
          <w:lang w:val="en-US" w:eastAsia="zh-CN"/>
        </w:rPr>
        <w:t>深化风险普查数据成果应用。制定调查评估实施细则，规范流程，组建专项调查组，对隐患问题建立台账、限期整改、跟踪督办，常态化“回头看”。强化城乡安全韧性，推进排水防涝、房屋设施加固和移民搬迁。严格重大规划、重点工程选址管理，避让隐患点位，严控高风险区域开发。落实重大活动风险提示和极端天气停课停工停产停运停业制度，从源头降低灾害风险，最大限度减少伤亡损失。</w:t>
      </w:r>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2"/>
        <w:rPr>
          <w:rStyle w:val="13"/>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pPr>
      <w:bookmarkStart w:id="53" w:name="_Toc2047"/>
      <w:bookmarkStart w:id="54" w:name="_Toc28578"/>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3.</w:t>
      </w:r>
      <w:bookmarkEnd w:id="53"/>
      <w:r>
        <w:rPr>
          <w:rFonts w:hint="eastAsia" w:cs="Times New Roman"/>
          <w:b w:val="0"/>
          <w:bCs w:val="0"/>
          <w:color w:val="auto"/>
          <w:spacing w:val="0"/>
          <w:w w:val="100"/>
          <w:kern w:val="2"/>
          <w:position w:val="0"/>
          <w:sz w:val="32"/>
          <w:szCs w:val="32"/>
          <w:highlight w:val="none"/>
          <w:lang w:val="en-US" w:eastAsia="zh-CN" w:bidi="ar-SA"/>
        </w:rPr>
        <w:t xml:space="preserve"> </w:t>
      </w:r>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夯实基层治理综合能力</w:t>
      </w:r>
      <w:bookmarkEnd w:id="54"/>
      <w:bookmarkStart w:id="55" w:name="_Toc25057"/>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2"/>
        <w:rPr>
          <w:rStyle w:val="13"/>
          <w:rFonts w:hint="eastAsia" w:ascii="方正仿宋_GBK" w:hAnsi="方正仿宋_GBK" w:eastAsia="方正仿宋_GBK" w:cs="方正仿宋_GBK"/>
          <w:color w:val="auto"/>
          <w:spacing w:val="0"/>
          <w:w w:val="100"/>
          <w:kern w:val="2"/>
          <w:position w:val="0"/>
          <w:sz w:val="32"/>
          <w:szCs w:val="32"/>
          <w:highlight w:val="none"/>
          <w:lang w:val="en-US" w:eastAsia="zh-CN" w:bidi="ar-SA"/>
        </w:rPr>
      </w:pPr>
      <w:bookmarkStart w:id="56" w:name="_Toc23622"/>
      <w:r>
        <w:rPr>
          <w:rStyle w:val="13"/>
          <w:rFonts w:hint="eastAsia" w:ascii="方正仿宋_GBK" w:hAnsi="方正仿宋_GBK" w:eastAsia="方正仿宋_GBK" w:cs="方正仿宋_GBK"/>
          <w:color w:val="auto"/>
          <w:spacing w:val="0"/>
          <w:w w:val="100"/>
          <w:kern w:val="2"/>
          <w:position w:val="0"/>
          <w:sz w:val="32"/>
          <w:szCs w:val="32"/>
          <w:highlight w:val="none"/>
          <w:lang w:val="en-US" w:eastAsia="zh-CN" w:bidi="ar-SA"/>
        </w:rPr>
        <w:t>优化基层应急队伍架构。整合一线力量组建乡镇综合性应急救援队伍，负责险情处置和人员转移；统筹村（社区）干部、网格员、监测员等组建村级突击队，实现风险区域巡查管控全覆盖。深化网格化管理，严格执行“五级”包干责任制，压实网格和个人职责。推进灾害信息员规范化建设，组建常态化排查队伍，健全灾情信息报送机制，杜绝迟报漏报瞒报。常态化开展分层分类培训和实战演练，按需配齐装备物资，建立台账，落实专人管理、实操培训、定期检修、常态维护。</w:t>
      </w:r>
      <w:bookmarkEnd w:id="56"/>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2"/>
        <w:rPr>
          <w:rFonts w:hint="default" w:ascii="Times New Roman" w:hAnsi="Times New Roman" w:eastAsia="方正仿宋_GBK" w:cs="Times New Roman"/>
          <w:b/>
          <w:bCs/>
          <w:color w:val="auto"/>
          <w:spacing w:val="0"/>
          <w:w w:val="100"/>
          <w:kern w:val="2"/>
          <w:position w:val="0"/>
          <w:sz w:val="32"/>
          <w:szCs w:val="32"/>
          <w:highlight w:val="none"/>
          <w:lang w:val="en-US" w:eastAsia="zh-CN" w:bidi="ar-SA"/>
        </w:rPr>
      </w:pPr>
      <w:bookmarkStart w:id="57" w:name="_Toc24435"/>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4.</w:t>
      </w:r>
      <w:r>
        <w:rPr>
          <w:rFonts w:hint="eastAsia" w:cs="Times New Roman"/>
          <w:b w:val="0"/>
          <w:bCs w:val="0"/>
          <w:color w:val="auto"/>
          <w:spacing w:val="0"/>
          <w:w w:val="100"/>
          <w:kern w:val="2"/>
          <w:position w:val="0"/>
          <w:sz w:val="32"/>
          <w:szCs w:val="32"/>
          <w:highlight w:val="none"/>
          <w:lang w:val="en-US" w:eastAsia="zh-CN" w:bidi="ar-SA"/>
        </w:rPr>
        <w:t xml:space="preserve"> </w:t>
      </w:r>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提升灾害救助保障水平</w:t>
      </w:r>
      <w:bookmarkEnd w:id="55"/>
      <w:bookmarkEnd w:id="57"/>
    </w:p>
    <w:bookmarkEnd w:id="49"/>
    <w:bookmarkEnd w:id="50"/>
    <w:p>
      <w:pPr>
        <w:keepNext w:val="0"/>
        <w:keepLines w:val="0"/>
        <w:pageBreakBefore w:val="0"/>
        <w:widowControl w:val="0"/>
        <w:shd w:val="clear" w:color="auto" w:fill="auto"/>
        <w:kinsoku/>
        <w:wordWrap/>
        <w:overflowPunct w:val="0"/>
        <w:topLinePunct w:val="0"/>
        <w:autoSpaceDE/>
        <w:autoSpaceDN/>
        <w:bidi w:val="0"/>
        <w:adjustRightInd/>
        <w:snapToGrid/>
        <w:spacing w:before="0" w:after="0" w:line="560" w:lineRule="exact"/>
        <w:ind w:left="0" w:leftChars="0" w:right="0" w:firstLine="640" w:firstLineChars="200"/>
        <w:jc w:val="left"/>
        <w:textAlignment w:val="auto"/>
        <w:rPr>
          <w:rStyle w:val="13"/>
          <w:rFonts w:hint="eastAsia" w:ascii="方正仿宋_GBK" w:hAnsi="方正仿宋_GBK" w:eastAsia="方正仿宋_GBK" w:cs="方正仿宋_GBK"/>
          <w:color w:val="auto"/>
          <w:spacing w:val="0"/>
          <w:w w:val="100"/>
          <w:kern w:val="2"/>
          <w:position w:val="0"/>
          <w:sz w:val="32"/>
          <w:szCs w:val="32"/>
          <w:highlight w:val="none"/>
          <w:lang w:val="en-US" w:eastAsia="zh-CN" w:bidi="ar-SA"/>
        </w:rPr>
      </w:pPr>
      <w:r>
        <w:rPr>
          <w:rStyle w:val="13"/>
          <w:rFonts w:hint="eastAsia" w:ascii="方正仿宋_GBK" w:hAnsi="方正仿宋_GBK" w:eastAsia="方正仿宋_GBK" w:cs="方正仿宋_GBK"/>
          <w:color w:val="auto"/>
          <w:spacing w:val="0"/>
          <w:w w:val="100"/>
          <w:kern w:val="2"/>
          <w:position w:val="0"/>
          <w:sz w:val="32"/>
          <w:szCs w:val="32"/>
          <w:highlight w:val="none"/>
          <w:lang w:val="en-US" w:eastAsia="zh-CN" w:bidi="ar-SA"/>
        </w:rPr>
        <w:t>健全基层灾情直报核查体系。规范乡村两级报送机制，配齐建强信息员队伍，提升研判和统计上报能力，为救灾调度和资源配置提供精准数据支撑。灾害发生时精准划定危险区，优先转移安置群众，对特殊人群落实专人帮扶，规范设置安置点保障基本生活。同步推进临时救助、物资发放、伤员救治和卫生防疫，严防灾后疫病。强化灾后帮扶与特殊群体兜底保障，针对房屋损毁、产业受损等分类落实居住、生活、就业、产业扶持等措施。紧盯孤寡老人、留守儿童、残疾人等特殊群体，建立专项台账，一对一帮扶，坚决防范因灾致贫返贫。构建“政府兜底、保险支撑、多元补充”格局，提升基层风险抵御能力。健全应急、民政、卫健等多部门联动机制，规范引导社会组织、志愿者有序参与救灾和重建，最大限度降低灾害损失。</w:t>
      </w:r>
    </w:p>
    <w:tbl>
      <w:tblPr>
        <w:tblStyle w:val="10"/>
        <w:tblW w:w="8820" w:type="dxa"/>
        <w:jc w:val="center"/>
        <w:tblInd w:w="1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8820" w:type="dxa"/>
            <w:noWrap w:val="0"/>
            <w:vAlign w:val="top"/>
          </w:tcPr>
          <w:p>
            <w:pPr>
              <w:keepNext w:val="0"/>
              <w:keepLines w:val="0"/>
              <w:pageBreakBefore w:val="0"/>
              <w:widowControl w:val="0"/>
              <w:shd w:val="clear" w:color="auto" w:fill="auto"/>
              <w:kinsoku/>
              <w:wordWrap/>
              <w:overflowPunct w:val="0"/>
              <w:topLinePunct w:val="0"/>
              <w:autoSpaceDE/>
              <w:autoSpaceDN/>
              <w:bidi w:val="0"/>
              <w:spacing w:before="0" w:after="0" w:line="560" w:lineRule="exact"/>
              <w:ind w:left="0" w:leftChars="0" w:right="0" w:firstLine="643" w:firstLineChars="200"/>
              <w:jc w:val="center"/>
              <w:textAlignment w:val="auto"/>
              <w:rPr>
                <w:rFonts w:hint="default" w:ascii="Times New Roman" w:hAnsi="Times New Roman" w:eastAsia="方正仿宋_GBK" w:cs="Times New Roman"/>
                <w:color w:val="auto"/>
                <w:spacing w:val="0"/>
                <w:w w:val="100"/>
                <w:position w:val="0"/>
                <w:sz w:val="24"/>
                <w:szCs w:val="24"/>
                <w:highlight w:val="none"/>
                <w:vertAlign w:val="baseline"/>
                <w:lang w:val="zh-TW"/>
              </w:rPr>
            </w:pPr>
            <w:r>
              <w:rPr>
                <w:rFonts w:hint="default" w:ascii="Times New Roman" w:hAnsi="Times New Roman" w:eastAsia="方正仿宋_GBK" w:cs="Times New Roman"/>
                <w:b/>
                <w:bCs/>
                <w:color w:val="auto"/>
                <w:spacing w:val="0"/>
                <w:w w:val="100"/>
                <w:position w:val="0"/>
                <w:sz w:val="32"/>
                <w:szCs w:val="32"/>
                <w:highlight w:val="none"/>
                <w:vertAlign w:val="baseline"/>
                <w:lang w:val="en-US" w:eastAsia="zh-CN"/>
              </w:rPr>
              <w:t>重点工程2  防灾减灾综合能力</w:t>
            </w:r>
            <w:r>
              <w:rPr>
                <w:rFonts w:hint="default" w:ascii="Times New Roman" w:hAnsi="Times New Roman" w:eastAsia="方正仿宋_GBK" w:cs="Times New Roman"/>
                <w:b/>
                <w:bCs/>
                <w:color w:val="auto"/>
                <w:spacing w:val="0"/>
                <w:w w:val="100"/>
                <w:position w:val="0"/>
                <w:sz w:val="32"/>
                <w:szCs w:val="32"/>
                <w:highlight w:val="none"/>
                <w:vertAlign w:val="baseline"/>
                <w:lang w:val="zh-TW"/>
              </w:rPr>
              <w:t>提升工程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8820" w:type="dxa"/>
            <w:noWrap w:val="0"/>
            <w:vAlign w:val="top"/>
          </w:tcPr>
          <w:p>
            <w:pPr>
              <w:keepNext w:val="0"/>
              <w:keepLines w:val="0"/>
              <w:pageBreakBefore w:val="0"/>
              <w:widowControl w:val="0"/>
              <w:numPr>
                <w:ilvl w:val="0"/>
                <w:numId w:val="0"/>
              </w:numPr>
              <w:shd w:val="clear" w:color="auto" w:fill="auto"/>
              <w:kinsoku/>
              <w:wordWrap/>
              <w:overflowPunct w:val="0"/>
              <w:topLinePunct w:val="0"/>
              <w:autoSpaceDE/>
              <w:autoSpaceDN/>
              <w:bidi w:val="0"/>
              <w:adjustRightInd w:val="0"/>
              <w:snapToGrid w:val="0"/>
              <w:spacing w:before="0" w:after="0" w:line="560" w:lineRule="exact"/>
              <w:ind w:left="0" w:leftChars="0" w:right="0" w:rightChars="0" w:firstLine="643" w:firstLineChars="200"/>
              <w:jc w:val="left"/>
              <w:textAlignment w:val="auto"/>
              <w:outlineLvl w:val="9"/>
              <w:rPr>
                <w:rFonts w:hint="default" w:ascii="Times New Roman" w:hAnsi="Times New Roman" w:eastAsia="方正仿宋_GBK" w:cs="Times New Roman"/>
                <w:color w:val="auto"/>
                <w:spacing w:val="0"/>
                <w:w w:val="100"/>
                <w:kern w:val="2"/>
                <w:position w:val="0"/>
                <w:sz w:val="32"/>
                <w:szCs w:val="32"/>
                <w:highlight w:val="none"/>
                <w:u w:val="none"/>
                <w:lang w:val="en-US" w:eastAsia="zh-CN" w:bidi="ar-SA"/>
              </w:rPr>
            </w:pPr>
            <w:r>
              <w:rPr>
                <w:rFonts w:hint="default" w:ascii="Times New Roman" w:hAnsi="Times New Roman" w:eastAsia="方正仿宋_GBK" w:cs="Times New Roman"/>
                <w:b/>
                <w:bCs/>
                <w:color w:val="auto"/>
                <w:spacing w:val="0"/>
                <w:w w:val="100"/>
                <w:kern w:val="0"/>
                <w:position w:val="0"/>
                <w:sz w:val="32"/>
                <w:szCs w:val="32"/>
                <w:highlight w:val="none"/>
                <w:u w:val="none"/>
                <w:lang w:val="en-US" w:eastAsia="zh-CN"/>
              </w:rPr>
              <w:t>5.自然灾害综合风险普查：</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持续推进自然灾害综合风险普查常态化更新和成果应用，加强普查成果应用，纳入国土空间规划一张图，科学规划避让活动断层、行洪通道、地质灾害隐患点。加强基层减灾能力建设，在乌鲁木齐县试点开展自然灾害综合风险普查能力提升工程，逐步增强基层防灾避险能力</w:t>
            </w:r>
            <w:r>
              <w:rPr>
                <w:rFonts w:hint="default" w:ascii="Times New Roman" w:hAnsi="Times New Roman" w:eastAsia="方正仿宋_GBK" w:cs="Times New Roman"/>
                <w:color w:val="auto"/>
                <w:spacing w:val="0"/>
                <w:w w:val="100"/>
                <w:kern w:val="2"/>
                <w:position w:val="0"/>
                <w:sz w:val="32"/>
                <w:szCs w:val="32"/>
                <w:highlight w:val="none"/>
                <w:u w:val="none"/>
                <w:lang w:val="en-US" w:eastAsia="zh-CN" w:bidi="ar-SA"/>
              </w:rPr>
              <w:t>。</w:t>
            </w:r>
          </w:p>
          <w:p>
            <w:pPr>
              <w:pStyle w:val="14"/>
              <w:keepNext w:val="0"/>
              <w:keepLines w:val="0"/>
              <w:pageBreakBefore w:val="0"/>
              <w:widowControl w:val="0"/>
              <w:numPr>
                <w:ilvl w:val="0"/>
                <w:numId w:val="0"/>
              </w:numPr>
              <w:shd w:val="clear" w:color="auto" w:fill="auto"/>
              <w:kinsoku/>
              <w:wordWrap/>
              <w:overflowPunct w:val="0"/>
              <w:topLinePunct w:val="0"/>
              <w:autoSpaceDE/>
              <w:autoSpaceDN/>
              <w:bidi w:val="0"/>
              <w:adjustRightInd w:val="0"/>
              <w:snapToGrid w:val="0"/>
              <w:spacing w:before="0" w:after="0" w:line="560" w:lineRule="exact"/>
              <w:ind w:left="0" w:leftChars="0" w:right="0" w:rightChars="0" w:firstLine="643" w:firstLineChars="200"/>
              <w:jc w:val="both"/>
              <w:textAlignment w:val="auto"/>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pPr>
            <w:r>
              <w:rPr>
                <w:rFonts w:hint="default" w:ascii="Times New Roman" w:hAnsi="Times New Roman" w:eastAsia="方正仿宋_GBK" w:cs="Times New Roman"/>
                <w:b/>
                <w:bCs/>
                <w:color w:val="auto"/>
                <w:spacing w:val="0"/>
                <w:w w:val="100"/>
                <w:kern w:val="0"/>
                <w:position w:val="0"/>
                <w:sz w:val="32"/>
                <w:szCs w:val="32"/>
                <w:highlight w:val="none"/>
                <w:u w:val="none"/>
                <w:lang w:val="en-US" w:eastAsia="zh-CN"/>
              </w:rPr>
              <w:t>6.自然灾害综合监测预警</w:t>
            </w:r>
            <w:bookmarkStart w:id="58" w:name="OLE_LINK27"/>
            <w:r>
              <w:rPr>
                <w:rFonts w:hint="default" w:ascii="Times New Roman" w:hAnsi="Times New Roman" w:eastAsia="方正仿宋_GBK" w:cs="Times New Roman"/>
                <w:b/>
                <w:bCs/>
                <w:color w:val="auto"/>
                <w:spacing w:val="0"/>
                <w:w w:val="100"/>
                <w:kern w:val="0"/>
                <w:position w:val="0"/>
                <w:sz w:val="32"/>
                <w:szCs w:val="32"/>
                <w:highlight w:val="none"/>
                <w:u w:val="none"/>
                <w:lang w:val="en-US" w:eastAsia="zh-CN"/>
              </w:rPr>
              <w:t>：</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整合涉灾行业领域普查数据和非普数据，</w:t>
            </w:r>
            <w:bookmarkEnd w:id="58"/>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建设市、区（县）两级自然灾害综合风险普查基础数据库，</w:t>
            </w:r>
            <w:r>
              <w:rPr>
                <w:rFonts w:hint="default" w:ascii="Times New Roman" w:hAnsi="Times New Roman" w:eastAsia="方正仿宋_GBK" w:cs="Times New Roman"/>
                <w:b w:val="0"/>
                <w:kern w:val="0"/>
                <w:sz w:val="32"/>
                <w:highlight w:val="none"/>
              </w:rPr>
              <w:t>按照数据管理权限依法有序接入、共享</w:t>
            </w:r>
            <w:r>
              <w:rPr>
                <w:rFonts w:hint="default" w:ascii="Times New Roman" w:hAnsi="Times New Roman" w:eastAsia="方正仿宋_GBK" w:cs="Times New Roman"/>
                <w:b w:val="0"/>
                <w:kern w:val="0"/>
                <w:sz w:val="32"/>
                <w:highlight w:val="none"/>
                <w:lang w:val="en-US" w:eastAsia="zh-CN"/>
              </w:rPr>
              <w:t>相关数据</w:t>
            </w:r>
            <w:r>
              <w:rPr>
                <w:rFonts w:hint="default" w:ascii="Times New Roman" w:hAnsi="Times New Roman" w:eastAsia="方正仿宋_GBK" w:cs="Times New Roman"/>
                <w:b w:val="0"/>
                <w:kern w:val="0"/>
                <w:sz w:val="32"/>
                <w:highlight w:val="none"/>
                <w:lang w:eastAsia="zh-CN"/>
              </w:rPr>
              <w:t>，</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综合协调各类监测监管平台，利用铁塔资源，应急部门主导补充加强属地监测设施设备，完善数据空白及盲区，力争建设乌鲁木齐市自然灾害综合监测预警（安全风险）平台，实现全市风险监测一网统管。</w:t>
            </w:r>
          </w:p>
          <w:p>
            <w:pPr>
              <w:pStyle w:val="14"/>
              <w:keepNext w:val="0"/>
              <w:keepLines w:val="0"/>
              <w:pageBreakBefore w:val="0"/>
              <w:widowControl w:val="0"/>
              <w:numPr>
                <w:ilvl w:val="0"/>
                <w:numId w:val="0"/>
              </w:numPr>
              <w:shd w:val="clear" w:color="auto" w:fill="auto"/>
              <w:kinsoku/>
              <w:wordWrap/>
              <w:overflowPunct w:val="0"/>
              <w:topLinePunct w:val="0"/>
              <w:autoSpaceDE/>
              <w:autoSpaceDN/>
              <w:bidi w:val="0"/>
              <w:adjustRightInd w:val="0"/>
              <w:snapToGrid w:val="0"/>
              <w:spacing w:before="0" w:after="0" w:line="560" w:lineRule="exact"/>
              <w:ind w:left="0" w:leftChars="0" w:right="0" w:rightChars="0" w:firstLine="643" w:firstLineChars="200"/>
              <w:jc w:val="both"/>
              <w:textAlignment w:val="auto"/>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pPr>
            <w:r>
              <w:rPr>
                <w:rFonts w:hint="default" w:ascii="Times New Roman" w:hAnsi="Times New Roman" w:eastAsia="方正仿宋_GBK" w:cs="Times New Roman"/>
                <w:b/>
                <w:bCs/>
                <w:color w:val="auto"/>
                <w:spacing w:val="0"/>
                <w:w w:val="100"/>
                <w:kern w:val="0"/>
                <w:position w:val="0"/>
                <w:sz w:val="32"/>
                <w:szCs w:val="32"/>
                <w:highlight w:val="none"/>
                <w:u w:val="none"/>
                <w:lang w:val="en-US" w:eastAsia="zh-CN"/>
              </w:rPr>
              <w:t>7.防灾减灾基础设施：</w:t>
            </w:r>
            <w:r>
              <w:rPr>
                <w:rFonts w:hint="eastAsia" w:ascii="Times New Roman" w:hAnsi="Times New Roman" w:eastAsia="方正仿宋_GBK" w:cs="Times New Roman"/>
                <w:b w:val="0"/>
                <w:bCs w:val="0"/>
                <w:strike w:val="0"/>
                <w:dstrike w:val="0"/>
                <w:color w:val="auto"/>
                <w:spacing w:val="0"/>
                <w:w w:val="100"/>
                <w:kern w:val="0"/>
                <w:position w:val="0"/>
                <w:sz w:val="32"/>
                <w:szCs w:val="32"/>
                <w:highlight w:val="none"/>
                <w:u w:val="none"/>
                <w:lang w:val="en-US" w:eastAsia="zh-CN"/>
              </w:rPr>
              <w:t>按照上蓄、中分、下排的总体要求，在现有防洪体系的基础上，进一步提升泄洪能力。针对城市积水冒溢问题，落实综合施策、雨污分离、一点一策、调蓄并举治理思路，分级分类落实风险管控措施，统筹实施排水管网提质改造、雨污分流、雨水调蓄等工程建设，逐步解决中雨以上降雨过程积水冒溢问题，不断提升城市内涝防御和应急处置水平。</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完善山洪灾害综合治理工程，统筹推进防洪渠道（河道）综合治理、排洪渠改造提升及引水枢纽除险加固。加大已查明的地质灾害隐患点的工程治理和排险除危力度，地质灾害风险特别大、群众疏散条件困难的区域继续实施移民搬迁工程。</w:t>
            </w:r>
            <w:r>
              <w:rPr>
                <w:rFonts w:hint="default" w:ascii="Times New Roman" w:hAnsi="Times New Roman" w:eastAsia="方正仿宋_GBK" w:cs="Times New Roman"/>
                <w:b w:val="0"/>
                <w:bCs w:val="0"/>
                <w:strike w:val="0"/>
                <w:dstrike w:val="0"/>
                <w:color w:val="auto"/>
                <w:spacing w:val="0"/>
                <w:w w:val="100"/>
                <w:kern w:val="0"/>
                <w:position w:val="0"/>
                <w:sz w:val="32"/>
                <w:szCs w:val="32"/>
                <w:highlight w:val="none"/>
                <w:u w:val="none"/>
                <w:lang w:val="en-US" w:eastAsia="zh-CN"/>
              </w:rPr>
              <w:t>依据城市更新项目，推进城镇居民住宅、重要交通生命线、水库大坝、危险化学品厂库等抗震加固工作。以林草火险高风险区为重点，新建检查站、物资库、瞭望塔及防火道路，配齐以水灭火设备，不断完善森林草原防灭火预警监测平台。</w:t>
            </w:r>
          </w:p>
        </w:tc>
      </w:tr>
      <w:bookmarkEnd w:id="27"/>
      <w:bookmarkEnd w:id="28"/>
    </w:tbl>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left"/>
        <w:textAlignment w:val="auto"/>
        <w:outlineLvl w:val="1"/>
        <w:rPr>
          <w:rFonts w:hint="default" w:ascii="Times New Roman" w:hAnsi="Times New Roman" w:eastAsia="方正楷体_GBK" w:cs="Times New Roman"/>
          <w:b/>
          <w:bCs/>
          <w:color w:val="auto"/>
          <w:spacing w:val="0"/>
          <w:w w:val="100"/>
          <w:kern w:val="2"/>
          <w:position w:val="0"/>
          <w:sz w:val="32"/>
          <w:szCs w:val="32"/>
          <w:highlight w:val="none"/>
          <w:lang w:val="en-US" w:eastAsia="zh-CN" w:bidi="ar-SA"/>
        </w:rPr>
      </w:pPr>
      <w:bookmarkStart w:id="59" w:name="_Toc28284"/>
      <w:bookmarkStart w:id="60" w:name="_Toc2511"/>
      <w:bookmarkStart w:id="61" w:name="_Toc5946"/>
      <w:r>
        <w:rPr>
          <w:rFonts w:hint="default" w:ascii="Times New Roman" w:hAnsi="Times New Roman" w:eastAsia="方正楷体_GBK" w:cs="Times New Roman"/>
          <w:b w:val="0"/>
          <w:bCs w:val="0"/>
          <w:color w:val="auto"/>
          <w:spacing w:val="0"/>
          <w:w w:val="100"/>
          <w:kern w:val="2"/>
          <w:position w:val="0"/>
          <w:sz w:val="32"/>
          <w:szCs w:val="32"/>
          <w:highlight w:val="none"/>
          <w:lang w:val="en-US" w:eastAsia="zh-CN" w:bidi="ar-SA"/>
        </w:rPr>
        <w:t>（三）完善应急指挥体系建设，提升应急处置能力</w:t>
      </w:r>
      <w:bookmarkEnd w:id="24"/>
      <w:bookmarkEnd w:id="25"/>
      <w:bookmarkEnd w:id="59"/>
      <w:bookmarkEnd w:id="60"/>
      <w:bookmarkEnd w:id="61"/>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2"/>
        <w:rPr>
          <w:rFonts w:hint="default" w:ascii="Times New Roman" w:hAnsi="Times New Roman" w:eastAsia="方正仿宋_GBK" w:cs="Times New Roman"/>
          <w:b/>
          <w:bCs/>
          <w:color w:val="auto"/>
          <w:spacing w:val="0"/>
          <w:w w:val="100"/>
          <w:kern w:val="2"/>
          <w:position w:val="0"/>
          <w:sz w:val="32"/>
          <w:szCs w:val="32"/>
          <w:highlight w:val="none"/>
          <w:lang w:val="en-US" w:eastAsia="zh-CN" w:bidi="ar-SA"/>
        </w:rPr>
      </w:pPr>
      <w:bookmarkStart w:id="62" w:name="_Toc26111"/>
      <w:bookmarkStart w:id="63" w:name="_Toc6487"/>
      <w:bookmarkStart w:id="64" w:name="_Toc388"/>
      <w:bookmarkStart w:id="65" w:name="_Toc30613"/>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1.</w:t>
      </w:r>
      <w:bookmarkEnd w:id="62"/>
      <w:bookmarkEnd w:id="63"/>
      <w:r>
        <w:rPr>
          <w:rFonts w:hint="eastAsia" w:cs="Times New Roman"/>
          <w:b w:val="0"/>
          <w:bCs w:val="0"/>
          <w:color w:val="auto"/>
          <w:spacing w:val="0"/>
          <w:w w:val="100"/>
          <w:kern w:val="2"/>
          <w:position w:val="0"/>
          <w:sz w:val="32"/>
          <w:szCs w:val="32"/>
          <w:highlight w:val="none"/>
          <w:lang w:val="en-US" w:eastAsia="zh-CN" w:bidi="ar-SA"/>
        </w:rPr>
        <w:t xml:space="preserve"> </w:t>
      </w:r>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健全应急指挥运行机制</w:t>
      </w:r>
      <w:bookmarkEnd w:id="64"/>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9"/>
        <w:rPr>
          <w:rFonts w:hint="eastAsia" w:ascii="方正仿宋_GBK" w:hAnsi="方正仿宋_GBK" w:eastAsia="方正仿宋_GBK" w:cs="方正仿宋_GBK"/>
          <w:color w:val="000000"/>
          <w:spacing w:val="0"/>
          <w:w w:val="100"/>
          <w:kern w:val="0"/>
          <w:position w:val="0"/>
          <w:sz w:val="24"/>
          <w:szCs w:val="24"/>
          <w:highlight w:val="none"/>
          <w:lang w:val="en-US" w:eastAsia="zh-CN"/>
        </w:rPr>
      </w:pPr>
      <w:r>
        <w:rPr>
          <w:rFonts w:hint="eastAsia" w:ascii="方正仿宋_GBK" w:hAnsi="方正仿宋_GBK" w:eastAsia="方正仿宋_GBK" w:cs="方正仿宋_GBK"/>
          <w:color w:val="auto"/>
          <w:spacing w:val="0"/>
          <w:w w:val="100"/>
          <w:kern w:val="2"/>
          <w:position w:val="0"/>
          <w:sz w:val="32"/>
          <w:szCs w:val="32"/>
          <w:highlight w:val="none"/>
          <w:u w:val="none"/>
          <w:lang w:val="en-US" w:eastAsia="zh-CN" w:bidi="ar-SA"/>
        </w:rPr>
        <w:t>强化应急指挥体系建设。加快推进区（县）应急指挥部规范化建设，制定应急指挥部运行方案，完善监测预警、会商研判、应急处置、联合值守等工作流程。厘清各部门在监测预警、资源调配、现场处置、后勤保障等环节的具体任务，发挥综合协调议事机构作用，推动兵地及各区（县）专项指挥部的实体化运行，明确专项指挥部在特定领域灾害事故应对中的直接指挥责任，以及各成员单位的协同处置责任，将应急管理体系的整体要求转化为专项指挥部的具体工作任务。建立区域协调联动机制，健全与各专项指挥部的常态化联合会商、联合处置机制，定期开展指挥部快速响应、救援力量集结、通信即时组网等专项实战拉练。加快构建区县、部门、区域、军地、兵地间平时“大安全”防控、灾时“大应急”处置的联动新格局。</w:t>
      </w:r>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2"/>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pPr>
      <w:bookmarkStart w:id="66" w:name="_Toc8215"/>
      <w:bookmarkStart w:id="67" w:name="_Toc18468"/>
      <w:bookmarkStart w:id="68" w:name="_Toc2159"/>
      <w:bookmarkStart w:id="69" w:name="_Toc16054"/>
      <w:bookmarkStart w:id="70" w:name="_Toc19087"/>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2.</w:t>
      </w:r>
      <w:bookmarkEnd w:id="66"/>
      <w:bookmarkEnd w:id="67"/>
      <w:r>
        <w:rPr>
          <w:rFonts w:hint="eastAsia" w:cs="Times New Roman"/>
          <w:b w:val="0"/>
          <w:bCs w:val="0"/>
          <w:color w:val="auto"/>
          <w:spacing w:val="0"/>
          <w:w w:val="100"/>
          <w:kern w:val="2"/>
          <w:position w:val="0"/>
          <w:sz w:val="32"/>
          <w:szCs w:val="32"/>
          <w:highlight w:val="none"/>
          <w:lang w:val="en-US" w:eastAsia="zh-CN" w:bidi="ar-SA"/>
        </w:rPr>
        <w:t xml:space="preserve"> </w:t>
      </w:r>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完善预案演练管理体系</w:t>
      </w:r>
      <w:bookmarkEnd w:id="68"/>
      <w:bookmarkEnd w:id="69"/>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pacing w:val="0"/>
          <w:w w:val="100"/>
          <w:kern w:val="0"/>
          <w:position w:val="0"/>
          <w:sz w:val="32"/>
          <w:szCs w:val="32"/>
          <w:highlight w:val="none"/>
          <w:u w:val="none"/>
          <w:lang w:val="en-US" w:eastAsia="zh-CN"/>
        </w:rPr>
      </w:pPr>
      <w:r>
        <w:rPr>
          <w:rFonts w:hint="eastAsia" w:ascii="方正仿宋_GBK" w:hAnsi="方正仿宋_GBK" w:eastAsia="方正仿宋_GBK" w:cs="方正仿宋_GBK"/>
          <w:b w:val="0"/>
          <w:bCs w:val="0"/>
          <w:color w:val="auto"/>
          <w:spacing w:val="0"/>
          <w:w w:val="100"/>
          <w:kern w:val="0"/>
          <w:position w:val="0"/>
          <w:sz w:val="32"/>
          <w:szCs w:val="32"/>
          <w:highlight w:val="none"/>
          <w:u w:val="none"/>
          <w:lang w:val="en-US" w:eastAsia="zh-CN"/>
        </w:rPr>
        <w:t>全面推进预案修编。加强跨区域、跨部门、跨层级衔接，避免上下一般粗、左右不配套。督促企业对照新版事故分类标准重新辨识风险、修订预案，矿山、危化、建筑施工等高危行业同步编制应急处置方案或工作手册。指导乡镇（街道）和村（社区）编制简明实用的“一页纸”预案，明确灾害发生时组织责任人、转移路线、安置点位等关键要素。科学制定年度演练计划，定期组织市级综合演练，聚焦地震、危险化学品泄漏、山洪泥石流及“断网、断电、断路”等极端场景，重点检验和提升指挥协同、队伍集结、群众转移、通信恢复等核心处置流程，以实战演练检验预案、磨合机制、锻炼队伍。</w:t>
      </w:r>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2"/>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pPr>
      <w:bookmarkStart w:id="71" w:name="_Toc27907"/>
      <w:bookmarkStart w:id="72" w:name="_Toc1819"/>
      <w:bookmarkStart w:id="73" w:name="_Toc16415"/>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3.</w:t>
      </w:r>
      <w:bookmarkEnd w:id="71"/>
      <w:r>
        <w:rPr>
          <w:rFonts w:hint="eastAsia" w:cs="Times New Roman"/>
          <w:b w:val="0"/>
          <w:bCs w:val="0"/>
          <w:color w:val="auto"/>
          <w:spacing w:val="0"/>
          <w:w w:val="100"/>
          <w:kern w:val="2"/>
          <w:position w:val="0"/>
          <w:sz w:val="32"/>
          <w:szCs w:val="32"/>
          <w:highlight w:val="none"/>
          <w:lang w:val="en-US" w:eastAsia="zh-CN" w:bidi="ar-SA"/>
        </w:rPr>
        <w:t xml:space="preserve"> </w:t>
      </w:r>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建强应急救援队伍体系</w:t>
      </w:r>
      <w:bookmarkEnd w:id="72"/>
      <w:bookmarkEnd w:id="73"/>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left"/>
        <w:textAlignment w:val="auto"/>
        <w:outlineLvl w:val="9"/>
        <w:rPr>
          <w:rFonts w:hint="eastAsia" w:ascii="方正仿宋_GBK" w:hAnsi="方正仿宋_GBK" w:eastAsia="方正仿宋_GBK" w:cs="方正仿宋_GBK"/>
          <w:b w:val="0"/>
          <w:bCs w:val="0"/>
          <w:i w:val="0"/>
          <w:iCs w:val="0"/>
          <w:caps w:val="0"/>
          <w:color w:val="auto"/>
          <w:spacing w:val="0"/>
          <w:w w:val="100"/>
          <w:kern w:val="0"/>
          <w:position w:val="0"/>
          <w:sz w:val="24"/>
          <w:szCs w:val="24"/>
          <w:highlight w:val="none"/>
          <w:shd w:val="clear" w:color="auto" w:fill="FFFFFF"/>
          <w:lang w:val="en-US" w:eastAsia="zh-CN"/>
        </w:rPr>
      </w:pPr>
      <w:bookmarkStart w:id="74" w:name="OLE_LINK4"/>
      <w:r>
        <w:rPr>
          <w:rFonts w:hint="eastAsia" w:ascii="方正仿宋_GBK" w:hAnsi="方正仿宋_GBK" w:eastAsia="方正仿宋_GBK" w:cs="方正仿宋_GBK"/>
          <w:b w:val="0"/>
          <w:bCs w:val="0"/>
          <w:color w:val="auto"/>
          <w:spacing w:val="0"/>
          <w:w w:val="100"/>
          <w:kern w:val="0"/>
          <w:position w:val="0"/>
          <w:sz w:val="32"/>
          <w:szCs w:val="32"/>
          <w:highlight w:val="none"/>
          <w:u w:val="none"/>
          <w:lang w:val="en-US" w:eastAsia="zh-CN"/>
        </w:rPr>
        <w:t>加强各级应急救援专业力量建设。立足乌鲁木齐产业布局和风险特点，建强“综合+专业+社会”相结合的救援力量。依托市级综合性应急救援基地，加强八钢消防队、国能矿山救护队、西部管道消防队、自治区矿山救援总队等骨干队伍建设，在装备配备、训练保障、人员待遇上给予政策支持。推动规模以上高危行业企业配齐专（兼）职应急救援力量，鼓励社会应急救援队伍规范发展。制定应急救援队伍管理办法，规范各类队伍的调用程序、保障标准、训练要求，定期组织联防、联训、联动协同作战。</w:t>
      </w:r>
    </w:p>
    <w:bookmarkEnd w:id="74"/>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2"/>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pPr>
      <w:bookmarkStart w:id="75" w:name="_Toc13216"/>
      <w:bookmarkStart w:id="76" w:name="_Toc112"/>
      <w:bookmarkStart w:id="77" w:name="_Toc26650"/>
      <w:bookmarkStart w:id="78" w:name="_Toc24347"/>
      <w:bookmarkStart w:id="79" w:name="_Toc5745"/>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4.</w:t>
      </w:r>
      <w:bookmarkEnd w:id="75"/>
      <w:bookmarkEnd w:id="76"/>
      <w:bookmarkEnd w:id="77"/>
      <w:r>
        <w:rPr>
          <w:rFonts w:hint="eastAsia" w:cs="Times New Roman"/>
          <w:b w:val="0"/>
          <w:bCs w:val="0"/>
          <w:color w:val="auto"/>
          <w:spacing w:val="0"/>
          <w:w w:val="100"/>
          <w:kern w:val="2"/>
          <w:position w:val="0"/>
          <w:sz w:val="32"/>
          <w:szCs w:val="32"/>
          <w:highlight w:val="none"/>
          <w:lang w:val="en-US" w:eastAsia="zh-CN" w:bidi="ar-SA"/>
        </w:rPr>
        <w:t xml:space="preserve"> </w:t>
      </w:r>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强化应急物资保障体系</w:t>
      </w:r>
      <w:bookmarkEnd w:id="78"/>
      <w:bookmarkEnd w:id="79"/>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9"/>
        <w:rPr>
          <w:rFonts w:hint="eastAsia" w:ascii="Times New Roman" w:hAnsi="Times New Roman" w:eastAsia="方正仿宋_GBK" w:cs="方正仿宋_GBK"/>
          <w:b w:val="0"/>
          <w:bCs w:val="0"/>
          <w:color w:val="auto"/>
          <w:spacing w:val="0"/>
          <w:w w:val="100"/>
          <w:kern w:val="0"/>
          <w:position w:val="0"/>
          <w:sz w:val="32"/>
          <w:szCs w:val="32"/>
          <w:highlight w:val="none"/>
          <w:u w:val="none"/>
          <w:lang w:val="en-US" w:eastAsia="zh-CN"/>
        </w:rPr>
      </w:pPr>
      <w:r>
        <w:rPr>
          <w:rFonts w:hint="eastAsia" w:ascii="Times New Roman" w:hAnsi="Times New Roman" w:eastAsia="方正仿宋_GBK" w:cs="方正仿宋_GBK"/>
          <w:b w:val="0"/>
          <w:bCs w:val="0"/>
          <w:color w:val="auto"/>
          <w:spacing w:val="0"/>
          <w:w w:val="100"/>
          <w:kern w:val="0"/>
          <w:position w:val="0"/>
          <w:sz w:val="32"/>
          <w:szCs w:val="32"/>
          <w:highlight w:val="none"/>
          <w:u w:val="none"/>
          <w:lang w:val="en-US" w:eastAsia="zh-CN"/>
        </w:rPr>
        <w:t>完善应急物资保障机制。健全完善市区（县）应急物资储备库布局体系，健全物资收储、管理、轮换、调拨、保障机制。对照自治区救灾物资储备指导目录，补充完善物资品种和数量，重点加大地震救援、防汛抗旱、危险化学品处置和群众生活保障类物资储备。优化物资布局，把基础物资前置到自然灾害高发区、地震断裂带沿线和偏远乡镇，确保乡级、村级物资储备点的应急物资达到储备要求。对标“1小时响应”调整物资调运机制，构建“生活物资3小时紧急供应圈”。在中高风险社区（村）分批开展物资前置代储，引导社区和家庭储备必要的应急物资，力争五年内储备能力满足一级应急响应3万人的保障需求。</w:t>
      </w:r>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2"/>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pPr>
      <w:bookmarkStart w:id="80" w:name="_Toc12757"/>
      <w:bookmarkStart w:id="81" w:name="_Toc1180"/>
      <w:bookmarkStart w:id="82" w:name="_Toc3111"/>
      <w:bookmarkStart w:id="83" w:name="_Toc3377"/>
      <w:bookmarkStart w:id="84" w:name="_Toc14545"/>
      <w:bookmarkStart w:id="85" w:name="_Toc28146"/>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5.</w:t>
      </w:r>
      <w:bookmarkEnd w:id="80"/>
      <w:bookmarkEnd w:id="81"/>
      <w:bookmarkEnd w:id="82"/>
      <w:bookmarkEnd w:id="83"/>
      <w:r>
        <w:rPr>
          <w:rFonts w:hint="eastAsia" w:cs="Times New Roman"/>
          <w:b w:val="0"/>
          <w:bCs w:val="0"/>
          <w:color w:val="auto"/>
          <w:spacing w:val="0"/>
          <w:w w:val="100"/>
          <w:kern w:val="2"/>
          <w:position w:val="0"/>
          <w:sz w:val="32"/>
          <w:szCs w:val="32"/>
          <w:highlight w:val="none"/>
          <w:lang w:val="en-US" w:eastAsia="zh-CN" w:bidi="ar-SA"/>
        </w:rPr>
        <w:t xml:space="preserve"> </w:t>
      </w:r>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规范应急避难场所建设</w:t>
      </w:r>
      <w:bookmarkEnd w:id="84"/>
      <w:bookmarkEnd w:id="85"/>
    </w:p>
    <w:p>
      <w:pPr>
        <w:pStyle w:val="14"/>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rPr>
          <w:rFonts w:hint="eastAsia" w:ascii="Times New Roman" w:hAnsi="Times New Roman" w:eastAsia="方正仿宋_GBK" w:cs="方正仿宋_GBK"/>
          <w:b w:val="0"/>
          <w:bCs w:val="0"/>
          <w:color w:val="auto"/>
          <w:spacing w:val="0"/>
          <w:w w:val="100"/>
          <w:kern w:val="0"/>
          <w:position w:val="0"/>
          <w:sz w:val="32"/>
          <w:szCs w:val="32"/>
          <w:highlight w:val="none"/>
          <w:u w:val="none"/>
          <w:lang w:val="en-US" w:eastAsia="zh-CN"/>
        </w:rPr>
      </w:pPr>
      <w:r>
        <w:rPr>
          <w:rFonts w:hint="eastAsia" w:ascii="Times New Roman" w:hAnsi="Times New Roman" w:eastAsia="方正仿宋_GBK" w:cs="方正仿宋_GBK"/>
          <w:b w:val="0"/>
          <w:bCs w:val="0"/>
          <w:color w:val="auto"/>
          <w:spacing w:val="0"/>
          <w:w w:val="100"/>
          <w:kern w:val="0"/>
          <w:position w:val="0"/>
          <w:sz w:val="32"/>
          <w:szCs w:val="32"/>
          <w:highlight w:val="none"/>
          <w:u w:val="none"/>
          <w:lang w:val="en-US" w:eastAsia="zh-CN"/>
        </w:rPr>
        <w:t>统筹建设应急避难场所。充分利用广场、公园、绿地等开放空间，以及体育场馆、学校、人防工程、宾馆酒店等现有设施，规划建设多元化应急避难场所，推动基层社区建立临时疏散点、避难场所、紧急疏散通道等应急救助设施。设置综合减灾宣传栏，避险地图以及相关标识标牌，逐步构建市、区（县）、乡镇（街道）、村（社区）四级布局体系，避险面积在当前的489.2万平方米</w:t>
      </w:r>
      <w:r>
        <w:rPr>
          <w:rFonts w:hint="eastAsia" w:ascii="Times New Roman" w:hAnsi="Times New Roman" w:eastAsia="方正仿宋_GBK" w:cs="方正仿宋_GBK"/>
          <w:color w:val="auto"/>
          <w:spacing w:val="0"/>
          <w:w w:val="100"/>
          <w:kern w:val="2"/>
          <w:position w:val="0"/>
          <w:sz w:val="32"/>
          <w:szCs w:val="32"/>
          <w:highlight w:val="none"/>
          <w:u w:val="none"/>
          <w:lang w:val="en-US" w:eastAsia="zh-CN" w:bidi="ar-SA"/>
        </w:rPr>
        <w:t>的基础上增加</w:t>
      </w:r>
      <w:r>
        <w:rPr>
          <w:rFonts w:hint="eastAsia" w:ascii="Times New Roman" w:hAnsi="Times New Roman" w:eastAsia="方正仿宋_GBK" w:cs="方正仿宋_GBK"/>
          <w:b w:val="0"/>
          <w:bCs w:val="0"/>
          <w:color w:val="auto"/>
          <w:spacing w:val="0"/>
          <w:w w:val="100"/>
          <w:kern w:val="0"/>
          <w:position w:val="0"/>
          <w:sz w:val="32"/>
          <w:szCs w:val="32"/>
          <w:highlight w:val="none"/>
          <w:u w:val="none"/>
          <w:lang w:val="en-US" w:eastAsia="zh-CN"/>
        </w:rPr>
        <w:t>130.06万平方米，实现人均应急避难面积1.5平方米的目标。全面筛查现有集中避难场所和社区避难场所，开展专项整治，重点规范救援车辆通道、停车场建设管理，完善给排水、应急供电照明、通信等基础配套设施，规范更新各类标识标牌，补齐临时应急物资配备短板；重点避难场所足额配齐食品、照明、供水、帐篷等12类基础应急物资。深化公共基础设施“平急两用”和防灾、防空、防疫等应急避难资源融合共建、综合利用。</w:t>
      </w:r>
    </w:p>
    <w:tbl>
      <w:tblPr>
        <w:tblStyle w:val="10"/>
        <w:tblW w:w="8790" w:type="dxa"/>
        <w:jc w:val="center"/>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8790" w:type="dxa"/>
            <w:noWrap w:val="0"/>
            <w:vAlign w:val="top"/>
          </w:tcPr>
          <w:p>
            <w:pPr>
              <w:keepNext w:val="0"/>
              <w:keepLines w:val="0"/>
              <w:pageBreakBefore w:val="0"/>
              <w:widowControl w:val="0"/>
              <w:shd w:val="clear" w:color="auto" w:fill="auto"/>
              <w:kinsoku/>
              <w:wordWrap/>
              <w:overflowPunct w:val="0"/>
              <w:topLinePunct w:val="0"/>
              <w:autoSpaceDE/>
              <w:autoSpaceDN/>
              <w:bidi w:val="0"/>
              <w:spacing w:before="0" w:after="0" w:line="560" w:lineRule="exact"/>
              <w:ind w:left="0" w:leftChars="0" w:right="0" w:firstLine="643" w:firstLineChars="200"/>
              <w:jc w:val="center"/>
              <w:textAlignment w:val="auto"/>
              <w:rPr>
                <w:rFonts w:hint="default" w:ascii="Times New Roman" w:hAnsi="Times New Roman" w:eastAsia="方正仿宋_GBK" w:cs="Times New Roman"/>
                <w:color w:val="auto"/>
                <w:spacing w:val="0"/>
                <w:w w:val="100"/>
                <w:position w:val="0"/>
                <w:sz w:val="24"/>
                <w:szCs w:val="24"/>
                <w:highlight w:val="none"/>
                <w:vertAlign w:val="baseline"/>
                <w:lang w:val="zh-TW"/>
              </w:rPr>
            </w:pPr>
            <w:bookmarkStart w:id="86" w:name="_Toc25919"/>
            <w:bookmarkStart w:id="87" w:name="_Toc25192"/>
            <w:bookmarkStart w:id="88" w:name="_Toc3272"/>
            <w:bookmarkStart w:id="89" w:name="_Toc25371"/>
            <w:bookmarkStart w:id="90" w:name="_Toc16608"/>
            <w:r>
              <w:rPr>
                <w:rFonts w:hint="default" w:ascii="Times New Roman" w:hAnsi="Times New Roman" w:eastAsia="方正仿宋_GBK" w:cs="Times New Roman"/>
                <w:b/>
                <w:bCs/>
                <w:color w:val="auto"/>
                <w:spacing w:val="0"/>
                <w:w w:val="100"/>
                <w:position w:val="0"/>
                <w:sz w:val="32"/>
                <w:szCs w:val="32"/>
                <w:highlight w:val="none"/>
                <w:vertAlign w:val="baseline"/>
                <w:lang w:val="en-US" w:eastAsia="zh-CN"/>
              </w:rPr>
              <w:t>重点工程3  应急管理效能</w:t>
            </w:r>
            <w:r>
              <w:rPr>
                <w:rFonts w:hint="default" w:ascii="Times New Roman" w:hAnsi="Times New Roman" w:eastAsia="方正仿宋_GBK" w:cs="Times New Roman"/>
                <w:b/>
                <w:bCs/>
                <w:color w:val="auto"/>
                <w:spacing w:val="0"/>
                <w:w w:val="100"/>
                <w:position w:val="0"/>
                <w:sz w:val="32"/>
                <w:szCs w:val="32"/>
                <w:highlight w:val="none"/>
                <w:vertAlign w:val="baseline"/>
                <w:lang w:val="zh-TW"/>
              </w:rPr>
              <w:t>提升工程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8790" w:type="dxa"/>
            <w:noWrap w:val="0"/>
            <w:vAlign w:val="top"/>
          </w:tcPr>
          <w:p>
            <w:pPr>
              <w:keepNext w:val="0"/>
              <w:keepLines w:val="0"/>
              <w:pageBreakBefore w:val="0"/>
              <w:widowControl w:val="0"/>
              <w:numPr>
                <w:ilvl w:val="0"/>
                <w:numId w:val="0"/>
              </w:numPr>
              <w:shd w:val="clear" w:color="auto" w:fill="auto"/>
              <w:kinsoku/>
              <w:wordWrap/>
              <w:overflowPunct w:val="0"/>
              <w:topLinePunct w:val="0"/>
              <w:autoSpaceDE/>
              <w:autoSpaceDN/>
              <w:bidi w:val="0"/>
              <w:adjustRightInd w:val="0"/>
              <w:snapToGrid w:val="0"/>
              <w:spacing w:before="0" w:after="0" w:line="560" w:lineRule="exact"/>
              <w:ind w:left="0" w:leftChars="0" w:right="0" w:rightChars="0" w:firstLine="643" w:firstLineChars="200"/>
              <w:jc w:val="left"/>
              <w:textAlignment w:val="auto"/>
              <w:outlineLvl w:val="9"/>
              <w:rPr>
                <w:rFonts w:hint="default" w:ascii="Times New Roman" w:hAnsi="Times New Roman" w:eastAsia="方正仿宋_GBK" w:cs="Times New Roman"/>
                <w:color w:val="auto"/>
                <w:spacing w:val="0"/>
                <w:w w:val="100"/>
                <w:kern w:val="2"/>
                <w:position w:val="0"/>
                <w:sz w:val="32"/>
                <w:szCs w:val="32"/>
                <w:highlight w:val="none"/>
                <w:u w:val="none"/>
                <w:lang w:val="en-US" w:eastAsia="zh-CN" w:bidi="ar-SA"/>
              </w:rPr>
            </w:pPr>
            <w:r>
              <w:rPr>
                <w:rFonts w:hint="default" w:ascii="Times New Roman" w:hAnsi="Times New Roman" w:eastAsia="方正仿宋_GBK" w:cs="Times New Roman"/>
                <w:b/>
                <w:bCs/>
                <w:color w:val="auto"/>
                <w:spacing w:val="0"/>
                <w:w w:val="100"/>
                <w:kern w:val="0"/>
                <w:position w:val="0"/>
                <w:sz w:val="32"/>
                <w:szCs w:val="32"/>
                <w:highlight w:val="none"/>
                <w:u w:val="none"/>
                <w:lang w:val="en-US" w:eastAsia="zh-CN"/>
              </w:rPr>
              <w:t>8.应急指挥工程：</w:t>
            </w:r>
            <w:r>
              <w:rPr>
                <w:rFonts w:hint="eastAsia" w:ascii="Times New Roman" w:hAnsi="Times New Roman" w:eastAsia="方正仿宋_GBK" w:cs="Times New Roman"/>
                <w:b w:val="0"/>
                <w:bCs w:val="0"/>
                <w:color w:val="auto"/>
                <w:spacing w:val="0"/>
                <w:w w:val="100"/>
                <w:kern w:val="0"/>
                <w:position w:val="0"/>
                <w:sz w:val="32"/>
                <w:szCs w:val="32"/>
                <w:highlight w:val="none"/>
                <w:u w:val="none"/>
                <w:lang w:val="en-US" w:eastAsia="zh-CN"/>
              </w:rPr>
              <w:t>健</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全应急指挥体系，科学优化市县两级应急指挥场所空间布局与功能配置，重点强化灾害事故易发多发区域指挥大厅、应急值守、备勤休整等场所建设</w:t>
            </w:r>
            <w:r>
              <w:rPr>
                <w:rFonts w:hint="default" w:ascii="Times New Roman" w:hAnsi="Times New Roman" w:eastAsia="方正仿宋_GBK" w:cs="Times New Roman"/>
                <w:color w:val="auto"/>
                <w:spacing w:val="0"/>
                <w:w w:val="100"/>
                <w:kern w:val="2"/>
                <w:position w:val="0"/>
                <w:sz w:val="32"/>
                <w:szCs w:val="32"/>
                <w:highlight w:val="none"/>
                <w:u w:val="none"/>
                <w:lang w:val="en-US" w:eastAsia="zh-CN" w:bidi="ar-SA"/>
              </w:rPr>
              <w:t>。</w:t>
            </w:r>
          </w:p>
          <w:p>
            <w:pPr>
              <w:pStyle w:val="14"/>
              <w:keepNext w:val="0"/>
              <w:keepLines w:val="0"/>
              <w:pageBreakBefore w:val="0"/>
              <w:widowControl w:val="0"/>
              <w:numPr>
                <w:ilvl w:val="0"/>
                <w:numId w:val="0"/>
              </w:numPr>
              <w:shd w:val="clear" w:color="auto" w:fill="auto"/>
              <w:kinsoku/>
              <w:wordWrap/>
              <w:overflowPunct w:val="0"/>
              <w:topLinePunct w:val="0"/>
              <w:autoSpaceDE/>
              <w:autoSpaceDN/>
              <w:bidi w:val="0"/>
              <w:adjustRightInd w:val="0"/>
              <w:snapToGrid w:val="0"/>
              <w:spacing w:before="0" w:after="0" w:line="560" w:lineRule="exact"/>
              <w:ind w:left="0" w:leftChars="0" w:right="0" w:rightChars="0" w:firstLine="643" w:firstLineChars="200"/>
              <w:jc w:val="both"/>
              <w:textAlignment w:val="auto"/>
              <w:rPr>
                <w:rFonts w:hint="default" w:ascii="Times New Roman" w:hAnsi="Times New Roman" w:eastAsia="方正仿宋_GBK" w:cs="Times New Roman"/>
                <w:b w:val="0"/>
                <w:bCs w:val="0"/>
                <w:strike w:val="0"/>
                <w:dstrike w:val="0"/>
                <w:color w:val="auto"/>
                <w:spacing w:val="0"/>
                <w:w w:val="100"/>
                <w:kern w:val="0"/>
                <w:position w:val="0"/>
                <w:sz w:val="32"/>
                <w:szCs w:val="32"/>
                <w:highlight w:val="none"/>
                <w:u w:val="none"/>
                <w:lang w:val="en-US" w:eastAsia="zh-CN"/>
              </w:rPr>
            </w:pPr>
            <w:r>
              <w:rPr>
                <w:rFonts w:hint="default" w:ascii="Times New Roman" w:hAnsi="Times New Roman" w:eastAsia="方正仿宋_GBK" w:cs="Times New Roman"/>
                <w:b/>
                <w:bCs/>
                <w:color w:val="auto"/>
                <w:spacing w:val="0"/>
                <w:w w:val="100"/>
                <w:kern w:val="0"/>
                <w:position w:val="0"/>
                <w:sz w:val="32"/>
                <w:szCs w:val="32"/>
                <w:highlight w:val="none"/>
                <w:u w:val="none"/>
                <w:lang w:val="en-US" w:eastAsia="zh-CN"/>
              </w:rPr>
              <w:t>9.基层应急能力提升工程：</w:t>
            </w:r>
            <w:r>
              <w:rPr>
                <w:rFonts w:hint="default" w:ascii="Times New Roman" w:hAnsi="Times New Roman" w:eastAsia="方正仿宋_GBK" w:cs="Times New Roman"/>
                <w:strike w:val="0"/>
                <w:dstrike w:val="0"/>
                <w:color w:val="auto"/>
                <w:spacing w:val="0"/>
                <w:w w:val="100"/>
                <w:kern w:val="2"/>
                <w:position w:val="0"/>
                <w:sz w:val="32"/>
                <w:szCs w:val="32"/>
                <w:highlight w:val="none"/>
                <w:u w:val="none"/>
                <w:lang w:val="en-US" w:eastAsia="zh-CN" w:bidi="ar-SA"/>
              </w:rPr>
              <w:t>实施基础应急救援队伍实战能力提升工程，</w:t>
            </w:r>
            <w:r>
              <w:rPr>
                <w:rFonts w:hint="default" w:ascii="Times New Roman" w:hAnsi="Times New Roman" w:eastAsia="方正仿宋_GBK" w:cs="Times New Roman"/>
                <w:color w:val="auto"/>
                <w:spacing w:val="0"/>
                <w:w w:val="100"/>
                <w:kern w:val="2"/>
                <w:position w:val="0"/>
                <w:sz w:val="32"/>
                <w:szCs w:val="32"/>
                <w:highlight w:val="none"/>
                <w:u w:val="none"/>
                <w:lang w:val="en-US" w:eastAsia="zh-CN" w:bidi="ar-SA"/>
              </w:rPr>
              <w:t>统筹整合公安、消防现有训练场地、专业装备及师资力量，分批次、分类别组织全市基层应急救援队伍、社会志愿应急力量等开展实战轮训</w:t>
            </w:r>
            <w:r>
              <w:rPr>
                <w:rFonts w:hint="default" w:ascii="Times New Roman" w:hAnsi="Times New Roman" w:eastAsia="方正仿宋_GBK" w:cs="Times New Roman"/>
                <w:strike w:val="0"/>
                <w:dstrike w:val="0"/>
                <w:color w:val="auto"/>
                <w:spacing w:val="0"/>
                <w:w w:val="100"/>
                <w:kern w:val="2"/>
                <w:position w:val="0"/>
                <w:sz w:val="32"/>
                <w:szCs w:val="32"/>
                <w:highlight w:val="none"/>
                <w:u w:val="none"/>
                <w:lang w:val="en-US" w:eastAsia="zh-CN" w:bidi="ar-SA"/>
              </w:rPr>
              <w:t>，系统提升队伍应对各类灾害事故的综合处置能力</w:t>
            </w:r>
            <w:r>
              <w:rPr>
                <w:rFonts w:hint="default" w:ascii="Times New Roman" w:hAnsi="Times New Roman" w:eastAsia="方正仿宋_GBK" w:cs="Times New Roman"/>
                <w:b w:val="0"/>
                <w:bCs w:val="0"/>
                <w:strike w:val="0"/>
                <w:dstrike w:val="0"/>
                <w:color w:val="auto"/>
                <w:spacing w:val="0"/>
                <w:w w:val="100"/>
                <w:kern w:val="0"/>
                <w:position w:val="0"/>
                <w:sz w:val="32"/>
                <w:szCs w:val="32"/>
                <w:highlight w:val="none"/>
                <w:u w:val="none"/>
                <w:lang w:val="en-US" w:eastAsia="zh-CN"/>
              </w:rPr>
              <w:t>。</w:t>
            </w:r>
          </w:p>
          <w:p>
            <w:pPr>
              <w:pStyle w:val="14"/>
              <w:keepNext w:val="0"/>
              <w:keepLines w:val="0"/>
              <w:pageBreakBefore w:val="0"/>
              <w:widowControl w:val="0"/>
              <w:numPr>
                <w:ilvl w:val="0"/>
                <w:numId w:val="0"/>
              </w:numPr>
              <w:shd w:val="clear" w:color="auto" w:fill="auto"/>
              <w:kinsoku/>
              <w:wordWrap/>
              <w:overflowPunct w:val="0"/>
              <w:topLinePunct w:val="0"/>
              <w:autoSpaceDE/>
              <w:autoSpaceDN/>
              <w:bidi w:val="0"/>
              <w:adjustRightInd w:val="0"/>
              <w:snapToGrid w:val="0"/>
              <w:spacing w:before="0" w:after="0" w:line="560" w:lineRule="exact"/>
              <w:ind w:left="0" w:leftChars="0" w:right="0" w:rightChars="0" w:firstLine="643" w:firstLineChars="200"/>
              <w:jc w:val="both"/>
              <w:textAlignment w:val="auto"/>
              <w:rPr>
                <w:rFonts w:hint="default" w:ascii="Times New Roman" w:hAnsi="Times New Roman" w:eastAsia="方正仿宋_GBK" w:cs="Times New Roman"/>
                <w:b w:val="0"/>
                <w:bCs w:val="0"/>
                <w:strike w:val="0"/>
                <w:dstrike w:val="0"/>
                <w:color w:val="auto"/>
                <w:spacing w:val="0"/>
                <w:w w:val="100"/>
                <w:kern w:val="0"/>
                <w:position w:val="0"/>
                <w:sz w:val="32"/>
                <w:szCs w:val="32"/>
                <w:highlight w:val="none"/>
                <w:u w:val="none"/>
                <w:lang w:val="en-US" w:eastAsia="zh-CN"/>
              </w:rPr>
            </w:pPr>
            <w:r>
              <w:rPr>
                <w:rFonts w:hint="default" w:ascii="Times New Roman" w:hAnsi="Times New Roman" w:eastAsia="方正仿宋_GBK" w:cs="Times New Roman"/>
                <w:b/>
                <w:bCs/>
                <w:color w:val="auto"/>
                <w:spacing w:val="0"/>
                <w:w w:val="100"/>
                <w:kern w:val="0"/>
                <w:position w:val="0"/>
                <w:sz w:val="32"/>
                <w:szCs w:val="32"/>
                <w:highlight w:val="none"/>
                <w:u w:val="none"/>
                <w:lang w:val="en-US" w:eastAsia="zh-CN"/>
              </w:rPr>
              <w:t>10.北斗与应急信息系统深度融合：</w:t>
            </w:r>
            <w:r>
              <w:rPr>
                <w:rFonts w:hint="default" w:ascii="Times New Roman" w:hAnsi="Times New Roman" w:eastAsia="方正仿宋_GBK" w:cs="Times New Roman"/>
                <w:b w:val="0"/>
                <w:bCs w:val="0"/>
                <w:strike w:val="0"/>
                <w:dstrike w:val="0"/>
                <w:color w:val="auto"/>
                <w:spacing w:val="0"/>
                <w:w w:val="100"/>
                <w:kern w:val="0"/>
                <w:position w:val="0"/>
                <w:sz w:val="32"/>
                <w:szCs w:val="32"/>
                <w:highlight w:val="none"/>
                <w:u w:val="none"/>
                <w:lang w:val="en-US" w:eastAsia="zh-CN"/>
              </w:rPr>
              <w:t>将北斗卫星定位技术应用于自然灾害、安全生产等突发事件应对。应急指挥调度系统依托北斗定位，实现应急值守、队伍管理、资源调派联动，为跨域救援提供指挥中枢；应急指挥辅助决策系统依托北斗数据，为危化、地震等场景提供事件定位、力量调度等全流程决策支持；移动应用系统打通现场与指挥中心通道，提供信息报送、指令传递等功能，三者协同构建闭环应急管理能力。</w:t>
            </w:r>
          </w:p>
        </w:tc>
      </w:tr>
      <w:bookmarkEnd w:id="65"/>
      <w:bookmarkEnd w:id="70"/>
      <w:bookmarkEnd w:id="86"/>
      <w:bookmarkEnd w:id="87"/>
      <w:bookmarkEnd w:id="88"/>
      <w:bookmarkEnd w:id="89"/>
      <w:bookmarkEnd w:id="90"/>
    </w:tbl>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left"/>
        <w:textAlignment w:val="auto"/>
        <w:outlineLvl w:val="1"/>
        <w:rPr>
          <w:rFonts w:hint="default" w:ascii="Times New Roman" w:hAnsi="Times New Roman" w:eastAsia="方正楷体_GBK" w:cs="Times New Roman"/>
          <w:b w:val="0"/>
          <w:bCs w:val="0"/>
          <w:color w:val="auto"/>
          <w:spacing w:val="0"/>
          <w:w w:val="100"/>
          <w:kern w:val="2"/>
          <w:position w:val="0"/>
          <w:sz w:val="32"/>
          <w:szCs w:val="32"/>
          <w:highlight w:val="none"/>
          <w:lang w:val="en-US" w:eastAsia="zh-CN" w:bidi="ar-SA"/>
        </w:rPr>
      </w:pPr>
      <w:bookmarkStart w:id="91" w:name="_Toc9491"/>
      <w:bookmarkStart w:id="92" w:name="_Toc13456"/>
      <w:bookmarkStart w:id="93" w:name="_Toc18745"/>
      <w:bookmarkStart w:id="94" w:name="_Toc15800"/>
      <w:bookmarkStart w:id="95" w:name="_Toc15825"/>
      <w:r>
        <w:rPr>
          <w:rFonts w:hint="default" w:ascii="Times New Roman" w:hAnsi="Times New Roman" w:eastAsia="方正楷体_GBK" w:cs="Times New Roman"/>
          <w:b w:val="0"/>
          <w:bCs w:val="0"/>
          <w:color w:val="auto"/>
          <w:spacing w:val="0"/>
          <w:w w:val="100"/>
          <w:kern w:val="2"/>
          <w:position w:val="0"/>
          <w:sz w:val="32"/>
          <w:szCs w:val="32"/>
          <w:highlight w:val="none"/>
          <w:lang w:val="en-US" w:eastAsia="zh-CN" w:bidi="ar-SA"/>
        </w:rPr>
        <w:t>（四）</w:t>
      </w:r>
      <w:bookmarkEnd w:id="91"/>
      <w:bookmarkEnd w:id="92"/>
      <w:r>
        <w:rPr>
          <w:rFonts w:hint="default" w:ascii="Times New Roman" w:hAnsi="Times New Roman" w:eastAsia="方正楷体_GBK" w:cs="Times New Roman"/>
          <w:b w:val="0"/>
          <w:bCs w:val="0"/>
          <w:color w:val="auto"/>
          <w:spacing w:val="0"/>
          <w:w w:val="100"/>
          <w:kern w:val="2"/>
          <w:position w:val="0"/>
          <w:sz w:val="32"/>
          <w:szCs w:val="32"/>
          <w:highlight w:val="none"/>
          <w:lang w:val="en-US" w:eastAsia="zh-CN" w:bidi="ar-SA"/>
        </w:rPr>
        <w:t>推进智慧应急体系建设，强化科技创新支撑</w:t>
      </w:r>
      <w:bookmarkEnd w:id="93"/>
      <w:bookmarkEnd w:id="94"/>
      <w:bookmarkEnd w:id="95"/>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2"/>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pPr>
      <w:bookmarkStart w:id="96" w:name="_Toc23156"/>
      <w:bookmarkStart w:id="97" w:name="_Toc30513"/>
      <w:bookmarkStart w:id="98" w:name="_Toc14168"/>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1.</w:t>
      </w:r>
      <w:r>
        <w:rPr>
          <w:rFonts w:hint="eastAsia" w:cs="Times New Roman"/>
          <w:b w:val="0"/>
          <w:bCs w:val="0"/>
          <w:color w:val="auto"/>
          <w:spacing w:val="0"/>
          <w:w w:val="100"/>
          <w:kern w:val="2"/>
          <w:position w:val="0"/>
          <w:sz w:val="32"/>
          <w:szCs w:val="32"/>
          <w:highlight w:val="none"/>
          <w:lang w:val="en-US" w:eastAsia="zh-CN" w:bidi="ar-SA"/>
        </w:rPr>
        <w:t xml:space="preserve"> </w:t>
      </w:r>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推进应急指挥智能升级</w:t>
      </w:r>
      <w:bookmarkEnd w:id="96"/>
      <w:bookmarkEnd w:id="97"/>
      <w:bookmarkEnd w:id="98"/>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left"/>
        <w:textAlignment w:val="auto"/>
        <w:outlineLvl w:val="9"/>
        <w:rPr>
          <w:rFonts w:hint="eastAsia" w:ascii="方正仿宋_GBK" w:hAnsi="方正仿宋_GBK" w:eastAsia="方正仿宋_GBK" w:cs="方正仿宋_GBK"/>
          <w:b w:val="0"/>
          <w:bCs w:val="0"/>
          <w:color w:val="auto"/>
          <w:spacing w:val="0"/>
          <w:w w:val="100"/>
          <w:kern w:val="0"/>
          <w:position w:val="0"/>
          <w:sz w:val="32"/>
          <w:szCs w:val="32"/>
          <w:highlight w:val="none"/>
          <w:u w:val="none"/>
          <w:lang w:val="en-US" w:eastAsia="zh-CN"/>
        </w:rPr>
      </w:pPr>
      <w:bookmarkStart w:id="99" w:name="OLE_LINK3"/>
      <w:r>
        <w:rPr>
          <w:rFonts w:hint="eastAsia" w:ascii="方正仿宋_GBK" w:hAnsi="方正仿宋_GBK" w:eastAsia="方正仿宋_GBK" w:cs="方正仿宋_GBK"/>
          <w:b w:val="0"/>
          <w:bCs w:val="0"/>
          <w:color w:val="auto"/>
          <w:spacing w:val="0"/>
          <w:w w:val="100"/>
          <w:kern w:val="0"/>
          <w:position w:val="0"/>
          <w:sz w:val="32"/>
          <w:szCs w:val="32"/>
          <w:highlight w:val="none"/>
          <w:u w:val="none"/>
          <w:lang w:val="en-US" w:eastAsia="zh-CN"/>
        </w:rPr>
        <w:t>深入推进智慧应急建设。扎实推动人工智能在安全生产监管、防灾减灾救灾、安全预警等方面的应用。运用大数据、物联网技术推动</w:t>
      </w:r>
      <w:r>
        <w:rPr>
          <w:rFonts w:hint="eastAsia" w:ascii="方正仿宋_GBK" w:hAnsi="方正仿宋_GBK" w:eastAsia="方正仿宋_GBK" w:cs="方正仿宋_GBK"/>
          <w:b w:val="0"/>
          <w:bCs w:val="0"/>
          <w:strike w:val="0"/>
          <w:dstrike w:val="0"/>
          <w:color w:val="auto"/>
          <w:spacing w:val="0"/>
          <w:w w:val="100"/>
          <w:kern w:val="2"/>
          <w:position w:val="0"/>
          <w:sz w:val="32"/>
          <w:szCs w:val="32"/>
          <w:highlight w:val="none"/>
          <w:u w:val="none"/>
          <w:lang w:val="zh-TW" w:eastAsia="zh-CN" w:bidi="ar-SA"/>
        </w:rPr>
        <w:t>道路交通、建筑施工、消防、文化旅游、特种设备、城镇燃气、矿山、危险化学品、工贸等重点行业领域</w:t>
      </w:r>
      <w:r>
        <w:rPr>
          <w:rFonts w:hint="eastAsia" w:ascii="方正仿宋_GBK" w:hAnsi="方正仿宋_GBK" w:eastAsia="方正仿宋_GBK" w:cs="方正仿宋_GBK"/>
          <w:b w:val="0"/>
          <w:bCs w:val="0"/>
          <w:color w:val="auto"/>
          <w:spacing w:val="0"/>
          <w:w w:val="100"/>
          <w:kern w:val="0"/>
          <w:position w:val="0"/>
          <w:sz w:val="32"/>
          <w:szCs w:val="32"/>
          <w:highlight w:val="none"/>
          <w:u w:val="none"/>
          <w:lang w:val="en-US" w:eastAsia="zh-CN"/>
        </w:rPr>
        <w:t>安全风险监测预警系统建设。推动各部门安全相关数据接入乌鲁木齐市应急指挥部，推进指挥“一张网”和融合通信网络建设，强化数据汇聚共享</w:t>
      </w:r>
      <w:r>
        <w:rPr>
          <w:rFonts w:hint="eastAsia" w:ascii="方正仿宋_GBK" w:hAnsi="方正仿宋_GBK" w:eastAsia="方正仿宋_GBK" w:cs="方正仿宋_GBK"/>
          <w:b/>
          <w:bCs/>
          <w:color w:val="auto"/>
          <w:spacing w:val="0"/>
          <w:w w:val="100"/>
          <w:kern w:val="0"/>
          <w:position w:val="0"/>
          <w:sz w:val="32"/>
          <w:szCs w:val="32"/>
          <w:highlight w:val="none"/>
          <w:u w:val="none"/>
          <w:lang w:val="en-US" w:eastAsia="zh-CN"/>
        </w:rPr>
        <w:t>，</w:t>
      </w:r>
      <w:r>
        <w:rPr>
          <w:rFonts w:hint="eastAsia" w:ascii="方正仿宋_GBK" w:hAnsi="方正仿宋_GBK" w:eastAsia="方正仿宋_GBK" w:cs="方正仿宋_GBK"/>
          <w:b w:val="0"/>
          <w:bCs w:val="0"/>
          <w:color w:val="auto"/>
          <w:spacing w:val="0"/>
          <w:w w:val="100"/>
          <w:kern w:val="0"/>
          <w:position w:val="0"/>
          <w:sz w:val="32"/>
          <w:szCs w:val="32"/>
          <w:highlight w:val="none"/>
          <w:u w:val="none"/>
          <w:lang w:val="en-US" w:eastAsia="zh-CN"/>
        </w:rPr>
        <w:t>应用自然灾害预警靶向发布平台、新疆应急一键通信息管理系统，共建共用应急联合指挥平台，实现各级应急管理部门和消防救援队伍共享灾害事故信息，融合应急值守力量，协同高效应对处置各类灾害事故。</w:t>
      </w:r>
    </w:p>
    <w:bookmarkEnd w:id="99"/>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2"/>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pPr>
      <w:bookmarkStart w:id="100" w:name="_Toc17986"/>
      <w:bookmarkStart w:id="101" w:name="_Toc15656"/>
      <w:bookmarkStart w:id="102" w:name="_Toc7494"/>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2</w:t>
      </w:r>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w:t>
      </w:r>
      <w:bookmarkEnd w:id="100"/>
      <w:bookmarkEnd w:id="101"/>
      <w:r>
        <w:rPr>
          <w:rFonts w:hint="eastAsia" w:cs="Times New Roman"/>
          <w:b w:val="0"/>
          <w:bCs w:val="0"/>
          <w:color w:val="auto"/>
          <w:spacing w:val="0"/>
          <w:w w:val="100"/>
          <w:kern w:val="2"/>
          <w:position w:val="0"/>
          <w:sz w:val="32"/>
          <w:szCs w:val="32"/>
          <w:highlight w:val="none"/>
          <w:lang w:val="en-US" w:eastAsia="zh-CN" w:bidi="ar-SA"/>
        </w:rPr>
        <w:t xml:space="preserve"> </w:t>
      </w:r>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强化先进技术装备应用</w:t>
      </w:r>
      <w:bookmarkEnd w:id="102"/>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left"/>
        <w:textAlignment w:val="auto"/>
        <w:outlineLvl w:val="9"/>
        <w:rPr>
          <w:rFonts w:hint="default" w:ascii="Times New Roman" w:hAnsi="Times New Roman" w:eastAsia="方正仿宋_GBK" w:cs="Times New Roman"/>
          <w:b w:val="0"/>
          <w:bCs w:val="0"/>
          <w:color w:val="000000"/>
          <w:spacing w:val="0"/>
          <w:w w:val="100"/>
          <w:kern w:val="0"/>
          <w:position w:val="0"/>
          <w:sz w:val="32"/>
          <w:szCs w:val="32"/>
          <w:highlight w:val="none"/>
          <w:u w:val="none"/>
          <w:lang w:val="en-US" w:eastAsia="zh-CN"/>
        </w:rPr>
      </w:pPr>
      <w:r>
        <w:rPr>
          <w:rFonts w:hint="default" w:ascii="Times New Roman" w:hAnsi="Times New Roman" w:eastAsia="方正仿宋_GBK" w:cs="Times New Roman"/>
          <w:b w:val="0"/>
          <w:bCs w:val="0"/>
          <w:color w:val="000000"/>
          <w:spacing w:val="0"/>
          <w:w w:val="100"/>
          <w:kern w:val="0"/>
          <w:position w:val="0"/>
          <w:sz w:val="32"/>
          <w:szCs w:val="32"/>
          <w:highlight w:val="none"/>
          <w:u w:val="none"/>
          <w:lang w:val="en-US" w:eastAsia="zh-CN"/>
        </w:rPr>
        <w:t>加大先进适用技术装备推广应用力度。增加机器人、无人机等先进装备配备数量，加强操作使用培训，推动在地震、森林草原火灾、水旱灾害、雨雪冰冻及地质灾害等抢险救援场景应用。积极推广智能化、无人化的安全生产风险监测预警装备，重点提升危险工艺设备的机械化自动化水平，推广矿山智能掘进、机械连续采矿等先进开采工艺和危险化学品高危工艺企业智能化、无人化建设，引导企业数字化转型。</w:t>
      </w:r>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left"/>
        <w:textAlignment w:val="auto"/>
        <w:outlineLvl w:val="1"/>
        <w:rPr>
          <w:rFonts w:hint="default" w:ascii="Times New Roman" w:hAnsi="Times New Roman" w:eastAsia="方正楷体_GBK" w:cs="Times New Roman"/>
          <w:b w:val="0"/>
          <w:bCs w:val="0"/>
          <w:color w:val="auto"/>
          <w:spacing w:val="0"/>
          <w:w w:val="100"/>
          <w:kern w:val="2"/>
          <w:position w:val="0"/>
          <w:sz w:val="32"/>
          <w:szCs w:val="32"/>
          <w:highlight w:val="none"/>
          <w:lang w:val="en-US" w:eastAsia="zh-CN" w:bidi="ar-SA"/>
        </w:rPr>
      </w:pPr>
      <w:bookmarkStart w:id="103" w:name="_Toc4258"/>
      <w:bookmarkStart w:id="104" w:name="_Toc28954"/>
      <w:bookmarkStart w:id="105" w:name="_Toc10049"/>
      <w:bookmarkStart w:id="106" w:name="_Toc24563"/>
      <w:bookmarkStart w:id="107" w:name="_Toc4651"/>
      <w:r>
        <w:rPr>
          <w:rFonts w:hint="default" w:ascii="Times New Roman" w:hAnsi="Times New Roman" w:eastAsia="方正楷体_GBK" w:cs="Times New Roman"/>
          <w:b w:val="0"/>
          <w:bCs w:val="0"/>
          <w:color w:val="auto"/>
          <w:spacing w:val="0"/>
          <w:w w:val="100"/>
          <w:kern w:val="2"/>
          <w:position w:val="0"/>
          <w:sz w:val="32"/>
          <w:szCs w:val="32"/>
          <w:highlight w:val="none"/>
          <w:lang w:val="en-US" w:eastAsia="zh-CN" w:bidi="ar-SA"/>
        </w:rPr>
        <w:t>（五）完善社会共治体系建设，筑牢安全发展根基</w:t>
      </w:r>
      <w:bookmarkEnd w:id="103"/>
      <w:bookmarkEnd w:id="104"/>
      <w:bookmarkEnd w:id="105"/>
      <w:bookmarkEnd w:id="106"/>
      <w:bookmarkEnd w:id="107"/>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2"/>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pPr>
      <w:bookmarkStart w:id="108" w:name="_Toc31484"/>
      <w:bookmarkStart w:id="109" w:name="_Toc28986"/>
      <w:bookmarkStart w:id="110" w:name="_Toc8736"/>
      <w:bookmarkStart w:id="111" w:name="_Toc21882"/>
      <w:bookmarkStart w:id="112" w:name="_Toc30860"/>
      <w:bookmarkStart w:id="113" w:name="_Toc31137"/>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1.</w:t>
      </w:r>
      <w:bookmarkEnd w:id="108"/>
      <w:bookmarkEnd w:id="109"/>
      <w:r>
        <w:rPr>
          <w:rFonts w:hint="eastAsia" w:cs="Times New Roman"/>
          <w:b w:val="0"/>
          <w:bCs w:val="0"/>
          <w:color w:val="auto"/>
          <w:spacing w:val="0"/>
          <w:w w:val="100"/>
          <w:kern w:val="2"/>
          <w:position w:val="0"/>
          <w:sz w:val="32"/>
          <w:szCs w:val="32"/>
          <w:highlight w:val="none"/>
          <w:lang w:val="en-US" w:eastAsia="zh-CN" w:bidi="ar-SA"/>
        </w:rPr>
        <w:t xml:space="preserve"> </w:t>
      </w:r>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引导社会力量有序参与</w:t>
      </w:r>
      <w:bookmarkEnd w:id="110"/>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left"/>
        <w:textAlignment w:val="auto"/>
        <w:outlineLvl w:val="9"/>
        <w:rPr>
          <w:rFonts w:hint="default" w:ascii="Times New Roman" w:hAnsi="Times New Roman" w:eastAsia="方正仿宋_GBK" w:cs="Times New Roman"/>
          <w:b w:val="0"/>
          <w:bCs w:val="0"/>
          <w:i w:val="0"/>
          <w:iCs w:val="0"/>
          <w:caps w:val="0"/>
          <w:color w:val="auto"/>
          <w:spacing w:val="0"/>
          <w:w w:val="100"/>
          <w:kern w:val="0"/>
          <w:position w:val="0"/>
          <w:sz w:val="24"/>
          <w:szCs w:val="24"/>
          <w:highlight w:val="none"/>
          <w:shd w:val="clear" w:color="auto" w:fill="FFFFFF"/>
          <w:lang w:val="en-US" w:eastAsia="zh-CN"/>
        </w:rPr>
      </w:pPr>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凝聚社会救援力量。畅通社会公众参与应急救援的渠道，鼓励通过捐赠、志愿服务、提供专业支持等方式贡献各自力量。建立政府与社会力量的常态化沟通协调机制，平时加强联系联动，灾时高效对接、形成合力。</w:t>
      </w:r>
      <w:r>
        <w:rPr>
          <w:rFonts w:hint="eastAsia" w:ascii="Times New Roman" w:hAnsi="Times New Roman" w:eastAsia="方正仿宋_GBK" w:cs="Times New Roman"/>
          <w:b w:val="0"/>
          <w:bCs w:val="0"/>
          <w:color w:val="auto"/>
          <w:spacing w:val="0"/>
          <w:w w:val="100"/>
          <w:kern w:val="0"/>
          <w:position w:val="0"/>
          <w:sz w:val="32"/>
          <w:szCs w:val="32"/>
          <w:highlight w:val="none"/>
          <w:u w:val="none"/>
          <w:lang w:val="en-US" w:eastAsia="zh-CN"/>
        </w:rPr>
        <w:t>健</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全应急舆情监测与联动处置机制，做到权威信息及时准确发布，切实维护应急管理工作的公信力。</w:t>
      </w:r>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2"/>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pPr>
      <w:bookmarkStart w:id="114" w:name="_Toc28829"/>
      <w:bookmarkStart w:id="115" w:name="_Toc29258"/>
      <w:bookmarkStart w:id="116" w:name="_Toc29698"/>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2</w:t>
      </w:r>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w:t>
      </w:r>
      <w:bookmarkEnd w:id="114"/>
      <w:r>
        <w:rPr>
          <w:rFonts w:hint="eastAsia" w:cs="Times New Roman"/>
          <w:b w:val="0"/>
          <w:bCs w:val="0"/>
          <w:color w:val="auto"/>
          <w:spacing w:val="0"/>
          <w:w w:val="100"/>
          <w:kern w:val="2"/>
          <w:position w:val="0"/>
          <w:sz w:val="32"/>
          <w:szCs w:val="32"/>
          <w:highlight w:val="none"/>
          <w:lang w:val="en-US" w:eastAsia="zh-CN" w:bidi="ar-SA"/>
        </w:rPr>
        <w:t xml:space="preserve"> </w:t>
      </w:r>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完善应急通信保障</w:t>
      </w:r>
      <w:bookmarkEnd w:id="115"/>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left"/>
        <w:textAlignment w:val="auto"/>
        <w:outlineLvl w:val="9"/>
        <w:rPr>
          <w:rFonts w:hint="eastAsia" w:ascii="Times New Roman" w:hAnsi="Times New Roman" w:eastAsia="方正仿宋_GBK" w:cs="方正仿宋_GBK"/>
          <w:b w:val="0"/>
          <w:bCs w:val="0"/>
          <w:color w:val="auto"/>
          <w:spacing w:val="0"/>
          <w:w w:val="100"/>
          <w:kern w:val="0"/>
          <w:position w:val="0"/>
          <w:sz w:val="32"/>
          <w:szCs w:val="32"/>
          <w:highlight w:val="none"/>
          <w:u w:val="none"/>
          <w:lang w:val="en-US" w:eastAsia="zh-CN"/>
        </w:rPr>
      </w:pPr>
      <w:r>
        <w:rPr>
          <w:rFonts w:hint="eastAsia" w:ascii="Times New Roman" w:hAnsi="Times New Roman" w:eastAsia="方正仿宋_GBK" w:cs="方正仿宋_GBK"/>
          <w:b w:val="0"/>
          <w:bCs w:val="0"/>
          <w:color w:val="auto"/>
          <w:spacing w:val="0"/>
          <w:w w:val="100"/>
          <w:kern w:val="0"/>
          <w:position w:val="0"/>
          <w:sz w:val="32"/>
          <w:szCs w:val="32"/>
          <w:highlight w:val="none"/>
          <w:u w:val="none"/>
          <w:lang w:val="en-US" w:eastAsia="zh-CN"/>
        </w:rPr>
        <w:t>补齐通信保障短板。针对乌鲁木齐地形狭长、山区面积大的实际，重点解决“断电、断网、断路”极端条件下的通信难题。在南部山区、达坂城等偏远区域和多灾易灾边缘村，配齐配强卫星电话、卫星便携站、370M对讲机等通信终端，确保应急状态下通信联络畅通。常态化组织无信号区域通信保障拉练，让基层人员熟练掌握各类通信装备操作。推广新型通信装备在基层一线应用，逐步消除通信盲区，为灾害救援提供可靠通信支撑。</w:t>
      </w:r>
    </w:p>
    <w:p>
      <w:pPr>
        <w:keepNext w:val="0"/>
        <w:keepLines w:val="0"/>
        <w:pageBreakBefore w:val="0"/>
        <w:widowControl w:val="0"/>
        <w:shd w:val="clear" w:color="auto" w:fill="auto"/>
        <w:kinsoku/>
        <w:wordWrap/>
        <w:overflowPunct w:val="0"/>
        <w:topLinePunct w:val="0"/>
        <w:autoSpaceDE/>
        <w:autoSpaceDN/>
        <w:bidi w:val="0"/>
        <w:spacing w:before="0" w:after="0" w:line="560" w:lineRule="exact"/>
        <w:ind w:left="0" w:leftChars="0" w:right="0" w:firstLine="0"/>
        <w:jc w:val="left"/>
        <w:textAlignment w:val="auto"/>
        <w:rPr>
          <w:rFonts w:hint="default" w:ascii="Times New Roman" w:hAnsi="Times New Roman" w:eastAsia="方正仿宋_GBK" w:cs="Times New Roman"/>
          <w:color w:val="000000"/>
          <w:spacing w:val="0"/>
          <w:w w:val="100"/>
          <w:kern w:val="0"/>
          <w:position w:val="0"/>
          <w:sz w:val="24"/>
          <w:szCs w:val="24"/>
          <w:highlight w:val="none"/>
          <w:lang w:val="en-US" w:eastAsia="zh-CN"/>
        </w:rPr>
      </w:pPr>
    </w:p>
    <w:tbl>
      <w:tblPr>
        <w:tblStyle w:val="10"/>
        <w:tblW w:w="871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8712" w:type="dxa"/>
            <w:noWrap w:val="0"/>
            <w:vAlign w:val="top"/>
          </w:tcPr>
          <w:p>
            <w:pPr>
              <w:keepNext w:val="0"/>
              <w:keepLines w:val="0"/>
              <w:pageBreakBefore w:val="0"/>
              <w:widowControl w:val="0"/>
              <w:shd w:val="clear" w:color="auto" w:fill="auto"/>
              <w:kinsoku/>
              <w:wordWrap/>
              <w:overflowPunct w:val="0"/>
              <w:topLinePunct w:val="0"/>
              <w:autoSpaceDE/>
              <w:autoSpaceDN/>
              <w:bidi w:val="0"/>
              <w:spacing w:before="0" w:after="0" w:line="560" w:lineRule="exact"/>
              <w:ind w:left="0" w:leftChars="0" w:right="0" w:firstLine="643" w:firstLineChars="200"/>
              <w:jc w:val="center"/>
              <w:textAlignment w:val="auto"/>
              <w:rPr>
                <w:rFonts w:hint="default" w:ascii="Times New Roman" w:hAnsi="Times New Roman" w:eastAsia="方正仿宋_GBK" w:cs="Times New Roman"/>
                <w:color w:val="auto"/>
                <w:spacing w:val="0"/>
                <w:w w:val="100"/>
                <w:position w:val="0"/>
                <w:sz w:val="24"/>
                <w:szCs w:val="24"/>
                <w:highlight w:val="none"/>
                <w:vertAlign w:val="baseline"/>
                <w:lang w:val="zh-TW"/>
              </w:rPr>
            </w:pPr>
            <w:bookmarkStart w:id="117" w:name="_Toc11179"/>
            <w:bookmarkStart w:id="118" w:name="_Toc5564"/>
            <w:bookmarkStart w:id="119" w:name="_Toc4072"/>
            <w:bookmarkStart w:id="120" w:name="_Toc3005"/>
            <w:bookmarkStart w:id="121" w:name="_Toc29087"/>
            <w:bookmarkStart w:id="122" w:name="_Toc11698"/>
            <w:bookmarkStart w:id="123" w:name="_Toc6580"/>
            <w:bookmarkStart w:id="124" w:name="_Toc32377"/>
            <w:bookmarkStart w:id="125" w:name="_Toc19516"/>
            <w:bookmarkStart w:id="126" w:name="_Toc18546"/>
            <w:r>
              <w:rPr>
                <w:rFonts w:hint="default" w:ascii="Times New Roman" w:hAnsi="Times New Roman" w:eastAsia="方正仿宋_GBK" w:cs="Times New Roman"/>
                <w:b/>
                <w:bCs/>
                <w:color w:val="auto"/>
                <w:spacing w:val="0"/>
                <w:w w:val="100"/>
                <w:position w:val="0"/>
                <w:sz w:val="32"/>
                <w:szCs w:val="32"/>
                <w:highlight w:val="none"/>
                <w:vertAlign w:val="baseline"/>
                <w:lang w:val="en-US" w:eastAsia="zh-CN"/>
              </w:rPr>
              <w:t>重点工程4  智慧应急建设</w:t>
            </w:r>
            <w:r>
              <w:rPr>
                <w:rFonts w:hint="default" w:ascii="Times New Roman" w:hAnsi="Times New Roman" w:eastAsia="方正仿宋_GBK" w:cs="Times New Roman"/>
                <w:b/>
                <w:bCs/>
                <w:color w:val="auto"/>
                <w:spacing w:val="0"/>
                <w:w w:val="100"/>
                <w:position w:val="0"/>
                <w:sz w:val="32"/>
                <w:szCs w:val="32"/>
                <w:highlight w:val="none"/>
                <w:vertAlign w:val="baseline"/>
                <w:lang w:val="zh-TW"/>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8712" w:type="dxa"/>
            <w:noWrap w:val="0"/>
            <w:vAlign w:val="top"/>
          </w:tcPr>
          <w:p>
            <w:pPr>
              <w:pStyle w:val="14"/>
              <w:keepNext w:val="0"/>
              <w:keepLines w:val="0"/>
              <w:pageBreakBefore w:val="0"/>
              <w:widowControl w:val="0"/>
              <w:numPr>
                <w:ilvl w:val="0"/>
                <w:numId w:val="0"/>
              </w:numPr>
              <w:shd w:val="clear" w:color="auto" w:fill="auto"/>
              <w:kinsoku/>
              <w:wordWrap/>
              <w:overflowPunct w:val="0"/>
              <w:topLinePunct w:val="0"/>
              <w:autoSpaceDE/>
              <w:autoSpaceDN/>
              <w:bidi w:val="0"/>
              <w:adjustRightInd w:val="0"/>
              <w:snapToGrid w:val="0"/>
              <w:spacing w:before="0" w:after="0" w:line="560" w:lineRule="exact"/>
              <w:ind w:left="0" w:leftChars="0" w:right="0" w:rightChars="0" w:firstLine="643" w:firstLineChars="200"/>
              <w:jc w:val="both"/>
              <w:textAlignment w:val="auto"/>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pPr>
            <w:r>
              <w:rPr>
                <w:rFonts w:hint="default" w:ascii="Times New Roman" w:hAnsi="Times New Roman" w:eastAsia="方正仿宋_GBK" w:cs="Times New Roman"/>
                <w:b/>
                <w:bCs/>
                <w:color w:val="auto"/>
                <w:spacing w:val="0"/>
                <w:w w:val="100"/>
                <w:kern w:val="0"/>
                <w:position w:val="0"/>
                <w:sz w:val="32"/>
                <w:szCs w:val="32"/>
                <w:highlight w:val="none"/>
                <w:u w:val="none"/>
                <w:lang w:val="en-US" w:eastAsia="zh-CN"/>
              </w:rPr>
              <w:t>11.应急救援通信平台：</w:t>
            </w:r>
            <w:r>
              <w:rPr>
                <w:rFonts w:hint="default" w:ascii="Times New Roman" w:hAnsi="Times New Roman" w:eastAsia="方正仿宋_GBK" w:cs="Times New Roman"/>
                <w:color w:val="auto"/>
                <w:spacing w:val="0"/>
                <w:kern w:val="0"/>
                <w:sz w:val="32"/>
                <w:szCs w:val="32"/>
                <w:highlight w:val="none"/>
                <w:lang w:val="en-US" w:eastAsia="zh-CN"/>
              </w:rPr>
              <w:t>推进应急救援融合通信平台建设，完善语音调度、视频调度、会议调度、电话调度及短信调度等核心功能，进一步扩大融合通信平台使用范围，由煤矿企业逐步向危化、工贸企业推广使用</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w:t>
            </w:r>
          </w:p>
        </w:tc>
      </w:tr>
      <w:bookmarkEnd w:id="117"/>
      <w:bookmarkEnd w:id="118"/>
      <w:bookmarkEnd w:id="119"/>
      <w:bookmarkEnd w:id="120"/>
      <w:bookmarkEnd w:id="121"/>
      <w:bookmarkEnd w:id="122"/>
      <w:bookmarkEnd w:id="123"/>
      <w:bookmarkEnd w:id="124"/>
      <w:bookmarkEnd w:id="125"/>
      <w:bookmarkEnd w:id="126"/>
    </w:tbl>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2"/>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pPr>
      <w:bookmarkStart w:id="127" w:name="_Toc24031"/>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3.</w:t>
      </w:r>
      <w:bookmarkEnd w:id="111"/>
      <w:bookmarkEnd w:id="112"/>
      <w:bookmarkEnd w:id="116"/>
      <w:r>
        <w:rPr>
          <w:rFonts w:hint="eastAsia" w:cs="Times New Roman"/>
          <w:b w:val="0"/>
          <w:bCs w:val="0"/>
          <w:color w:val="auto"/>
          <w:spacing w:val="0"/>
          <w:w w:val="100"/>
          <w:kern w:val="2"/>
          <w:position w:val="0"/>
          <w:sz w:val="32"/>
          <w:szCs w:val="32"/>
          <w:highlight w:val="none"/>
          <w:lang w:val="en-US" w:eastAsia="zh-CN" w:bidi="ar-SA"/>
        </w:rPr>
        <w:t xml:space="preserve"> </w:t>
      </w:r>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加强应急管理人才队伍建设</w:t>
      </w:r>
      <w:bookmarkEnd w:id="127"/>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9"/>
        <w:rPr>
          <w:rFonts w:hint="eastAsia" w:ascii="方正仿宋_GBK" w:hAnsi="方正仿宋_GBK" w:eastAsia="方正仿宋_GBK" w:cs="方正仿宋_GBK"/>
          <w:b/>
          <w:bCs/>
          <w:i w:val="0"/>
          <w:iCs w:val="0"/>
          <w:caps w:val="0"/>
          <w:color w:val="auto"/>
          <w:spacing w:val="0"/>
          <w:w w:val="100"/>
          <w:kern w:val="0"/>
          <w:position w:val="0"/>
          <w:sz w:val="24"/>
          <w:szCs w:val="24"/>
          <w:highlight w:val="none"/>
          <w:shd w:val="clear" w:color="auto" w:fill="FFFFFF"/>
          <w:lang w:val="en-US" w:eastAsia="zh-CN"/>
        </w:rPr>
      </w:pPr>
      <w:r>
        <w:rPr>
          <w:rFonts w:hint="eastAsia" w:ascii="方正仿宋_GBK" w:hAnsi="方正仿宋_GBK" w:eastAsia="方正仿宋_GBK" w:cs="方正仿宋_GBK"/>
          <w:b w:val="0"/>
          <w:bCs w:val="0"/>
          <w:strike w:val="0"/>
          <w:dstrike w:val="0"/>
          <w:color w:val="auto"/>
          <w:spacing w:val="0"/>
          <w:w w:val="100"/>
          <w:kern w:val="0"/>
          <w:position w:val="0"/>
          <w:sz w:val="32"/>
          <w:szCs w:val="32"/>
          <w:highlight w:val="none"/>
          <w:u w:val="none"/>
          <w:lang w:val="en-US" w:eastAsia="zh-CN"/>
        </w:rPr>
        <w:t>加快培养应急专业人才。把应急管理内容纳入各级党校培训课程。健全应急管理系统干部轮训制度，分批组织全市应急管理干部进行专业化培训。落实双向挂职锻炼相关规定，鼓励国有企业专业技术人员到应急管理系统挂职，把企业的技术优势和实战经验带进来；同时鼓励应急管理系统干部到区（县）和国企挂职锻炼，努力提高应急管理系统干部的综合素质和专业化水平。动态调整应急专家库，把有经验的专家充实进来。加强高危行业从业人员安全技能培训，严把“三项岗位”人员培训考核关，对资格证书造假、培训走过场等问题严肃查处，落实“逢查必考”制度，使企业和从业人员重视安全培训。</w:t>
      </w:r>
    </w:p>
    <w:bookmarkEnd w:id="113"/>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both"/>
        <w:textAlignment w:val="auto"/>
        <w:outlineLvl w:val="2"/>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pPr>
      <w:bookmarkStart w:id="128" w:name="_Toc20102"/>
      <w:bookmarkStart w:id="129" w:name="_Toc912"/>
      <w:bookmarkStart w:id="130" w:name="_Toc12884"/>
      <w:bookmarkStart w:id="131" w:name="_Toc2372"/>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4.</w:t>
      </w:r>
      <w:bookmarkEnd w:id="128"/>
      <w:bookmarkEnd w:id="129"/>
      <w:r>
        <w:rPr>
          <w:rFonts w:hint="eastAsia" w:cs="Times New Roman"/>
          <w:b w:val="0"/>
          <w:bCs w:val="0"/>
          <w:color w:val="auto"/>
          <w:spacing w:val="0"/>
          <w:w w:val="100"/>
          <w:kern w:val="2"/>
          <w:position w:val="0"/>
          <w:sz w:val="32"/>
          <w:szCs w:val="32"/>
          <w:highlight w:val="none"/>
          <w:lang w:val="en-US" w:eastAsia="zh-CN" w:bidi="ar-SA"/>
        </w:rPr>
        <w:t xml:space="preserve"> </w:t>
      </w:r>
      <w:r>
        <w:rPr>
          <w:rFonts w:hint="default" w:ascii="Times New Roman" w:hAnsi="Times New Roman" w:eastAsia="方正仿宋_GBK" w:cs="Times New Roman"/>
          <w:b w:val="0"/>
          <w:bCs w:val="0"/>
          <w:color w:val="auto"/>
          <w:spacing w:val="0"/>
          <w:w w:val="100"/>
          <w:kern w:val="2"/>
          <w:position w:val="0"/>
          <w:sz w:val="32"/>
          <w:szCs w:val="32"/>
          <w:highlight w:val="none"/>
          <w:lang w:val="en-US" w:eastAsia="zh-CN" w:bidi="ar-SA"/>
        </w:rPr>
        <w:t>常态开展安全科普宣传</w:t>
      </w:r>
      <w:bookmarkEnd w:id="130"/>
      <w:bookmarkEnd w:id="131"/>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left"/>
        <w:textAlignment w:val="auto"/>
        <w:outlineLvl w:val="9"/>
        <w:rPr>
          <w:rFonts w:hint="eastAsia" w:ascii="Times New Roman" w:hAnsi="Times New Roman" w:eastAsia="方正仿宋_GBK" w:cs="方正仿宋_GBK"/>
          <w:b w:val="0"/>
          <w:bCs w:val="0"/>
          <w:color w:val="auto"/>
          <w:spacing w:val="0"/>
          <w:w w:val="100"/>
          <w:kern w:val="0"/>
          <w:position w:val="0"/>
          <w:sz w:val="32"/>
          <w:szCs w:val="32"/>
          <w:highlight w:val="none"/>
          <w:u w:val="none"/>
          <w:lang w:val="en-US" w:eastAsia="zh-CN"/>
        </w:rPr>
      </w:pPr>
      <w:r>
        <w:rPr>
          <w:rFonts w:hint="eastAsia" w:ascii="Times New Roman" w:hAnsi="Times New Roman" w:eastAsia="方正仿宋_GBK" w:cs="方正仿宋_GBK"/>
          <w:b w:val="0"/>
          <w:bCs w:val="0"/>
          <w:color w:val="auto"/>
          <w:spacing w:val="0"/>
          <w:w w:val="100"/>
          <w:kern w:val="0"/>
          <w:position w:val="0"/>
          <w:sz w:val="32"/>
          <w:szCs w:val="32"/>
          <w:highlight w:val="none"/>
          <w:u w:val="none"/>
          <w:lang w:val="en-US" w:eastAsia="zh-CN"/>
        </w:rPr>
        <w:t>健全安全应急科普宣传教育长效机制。用好《首府市民应急手册》等宣传载体，用群众看得懂、记得住的方式普及防灾避险知识。运用短视频、动漫、VR体验、实景模拟等手段，让安全教育更接地气、更有实效。将安全生产纳入各相关部门宣传计划，在主流媒体开设专题专栏，紧扣全国防灾减灾日、安全生产月、消防宣传月等节点，深化安全宣传进企业、进农村、进社区、进学校、进家庭。创作一批通俗管用的安全科普作品，通过短视频、漫画、公益广告、警示案例等形式常态化推送，让人民群众在日常看电视、手机过程中学到安全常识。开展“安康杯”竞赛和安全隐患“随手拍”等活动，发动群众用眼睛发现问题，用行动消除隐患，形成“人人讲安全、个个会应急”的社会氛围。</w:t>
      </w:r>
    </w:p>
    <w:tbl>
      <w:tblPr>
        <w:tblStyle w:val="10"/>
        <w:tblW w:w="8779" w:type="dxa"/>
        <w:jc w:val="center"/>
        <w:tblInd w:w="1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8779" w:type="dxa"/>
            <w:noWrap w:val="0"/>
            <w:vAlign w:val="top"/>
          </w:tcPr>
          <w:p>
            <w:pPr>
              <w:keepNext w:val="0"/>
              <w:keepLines w:val="0"/>
              <w:pageBreakBefore w:val="0"/>
              <w:widowControl w:val="0"/>
              <w:shd w:val="clear" w:color="auto" w:fill="auto"/>
              <w:kinsoku/>
              <w:wordWrap/>
              <w:overflowPunct w:val="0"/>
              <w:topLinePunct w:val="0"/>
              <w:autoSpaceDE/>
              <w:autoSpaceDN/>
              <w:bidi w:val="0"/>
              <w:spacing w:before="0" w:after="0" w:line="560" w:lineRule="exact"/>
              <w:ind w:left="0" w:leftChars="0" w:right="0" w:firstLine="0"/>
              <w:jc w:val="center"/>
              <w:textAlignment w:val="auto"/>
              <w:rPr>
                <w:rFonts w:hint="default" w:ascii="Times New Roman" w:hAnsi="Times New Roman" w:eastAsia="方正仿宋_GBK" w:cs="Times New Roman"/>
                <w:color w:val="auto"/>
                <w:spacing w:val="0"/>
                <w:w w:val="100"/>
                <w:kern w:val="0"/>
                <w:position w:val="0"/>
                <w:sz w:val="24"/>
                <w:szCs w:val="24"/>
                <w:highlight w:val="none"/>
                <w:vertAlign w:val="baseline"/>
                <w:lang w:val="zh-TW"/>
              </w:rPr>
            </w:pPr>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br w:type="page"/>
            </w:r>
            <w:bookmarkStart w:id="132" w:name="_Toc30389"/>
            <w:bookmarkStart w:id="133" w:name="_Toc2287"/>
            <w:bookmarkStart w:id="134" w:name="_Toc27044"/>
            <w:bookmarkStart w:id="135" w:name="_Toc25924"/>
            <w:bookmarkStart w:id="136" w:name="_Toc5981"/>
            <w:r>
              <w:rPr>
                <w:rFonts w:hint="default" w:ascii="Times New Roman" w:hAnsi="Times New Roman" w:eastAsia="方正仿宋_GBK" w:cs="Times New Roman"/>
                <w:b/>
                <w:bCs/>
                <w:color w:val="auto"/>
                <w:spacing w:val="0"/>
                <w:w w:val="100"/>
                <w:kern w:val="0"/>
                <w:position w:val="0"/>
                <w:sz w:val="32"/>
                <w:szCs w:val="32"/>
                <w:highlight w:val="none"/>
                <w:vertAlign w:val="baseline"/>
                <w:lang w:val="en-US" w:eastAsia="zh-CN"/>
              </w:rPr>
              <w:t>重点工程5  全民安全教育工程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8779" w:type="dxa"/>
            <w:noWrap w:val="0"/>
            <w:vAlign w:val="top"/>
          </w:tcPr>
          <w:p>
            <w:pPr>
              <w:pStyle w:val="14"/>
              <w:keepNext w:val="0"/>
              <w:keepLines w:val="0"/>
              <w:pageBreakBefore w:val="0"/>
              <w:widowControl w:val="0"/>
              <w:numPr>
                <w:ilvl w:val="0"/>
                <w:numId w:val="0"/>
              </w:numPr>
              <w:shd w:val="clear" w:color="auto" w:fill="auto"/>
              <w:kinsoku/>
              <w:wordWrap/>
              <w:overflowPunct w:val="0"/>
              <w:topLinePunct w:val="0"/>
              <w:autoSpaceDE/>
              <w:autoSpaceDN/>
              <w:bidi w:val="0"/>
              <w:adjustRightInd w:val="0"/>
              <w:snapToGrid w:val="0"/>
              <w:spacing w:before="0" w:after="0" w:line="560" w:lineRule="exact"/>
              <w:ind w:left="0" w:leftChars="0" w:right="0" w:rightChars="0" w:firstLine="643" w:firstLineChars="200"/>
              <w:jc w:val="both"/>
              <w:textAlignment w:val="auto"/>
              <w:rPr>
                <w:rFonts w:hint="default" w:ascii="Times New Roman" w:hAnsi="Times New Roman" w:eastAsia="方正仿宋_GBK" w:cs="Times New Roman"/>
                <w:b/>
                <w:bCs/>
                <w:color w:val="auto"/>
                <w:spacing w:val="0"/>
                <w:w w:val="100"/>
                <w:kern w:val="0"/>
                <w:position w:val="0"/>
                <w:sz w:val="32"/>
                <w:szCs w:val="32"/>
                <w:highlight w:val="none"/>
                <w:u w:val="none"/>
                <w:lang w:val="en-US" w:eastAsia="zh-CN"/>
              </w:rPr>
            </w:pPr>
            <w:r>
              <w:rPr>
                <w:rFonts w:hint="default" w:ascii="Times New Roman" w:hAnsi="Times New Roman" w:eastAsia="方正仿宋_GBK" w:cs="Times New Roman"/>
                <w:b/>
                <w:bCs/>
                <w:color w:val="auto"/>
                <w:spacing w:val="0"/>
                <w:w w:val="100"/>
                <w:kern w:val="0"/>
                <w:position w:val="0"/>
                <w:sz w:val="32"/>
                <w:szCs w:val="32"/>
                <w:highlight w:val="none"/>
                <w:u w:val="none"/>
                <w:lang w:val="en-US" w:eastAsia="zh-CN"/>
              </w:rPr>
              <w:t>12.科普宣传工程：</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依托现有资源打造集宣传教育、展览体验、演练实训等功能为一体的科普体验与创新实践场所。推动先进科技与安全应急文化深度融合，围绕安全生产、自然灾害各类应急处置场景，运用场景化、情景化教学模式，统筹建设突发事件模拟仿真、沉浸式安全体验、应急自救互救实训等配套设施。</w:t>
            </w:r>
          </w:p>
        </w:tc>
      </w:tr>
      <w:bookmarkEnd w:id="26"/>
      <w:bookmarkEnd w:id="132"/>
      <w:bookmarkEnd w:id="133"/>
      <w:bookmarkEnd w:id="134"/>
      <w:bookmarkEnd w:id="135"/>
      <w:bookmarkEnd w:id="136"/>
    </w:tbl>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left"/>
        <w:textAlignment w:val="auto"/>
        <w:outlineLvl w:val="0"/>
        <w:rPr>
          <w:rFonts w:hint="default" w:ascii="Times New Roman" w:hAnsi="Times New Roman" w:eastAsia="黑体" w:cs="Times New Roman"/>
          <w:color w:val="auto"/>
          <w:spacing w:val="0"/>
          <w:w w:val="100"/>
          <w:kern w:val="2"/>
          <w:position w:val="0"/>
          <w:sz w:val="32"/>
          <w:szCs w:val="32"/>
          <w:highlight w:val="none"/>
          <w:lang w:val="en-US" w:eastAsia="zh-CN" w:bidi="ar-SA"/>
        </w:rPr>
      </w:pPr>
      <w:bookmarkStart w:id="137" w:name="_Toc26404"/>
      <w:bookmarkStart w:id="138" w:name="_Toc3723"/>
      <w:bookmarkStart w:id="139" w:name="_Toc16094"/>
      <w:bookmarkStart w:id="140" w:name="_Toc11531"/>
      <w:r>
        <w:rPr>
          <w:rFonts w:hint="default" w:ascii="Times New Roman" w:hAnsi="Times New Roman" w:eastAsia="黑体" w:cs="Times New Roman"/>
          <w:color w:val="auto"/>
          <w:spacing w:val="0"/>
          <w:w w:val="100"/>
          <w:kern w:val="2"/>
          <w:position w:val="0"/>
          <w:sz w:val="32"/>
          <w:szCs w:val="32"/>
          <w:highlight w:val="none"/>
          <w:lang w:val="en-US" w:eastAsia="zh-CN" w:bidi="ar-SA"/>
        </w:rPr>
        <w:t>三、</w:t>
      </w:r>
      <w:bookmarkEnd w:id="137"/>
      <w:bookmarkStart w:id="141" w:name="_Toc9893"/>
      <w:r>
        <w:rPr>
          <w:rFonts w:hint="default" w:ascii="Times New Roman" w:hAnsi="Times New Roman" w:eastAsia="黑体" w:cs="Times New Roman"/>
          <w:color w:val="auto"/>
          <w:spacing w:val="0"/>
          <w:w w:val="100"/>
          <w:kern w:val="2"/>
          <w:position w:val="0"/>
          <w:sz w:val="32"/>
          <w:szCs w:val="32"/>
          <w:highlight w:val="none"/>
          <w:lang w:val="zh-TW" w:eastAsia="zh-CN" w:bidi="ar-SA"/>
        </w:rPr>
        <w:t>保障措施</w:t>
      </w:r>
      <w:bookmarkEnd w:id="138"/>
      <w:bookmarkEnd w:id="139"/>
      <w:bookmarkEnd w:id="140"/>
      <w:bookmarkEnd w:id="141"/>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left"/>
        <w:textAlignment w:val="auto"/>
        <w:outlineLvl w:val="1"/>
        <w:rPr>
          <w:rFonts w:hint="default" w:ascii="Times New Roman" w:hAnsi="Times New Roman" w:eastAsia="方正楷体_GBK" w:cs="Times New Roman"/>
          <w:b w:val="0"/>
          <w:bCs w:val="0"/>
          <w:color w:val="auto"/>
          <w:spacing w:val="0"/>
          <w:w w:val="100"/>
          <w:kern w:val="2"/>
          <w:position w:val="0"/>
          <w:sz w:val="32"/>
          <w:szCs w:val="32"/>
          <w:highlight w:val="none"/>
          <w:lang w:val="zh-TW" w:eastAsia="zh-CN" w:bidi="ar-SA"/>
        </w:rPr>
      </w:pPr>
      <w:bookmarkStart w:id="142" w:name="_Toc31260"/>
      <w:bookmarkStart w:id="143" w:name="_Toc32698"/>
      <w:bookmarkStart w:id="144" w:name="_Toc23447"/>
      <w:bookmarkStart w:id="145" w:name="_Toc20341"/>
      <w:r>
        <w:rPr>
          <w:rFonts w:hint="default" w:ascii="Times New Roman" w:hAnsi="Times New Roman" w:eastAsia="方正楷体_GBK" w:cs="Times New Roman"/>
          <w:b w:val="0"/>
          <w:bCs w:val="0"/>
          <w:color w:val="auto"/>
          <w:spacing w:val="0"/>
          <w:w w:val="100"/>
          <w:kern w:val="2"/>
          <w:position w:val="0"/>
          <w:sz w:val="32"/>
          <w:szCs w:val="32"/>
          <w:highlight w:val="none"/>
          <w:lang w:val="en-US" w:eastAsia="zh-CN" w:bidi="ar-SA"/>
        </w:rPr>
        <w:t>（一）</w:t>
      </w:r>
      <w:r>
        <w:rPr>
          <w:rFonts w:hint="default" w:ascii="Times New Roman" w:hAnsi="Times New Roman" w:eastAsia="方正楷体_GBK" w:cs="Times New Roman"/>
          <w:b w:val="0"/>
          <w:bCs w:val="0"/>
          <w:color w:val="auto"/>
          <w:spacing w:val="0"/>
          <w:w w:val="100"/>
          <w:kern w:val="2"/>
          <w:position w:val="0"/>
          <w:sz w:val="32"/>
          <w:szCs w:val="32"/>
          <w:highlight w:val="none"/>
          <w:lang w:val="zh-TW" w:eastAsia="zh-CN" w:bidi="ar-SA"/>
        </w:rPr>
        <w:t>加强组织领导</w:t>
      </w:r>
      <w:bookmarkEnd w:id="142"/>
      <w:bookmarkEnd w:id="143"/>
      <w:bookmarkEnd w:id="144"/>
      <w:bookmarkEnd w:id="145"/>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left"/>
        <w:textAlignment w:val="auto"/>
        <w:outlineLvl w:val="9"/>
        <w:rPr>
          <w:rFonts w:hint="default" w:ascii="Times New Roman" w:hAnsi="Times New Roman" w:eastAsia="方正仿宋_GBK" w:cs="Times New Roman"/>
          <w:b w:val="0"/>
          <w:bCs w:val="0"/>
          <w:color w:val="auto"/>
          <w:spacing w:val="0"/>
          <w:w w:val="100"/>
          <w:kern w:val="0"/>
          <w:position w:val="0"/>
          <w:sz w:val="32"/>
          <w:szCs w:val="32"/>
          <w:highlight w:val="none"/>
          <w:u w:val="none"/>
          <w:lang w:val="zh-TW" w:eastAsia="zh-CN"/>
        </w:rPr>
      </w:pPr>
      <w:r>
        <w:rPr>
          <w:rFonts w:hint="default" w:ascii="Times New Roman" w:hAnsi="Times New Roman" w:eastAsia="方正仿宋_GBK" w:cs="Times New Roman"/>
          <w:b w:val="0"/>
          <w:bCs w:val="0"/>
          <w:color w:val="auto"/>
          <w:spacing w:val="0"/>
          <w:w w:val="100"/>
          <w:kern w:val="0"/>
          <w:position w:val="0"/>
          <w:sz w:val="32"/>
          <w:szCs w:val="32"/>
          <w:highlight w:val="none"/>
          <w:u w:val="none"/>
          <w:lang w:val="zh-TW" w:eastAsia="zh-CN"/>
        </w:rPr>
        <w:t>加强各级党委、政府对应急管理体系和能力建设统筹领导，各区（县）、各部门要根据本规划目标任务，结合实际制定具体实施方案，将责任落到人，任务分解到年度，细化到节点。加强规划实施与年度工作计划的衔接，</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逐项</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zh-TW" w:eastAsia="zh-CN"/>
        </w:rPr>
        <w:t>明确任务的推进时序和阶段目标。对规划确定的</w:t>
      </w:r>
      <w:r>
        <w:rPr>
          <w:rFonts w:hint="eastAsia" w:ascii="Times New Roman" w:hAnsi="Times New Roman" w:eastAsia="方正仿宋_GBK" w:cs="Times New Roman"/>
          <w:b w:val="0"/>
          <w:bCs w:val="0"/>
          <w:color w:val="auto"/>
          <w:spacing w:val="0"/>
          <w:w w:val="100"/>
          <w:kern w:val="0"/>
          <w:position w:val="0"/>
          <w:sz w:val="32"/>
          <w:szCs w:val="32"/>
          <w:highlight w:val="none"/>
          <w:u w:val="none"/>
          <w:lang w:val="zh-TW" w:eastAsia="zh-CN"/>
        </w:rPr>
        <w:t>目标任务</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zh-TW" w:eastAsia="zh-CN"/>
        </w:rPr>
        <w:t>，坚持早启动、早落地，确保各项工作有序推进、按期</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完成</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zh-TW" w:eastAsia="zh-CN"/>
        </w:rPr>
        <w:t>。</w:t>
      </w:r>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left"/>
        <w:textAlignment w:val="auto"/>
        <w:outlineLvl w:val="1"/>
        <w:rPr>
          <w:rFonts w:hint="default" w:ascii="Times New Roman" w:hAnsi="Times New Roman" w:eastAsia="方正楷体_GBK" w:cs="Times New Roman"/>
          <w:b w:val="0"/>
          <w:bCs w:val="0"/>
          <w:color w:val="auto"/>
          <w:spacing w:val="0"/>
          <w:w w:val="100"/>
          <w:kern w:val="2"/>
          <w:position w:val="0"/>
          <w:sz w:val="32"/>
          <w:szCs w:val="32"/>
          <w:highlight w:val="none"/>
          <w:lang w:val="zh-TW" w:eastAsia="zh-CN" w:bidi="ar-SA"/>
        </w:rPr>
      </w:pPr>
      <w:bookmarkStart w:id="146" w:name="_Toc16302"/>
      <w:bookmarkStart w:id="147" w:name="_Toc30894"/>
      <w:bookmarkStart w:id="148" w:name="_Toc16764"/>
      <w:bookmarkStart w:id="149" w:name="_Toc7951"/>
      <w:r>
        <w:rPr>
          <w:rFonts w:hint="default" w:ascii="Times New Roman" w:hAnsi="Times New Roman" w:eastAsia="方正楷体_GBK" w:cs="Times New Roman"/>
          <w:b w:val="0"/>
          <w:bCs w:val="0"/>
          <w:color w:val="auto"/>
          <w:spacing w:val="0"/>
          <w:w w:val="100"/>
          <w:kern w:val="2"/>
          <w:position w:val="0"/>
          <w:sz w:val="32"/>
          <w:szCs w:val="32"/>
          <w:highlight w:val="none"/>
          <w:lang w:val="en-US" w:eastAsia="zh-CN" w:bidi="ar-SA"/>
        </w:rPr>
        <w:t>（二）</w:t>
      </w:r>
      <w:bookmarkEnd w:id="146"/>
      <w:bookmarkEnd w:id="147"/>
      <w:r>
        <w:rPr>
          <w:rFonts w:hint="default" w:ascii="Times New Roman" w:hAnsi="Times New Roman" w:eastAsia="方正楷体_GBK" w:cs="Times New Roman"/>
          <w:b w:val="0"/>
          <w:bCs w:val="0"/>
          <w:color w:val="auto"/>
          <w:spacing w:val="0"/>
          <w:w w:val="100"/>
          <w:kern w:val="2"/>
          <w:position w:val="0"/>
          <w:sz w:val="32"/>
          <w:szCs w:val="32"/>
          <w:highlight w:val="none"/>
          <w:lang w:val="zh-TW" w:eastAsia="zh-CN" w:bidi="ar-SA"/>
        </w:rPr>
        <w:t>完善投入保障机制</w:t>
      </w:r>
      <w:bookmarkEnd w:id="148"/>
      <w:bookmarkEnd w:id="149"/>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left"/>
        <w:textAlignment w:val="auto"/>
        <w:outlineLvl w:val="9"/>
        <w:rPr>
          <w:rFonts w:hint="default" w:ascii="Times New Roman" w:hAnsi="Times New Roman" w:eastAsia="方正仿宋_GBK" w:cs="Times New Roman"/>
          <w:b w:val="0"/>
          <w:bCs w:val="0"/>
          <w:color w:val="auto"/>
          <w:spacing w:val="0"/>
          <w:w w:val="100"/>
          <w:kern w:val="0"/>
          <w:position w:val="0"/>
          <w:sz w:val="32"/>
          <w:szCs w:val="32"/>
          <w:highlight w:val="none"/>
          <w:u w:val="none"/>
          <w:lang w:val="zh-TW" w:eastAsia="zh-CN"/>
        </w:rPr>
      </w:pPr>
      <w:r>
        <w:rPr>
          <w:rFonts w:hint="default" w:ascii="Times New Roman" w:hAnsi="Times New Roman" w:eastAsia="方正仿宋_GBK" w:cs="Times New Roman"/>
          <w:b w:val="0"/>
          <w:bCs w:val="0"/>
          <w:color w:val="auto"/>
          <w:spacing w:val="0"/>
          <w:w w:val="100"/>
          <w:kern w:val="0"/>
          <w:position w:val="0"/>
          <w:sz w:val="32"/>
          <w:szCs w:val="32"/>
          <w:highlight w:val="none"/>
          <w:u w:val="none"/>
          <w:lang w:val="zh-TW" w:eastAsia="zh-CN"/>
        </w:rPr>
        <w:t>强化政府投资的引导作用，按照财政事权与支出责任划分及预算管理规定，统筹保障规划实施资金需求，足额保障应急队伍、装备物资及信息化建设等方面经费。加大财政资金</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保障</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zh-TW" w:eastAsia="zh-CN"/>
        </w:rPr>
        <w:t>投入力度，积极申请国家、自治区应急专项资金支持，为</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乌鲁木齐</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zh-TW" w:eastAsia="zh-CN"/>
        </w:rPr>
        <w:t>应急管理体系和能力现代化建设提供资金保障。</w:t>
      </w:r>
      <w:bookmarkStart w:id="150" w:name="_Toc29559"/>
      <w:bookmarkStart w:id="151" w:name="_Toc9927"/>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left"/>
        <w:textAlignment w:val="auto"/>
        <w:outlineLvl w:val="1"/>
        <w:rPr>
          <w:rFonts w:hint="default" w:ascii="Times New Roman" w:hAnsi="Times New Roman" w:eastAsia="方正楷体_GBK" w:cs="Times New Roman"/>
          <w:b w:val="0"/>
          <w:bCs w:val="0"/>
          <w:color w:val="auto"/>
          <w:spacing w:val="0"/>
          <w:w w:val="100"/>
          <w:kern w:val="2"/>
          <w:position w:val="0"/>
          <w:sz w:val="32"/>
          <w:szCs w:val="32"/>
          <w:highlight w:val="none"/>
          <w:lang w:val="zh-TW" w:eastAsia="zh-CN" w:bidi="ar-SA"/>
        </w:rPr>
      </w:pPr>
      <w:bookmarkStart w:id="152" w:name="_Toc9663"/>
      <w:bookmarkStart w:id="153" w:name="_Toc22454"/>
      <w:r>
        <w:rPr>
          <w:rFonts w:hint="default" w:ascii="Times New Roman" w:hAnsi="Times New Roman" w:eastAsia="方正楷体_GBK" w:cs="Times New Roman"/>
          <w:b w:val="0"/>
          <w:bCs w:val="0"/>
          <w:color w:val="auto"/>
          <w:spacing w:val="0"/>
          <w:w w:val="100"/>
          <w:kern w:val="2"/>
          <w:position w:val="0"/>
          <w:sz w:val="32"/>
          <w:szCs w:val="32"/>
          <w:highlight w:val="none"/>
          <w:lang w:val="en-US" w:eastAsia="zh-CN" w:bidi="ar-SA"/>
        </w:rPr>
        <w:t>（三）</w:t>
      </w:r>
      <w:bookmarkEnd w:id="150"/>
      <w:bookmarkEnd w:id="151"/>
      <w:r>
        <w:rPr>
          <w:rFonts w:hint="default" w:ascii="Times New Roman" w:hAnsi="Times New Roman" w:eastAsia="方正楷体_GBK" w:cs="Times New Roman"/>
          <w:b w:val="0"/>
          <w:bCs w:val="0"/>
          <w:color w:val="auto"/>
          <w:spacing w:val="0"/>
          <w:w w:val="100"/>
          <w:kern w:val="2"/>
          <w:position w:val="0"/>
          <w:sz w:val="32"/>
          <w:szCs w:val="32"/>
          <w:highlight w:val="none"/>
          <w:lang w:val="zh-TW" w:eastAsia="zh-CN" w:bidi="ar-SA"/>
        </w:rPr>
        <w:t>强化规划执行和考核</w:t>
      </w:r>
      <w:bookmarkEnd w:id="152"/>
      <w:bookmarkEnd w:id="153"/>
    </w:p>
    <w:p>
      <w:pPr>
        <w:keepNext w:val="0"/>
        <w:keepLines w:val="0"/>
        <w:pageBreakBefore w:val="0"/>
        <w:widowControl w:val="0"/>
        <w:shd w:val="clear" w:color="auto" w:fill="auto"/>
        <w:kinsoku/>
        <w:wordWrap/>
        <w:overflowPunct w:val="0"/>
        <w:topLinePunct w:val="0"/>
        <w:autoSpaceDE/>
        <w:autoSpaceDN/>
        <w:bidi w:val="0"/>
        <w:adjustRightInd w:val="0"/>
        <w:snapToGrid w:val="0"/>
        <w:spacing w:before="0" w:after="0" w:line="560" w:lineRule="exact"/>
        <w:ind w:left="0" w:leftChars="0" w:right="0" w:firstLine="640" w:firstLineChars="200"/>
        <w:jc w:val="left"/>
        <w:textAlignment w:val="auto"/>
        <w:outlineLvl w:val="9"/>
        <w:rPr>
          <w:rFonts w:hint="default" w:ascii="Times New Roman" w:hAnsi="Times New Roman" w:eastAsia="方正仿宋_GBK" w:cs="Times New Roman"/>
          <w:b w:val="0"/>
          <w:bCs w:val="0"/>
          <w:color w:val="auto"/>
          <w:spacing w:val="0"/>
          <w:w w:val="100"/>
          <w:kern w:val="0"/>
          <w:position w:val="0"/>
          <w:sz w:val="32"/>
          <w:szCs w:val="32"/>
          <w:highlight w:val="none"/>
          <w:u w:val="none"/>
          <w:lang w:val="zh-TW" w:eastAsia="zh-CN"/>
        </w:rPr>
      </w:pPr>
      <w:r>
        <w:rPr>
          <w:rFonts w:hint="default" w:ascii="Times New Roman" w:hAnsi="Times New Roman" w:eastAsia="方正仿宋_GBK" w:cs="Times New Roman"/>
          <w:b w:val="0"/>
          <w:bCs w:val="0"/>
          <w:color w:val="auto"/>
          <w:spacing w:val="0"/>
          <w:w w:val="100"/>
          <w:kern w:val="0"/>
          <w:position w:val="0"/>
          <w:sz w:val="32"/>
          <w:szCs w:val="32"/>
          <w:highlight w:val="none"/>
          <w:u w:val="none"/>
          <w:lang w:val="zh-TW" w:eastAsia="zh-CN"/>
        </w:rPr>
        <w:t>建立健全规划实施监督考核机制，将规划任务落实情况作为各区（县）、各部门工作督查和考核评价的重要内容。对本规划确定的主要目标、重点任务和量化指标，逐级分解到各区（县）、各部门，作为编制年度工作计划、制定相关政策文件的重要依据，</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en-US" w:eastAsia="zh-CN"/>
        </w:rPr>
        <w:t>将</w:t>
      </w:r>
      <w:r>
        <w:rPr>
          <w:rFonts w:hint="default" w:ascii="Times New Roman" w:hAnsi="Times New Roman" w:eastAsia="方正仿宋_GBK" w:cs="Times New Roman"/>
          <w:b w:val="0"/>
          <w:bCs w:val="0"/>
          <w:color w:val="auto"/>
          <w:spacing w:val="0"/>
          <w:w w:val="100"/>
          <w:kern w:val="0"/>
          <w:position w:val="0"/>
          <w:sz w:val="32"/>
          <w:szCs w:val="32"/>
          <w:highlight w:val="none"/>
          <w:u w:val="none"/>
          <w:lang w:val="zh-TW" w:eastAsia="zh-CN"/>
        </w:rPr>
        <w:t>核心指标和攻坚事项纳入年度考核。加强规划实施监测评估，开展年度监测、中期评估与终期评估，确保各项任务按节点推进、按标准落实。</w:t>
      </w:r>
    </w:p>
    <w:p>
      <w:pPr>
        <w:pStyle w:val="2"/>
        <w:keepNext w:val="0"/>
        <w:keepLines w:val="0"/>
        <w:pageBreakBefore w:val="0"/>
        <w:widowControl w:val="0"/>
        <w:kinsoku/>
        <w:topLinePunct w:val="0"/>
        <w:bidi w:val="0"/>
        <w:spacing w:line="560" w:lineRule="exact"/>
        <w:textAlignment w:val="auto"/>
        <w:rPr>
          <w:rFonts w:hint="default" w:ascii="Times New Roman" w:hAnsi="Times New Roman" w:eastAsia="方正仿宋_GBK" w:cs="Times New Roman"/>
          <w:b w:val="0"/>
          <w:bCs w:val="0"/>
          <w:color w:val="auto"/>
          <w:spacing w:val="0"/>
          <w:w w:val="100"/>
          <w:kern w:val="0"/>
          <w:position w:val="0"/>
          <w:sz w:val="32"/>
          <w:szCs w:val="32"/>
          <w:highlight w:val="none"/>
          <w:u w:val="none"/>
          <w:lang w:val="zh-TW" w:eastAsia="zh-CN"/>
        </w:rPr>
      </w:pPr>
    </w:p>
    <w:p>
      <w:pPr>
        <w:keepNext w:val="0"/>
        <w:keepLines w:val="0"/>
        <w:pageBreakBefore w:val="0"/>
        <w:widowControl w:val="0"/>
        <w:kinsoku/>
        <w:topLinePunct w:val="0"/>
        <w:bidi w:val="0"/>
        <w:spacing w:line="560" w:lineRule="exact"/>
        <w:textAlignment w:val="auto"/>
        <w:rPr>
          <w:rFonts w:hint="default" w:ascii="Times New Roman" w:hAnsi="Times New Roman" w:eastAsia="方正仿宋_GBK" w:cs="Times New Roman"/>
          <w:b w:val="0"/>
          <w:bCs w:val="0"/>
          <w:color w:val="auto"/>
          <w:spacing w:val="0"/>
          <w:w w:val="100"/>
          <w:kern w:val="0"/>
          <w:position w:val="0"/>
          <w:sz w:val="32"/>
          <w:szCs w:val="32"/>
          <w:highlight w:val="none"/>
          <w:u w:val="none"/>
          <w:lang w:val="zh-TW" w:eastAsia="zh-CN"/>
        </w:rPr>
      </w:pPr>
    </w:p>
    <w:p>
      <w:pPr>
        <w:pStyle w:val="2"/>
        <w:keepNext w:val="0"/>
        <w:keepLines w:val="0"/>
        <w:pageBreakBefore w:val="0"/>
        <w:widowControl w:val="0"/>
        <w:kinsoku/>
        <w:topLinePunct w:val="0"/>
        <w:bidi w:val="0"/>
        <w:spacing w:line="560" w:lineRule="exact"/>
        <w:textAlignment w:val="auto"/>
        <w:rPr>
          <w:rFonts w:hint="default" w:ascii="Times New Roman" w:hAnsi="Times New Roman" w:eastAsia="方正仿宋_GBK" w:cs="Times New Roman"/>
          <w:b w:val="0"/>
          <w:bCs w:val="0"/>
          <w:color w:val="auto"/>
          <w:spacing w:val="0"/>
          <w:w w:val="100"/>
          <w:kern w:val="0"/>
          <w:position w:val="0"/>
          <w:sz w:val="32"/>
          <w:szCs w:val="32"/>
          <w:highlight w:val="none"/>
          <w:u w:val="none"/>
          <w:lang w:val="zh-TW" w:eastAsia="zh-CN"/>
        </w:rPr>
      </w:pPr>
    </w:p>
    <w:p>
      <w:pPr>
        <w:keepNext w:val="0"/>
        <w:keepLines w:val="0"/>
        <w:pageBreakBefore w:val="0"/>
        <w:widowControl w:val="0"/>
        <w:kinsoku/>
        <w:topLinePunct w:val="0"/>
        <w:bidi w:val="0"/>
        <w:spacing w:line="560" w:lineRule="exact"/>
        <w:textAlignment w:val="auto"/>
        <w:rPr>
          <w:rFonts w:hint="default" w:ascii="Times New Roman" w:hAnsi="Times New Roman" w:eastAsia="方正仿宋_GBK" w:cs="Times New Roman"/>
          <w:b w:val="0"/>
          <w:bCs w:val="0"/>
          <w:color w:val="auto"/>
          <w:spacing w:val="0"/>
          <w:w w:val="100"/>
          <w:kern w:val="0"/>
          <w:position w:val="0"/>
          <w:sz w:val="32"/>
          <w:szCs w:val="32"/>
          <w:highlight w:val="none"/>
          <w:u w:val="none"/>
          <w:lang w:val="zh-TW" w:eastAsia="zh-CN"/>
        </w:rPr>
      </w:pPr>
    </w:p>
    <w:p>
      <w:pPr>
        <w:pStyle w:val="2"/>
        <w:keepNext w:val="0"/>
        <w:keepLines w:val="0"/>
        <w:pageBreakBefore w:val="0"/>
        <w:widowControl w:val="0"/>
        <w:kinsoku/>
        <w:topLinePunct w:val="0"/>
        <w:bidi w:val="0"/>
        <w:spacing w:line="560" w:lineRule="exact"/>
        <w:textAlignment w:val="auto"/>
        <w:rPr>
          <w:rFonts w:hint="default" w:ascii="Times New Roman" w:hAnsi="Times New Roman" w:eastAsia="方正仿宋_GBK" w:cs="Times New Roman"/>
          <w:b w:val="0"/>
          <w:bCs w:val="0"/>
          <w:color w:val="auto"/>
          <w:spacing w:val="0"/>
          <w:w w:val="100"/>
          <w:kern w:val="0"/>
          <w:position w:val="0"/>
          <w:sz w:val="32"/>
          <w:szCs w:val="32"/>
          <w:highlight w:val="none"/>
          <w:u w:val="none"/>
          <w:lang w:val="zh-TW" w:eastAsia="zh-CN"/>
        </w:rPr>
      </w:pPr>
    </w:p>
    <w:p>
      <w:pPr>
        <w:keepNext w:val="0"/>
        <w:keepLines w:val="0"/>
        <w:pageBreakBefore w:val="0"/>
        <w:widowControl w:val="0"/>
        <w:kinsoku/>
        <w:topLinePunct w:val="0"/>
        <w:bidi w:val="0"/>
        <w:spacing w:line="560" w:lineRule="exact"/>
        <w:textAlignment w:val="auto"/>
        <w:rPr>
          <w:rFonts w:hint="default" w:ascii="Times New Roman" w:hAnsi="Times New Roman" w:eastAsia="方正仿宋_GBK" w:cs="Times New Roman"/>
          <w:b w:val="0"/>
          <w:bCs w:val="0"/>
          <w:color w:val="auto"/>
          <w:spacing w:val="0"/>
          <w:w w:val="100"/>
          <w:kern w:val="0"/>
          <w:position w:val="0"/>
          <w:sz w:val="32"/>
          <w:szCs w:val="32"/>
          <w:highlight w:val="none"/>
          <w:u w:val="none"/>
          <w:lang w:val="zh-TW" w:eastAsia="zh-CN"/>
        </w:rPr>
      </w:pPr>
    </w:p>
    <w:p>
      <w:pPr>
        <w:pStyle w:val="2"/>
        <w:keepNext w:val="0"/>
        <w:keepLines w:val="0"/>
        <w:pageBreakBefore w:val="0"/>
        <w:widowControl w:val="0"/>
        <w:kinsoku/>
        <w:topLinePunct w:val="0"/>
        <w:bidi w:val="0"/>
        <w:spacing w:line="560" w:lineRule="exact"/>
        <w:textAlignment w:val="auto"/>
        <w:rPr>
          <w:rFonts w:hint="default" w:ascii="Times New Roman" w:hAnsi="Times New Roman" w:eastAsia="方正仿宋_GBK" w:cs="Times New Roman"/>
          <w:b w:val="0"/>
          <w:bCs w:val="0"/>
          <w:color w:val="auto"/>
          <w:spacing w:val="0"/>
          <w:w w:val="100"/>
          <w:kern w:val="0"/>
          <w:position w:val="0"/>
          <w:sz w:val="32"/>
          <w:szCs w:val="32"/>
          <w:highlight w:val="none"/>
          <w:u w:val="none"/>
          <w:lang w:val="zh-TW" w:eastAsia="zh-CN"/>
        </w:rPr>
      </w:pPr>
    </w:p>
    <w:p>
      <w:pPr>
        <w:keepNext w:val="0"/>
        <w:keepLines w:val="0"/>
        <w:pageBreakBefore w:val="0"/>
        <w:widowControl w:val="0"/>
        <w:kinsoku/>
        <w:topLinePunct w:val="0"/>
        <w:bidi w:val="0"/>
        <w:spacing w:line="560" w:lineRule="exact"/>
        <w:textAlignment w:val="auto"/>
        <w:rPr>
          <w:rFonts w:hint="default" w:ascii="Times New Roman" w:hAnsi="Times New Roman" w:eastAsia="方正仿宋_GBK" w:cs="Times New Roman"/>
          <w:b w:val="0"/>
          <w:bCs w:val="0"/>
          <w:color w:val="auto"/>
          <w:spacing w:val="0"/>
          <w:w w:val="100"/>
          <w:kern w:val="0"/>
          <w:position w:val="0"/>
          <w:sz w:val="32"/>
          <w:szCs w:val="32"/>
          <w:highlight w:val="none"/>
          <w:u w:val="none"/>
          <w:lang w:val="zh-TW" w:eastAsia="zh-CN"/>
        </w:rPr>
      </w:pPr>
    </w:p>
    <w:p>
      <w:pPr>
        <w:pStyle w:val="2"/>
        <w:keepNext w:val="0"/>
        <w:keepLines w:val="0"/>
        <w:pageBreakBefore w:val="0"/>
        <w:widowControl w:val="0"/>
        <w:kinsoku/>
        <w:topLinePunct w:val="0"/>
        <w:bidi w:val="0"/>
        <w:spacing w:line="560" w:lineRule="exact"/>
        <w:textAlignment w:val="auto"/>
        <w:rPr>
          <w:rFonts w:hint="default" w:ascii="Times New Roman" w:hAnsi="Times New Roman" w:eastAsia="方正仿宋_GBK" w:cs="Times New Roman"/>
          <w:b w:val="0"/>
          <w:bCs w:val="0"/>
          <w:color w:val="auto"/>
          <w:spacing w:val="0"/>
          <w:w w:val="100"/>
          <w:kern w:val="0"/>
          <w:position w:val="0"/>
          <w:sz w:val="32"/>
          <w:szCs w:val="32"/>
          <w:highlight w:val="none"/>
          <w:u w:val="none"/>
          <w:lang w:val="zh-TW" w:eastAsia="zh-CN"/>
        </w:rPr>
      </w:pPr>
    </w:p>
    <w:p>
      <w:pPr>
        <w:keepNext w:val="0"/>
        <w:keepLines w:val="0"/>
        <w:pageBreakBefore w:val="0"/>
        <w:widowControl w:val="0"/>
        <w:kinsoku/>
        <w:topLinePunct w:val="0"/>
        <w:bidi w:val="0"/>
        <w:spacing w:line="560" w:lineRule="exact"/>
        <w:textAlignment w:val="auto"/>
        <w:rPr>
          <w:rFonts w:hint="default" w:ascii="Times New Roman" w:hAnsi="Times New Roman" w:eastAsia="方正仿宋_GBK" w:cs="Times New Roman"/>
          <w:b w:val="0"/>
          <w:bCs w:val="0"/>
          <w:color w:val="auto"/>
          <w:spacing w:val="0"/>
          <w:w w:val="100"/>
          <w:kern w:val="0"/>
          <w:position w:val="0"/>
          <w:sz w:val="32"/>
          <w:szCs w:val="32"/>
          <w:highlight w:val="none"/>
          <w:u w:val="none"/>
          <w:lang w:val="zh-TW" w:eastAsia="zh-CN"/>
        </w:rPr>
      </w:pPr>
    </w:p>
    <w:p>
      <w:pPr>
        <w:pStyle w:val="2"/>
        <w:keepNext w:val="0"/>
        <w:keepLines w:val="0"/>
        <w:pageBreakBefore w:val="0"/>
        <w:widowControl w:val="0"/>
        <w:kinsoku/>
        <w:topLinePunct w:val="0"/>
        <w:bidi w:val="0"/>
        <w:spacing w:line="560" w:lineRule="exact"/>
        <w:textAlignment w:val="auto"/>
        <w:rPr>
          <w:rFonts w:hint="default"/>
          <w:sz w:val="28"/>
          <w:szCs w:val="28"/>
          <w:lang w:val="en-US"/>
        </w:rPr>
      </w:pPr>
    </w:p>
    <w:sectPr>
      <w:footerReference r:id="rId3" w:type="default"/>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Microsoft JhengHei">
    <w:panose1 w:val="020B0604030504040204"/>
    <w:charset w:val="88"/>
    <w:family w:val="swiss"/>
    <w:pitch w:val="default"/>
    <w:sig w:usb0="00000087" w:usb1="28AF4000" w:usb2="00000016" w:usb3="00000000" w:csb0="00100009" w:csb1="00000000"/>
  </w:font>
  <w:font w:name="方正公文小标宋">
    <w:altName w:val="方正小标宋简体"/>
    <w:panose1 w:val="02000500000000000000"/>
    <w:charset w:val="86"/>
    <w:family w:val="auto"/>
    <w:pitch w:val="default"/>
    <w:sig w:usb0="00000000" w:usb1="00000000" w:usb2="00000016" w:usb3="00000000" w:csb0="00040001" w:csb1="00000000"/>
  </w:font>
  <w:font w:name="方正书宋_GBK">
    <w:altName w:val="Arial Unicode MS"/>
    <w:panose1 w:val="02000000000000000000"/>
    <w:charset w:val="86"/>
    <w:family w:val="auto"/>
    <w:pitch w:val="default"/>
    <w:sig w:usb0="00000000" w:usb1="00000000" w:usb2="00000000" w:usb3="00000000" w:csb0="00040000" w:csb1="00000000"/>
  </w:font>
  <w:font w:name="方正仿宋_GB18030">
    <w:altName w:val="方正仿宋_GBK"/>
    <w:panose1 w:val="02000000000000000000"/>
    <w:charset w:val="86"/>
    <w:family w:val="auto"/>
    <w:pitch w:val="default"/>
    <w:sig w:usb0="00000000" w:usb1="00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widowControl w:val="0"/>
      <w:shd w:val="clear" w:color="auto" w:fill="auto"/>
      <w:bidi w:val="0"/>
      <w:snapToGrid w:val="0"/>
      <w:spacing w:before="0" w:after="0" w:line="240" w:lineRule="auto"/>
      <w:ind w:left="0" w:right="0" w:firstLine="0"/>
      <w:jc w:val="left"/>
      <w:rPr>
        <w:rFonts w:ascii="Courier New" w:hAnsi="Courier New" w:eastAsia="Courier New" w:cs="Courier New"/>
        <w:color w:val="000000"/>
        <w:spacing w:val="0"/>
        <w:w w:val="100"/>
        <w:position w:val="0"/>
        <w:sz w:val="18"/>
        <w:szCs w:val="24"/>
        <w:lang w:val="zh-TW"/>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Fonts w:hint="eastAsia" w:eastAsia="方正仿宋_GBK"/>
                              <w:sz w:val="28"/>
                              <w:szCs w:val="28"/>
                              <w:lang w:eastAsia="zh-CN"/>
                            </w:rPr>
                          </w:pPr>
                          <w:r>
                            <w:rPr>
                              <w:rFonts w:hint="eastAsia"/>
                              <w:sz w:val="28"/>
                              <w:szCs w:val="28"/>
                              <w:lang w:eastAsia="zh-CN"/>
                            </w:rP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r>
                            <w:rPr>
                              <w:rFonts w:hint="eastAsia"/>
                              <w:sz w:val="28"/>
                              <w:szCs w:val="28"/>
                              <w:lang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pStyle w:val="6"/>
                      <w:rPr>
                        <w:rFonts w:hint="eastAsia" w:eastAsia="方正仿宋_GBK"/>
                        <w:sz w:val="28"/>
                        <w:szCs w:val="28"/>
                        <w:lang w:eastAsia="zh-CN"/>
                      </w:rPr>
                    </w:pPr>
                    <w:r>
                      <w:rPr>
                        <w:rFonts w:hint="eastAsia"/>
                        <w:sz w:val="28"/>
                        <w:szCs w:val="28"/>
                        <w:lang w:eastAsia="zh-CN"/>
                      </w:rP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r>
                      <w:rPr>
                        <w:rFonts w:hint="eastAsia"/>
                        <w:sz w:val="28"/>
                        <w:szCs w:val="28"/>
                        <w:lang w:eastAsia="zh-CN"/>
                      </w:rPr>
                      <w:t>—</w:t>
                    </w:r>
                  </w:p>
                </w:txbxContent>
              </v:textbox>
            </v:shape>
          </w:pict>
        </mc:Fallback>
      </mc:AlternateContent>
    </w:r>
    <w:r>
      <w:rPr>
        <w:rFonts w:ascii="Courier New" w:hAnsi="Courier New" w:eastAsia="Courier New" w:cs="Courier New"/>
        <w:color w:val="000000"/>
        <w:spacing w:val="0"/>
        <w:w w:val="100"/>
        <w:position w:val="0"/>
        <w:sz w:val="18"/>
        <w:szCs w:val="24"/>
        <w:lang w:val="zh-TW"/>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keepNext w:val="0"/>
                            <w:keepLines w:val="0"/>
                            <w:widowControl w:val="0"/>
                            <w:shd w:val="clear" w:color="auto" w:fill="auto"/>
                            <w:bidi w:val="0"/>
                            <w:snapToGrid w:val="0"/>
                            <w:spacing w:before="0" w:after="0" w:line="240" w:lineRule="auto"/>
                            <w:ind w:left="0" w:right="0" w:firstLine="0"/>
                            <w:jc w:val="left"/>
                            <w:rPr>
                              <w:rFonts w:ascii="Courier New" w:hAnsi="Courier New" w:eastAsia="Courier New" w:cs="Courier New"/>
                              <w:color w:val="000000"/>
                              <w:spacing w:val="0"/>
                              <w:w w:val="100"/>
                              <w:position w:val="0"/>
                              <w:sz w:val="18"/>
                              <w:szCs w:val="24"/>
                              <w:lang w:val="zh-TW"/>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CnPE14bAgAAIwQAAA4A&#10;AAAAAAAAAQAgAAAAHwEAAGRycy9lMm9Eb2MueG1sUEsFBgAAAAAGAAYAWQEAAKwFAAAAAA==&#10;">
              <v:fill on="f" focussize="0,0"/>
              <v:stroke on="f" weight="0.5pt"/>
              <v:imagedata o:title=""/>
              <o:lock v:ext="edit" aspectratio="f"/>
              <v:textbox inset="0mm,0mm,0mm,0mm" style="mso-fit-shape-to-text:t;">
                <w:txbxContent>
                  <w:p>
                    <w:pPr>
                      <w:keepNext w:val="0"/>
                      <w:keepLines w:val="0"/>
                      <w:widowControl w:val="0"/>
                      <w:shd w:val="clear" w:color="auto" w:fill="auto"/>
                      <w:bidi w:val="0"/>
                      <w:snapToGrid w:val="0"/>
                      <w:spacing w:before="0" w:after="0" w:line="240" w:lineRule="auto"/>
                      <w:ind w:left="0" w:right="0" w:firstLine="0"/>
                      <w:jc w:val="left"/>
                      <w:rPr>
                        <w:rFonts w:ascii="Courier New" w:hAnsi="Courier New" w:eastAsia="Courier New" w:cs="Courier New"/>
                        <w:color w:val="000000"/>
                        <w:spacing w:val="0"/>
                        <w:w w:val="100"/>
                        <w:position w:val="0"/>
                        <w:sz w:val="18"/>
                        <w:szCs w:val="24"/>
                        <w:lang w:val="zh-TW"/>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163063"/>
    <w:rsid w:val="17BCF1D9"/>
    <w:rsid w:val="2DEDFDB7"/>
    <w:rsid w:val="2FDF3DF0"/>
    <w:rsid w:val="3BD31B81"/>
    <w:rsid w:val="47BB8898"/>
    <w:rsid w:val="4F632807"/>
    <w:rsid w:val="5673C916"/>
    <w:rsid w:val="68A648D4"/>
    <w:rsid w:val="72B151E6"/>
    <w:rsid w:val="77DFE5B0"/>
    <w:rsid w:val="79AB62FB"/>
    <w:rsid w:val="7B163063"/>
    <w:rsid w:val="7EDF3F7D"/>
    <w:rsid w:val="7F26EB57"/>
    <w:rsid w:val="9BE6F03B"/>
    <w:rsid w:val="CFFFD816"/>
    <w:rsid w:val="D5DA02FA"/>
    <w:rsid w:val="DFEF6B5E"/>
    <w:rsid w:val="E9EF1474"/>
    <w:rsid w:val="FBEEBAFF"/>
    <w:rsid w:val="FF781A94"/>
    <w:rsid w:val="FFFF96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qFormat="1"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2"/>
      <w:lang w:val="en-US" w:eastAsia="zh-CN" w:bidi="ar-SA"/>
    </w:rPr>
  </w:style>
  <w:style w:type="paragraph" w:styleId="2">
    <w:name w:val="heading 2"/>
    <w:basedOn w:val="1"/>
    <w:next w:val="1"/>
    <w:qFormat/>
    <w:uiPriority w:val="99"/>
    <w:pPr>
      <w:autoSpaceDE w:val="0"/>
      <w:autoSpaceDN w:val="0"/>
      <w:ind w:left="1586" w:hanging="722"/>
      <w:jc w:val="left"/>
      <w:outlineLvl w:val="1"/>
    </w:pPr>
    <w:rPr>
      <w:rFonts w:ascii="Microsoft JhengHei" w:hAnsi="Microsoft JhengHei" w:eastAsia="Microsoft JhengHei" w:cs="Microsoft JhengHei"/>
      <w:b/>
      <w:bCs/>
      <w:kern w:val="0"/>
      <w:sz w:val="32"/>
      <w:szCs w:val="32"/>
      <w:lang w:val="zh-CN"/>
    </w:rPr>
  </w:style>
  <w:style w:type="character" w:default="1" w:styleId="11">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3">
    <w:name w:val="index 5"/>
    <w:basedOn w:val="1"/>
    <w:next w:val="1"/>
    <w:qFormat/>
    <w:uiPriority w:val="0"/>
    <w:pPr>
      <w:ind w:left="1680"/>
    </w:pPr>
  </w:style>
  <w:style w:type="paragraph" w:styleId="4">
    <w:name w:val="toc 5"/>
    <w:next w:val="1"/>
    <w:semiHidden/>
    <w:qFormat/>
    <w:uiPriority w:val="0"/>
    <w:pPr>
      <w:widowControl w:val="0"/>
      <w:spacing w:line="578" w:lineRule="exact"/>
      <w:ind w:left="1680" w:leftChars="800"/>
      <w:jc w:val="both"/>
    </w:pPr>
    <w:rPr>
      <w:rFonts w:ascii="Calibri" w:hAnsi="Calibri" w:eastAsia="方正仿宋_GBK" w:cs="Times New Roman"/>
      <w:spacing w:val="-3"/>
      <w:kern w:val="2"/>
      <w:sz w:val="32"/>
      <w:szCs w:val="24"/>
      <w:lang w:val="en-US" w:eastAsia="zh-CN" w:bidi="ar-SA"/>
    </w:rPr>
  </w:style>
  <w:style w:type="paragraph" w:styleId="5">
    <w:name w:val="toc 3"/>
    <w:next w:val="1"/>
    <w:qFormat/>
    <w:uiPriority w:val="0"/>
    <w:pPr>
      <w:keepNext w:val="0"/>
      <w:keepLines w:val="0"/>
      <w:widowControl w:val="0"/>
      <w:shd w:val="clear" w:color="auto" w:fill="auto"/>
      <w:bidi w:val="0"/>
      <w:spacing w:before="0" w:after="0" w:line="240" w:lineRule="auto"/>
      <w:ind w:left="840" w:leftChars="400" w:right="0" w:firstLine="0"/>
      <w:jc w:val="left"/>
    </w:pPr>
    <w:rPr>
      <w:rFonts w:ascii="Courier New" w:hAnsi="Courier New" w:eastAsia="Courier New" w:cs="Courier New"/>
      <w:color w:val="000000"/>
      <w:spacing w:val="0"/>
      <w:w w:val="100"/>
      <w:position w:val="0"/>
      <w:sz w:val="24"/>
      <w:szCs w:val="24"/>
      <w:lang w:val="zh-TW"/>
    </w:rPr>
  </w:style>
  <w:style w:type="paragraph" w:styleId="6">
    <w:name w:val="footer"/>
    <w:basedOn w:val="1"/>
    <w:next w:val="3"/>
    <w:unhideWhenUsed/>
    <w:qFormat/>
    <w:uiPriority w:val="0"/>
    <w:pPr>
      <w:tabs>
        <w:tab w:val="center" w:pos="4153"/>
        <w:tab w:val="right" w:pos="8306"/>
      </w:tabs>
      <w:snapToGrid w:val="0"/>
      <w:jc w:val="left"/>
    </w:pPr>
    <w:rPr>
      <w:sz w:val="18"/>
      <w:szCs w:val="18"/>
    </w:rPr>
  </w:style>
  <w:style w:type="paragraph" w:styleId="7">
    <w:name w:val="toc 1"/>
    <w:next w:val="1"/>
    <w:qFormat/>
    <w:uiPriority w:val="0"/>
    <w:pPr>
      <w:keepNext w:val="0"/>
      <w:keepLines w:val="0"/>
      <w:widowControl w:val="0"/>
      <w:shd w:val="clear" w:color="auto" w:fill="auto"/>
      <w:bidi w:val="0"/>
      <w:spacing w:before="0" w:after="0" w:line="240" w:lineRule="auto"/>
      <w:ind w:left="0" w:right="0" w:firstLine="0"/>
      <w:jc w:val="left"/>
    </w:pPr>
    <w:rPr>
      <w:rFonts w:ascii="Courier New" w:hAnsi="Courier New" w:eastAsia="Courier New" w:cs="Courier New"/>
      <w:color w:val="000000"/>
      <w:spacing w:val="0"/>
      <w:w w:val="100"/>
      <w:position w:val="0"/>
      <w:sz w:val="24"/>
      <w:szCs w:val="24"/>
      <w:lang w:val="zh-TW"/>
    </w:rPr>
  </w:style>
  <w:style w:type="paragraph" w:styleId="8">
    <w:name w:val="toc 2"/>
    <w:next w:val="1"/>
    <w:qFormat/>
    <w:uiPriority w:val="0"/>
    <w:pPr>
      <w:keepNext w:val="0"/>
      <w:keepLines w:val="0"/>
      <w:widowControl w:val="0"/>
      <w:shd w:val="clear" w:color="auto" w:fill="auto"/>
      <w:bidi w:val="0"/>
      <w:spacing w:before="0" w:after="0" w:line="240" w:lineRule="auto"/>
      <w:ind w:left="420" w:leftChars="200" w:right="0" w:firstLine="0"/>
      <w:jc w:val="left"/>
    </w:pPr>
    <w:rPr>
      <w:rFonts w:ascii="Courier New" w:hAnsi="Courier New" w:eastAsia="Courier New" w:cs="Courier New"/>
      <w:color w:val="000000"/>
      <w:spacing w:val="0"/>
      <w:w w:val="100"/>
      <w:position w:val="0"/>
      <w:sz w:val="24"/>
      <w:szCs w:val="24"/>
      <w:lang w:val="zh-TW"/>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2">
    <w:name w:val="page number"/>
    <w:basedOn w:val="11"/>
    <w:qFormat/>
    <w:uiPriority w:val="0"/>
  </w:style>
  <w:style w:type="character" w:customStyle="1" w:styleId="13">
    <w:name w:val="NormalCharacter"/>
    <w:qFormat/>
    <w:uiPriority w:val="0"/>
    <w:rPr>
      <w:rFonts w:ascii="Calibri" w:hAnsi="Calibri" w:eastAsia="宋体" w:cs="Times New Roman"/>
    </w:rPr>
  </w:style>
  <w:style w:type="paragraph" w:customStyle="1" w:styleId="14">
    <w:name w:val="Body text1"/>
    <w:qFormat/>
    <w:uiPriority w:val="0"/>
    <w:pPr>
      <w:keepNext w:val="0"/>
      <w:keepLines w:val="0"/>
      <w:widowControl w:val="0"/>
      <w:shd w:val="clear" w:color="auto" w:fill="FFFFFF"/>
      <w:bidi w:val="0"/>
      <w:spacing w:before="1380" w:after="780" w:line="0" w:lineRule="atLeast"/>
      <w:ind w:left="0" w:right="0" w:firstLine="0"/>
      <w:jc w:val="center"/>
    </w:pPr>
    <w:rPr>
      <w:rFonts w:ascii="宋体" w:hAnsi="宋体" w:eastAsia="宋体" w:cs="宋体"/>
      <w:color w:val="000000"/>
      <w:spacing w:val="30"/>
      <w:w w:val="100"/>
      <w:position w:val="0"/>
      <w:sz w:val="29"/>
      <w:szCs w:val="29"/>
      <w:u w:val="none"/>
      <w:lang w:val="zh-TW"/>
    </w:rPr>
  </w:style>
  <w:style w:type="character" w:customStyle="1" w:styleId="15">
    <w:name w:val="Body text"/>
    <w:qFormat/>
    <w:uiPriority w:val="0"/>
    <w:rPr>
      <w:rFonts w:ascii="宋体" w:hAnsi="宋体" w:eastAsia="宋体" w:cs="宋体"/>
      <w:color w:val="000000"/>
      <w:spacing w:val="0"/>
      <w:w w:val="100"/>
      <w:position w:val="0"/>
      <w:sz w:val="30"/>
      <w:szCs w:val="30"/>
      <w:u w:val="none"/>
      <w:lang w:val="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2</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2026-10-17T18:45:00Z</dcterms:created>
  <dc:creator>CW</dc:creator>
  <cp:lastModifiedBy>Administrator</cp:lastModifiedBy>
  <cp:lastPrinted>2026-10-23T03:06:00Z</cp:lastPrinted>
  <dcterms:modified xsi:type="dcterms:W3CDTF">2026-11-03T10:10:56Z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18847FAC9A4A418E9A056EE9740BB1A2_11</vt:lpwstr>
  </property>
</Properties>
</file>