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pacing w:val="-4"/>
          <w:sz w:val="32"/>
          <w:szCs w:val="32"/>
          <w:highlight w:val="none"/>
        </w:rPr>
        <w:t>附件</w:t>
      </w:r>
      <w:r>
        <w:rPr>
          <w:rFonts w:hint="default" w:ascii="Times New Roman" w:hAnsi="Times New Roman" w:eastAsia="方正黑体_GBK" w:cs="Times New Roman"/>
          <w:color w:val="auto"/>
          <w:spacing w:val="-34"/>
          <w:sz w:val="32"/>
          <w:szCs w:val="32"/>
          <w:highlight w:val="none"/>
        </w:rPr>
        <w:t xml:space="preserve"> </w:t>
      </w:r>
      <w:r>
        <w:rPr>
          <w:rFonts w:hint="default" w:ascii="Times New Roman" w:hAnsi="Times New Roman" w:eastAsia="方正黑体_GBK" w:cs="Times New Roman"/>
          <w:color w:val="auto"/>
          <w:spacing w:val="-4"/>
          <w:sz w:val="32"/>
          <w:szCs w:val="32"/>
          <w:highlight w:val="none"/>
        </w:rPr>
        <w:t>1</w:t>
      </w:r>
    </w:p>
    <w:p>
      <w:pPr>
        <w:keepNext w:val="0"/>
        <w:keepLines w:val="0"/>
        <w:pageBreakBefore w:val="0"/>
        <w:widowControl w:val="0"/>
        <w:kinsoku/>
        <w:wordWrap/>
        <w:overflowPunct/>
        <w:topLinePunct w:val="0"/>
        <w:autoSpaceDE/>
        <w:autoSpaceDN/>
        <w:bidi w:val="0"/>
        <w:adjustRightInd/>
        <w:snapToGrid/>
        <w:spacing w:line="0" w:lineRule="atLeast"/>
        <w:ind w:left="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0" w:lineRule="atLeast"/>
        <w:ind w:left="0"/>
        <w:jc w:val="center"/>
        <w:textAlignment w:val="auto"/>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pPr>
      <w:r>
        <w:rPr>
          <w:rFonts w:hint="eastAsia" w:ascii="方正小标宋_GBK" w:hAnsi="方正小标宋_GBK" w:eastAsia="方正小标宋_GBK" w:cs="方正小标宋_GBK"/>
          <w:b w:val="0"/>
          <w:bCs w:val="0"/>
          <w:color w:val="auto"/>
          <w:spacing w:val="9"/>
          <w:kern w:val="2"/>
          <w:sz w:val="44"/>
          <w:szCs w:val="44"/>
          <w:highlight w:val="none"/>
          <w:lang w:val="en-US" w:eastAsia="zh-CN" w:bidi="ar-SA"/>
        </w:rPr>
        <w:t>乌鲁木齐市机动车排放检验机构记分标准</w:t>
      </w:r>
    </w:p>
    <w:p>
      <w:pPr>
        <w:keepNext w:val="0"/>
        <w:keepLines w:val="0"/>
        <w:pageBreakBefore w:val="0"/>
        <w:widowControl w:val="0"/>
        <w:kinsoku/>
        <w:wordWrap/>
        <w:overflowPunct/>
        <w:topLinePunct w:val="0"/>
        <w:autoSpaceDE/>
        <w:autoSpaceDN/>
        <w:bidi w:val="0"/>
        <w:adjustRightInd/>
        <w:snapToGrid/>
        <w:spacing w:line="0" w:lineRule="atLeast"/>
        <w:ind w:left="0"/>
        <w:jc w:val="both"/>
        <w:textAlignment w:val="auto"/>
        <w:rPr>
          <w:rFonts w:hint="eastAsia" w:ascii="Times New Roman" w:hAnsi="Times New Roman" w:eastAsia="黑体" w:cs="Times New Roman"/>
          <w:color w:val="auto"/>
          <w:spacing w:val="9"/>
          <w:sz w:val="36"/>
          <w:szCs w:val="36"/>
          <w:highlight w:val="none"/>
          <w:lang w:val="en-US" w:eastAsia="zh-C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135"/>
        <w:gridCol w:w="15"/>
        <w:gridCol w:w="587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trPr>
        <w:tc>
          <w:tcPr>
            <w:tcW w:w="960" w:type="dxa"/>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序号</w:t>
            </w:r>
          </w:p>
        </w:tc>
        <w:tc>
          <w:tcPr>
            <w:tcW w:w="7020" w:type="dxa"/>
            <w:gridSpan w:val="3"/>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部门管理要求及问题描述</w:t>
            </w:r>
          </w:p>
        </w:tc>
        <w:tc>
          <w:tcPr>
            <w:tcW w:w="1080" w:type="dxa"/>
            <w:vAlign w:val="center"/>
          </w:tcPr>
          <w:p>
            <w:pPr>
              <w:keepNext w:val="0"/>
              <w:keepLines w:val="0"/>
              <w:widowControl/>
              <w:suppressLineNumbers w:val="0"/>
              <w:jc w:val="center"/>
              <w:textAlignment w:val="center"/>
              <w:rPr>
                <w:rFonts w:hint="eastAsia" w:ascii="方正黑体_GBK" w:hAnsi="方正黑体_GBK" w:eastAsia="方正黑体_GBK" w:cs="方正黑体_GBK"/>
                <w:color w:val="auto"/>
                <w:spacing w:val="9"/>
                <w:sz w:val="30"/>
                <w:szCs w:val="30"/>
                <w:highlight w:val="none"/>
                <w:vertAlign w:val="baseline"/>
                <w:lang w:val="en-US" w:eastAsia="zh-CN"/>
              </w:rPr>
            </w:pPr>
            <w:r>
              <w:rPr>
                <w:rFonts w:hint="eastAsia" w:ascii="方正黑体_GBK" w:hAnsi="方正黑体_GBK" w:eastAsia="方正黑体_GBK" w:cs="方正黑体_GBK"/>
                <w:i w:val="0"/>
                <w:iCs w:val="0"/>
                <w:color w:val="212121"/>
                <w:kern w:val="0"/>
                <w:sz w:val="30"/>
                <w:szCs w:val="30"/>
                <w:u w:val="none"/>
                <w:lang w:val="en-US" w:eastAsia="zh-CN" w:bidi="ar"/>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060" w:type="dxa"/>
            <w:gridSpan w:val="5"/>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31"/>
                <w:szCs w:val="31"/>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市场监督管理部门负责确认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7020" w:type="dxa"/>
            <w:gridSpan w:val="3"/>
            <w:vAlign w:val="center"/>
          </w:tcPr>
          <w:p>
            <w:pPr>
              <w:pStyle w:val="7"/>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以欺骗、贿赂等不正当手段取得资质认定证书的。</w:t>
            </w:r>
          </w:p>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7020"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auto"/>
                <w:kern w:val="0"/>
                <w:sz w:val="24"/>
                <w:szCs w:val="24"/>
                <w:highlight w:val="none"/>
                <w:u w:val="none"/>
                <w:lang w:val="en-US" w:eastAsia="zh-CN" w:bidi="ar"/>
              </w:rPr>
              <w:t>伪造检验检测机构公章或者检验检测专用章，或者伪造授权签字人签名或者签发时间的。</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基本条件和技术能力不能持续符合资质认定条件和要求</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擅自向社会出具具有证明作用的检验检测数据、结果的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 xml:space="preserve"> </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2"/>
                <w:sz w:val="24"/>
                <w:szCs w:val="24"/>
                <w:u w:val="none"/>
                <w:lang w:val="en-US" w:eastAsia="zh-CN" w:bidi="ar-SA"/>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超出资质认定证书规定的检验检测能力范围</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擅自向社会出具具有证明作用的数据、结果的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转让、出租、出借资质认定证书或者标志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伪造、变造、冒用资质认定证书或者标志</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使用已经过期或者被撤销、注销的资质认定证书或者标志的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w:t>
            </w:r>
            <w:r>
              <w:rPr>
                <w:rFonts w:hint="default" w:ascii="Times New Roman" w:hAnsi="Times New Roman" w:eastAsia="方正仿宋_GBK" w:cs="Times New Roman"/>
                <w:b w:val="0"/>
                <w:bCs w:val="0"/>
                <w:color w:val="000000"/>
                <w:kern w:val="0"/>
                <w:sz w:val="24"/>
                <w:szCs w:val="24"/>
                <w:u w:val="none"/>
                <w:lang w:val="en-US" w:eastAsia="zh-CN" w:bidi="ar"/>
              </w:rPr>
              <w:t>《柴油车污染排放限值及测量方法（自由加速法及加载减速法）》（GB3847-2018）、《汽油车</w:t>
            </w:r>
            <w:r>
              <w:rPr>
                <w:rFonts w:hint="eastAsia" w:ascii="Times New Roman" w:hAnsi="Times New Roman" w:eastAsia="方正仿宋_GBK" w:cs="Times New Roman"/>
                <w:b w:val="0"/>
                <w:bCs w:val="0"/>
                <w:color w:val="000000"/>
                <w:kern w:val="0"/>
                <w:sz w:val="24"/>
                <w:szCs w:val="24"/>
                <w:u w:val="none"/>
                <w:lang w:val="en-US" w:eastAsia="zh-CN" w:bidi="ar"/>
              </w:rPr>
              <w:t>污染排放限值及测量方法（双怠速法及简易工况法）》（GB18285-2018）</w:t>
            </w:r>
            <w:r>
              <w:rPr>
                <w:rFonts w:hint="eastAsia" w:ascii="Times New Roman" w:hAnsi="Times New Roman" w:eastAsia="方正仿宋_GBK" w:cs="Times New Roman"/>
                <w:i w:val="0"/>
                <w:iCs w:val="0"/>
                <w:color w:val="000000"/>
                <w:kern w:val="0"/>
                <w:sz w:val="24"/>
                <w:szCs w:val="24"/>
                <w:u w:val="none"/>
                <w:lang w:val="en-US" w:eastAsia="zh-CN" w:bidi="ar"/>
              </w:rPr>
              <w:t>要求开展检测设备检查。</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rPr>
              <w:t>使用未经检定或校准的仪器、设备、设施的。</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未在检验检测报告上加盖检验检测机构公章或者检验检测专用章的</w:t>
            </w:r>
            <w:r>
              <w:rPr>
                <w:rFonts w:hint="eastAsia" w:ascii="Times New Roman" w:hAnsi="Times New Roman" w:eastAsia="方正仿宋_GBK" w:cs="Times New Roman"/>
                <w:i w:val="0"/>
                <w:iCs w:val="0"/>
                <w:color w:val="000000"/>
                <w:kern w:val="0"/>
                <w:sz w:val="24"/>
                <w:szCs w:val="24"/>
                <w:u w:val="none"/>
                <w:lang w:val="en-US" w:eastAsia="zh-CN" w:bidi="ar"/>
              </w:rPr>
              <w:t>，以及未按规定标注资质认定标志（CMA章）的。</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cs="Times New Roman" w:eastAsiaTheme="minorEastAsia"/>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未按规定对检验检测原始记录和报告进行归档留存的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检验检测报告未列明标准等技术依据的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方正黑体_GBK" w:hAnsi="方正黑体_GBK" w:eastAsia="方正黑体_GBK" w:cs="方正黑体_GBK"/>
                <w:i w:val="0"/>
                <w:iCs w:val="0"/>
                <w:color w:val="212121"/>
                <w:kern w:val="0"/>
                <w:sz w:val="30"/>
                <w:szCs w:val="30"/>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12</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highlight w:val="none"/>
                <w:u w:val="none"/>
                <w:lang w:val="en-US" w:eastAsia="zh-CN" w:bidi="ar"/>
              </w:rPr>
            </w:pPr>
            <w:r>
              <w:rPr>
                <w:rFonts w:hint="default" w:ascii="Times New Roman" w:hAnsi="Times New Roman" w:eastAsia="方正仿宋_GBK" w:cs="Times New Roman"/>
                <w:i w:val="0"/>
                <w:iCs w:val="0"/>
                <w:color w:val="000000"/>
                <w:kern w:val="0"/>
                <w:sz w:val="24"/>
                <w:szCs w:val="24"/>
                <w:highlight w:val="none"/>
                <w:u w:val="none"/>
                <w:lang w:val="en-US" w:eastAsia="zh-CN" w:bidi="ar"/>
              </w:rPr>
              <w:t>检验检测机构应当向资质认定部门申请办理变更手续，未按规定办理变更手续的</w:t>
            </w:r>
            <w:r>
              <w:rPr>
                <w:rFonts w:hint="eastAsia" w:ascii="Times New Roman" w:hAnsi="Times New Roman" w:eastAsia="方正仿宋_GBK" w:cs="Times New Roman"/>
                <w:i w:val="0"/>
                <w:iCs w:val="0"/>
                <w:color w:val="000000"/>
                <w:kern w:val="0"/>
                <w:sz w:val="24"/>
                <w:szCs w:val="24"/>
                <w:highlight w:val="none"/>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13</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检验检测人员同时在两个以上检验检测机构从业的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14</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highlight w:val="yellow"/>
                <w:u w:val="none"/>
                <w:lang w:val="en-US" w:eastAsia="zh-CN" w:bidi="ar"/>
              </w:rPr>
            </w:pPr>
            <w:r>
              <w:rPr>
                <w:rFonts w:hint="eastAsia" w:ascii="Times New Roman" w:hAnsi="Times New Roman" w:eastAsia="方正仿宋_GBK" w:cs="Times New Roman"/>
                <w:i w:val="0"/>
                <w:iCs w:val="0"/>
                <w:color w:val="000000"/>
                <w:kern w:val="0"/>
                <w:sz w:val="24"/>
                <w:szCs w:val="24"/>
                <w:highlight w:val="none"/>
                <w:u w:val="none"/>
                <w:lang w:val="en-US" w:eastAsia="zh-CN" w:bidi="ar"/>
              </w:rPr>
              <w:t>其他违反《检验检测机构监督管理办法》《机动车检验机构资质认定评审补充技术要求》且无需追究行政、刑事责任的情形。</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060" w:type="dxa"/>
            <w:gridSpan w:val="5"/>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8"/>
                <w:szCs w:val="28"/>
                <w:highlight w:val="none"/>
                <w:vertAlign w:val="baseline"/>
                <w:lang w:val="en-US" w:eastAsia="zh-CN"/>
              </w:rPr>
              <w:t>生态环境部门负责确认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trPr>
        <w:tc>
          <w:tcPr>
            <w:tcW w:w="96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w:t>
            </w:r>
          </w:p>
        </w:tc>
        <w:tc>
          <w:tcPr>
            <w:tcW w:w="7020" w:type="dxa"/>
            <w:gridSpan w:val="3"/>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无正当理由拒不接受、不配合监督检查的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2</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不检验或减少标准等规定的应当检验检测的项目</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2.1未经</w:t>
            </w:r>
            <w:r>
              <w:rPr>
                <w:rFonts w:hint="default" w:ascii="Times New Roman" w:hAnsi="Times New Roman" w:eastAsia="方正仿宋_GBK" w:cs="Times New Roman"/>
                <w:i w:val="0"/>
                <w:iCs w:val="0"/>
                <w:color w:val="000000"/>
                <w:kern w:val="0"/>
                <w:sz w:val="24"/>
                <w:szCs w:val="24"/>
                <w:u w:val="none"/>
                <w:lang w:val="en-US" w:eastAsia="zh-CN" w:bidi="ar"/>
              </w:rPr>
              <w:t>检验或</w:t>
            </w:r>
            <w:r>
              <w:rPr>
                <w:rFonts w:hint="eastAsia" w:ascii="Times New Roman" w:hAnsi="Times New Roman" w:eastAsia="方正仿宋_GBK" w:cs="Times New Roman"/>
                <w:i w:val="0"/>
                <w:iCs w:val="0"/>
                <w:color w:val="000000"/>
                <w:kern w:val="0"/>
                <w:sz w:val="24"/>
                <w:szCs w:val="24"/>
                <w:u w:val="none"/>
                <w:lang w:val="en-US" w:eastAsia="zh-CN" w:bidi="ar"/>
              </w:rPr>
              <w:t>操作</w:t>
            </w:r>
            <w:r>
              <w:rPr>
                <w:rFonts w:hint="default" w:ascii="Times New Roman" w:hAnsi="Times New Roman" w:eastAsia="方正仿宋_GBK" w:cs="Times New Roman"/>
                <w:i w:val="0"/>
                <w:iCs w:val="0"/>
                <w:color w:val="000000"/>
                <w:kern w:val="0"/>
                <w:sz w:val="24"/>
                <w:szCs w:val="24"/>
                <w:u w:val="none"/>
                <w:lang w:val="en-US" w:eastAsia="zh-CN" w:bidi="ar"/>
              </w:rPr>
              <w:t>人员未上车操作</w:t>
            </w:r>
            <w:r>
              <w:rPr>
                <w:rFonts w:hint="eastAsia" w:ascii="Times New Roman" w:hAnsi="Times New Roman" w:eastAsia="方正仿宋_GBK" w:cs="Times New Roman"/>
                <w:i w:val="0"/>
                <w:iCs w:val="0"/>
                <w:color w:val="000000"/>
                <w:kern w:val="0"/>
                <w:sz w:val="24"/>
                <w:szCs w:val="24"/>
                <w:u w:val="none"/>
                <w:lang w:val="en-US" w:eastAsia="zh-CN" w:bidi="ar"/>
              </w:rPr>
              <w:t>等直接</w:t>
            </w:r>
            <w:r>
              <w:rPr>
                <w:rFonts w:hint="default" w:ascii="Times New Roman" w:hAnsi="Times New Roman" w:eastAsia="方正仿宋_GBK" w:cs="Times New Roman"/>
                <w:i w:val="0"/>
                <w:iCs w:val="0"/>
                <w:color w:val="000000"/>
                <w:kern w:val="0"/>
                <w:sz w:val="24"/>
                <w:szCs w:val="24"/>
                <w:u w:val="none"/>
                <w:lang w:val="en-US" w:eastAsia="zh-CN" w:bidi="ar"/>
              </w:rPr>
              <w:t>出具合格检验报告</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2.2对OBD应该检验且判定的车辆跳过OBD检验，出具合格检验报告。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3</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使用外挂设备、作弊软件等方式作弊</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sz w:val="24"/>
                <w:szCs w:val="24"/>
                <w:lang w:val="en-US" w:eastAsia="zh-CN"/>
              </w:rPr>
            </w:pPr>
            <w:r>
              <w:rPr>
                <w:rFonts w:hint="eastAsia" w:ascii="Times New Roman" w:hAnsi="Times New Roman" w:eastAsia="方正仿宋_GBK" w:cs="Times New Roman"/>
                <w:i w:val="0"/>
                <w:iCs w:val="0"/>
                <w:color w:val="000000"/>
                <w:kern w:val="0"/>
                <w:sz w:val="24"/>
                <w:szCs w:val="24"/>
                <w:u w:val="none"/>
                <w:lang w:val="en-US" w:eastAsia="zh-CN" w:bidi="ar"/>
              </w:rPr>
              <w:t>3.1检测过程中，在车辆OBD接口与诊断设备之间增加作弊器，篡改车辆OBD信息。</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3.2合格车辆检验报告中OBD检验项目的CAL ID，存在大量不同品牌、不同发动机型号车辆数据一致现象，如3I1GK64593720853、23067LMN0P8345TU、6012767GHIJK569A、YZ067LMN0P8345TU、8345TUVW12348912、6KWRG678904GFBN6。</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3.3使用具备模拟检测数据等相关功能的作弊装置或信号模拟装置。</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3.4使用具有人为篡改或伪造检测数据、控制过程参数等作弊功能的检测线操作电脑、检测用手机、平板。</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3.5使用“火莲花”“烟霸”等临时作弊物品使车辆通过排放检验。</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4</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spacing w:line="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将不能通过机动车排放检验的车辆判定为合格</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4.1对冒黑烟或蓝烟车辆出具合格检验报告。</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4.2违反OBD通信、故障指示器状态、就绪状态等检验规定，出具合格检验报告。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4.3违反车辆外观检验规定，对污染控制装置缺失或传感器垫高、拔出、断开等车辆出具合格检验报告。</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5</w:t>
            </w: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擅自放宽检验方法</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未依据标准及规范选用工况法检验，而选用非工况法。</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eastAsia"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将两驱车辆登记为四驱、柴油重卡登记为燃气重卡开展检验。</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6</w:t>
            </w:r>
          </w:p>
        </w:tc>
        <w:tc>
          <w:tcPr>
            <w:tcW w:w="1135" w:type="dxa"/>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tLeast"/>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改变关键检验检测条件</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车辆测试报告中额定功率、基准质量、额定转速等数据与车辆实际参数不一致，并影响检测结果。</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黑体" w:cs="Times New Roman"/>
                <w:color w:val="auto"/>
                <w:spacing w:val="9"/>
                <w:sz w:val="24"/>
                <w:szCs w:val="24"/>
                <w:highlight w:val="none"/>
                <w:vertAlign w:val="baseline"/>
                <w:lang w:val="en-US" w:eastAsia="zh-CN"/>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trPr>
        <w:tc>
          <w:tcPr>
            <w:tcW w:w="960" w:type="dxa"/>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7</w:t>
            </w:r>
          </w:p>
        </w:tc>
        <w:tc>
          <w:tcPr>
            <w:tcW w:w="1135" w:type="dxa"/>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替车、替气检验</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left"/>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使用其他车辆替代实际受检车辆进行检验，或者使用非该受检车辆的气体或OBD装置等通过排放检验。</w:t>
            </w:r>
          </w:p>
        </w:tc>
        <w:tc>
          <w:tcPr>
            <w:tcW w:w="1080" w:type="dxa"/>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8</w:t>
            </w:r>
          </w:p>
        </w:tc>
        <w:tc>
          <w:tcPr>
            <w:tcW w:w="1150" w:type="dxa"/>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人为干扰检测</w:t>
            </w: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未按照标准及规范要求测量环境温度、环境湿度和大气压力等参数，影响检验结果。</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采样探头插入深度不满足标准要求，采样管路泄漏、堵塞弯折、踩踏或拔出采样管或探头，以及稀释样气等干扰采样行为。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检测过程中，堵塞不透光烟度计测试通道、插拔不透光烟度计滤光片、使用外力干扰测功机和排气分析仪等干扰检测行为。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9</w:t>
            </w:r>
          </w:p>
        </w:tc>
        <w:tc>
          <w:tcPr>
            <w:tcW w:w="1150" w:type="dxa"/>
            <w:gridSpan w:val="2"/>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其他弄虚作假行为</w:t>
            </w: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未按照标准及规范要求进行检验，车辆速度、功率、发动机转速等过程数据呈明显异常，并影响排放结果。（例如：人为编造环境参数或伪造功率、发动机转速或油温数据等，出具合格检验报告。）</w:t>
            </w:r>
          </w:p>
        </w:tc>
        <w:tc>
          <w:tcPr>
            <w:tcW w:w="1080"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每项</w:t>
            </w:r>
          </w:p>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12分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对独立工作的双排气管（非装饰用）汽油车，采用单管采样。</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伪造、篡改检验结果、数据、记录、监控视频、图片。</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故意删除</w:t>
            </w:r>
            <w:r>
              <w:rPr>
                <w:rFonts w:hint="eastAsia" w:ascii="Times New Roman" w:hAnsi="Times New Roman" w:eastAsia="方正仿宋_GBK" w:cs="Times New Roman"/>
                <w:i w:val="0"/>
                <w:iCs w:val="0"/>
                <w:color w:val="000000"/>
                <w:kern w:val="0"/>
                <w:sz w:val="24"/>
                <w:szCs w:val="24"/>
                <w:highlight w:val="none"/>
                <w:u w:val="none"/>
                <w:lang w:val="en-US" w:eastAsia="zh-CN" w:bidi="ar"/>
              </w:rPr>
              <w:t>据以</w:t>
            </w:r>
            <w:r>
              <w:rPr>
                <w:rFonts w:hint="eastAsia" w:ascii="Times New Roman" w:hAnsi="Times New Roman" w:eastAsia="方正仿宋_GBK" w:cs="Times New Roman"/>
                <w:i w:val="0"/>
                <w:iCs w:val="0"/>
                <w:color w:val="000000"/>
                <w:kern w:val="0"/>
                <w:sz w:val="24"/>
                <w:szCs w:val="24"/>
                <w:u w:val="none"/>
                <w:lang w:val="en-US" w:eastAsia="zh-CN" w:bidi="ar"/>
              </w:rPr>
              <w:t>出具检验报告的原始数据、原始记录。</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p>
        </w:tc>
        <w:tc>
          <w:tcPr>
            <w:tcW w:w="1150" w:type="dxa"/>
            <w:gridSpan w:val="2"/>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70" w:type="dxa"/>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其他出具虚假排放检验报告或者伪造排放检验数据的行为。</w:t>
            </w:r>
          </w:p>
        </w:tc>
        <w:tc>
          <w:tcPr>
            <w:tcW w:w="1080"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exact"/>
        </w:trPr>
        <w:tc>
          <w:tcPr>
            <w:tcW w:w="96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黑体" w:cs="Times New Roman"/>
                <w:color w:val="auto"/>
                <w:spacing w:val="9"/>
                <w:sz w:val="24"/>
                <w:szCs w:val="24"/>
                <w:highlight w:val="none"/>
                <w:vertAlign w:val="baseline"/>
                <w:lang w:val="en-US" w:eastAsia="zh-CN"/>
              </w:rPr>
            </w:pPr>
            <w:r>
              <w:rPr>
                <w:rFonts w:hint="eastAsia" w:ascii="Times New Roman" w:hAnsi="Times New Roman" w:eastAsia="黑体" w:cs="Times New Roman"/>
                <w:color w:val="auto"/>
                <w:spacing w:val="9"/>
                <w:sz w:val="24"/>
                <w:szCs w:val="24"/>
                <w:highlight w:val="none"/>
                <w:vertAlign w:val="baseline"/>
                <w:lang w:val="en-US" w:eastAsia="zh-CN"/>
              </w:rPr>
              <w:t>10</w:t>
            </w:r>
          </w:p>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检验不规范</w:t>
            </w: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排放检验机构及其人员直接或间接从事机动车排放污染治理维修业务的，或要求车辆到指定场所进行维修、保养等存在影响检验检测公正性行为的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故意遮挡视频，包括故意遮挡采样、检验等重要过程环节视频，规避监管</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未按照有关规定管理、使用标准物质的。</w:t>
            </w:r>
            <w:r>
              <w:rPr>
                <w:rFonts w:hint="eastAsia" w:ascii="Times New Roman" w:hAnsi="Times New Roman" w:eastAsia="方正仿宋_GBK" w:cs="Times New Roman"/>
                <w:i w:val="0"/>
                <w:iCs w:val="0"/>
                <w:color w:val="000000"/>
                <w:kern w:val="0"/>
                <w:sz w:val="24"/>
                <w:szCs w:val="24"/>
                <w:u w:val="none"/>
                <w:lang w:val="en-US" w:eastAsia="zh-CN" w:bidi="ar"/>
              </w:rPr>
              <w:t>（例如：</w:t>
            </w:r>
            <w:r>
              <w:rPr>
                <w:rFonts w:hint="default" w:ascii="Times New Roman" w:hAnsi="Times New Roman" w:eastAsia="方正仿宋_GBK" w:cs="Times New Roman"/>
                <w:i w:val="0"/>
                <w:iCs w:val="0"/>
                <w:color w:val="000000"/>
                <w:kern w:val="0"/>
                <w:sz w:val="24"/>
                <w:szCs w:val="24"/>
                <w:u w:val="none"/>
                <w:lang w:val="en-US" w:eastAsia="zh-CN" w:bidi="ar"/>
              </w:rPr>
              <w:t>用于分析仪日常自检使用的标准气体等不齐全</w:t>
            </w:r>
            <w:r>
              <w:rPr>
                <w:rFonts w:hint="eastAsia" w:ascii="Times New Roman" w:hAnsi="Times New Roman" w:eastAsia="方正仿宋_GBK" w:cs="Times New Roman"/>
                <w:i w:val="0"/>
                <w:iCs w:val="0"/>
                <w:color w:val="000000"/>
                <w:kern w:val="0"/>
                <w:sz w:val="24"/>
                <w:szCs w:val="24"/>
                <w:u w:val="none"/>
                <w:lang w:val="en-US" w:eastAsia="zh-CN" w:bidi="ar"/>
              </w:rPr>
              <w:t>，或</w:t>
            </w:r>
            <w:r>
              <w:rPr>
                <w:rFonts w:hint="default" w:ascii="Times New Roman" w:hAnsi="Times New Roman" w:eastAsia="方正仿宋_GBK" w:cs="Times New Roman"/>
                <w:i w:val="0"/>
                <w:iCs w:val="0"/>
                <w:color w:val="000000"/>
                <w:kern w:val="0"/>
                <w:sz w:val="24"/>
                <w:szCs w:val="24"/>
                <w:u w:val="none"/>
                <w:lang w:val="en-US" w:eastAsia="zh-CN" w:bidi="ar"/>
              </w:rPr>
              <w:t>缺少不透光烟度计自检用滤光片</w:t>
            </w:r>
            <w:r>
              <w:rPr>
                <w:rFonts w:hint="eastAsia" w:ascii="Times New Roman" w:hAnsi="Times New Roman" w:eastAsia="方正仿宋_GBK" w:cs="Times New Roman"/>
                <w:i w:val="0"/>
                <w:iCs w:val="0"/>
                <w:color w:val="000000"/>
                <w:kern w:val="0"/>
                <w:sz w:val="24"/>
                <w:szCs w:val="24"/>
                <w:u w:val="none"/>
                <w:lang w:val="en-US" w:eastAsia="zh-CN" w:bidi="ar"/>
              </w:rPr>
              <w:t>等情况。）</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5"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未按规范要求对底盘测功机、排气分析仪、氮氧化物分析仪、不透光烟度计等检验设备进行日常检查。（例如底盘测功机滑行测试、附加损失测试、力传感器检查等，排气分析仪泄露检查、 低标气、高标气检查等。）</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6</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非设备故障、安全事故等原因，无正当理由中断检测过程的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检测线设备操作</w:t>
            </w:r>
            <w:r>
              <w:rPr>
                <w:rFonts w:hint="eastAsia" w:ascii="Times New Roman" w:hAnsi="Times New Roman" w:eastAsia="方正仿宋_GBK" w:cs="Times New Roman"/>
                <w:i w:val="0"/>
                <w:iCs w:val="0"/>
                <w:color w:val="000000"/>
                <w:kern w:val="0"/>
                <w:sz w:val="24"/>
                <w:szCs w:val="24"/>
                <w:u w:val="none"/>
                <w:lang w:val="en-US" w:eastAsia="zh-CN" w:bidi="ar"/>
              </w:rPr>
              <w:t>、检测区域</w:t>
            </w:r>
            <w:r>
              <w:rPr>
                <w:rFonts w:hint="default" w:ascii="Times New Roman" w:hAnsi="Times New Roman" w:eastAsia="方正仿宋_GBK" w:cs="Times New Roman"/>
                <w:i w:val="0"/>
                <w:iCs w:val="0"/>
                <w:color w:val="000000"/>
                <w:kern w:val="0"/>
                <w:sz w:val="24"/>
                <w:szCs w:val="24"/>
                <w:u w:val="none"/>
                <w:lang w:val="en-US" w:eastAsia="zh-CN" w:bidi="ar"/>
              </w:rPr>
              <w:t>，</w:t>
            </w:r>
            <w:r>
              <w:rPr>
                <w:rFonts w:hint="eastAsia" w:ascii="Times New Roman" w:hAnsi="Times New Roman" w:eastAsia="方正仿宋_GBK" w:cs="Times New Roman"/>
                <w:i w:val="0"/>
                <w:iCs w:val="0"/>
                <w:color w:val="000000"/>
                <w:kern w:val="0"/>
                <w:sz w:val="24"/>
                <w:szCs w:val="24"/>
                <w:u w:val="none"/>
                <w:lang w:val="en-US" w:eastAsia="zh-CN" w:bidi="ar"/>
              </w:rPr>
              <w:t>固定</w:t>
            </w:r>
            <w:r>
              <w:rPr>
                <w:rFonts w:hint="default" w:ascii="Times New Roman" w:hAnsi="Times New Roman" w:eastAsia="方正仿宋_GBK" w:cs="Times New Roman"/>
                <w:i w:val="0"/>
                <w:iCs w:val="0"/>
                <w:color w:val="000000"/>
                <w:kern w:val="0"/>
                <w:sz w:val="24"/>
                <w:szCs w:val="24"/>
                <w:u w:val="none"/>
                <w:lang w:val="en-US" w:eastAsia="zh-CN" w:bidi="ar"/>
              </w:rPr>
              <w:t>视频监控装置不能清晰拍摄检验全过程的</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重型柴油车和重型燃气车检测线未配备移动摄像机，或移动摄像机不能清晰拍摄到取样管插入及拔取过程的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未按规范要求对原始记录、报告和检测视频录像、照片等电子档案进行归档的，纸质或电子档案在保存期内丢失、损毁的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取样口至分析仪管路长度大于 7.5 米；不透光烟度计采样管长度大于 3.5 米；存在采样管路破损现象等</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不按车辆实际情况录入受检测机动车关键参数，且通过环保检验的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检测软件未按标准规范要求设置锁止功能。在不符合检测条件时，未按标准规范要求自动终止检测并锁止。</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汽油车辆在双怠速检测过程中</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车辆转速无法区分高怠速和怠速状态的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自由加速法检测的柴油车辆</w:t>
            </w:r>
            <w:r>
              <w:rPr>
                <w:rFonts w:hint="eastAsia" w:ascii="Times New Roman" w:hAnsi="Times New Roman" w:eastAsia="方正仿宋_GBK" w:cs="Times New Roman"/>
                <w:i w:val="0"/>
                <w:iCs w:val="0"/>
                <w:color w:val="000000"/>
                <w:kern w:val="0"/>
                <w:sz w:val="24"/>
                <w:szCs w:val="24"/>
                <w:u w:val="none"/>
                <w:lang w:val="en-US" w:eastAsia="zh-CN" w:bidi="ar"/>
              </w:rPr>
              <w:t>，</w:t>
            </w:r>
            <w:r>
              <w:rPr>
                <w:rFonts w:hint="default" w:ascii="Times New Roman" w:hAnsi="Times New Roman" w:eastAsia="方正仿宋_GBK" w:cs="Times New Roman"/>
                <w:i w:val="0"/>
                <w:iCs w:val="0"/>
                <w:color w:val="000000"/>
                <w:kern w:val="0"/>
                <w:sz w:val="24"/>
                <w:szCs w:val="24"/>
                <w:u w:val="none"/>
                <w:lang w:val="en-US" w:eastAsia="zh-CN" w:bidi="ar"/>
              </w:rPr>
              <w:t>转速明显低于额定转速的</w:t>
            </w:r>
            <w:r>
              <w:rPr>
                <w:rFonts w:hint="eastAsia" w:ascii="Times New Roman" w:hAnsi="Times New Roman" w:eastAsia="方正仿宋_GBK" w:cs="Times New Roman"/>
                <w:i w:val="0"/>
                <w:iCs w:val="0"/>
                <w:color w:val="000000"/>
                <w:kern w:val="0"/>
                <w:sz w:val="24"/>
                <w:szCs w:val="24"/>
                <w:u w:val="none"/>
                <w:lang w:val="en-US" w:eastAsia="zh-CN" w:bidi="ar"/>
              </w:rPr>
              <w:t>；加载减速法检测的柴油车辆，车辆速度明显低于70千米/小时。</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3</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安装设备软件的计算机应专机专用，除安装操作系统、一套设备软件及必要的安全软件外，安装备份、实验及其他与检验无关软件</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未按规范要求，将车辆信息和车主信息完整、准确录入的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2</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未在办事大厅、休息区醒目位置张贴我</w:t>
            </w:r>
            <w:r>
              <w:rPr>
                <w:rFonts w:hint="eastAsia" w:ascii="Times New Roman" w:hAnsi="Times New Roman" w:eastAsia="方正仿宋_GBK" w:cs="Times New Roman"/>
                <w:i w:val="0"/>
                <w:iCs w:val="0"/>
                <w:color w:val="000000"/>
                <w:kern w:val="0"/>
                <w:sz w:val="24"/>
                <w:szCs w:val="24"/>
                <w:u w:val="none"/>
                <w:lang w:val="en-US" w:eastAsia="zh-CN" w:bidi="ar"/>
              </w:rPr>
              <w:t>市</w:t>
            </w:r>
            <w:r>
              <w:rPr>
                <w:rFonts w:hint="default" w:ascii="Times New Roman" w:hAnsi="Times New Roman" w:eastAsia="方正仿宋_GBK" w:cs="Times New Roman"/>
                <w:i w:val="0"/>
                <w:iCs w:val="0"/>
                <w:color w:val="000000"/>
                <w:kern w:val="0"/>
                <w:sz w:val="24"/>
                <w:szCs w:val="24"/>
                <w:u w:val="none"/>
                <w:lang w:val="en-US" w:eastAsia="zh-CN" w:bidi="ar"/>
              </w:rPr>
              <w:t>汽车排放性能维护（维修）机构</w:t>
            </w:r>
            <w:r>
              <w:rPr>
                <w:rFonts w:hint="eastAsia" w:ascii="Times New Roman" w:hAnsi="Times New Roman" w:eastAsia="方正仿宋_GBK" w:cs="Times New Roman"/>
                <w:i w:val="0"/>
                <w:iCs w:val="0"/>
                <w:color w:val="000000"/>
                <w:kern w:val="0"/>
                <w:sz w:val="24"/>
                <w:szCs w:val="24"/>
                <w:u w:val="none"/>
                <w:lang w:val="en-US" w:eastAsia="zh-CN" w:bidi="ar"/>
              </w:rPr>
              <w:t>（M站）</w:t>
            </w:r>
            <w:r>
              <w:rPr>
                <w:rFonts w:hint="default" w:ascii="Times New Roman" w:hAnsi="Times New Roman" w:eastAsia="方正仿宋_GBK" w:cs="Times New Roman"/>
                <w:i w:val="0"/>
                <w:iCs w:val="0"/>
                <w:color w:val="000000"/>
                <w:kern w:val="0"/>
                <w:sz w:val="24"/>
                <w:szCs w:val="24"/>
                <w:u w:val="none"/>
                <w:lang w:val="en-US" w:eastAsia="zh-CN" w:bidi="ar"/>
              </w:rPr>
              <w:t>信息的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default" w:ascii="Times New Roman" w:hAnsi="Times New Roman" w:eastAsia="方正仿宋_GBK" w:cs="Times New Roman"/>
                <w:i w:val="0"/>
                <w:iCs w:val="0"/>
                <w:color w:val="000000"/>
                <w:kern w:val="0"/>
                <w:sz w:val="24"/>
                <w:szCs w:val="24"/>
                <w:u w:val="none"/>
                <w:lang w:val="en-US" w:eastAsia="zh-CN" w:bidi="ar"/>
              </w:rPr>
              <w:t>未按要求在企业网站或办事业务大厅显示屏公开车辆检验过程的</w:t>
            </w:r>
            <w:r>
              <w:rPr>
                <w:rFonts w:hint="eastAsia" w:ascii="Times New Roman" w:hAnsi="Times New Roman" w:eastAsia="方正仿宋_GBK" w:cs="Times New Roman"/>
                <w:i w:val="0"/>
                <w:iCs w:val="0"/>
                <w:color w:val="000000"/>
                <w:kern w:val="0"/>
                <w:sz w:val="24"/>
                <w:szCs w:val="24"/>
                <w:u w:val="none"/>
                <w:lang w:val="en-US" w:eastAsia="zh-CN" w:bidi="ar"/>
              </w:rPr>
              <w:t>。</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exact"/>
        </w:trPr>
        <w:tc>
          <w:tcPr>
            <w:tcW w:w="960"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Times New Roman" w:hAnsi="Times New Roman" w:eastAsia="黑体" w:cs="Times New Roman"/>
                <w:color w:val="auto"/>
                <w:spacing w:val="9"/>
                <w:sz w:val="24"/>
                <w:szCs w:val="24"/>
                <w:highlight w:val="none"/>
                <w:vertAlign w:val="baseline"/>
                <w:lang w:val="en-US" w:eastAsia="zh-CN"/>
              </w:rPr>
            </w:pPr>
          </w:p>
        </w:tc>
        <w:tc>
          <w:tcPr>
            <w:tcW w:w="1135" w:type="dxa"/>
            <w:vMerge w:val="continue"/>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p>
        </w:tc>
        <w:tc>
          <w:tcPr>
            <w:tcW w:w="5885" w:type="dxa"/>
            <w:gridSpan w:val="2"/>
            <w:vAlign w:val="center"/>
          </w:tcPr>
          <w:p>
            <w:pPr>
              <w:keepNext w:val="0"/>
              <w:keepLines w:val="0"/>
              <w:pageBreakBefore w:val="0"/>
              <w:widowControl/>
              <w:suppressLineNumbers w:val="0"/>
              <w:kinsoku/>
              <w:wordWrap/>
              <w:overflowPunct/>
              <w:topLinePunct w:val="0"/>
              <w:autoSpaceDE/>
              <w:autoSpaceDN/>
              <w:bidi w:val="0"/>
              <w:adjustRightInd/>
              <w:snapToGrid w:val="0"/>
              <w:jc w:val="both"/>
              <w:textAlignment w:val="center"/>
              <w:rPr>
                <w:rFonts w:hint="default"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其他检验不规范问题。</w:t>
            </w:r>
          </w:p>
        </w:tc>
        <w:tc>
          <w:tcPr>
            <w:tcW w:w="1080" w:type="dxa"/>
            <w:vAlign w:val="center"/>
          </w:tcPr>
          <w:p>
            <w:pPr>
              <w:keepNext w:val="0"/>
              <w:keepLines w:val="0"/>
              <w:widowControl/>
              <w:suppressLineNumbers w:val="0"/>
              <w:jc w:val="center"/>
              <w:textAlignment w:val="center"/>
              <w:rPr>
                <w:rFonts w:hint="eastAsia" w:ascii="Times New Roman" w:hAnsi="Times New Roman" w:eastAsia="方正仿宋_GBK" w:cs="Times New Roman"/>
                <w:i w:val="0"/>
                <w:iCs w:val="0"/>
                <w:color w:val="000000"/>
                <w:kern w:val="0"/>
                <w:sz w:val="24"/>
                <w:szCs w:val="24"/>
                <w:u w:val="none"/>
                <w:lang w:val="en-US" w:eastAsia="zh-CN" w:bidi="ar"/>
              </w:rPr>
            </w:pPr>
            <w:r>
              <w:rPr>
                <w:rFonts w:hint="eastAsia" w:ascii="Times New Roman" w:hAnsi="Times New Roman" w:eastAsia="方正仿宋_GBK" w:cs="Times New Roman"/>
                <w:i w:val="0"/>
                <w:iCs w:val="0"/>
                <w:color w:val="000000"/>
                <w:kern w:val="0"/>
                <w:sz w:val="24"/>
                <w:szCs w:val="24"/>
                <w:u w:val="none"/>
                <w:lang w:val="en-US" w:eastAsia="zh-CN" w:bidi="ar"/>
              </w:rPr>
              <w:t>1</w:t>
            </w:r>
            <w:r>
              <w:rPr>
                <w:rFonts w:hint="default" w:ascii="Times New Roman" w:hAnsi="Times New Roman" w:eastAsia="方正仿宋_GBK" w:cs="Times New Roman"/>
                <w:i w:val="0"/>
                <w:iCs w:val="0"/>
                <w:color w:val="000000"/>
                <w:kern w:val="0"/>
                <w:sz w:val="24"/>
                <w:szCs w:val="24"/>
                <w:u w:val="none"/>
                <w:lang w:val="en-US" w:eastAsia="zh-CN" w:bidi="ar"/>
              </w:rPr>
              <w:t>分</w:t>
            </w:r>
          </w:p>
        </w:tc>
      </w:tr>
    </w:tbl>
    <w:p>
      <w:pPr>
        <w:pStyle w:val="2"/>
        <w:ind w:left="0" w:leftChars="0" w:firstLine="0" w:firstLineChars="0"/>
        <w:rPr>
          <w:rFonts w:hint="eastAsia"/>
          <w:lang w:val="en-US" w:eastAsia="zh-CN"/>
        </w:rPr>
      </w:pPr>
      <w:bookmarkStart w:id="0" w:name="_GoBack"/>
      <w:bookmarkEnd w:id="0"/>
    </w:p>
    <w:sectPr>
      <w:headerReference r:id="rId3" w:type="default"/>
      <w:footerReference r:id="rId4"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10</w:t>
                    </w:r>
                    <w:r>
                      <w:rPr>
                        <w:rFonts w:hint="default" w:ascii="Times New Roman" w:hAnsi="Times New Roman" w:eastAsia="方正仿宋_GBK" w:cs="Times New Roman"/>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DEFC66"/>
    <w:multiLevelType w:val="singleLevel"/>
    <w:tmpl w:val="26DEFC66"/>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26BD5"/>
    <w:rsid w:val="02E736A9"/>
    <w:rsid w:val="03C35EBE"/>
    <w:rsid w:val="06583891"/>
    <w:rsid w:val="098878C1"/>
    <w:rsid w:val="0AB51247"/>
    <w:rsid w:val="0C0E6855"/>
    <w:rsid w:val="0C214DA3"/>
    <w:rsid w:val="103A3A31"/>
    <w:rsid w:val="13D82275"/>
    <w:rsid w:val="14BD38D5"/>
    <w:rsid w:val="174E20C2"/>
    <w:rsid w:val="1A0C1A25"/>
    <w:rsid w:val="1AE0185B"/>
    <w:rsid w:val="1F876ADB"/>
    <w:rsid w:val="20983203"/>
    <w:rsid w:val="215C7FA3"/>
    <w:rsid w:val="23943512"/>
    <w:rsid w:val="2CF35599"/>
    <w:rsid w:val="2F4C4C45"/>
    <w:rsid w:val="2F803D71"/>
    <w:rsid w:val="314174B2"/>
    <w:rsid w:val="34D95E3F"/>
    <w:rsid w:val="35FC3234"/>
    <w:rsid w:val="3C6A5841"/>
    <w:rsid w:val="3DE226D8"/>
    <w:rsid w:val="42303E06"/>
    <w:rsid w:val="43B3676B"/>
    <w:rsid w:val="46E16002"/>
    <w:rsid w:val="4C650070"/>
    <w:rsid w:val="4C781BED"/>
    <w:rsid w:val="4D062FCB"/>
    <w:rsid w:val="4FFA5F92"/>
    <w:rsid w:val="54775DED"/>
    <w:rsid w:val="58181C00"/>
    <w:rsid w:val="59EC1C26"/>
    <w:rsid w:val="5EC73487"/>
    <w:rsid w:val="5EF71AC9"/>
    <w:rsid w:val="5F203C9C"/>
    <w:rsid w:val="617E18E2"/>
    <w:rsid w:val="63944521"/>
    <w:rsid w:val="653F1299"/>
    <w:rsid w:val="66970703"/>
    <w:rsid w:val="670F056E"/>
    <w:rsid w:val="675F3324"/>
    <w:rsid w:val="6BA112FA"/>
    <w:rsid w:val="6CDC321D"/>
    <w:rsid w:val="6D46488A"/>
    <w:rsid w:val="6DF1629E"/>
    <w:rsid w:val="6F49507B"/>
    <w:rsid w:val="700A6F9F"/>
    <w:rsid w:val="706B7EB5"/>
    <w:rsid w:val="763F7E0F"/>
    <w:rsid w:val="77684355"/>
    <w:rsid w:val="77B757BD"/>
    <w:rsid w:val="78A82263"/>
    <w:rsid w:val="798E2CBF"/>
    <w:rsid w:val="7B3F36CF"/>
    <w:rsid w:val="7F1525D6"/>
    <w:rsid w:val="7FD7C22C"/>
    <w:rsid w:val="BBBF2D49"/>
    <w:rsid w:val="F22F997A"/>
    <w:rsid w:val="FFAD059F"/>
    <w:rsid w:val="FFDF8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style>
  <w:style w:type="paragraph" w:styleId="3">
    <w:name w:val="Body Text Indent"/>
    <w:basedOn w:val="1"/>
    <w:next w:val="4"/>
    <w:qFormat/>
    <w:uiPriority w:val="0"/>
    <w:pPr>
      <w:spacing w:line="360" w:lineRule="auto"/>
      <w:ind w:firstLine="480" w:firstLineChars="200"/>
    </w:pPr>
    <w:rPr>
      <w:sz w:val="24"/>
    </w:rPr>
  </w:style>
  <w:style w:type="paragraph" w:styleId="4">
    <w:name w:val="Body Text"/>
    <w:basedOn w:val="1"/>
    <w:semiHidden/>
    <w:qFormat/>
    <w:uiPriority w:val="0"/>
    <w:rPr>
      <w:rFonts w:ascii="黑体" w:hAnsi="黑体" w:eastAsia="黑体" w:cs="黑体"/>
      <w:sz w:val="28"/>
      <w:szCs w:val="28"/>
      <w:lang w:val="en-US" w:eastAsia="en-US" w:bidi="ar-SA"/>
    </w:rPr>
  </w:style>
  <w:style w:type="paragraph" w:styleId="5">
    <w:name w:val="Normal Indent"/>
    <w:basedOn w:val="1"/>
    <w:next w:val="6"/>
    <w:qFormat/>
    <w:uiPriority w:val="0"/>
    <w:pPr>
      <w:ind w:firstLine="420" w:firstLineChars="200"/>
    </w:pPr>
  </w:style>
  <w:style w:type="paragraph" w:styleId="6">
    <w:name w:val="toc 8"/>
    <w:basedOn w:val="1"/>
    <w:next w:val="1"/>
    <w:qFormat/>
    <w:uiPriority w:val="0"/>
    <w:pPr>
      <w:wordWrap w:val="0"/>
      <w:ind w:left="1270"/>
    </w:pPr>
    <w:rPr>
      <w:rFonts w:ascii="Times New Roman" w:hAnsi="Times New Roman" w:eastAsia="宋体" w:cs="Times New Roman"/>
    </w:rPr>
  </w:style>
  <w:style w:type="paragraph" w:styleId="7">
    <w:name w:val="annotation text"/>
    <w:basedOn w:val="1"/>
    <w:qFormat/>
    <w:uiPriority w:val="0"/>
    <w:pPr>
      <w:jc w:val="left"/>
    </w:pPr>
  </w:style>
  <w:style w:type="paragraph" w:styleId="8">
    <w:name w:val="Plain Text"/>
    <w:basedOn w:val="1"/>
    <w:next w:val="9"/>
    <w:qFormat/>
    <w:uiPriority w:val="0"/>
    <w:rPr>
      <w:rFonts w:ascii="宋体" w:hAnsi="Courier New" w:cs="黑体"/>
    </w:rPr>
  </w:style>
  <w:style w:type="paragraph" w:styleId="9">
    <w:name w:val="List Number 5"/>
    <w:basedOn w:val="1"/>
    <w:qFormat/>
    <w:uiPriority w:val="0"/>
    <w:pPr>
      <w:numPr>
        <w:ilvl w:val="0"/>
        <w:numId w:val="1"/>
      </w:numPr>
    </w:pPr>
  </w:style>
  <w:style w:type="paragraph" w:styleId="10">
    <w:name w:val="footer"/>
    <w:basedOn w:val="1"/>
    <w:qFormat/>
    <w:uiPriority w:val="0"/>
    <w:pPr>
      <w:tabs>
        <w:tab w:val="center" w:pos="4153"/>
        <w:tab w:val="right" w:pos="8306"/>
      </w:tabs>
      <w:snapToGrid w:val="0"/>
      <w:jc w:val="left"/>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paragraph" w:styleId="16">
    <w:name w:val="No Spacing"/>
    <w:qFormat/>
    <w:uiPriority w:val="1"/>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2025-07-25T20:26:00Z</dcterms:created>
  <dc:creator>Lenovo</dc:creator>
  <cp:lastModifiedBy>admin1</cp:lastModifiedBy>
  <cp:lastPrinted>2026-08-26T20:42:00Z</cp:lastPrinted>
  <dcterms:modified xsi:type="dcterms:W3CDTF">2026-09-07T05:09:52Z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9060E1CA0D74462488F35976F0E201C7</vt:lpwstr>
  </property>
</Properties>
</file>