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F9" w:rsidRPr="00364C37" w:rsidRDefault="00411B02" w:rsidP="002C6BF9">
      <w:pPr>
        <w:spacing w:line="640" w:lineRule="exact"/>
        <w:jc w:val="center"/>
        <w:rPr>
          <w:rFonts w:eastAsia="方正小标宋_GBK"/>
          <w:sz w:val="44"/>
          <w:szCs w:val="44"/>
        </w:rPr>
      </w:pPr>
      <w:r w:rsidRPr="00411B02">
        <w:rPr>
          <w:rFonts w:ascii="仿宋_GB2312" w:eastAsia="仿宋_GB2312"/>
          <w:noProof/>
          <w:vanish/>
          <w:sz w:val="20"/>
        </w:rPr>
        <w:pict>
          <v:line id="_x0000_s1027" style="position:absolute;left:0;text-align:left;z-index:251661312" from="-.45pt,7.75pt" to="441.75pt,7.75pt" strokecolor="red" strokeweight="2pt"/>
        </w:pict>
      </w:r>
      <w:bookmarkStart w:id="0" w:name="filename"/>
      <w:r w:rsidR="002C6BF9">
        <w:rPr>
          <w:rFonts w:eastAsia="方正小标宋_GBK" w:hint="eastAsia"/>
          <w:sz w:val="44"/>
          <w:szCs w:val="44"/>
        </w:rPr>
        <w:t>关于印发《乌鲁木齐市本级行政事业单位国有资产处置管理实施办法》的通知</w:t>
      </w:r>
      <w:bookmarkEnd w:id="0"/>
    </w:p>
    <w:p w:rsidR="002C6BF9" w:rsidRPr="00A953E5" w:rsidRDefault="002C6BF9" w:rsidP="002C6BF9">
      <w:pPr>
        <w:spacing w:line="640" w:lineRule="exact"/>
        <w:rPr>
          <w:rFonts w:ascii="仿宋_GB2312" w:eastAsia="仿宋_GB2312"/>
          <w:sz w:val="32"/>
          <w:szCs w:val="32"/>
        </w:rPr>
      </w:pPr>
    </w:p>
    <w:p w:rsidR="002C6BF9" w:rsidRPr="005E5D7F" w:rsidRDefault="002C6BF9" w:rsidP="002C6BF9">
      <w:pPr>
        <w:spacing w:line="560" w:lineRule="exact"/>
        <w:rPr>
          <w:rFonts w:ascii="方正仿宋_GBK" w:eastAsia="方正仿宋_GBK"/>
          <w:sz w:val="32"/>
          <w:szCs w:val="32"/>
        </w:rPr>
      </w:pPr>
      <w:bookmarkStart w:id="1" w:name="zsbm"/>
      <w:r>
        <w:rPr>
          <w:rFonts w:ascii="方正仿宋_GBK" w:eastAsia="方正仿宋_GBK" w:hint="eastAsia"/>
          <w:sz w:val="32"/>
          <w:szCs w:val="32"/>
        </w:rPr>
        <w:t>市属各委、办、局</w:t>
      </w:r>
      <w:bookmarkEnd w:id="1"/>
      <w:r w:rsidRPr="005E5D7F">
        <w:rPr>
          <w:rFonts w:ascii="方正仿宋_GBK" w:eastAsia="方正仿宋_GBK" w:hint="eastAsia"/>
          <w:sz w:val="32"/>
          <w:szCs w:val="32"/>
        </w:rPr>
        <w:t>：</w:t>
      </w:r>
    </w:p>
    <w:p w:rsidR="002C6BF9" w:rsidRDefault="002C6BF9" w:rsidP="002C6BF9">
      <w:pPr>
        <w:spacing w:line="560" w:lineRule="exact"/>
        <w:ind w:firstLineChars="200" w:firstLine="640"/>
        <w:rPr>
          <w:rFonts w:eastAsia="方正仿宋_GBK"/>
          <w:sz w:val="32"/>
          <w:szCs w:val="32"/>
        </w:rPr>
      </w:pPr>
      <w:r>
        <w:rPr>
          <w:rFonts w:ascii="方正仿宋_GBK" w:eastAsia="方正仿宋_GBK" w:hAnsi="方正仿宋_GBK"/>
          <w:sz w:val="32"/>
          <w:szCs w:val="32"/>
        </w:rPr>
        <w:t>为加强乌鲁木齐市本级行政事业单位国有资产管理，规范国有资产处置行为，维护国有资产安全和完整，保障国家所有者权益，根据《行政事业性国有资产管理条例》（国务院令第</w:t>
      </w:r>
      <w:r>
        <w:rPr>
          <w:rFonts w:eastAsia="方正仿宋_GBK"/>
          <w:sz w:val="32"/>
          <w:szCs w:val="32"/>
        </w:rPr>
        <w:t>738</w:t>
      </w:r>
      <w:r>
        <w:rPr>
          <w:rFonts w:ascii="方正仿宋_GBK" w:eastAsia="方正仿宋_GBK" w:hAnsi="方正仿宋_GBK"/>
          <w:sz w:val="32"/>
          <w:szCs w:val="32"/>
        </w:rPr>
        <w:t>号）等有关规定，结合实际，制定了《乌鲁木齐市本级行政事业单位国有资产处置管理实施办法》。现印发给你们，请遵照执行。</w:t>
      </w:r>
    </w:p>
    <w:p w:rsidR="002C6BF9" w:rsidRDefault="002C6BF9" w:rsidP="002C6BF9">
      <w:pPr>
        <w:spacing w:line="560" w:lineRule="exact"/>
        <w:ind w:firstLineChars="200" w:firstLine="640"/>
        <w:rPr>
          <w:rFonts w:eastAsia="方正仿宋_GBK"/>
          <w:sz w:val="32"/>
          <w:szCs w:val="32"/>
        </w:rPr>
      </w:pPr>
      <w:r>
        <w:rPr>
          <w:rFonts w:eastAsia="方正仿宋_GBK"/>
          <w:sz w:val="32"/>
          <w:szCs w:val="32"/>
        </w:rPr>
        <w:t xml:space="preserve"> </w:t>
      </w:r>
    </w:p>
    <w:p w:rsidR="002C6BF9" w:rsidRDefault="002C6BF9" w:rsidP="002C6BF9">
      <w:pPr>
        <w:spacing w:line="560" w:lineRule="exact"/>
        <w:ind w:left="1600" w:hangingChars="500" w:hanging="1600"/>
        <w:rPr>
          <w:rFonts w:eastAsia="方正仿宋_GBK"/>
          <w:sz w:val="32"/>
          <w:szCs w:val="32"/>
        </w:rPr>
      </w:pPr>
      <w:r>
        <w:rPr>
          <w:rFonts w:eastAsia="方正仿宋_GBK"/>
          <w:sz w:val="32"/>
          <w:szCs w:val="32"/>
        </w:rPr>
        <w:t xml:space="preserve">    </w:t>
      </w:r>
      <w:r>
        <w:rPr>
          <w:rFonts w:ascii="方正仿宋_GBK" w:eastAsia="方正仿宋_GBK" w:hAnsi="方正仿宋_GBK"/>
          <w:sz w:val="32"/>
          <w:szCs w:val="32"/>
        </w:rPr>
        <w:t>附件：《乌鲁木齐市本级行政事业单位国有资产处置管理</w:t>
      </w:r>
    </w:p>
    <w:p w:rsidR="002C6BF9" w:rsidRDefault="002C6BF9" w:rsidP="002C6BF9">
      <w:pPr>
        <w:spacing w:line="560" w:lineRule="exact"/>
        <w:ind w:leftChars="760" w:left="1672"/>
        <w:rPr>
          <w:rFonts w:eastAsia="方正仿宋_GBK"/>
          <w:sz w:val="32"/>
          <w:szCs w:val="32"/>
        </w:rPr>
      </w:pPr>
      <w:r>
        <w:rPr>
          <w:rFonts w:ascii="方正仿宋_GBK" w:eastAsia="方正仿宋_GBK" w:hAnsi="方正仿宋_GBK"/>
          <w:sz w:val="32"/>
          <w:szCs w:val="32"/>
        </w:rPr>
        <w:t>实施办法》</w:t>
      </w:r>
    </w:p>
    <w:p w:rsidR="002C6BF9" w:rsidRDefault="002C6BF9" w:rsidP="002C6BF9">
      <w:pPr>
        <w:spacing w:line="560" w:lineRule="exact"/>
        <w:ind w:leftChars="760" w:left="1672"/>
        <w:rPr>
          <w:rFonts w:eastAsia="方正仿宋_GBK"/>
          <w:sz w:val="32"/>
          <w:szCs w:val="32"/>
        </w:rPr>
      </w:pPr>
      <w:r>
        <w:rPr>
          <w:rFonts w:eastAsia="方正仿宋_GBK"/>
          <w:sz w:val="32"/>
          <w:szCs w:val="32"/>
        </w:rPr>
        <w:t xml:space="preserve"> </w:t>
      </w:r>
    </w:p>
    <w:p w:rsidR="002C6BF9" w:rsidRDefault="002C6BF9" w:rsidP="002C6BF9">
      <w:pPr>
        <w:spacing w:line="560" w:lineRule="exact"/>
        <w:ind w:leftChars="760" w:left="1672"/>
        <w:rPr>
          <w:rFonts w:eastAsia="方正仿宋_GBK"/>
          <w:sz w:val="32"/>
          <w:szCs w:val="32"/>
        </w:rPr>
      </w:pPr>
      <w:r>
        <w:rPr>
          <w:rFonts w:eastAsia="方正仿宋_GBK"/>
          <w:sz w:val="32"/>
          <w:szCs w:val="32"/>
        </w:rPr>
        <w:t xml:space="preserve"> </w:t>
      </w:r>
    </w:p>
    <w:p w:rsidR="002C6BF9" w:rsidRDefault="002C6BF9" w:rsidP="002C6BF9">
      <w:pPr>
        <w:spacing w:line="560" w:lineRule="exact"/>
        <w:ind w:leftChars="760" w:left="1672"/>
        <w:rPr>
          <w:rFonts w:eastAsia="方正仿宋_GBK"/>
          <w:sz w:val="32"/>
          <w:szCs w:val="32"/>
        </w:rPr>
      </w:pPr>
    </w:p>
    <w:p w:rsidR="002C6BF9" w:rsidRDefault="002C6BF9" w:rsidP="002C6BF9">
      <w:pPr>
        <w:spacing w:line="560" w:lineRule="exact"/>
        <w:ind w:leftChars="760" w:left="1672" w:firstLineChars="900" w:firstLine="2880"/>
        <w:rPr>
          <w:rFonts w:eastAsia="方正仿宋_GBK"/>
          <w:sz w:val="32"/>
          <w:szCs w:val="32"/>
        </w:rPr>
      </w:pPr>
      <w:r>
        <w:rPr>
          <w:rFonts w:ascii="方正仿宋_GBK" w:eastAsia="方正仿宋_GBK" w:hAnsi="方正仿宋_GBK"/>
          <w:sz w:val="32"/>
          <w:szCs w:val="32"/>
        </w:rPr>
        <w:t>乌鲁木齐市财政局</w:t>
      </w:r>
    </w:p>
    <w:p w:rsidR="002C6BF9" w:rsidRDefault="002C6BF9" w:rsidP="002C6BF9">
      <w:pPr>
        <w:spacing w:line="560" w:lineRule="exact"/>
        <w:ind w:leftChars="760" w:left="1672" w:firstLineChars="900" w:firstLine="2880"/>
        <w:rPr>
          <w:rFonts w:eastAsia="方正仿宋_GBK"/>
          <w:sz w:val="32"/>
          <w:szCs w:val="32"/>
        </w:rPr>
      </w:pPr>
      <w:r>
        <w:rPr>
          <w:rFonts w:eastAsia="方正仿宋_GBK"/>
          <w:sz w:val="32"/>
          <w:szCs w:val="32"/>
        </w:rPr>
        <w:t>2024</w:t>
      </w:r>
      <w:r>
        <w:rPr>
          <w:rFonts w:ascii="方正仿宋_GBK" w:eastAsia="方正仿宋_GBK" w:hAnsi="方正仿宋_GBK"/>
          <w:sz w:val="32"/>
          <w:szCs w:val="32"/>
        </w:rPr>
        <w:t>年</w:t>
      </w:r>
      <w:r>
        <w:rPr>
          <w:rFonts w:eastAsia="方正仿宋_GBK"/>
          <w:sz w:val="32"/>
          <w:szCs w:val="32"/>
        </w:rPr>
        <w:t>12</w:t>
      </w:r>
      <w:r>
        <w:rPr>
          <w:rFonts w:ascii="方正仿宋_GBK" w:eastAsia="方正仿宋_GBK" w:hAnsi="方正仿宋_GBK"/>
          <w:sz w:val="32"/>
          <w:szCs w:val="32"/>
        </w:rPr>
        <w:t>月</w:t>
      </w:r>
      <w:r>
        <w:rPr>
          <w:rFonts w:eastAsia="方正仿宋_GBK"/>
          <w:sz w:val="32"/>
          <w:szCs w:val="32"/>
        </w:rPr>
        <w:t>26</w:t>
      </w:r>
      <w:r>
        <w:rPr>
          <w:rFonts w:ascii="方正仿宋_GBK" w:eastAsia="方正仿宋_GBK" w:hAnsi="方正仿宋_GBK"/>
          <w:sz w:val="32"/>
          <w:szCs w:val="32"/>
        </w:rPr>
        <w:t>日</w:t>
      </w:r>
    </w:p>
    <w:p w:rsidR="002C6BF9" w:rsidRDefault="002C6BF9" w:rsidP="002C6BF9">
      <w:pPr>
        <w:autoSpaceDE w:val="0"/>
        <w:spacing w:line="560" w:lineRule="exact"/>
        <w:rPr>
          <w:rFonts w:eastAsia="方正黑体_GBK"/>
          <w:sz w:val="32"/>
          <w:szCs w:val="32"/>
        </w:rPr>
      </w:pPr>
      <w:r>
        <w:rPr>
          <w:rFonts w:ascii="方正黑体_GBK" w:eastAsia="方正黑体_GBK" w:hAnsi="方正黑体_GBK" w:hint="eastAsia"/>
          <w:sz w:val="32"/>
          <w:szCs w:val="32"/>
        </w:rPr>
        <w:lastRenderedPageBreak/>
        <w:t>附件</w:t>
      </w:r>
    </w:p>
    <w:p w:rsidR="002C6BF9" w:rsidRDefault="002C6BF9" w:rsidP="002C6BF9">
      <w:pPr>
        <w:autoSpaceDE w:val="0"/>
        <w:spacing w:line="560" w:lineRule="exact"/>
        <w:rPr>
          <w:rFonts w:eastAsia="方正黑体_GBK"/>
          <w:sz w:val="32"/>
          <w:szCs w:val="32"/>
        </w:rPr>
      </w:pPr>
      <w:r>
        <w:rPr>
          <w:rFonts w:eastAsia="方正黑体_GBK" w:hint="eastAsia"/>
          <w:sz w:val="32"/>
          <w:szCs w:val="32"/>
        </w:rPr>
        <w:t xml:space="preserve"> </w:t>
      </w:r>
    </w:p>
    <w:p w:rsidR="002C6BF9" w:rsidRDefault="002C6BF9" w:rsidP="002C6BF9">
      <w:pPr>
        <w:autoSpaceDE w:val="0"/>
        <w:spacing w:line="640" w:lineRule="exact"/>
        <w:jc w:val="center"/>
        <w:rPr>
          <w:rFonts w:eastAsia="方正小标宋_GBK"/>
          <w:sz w:val="44"/>
          <w:szCs w:val="44"/>
        </w:rPr>
      </w:pPr>
      <w:r>
        <w:rPr>
          <w:rFonts w:ascii="方正小标宋_GBK" w:eastAsia="方正小标宋_GBK" w:hAnsi="方正小标宋_GBK"/>
          <w:sz w:val="44"/>
          <w:szCs w:val="44"/>
        </w:rPr>
        <w:t>乌鲁木齐市本级行政事业单位国有</w:t>
      </w:r>
    </w:p>
    <w:p w:rsidR="002C6BF9" w:rsidRDefault="002C6BF9" w:rsidP="002C6BF9">
      <w:pPr>
        <w:autoSpaceDE w:val="0"/>
        <w:spacing w:line="640" w:lineRule="exact"/>
        <w:jc w:val="center"/>
        <w:rPr>
          <w:rFonts w:eastAsia="方正小标宋_GBK"/>
          <w:b/>
          <w:sz w:val="44"/>
          <w:szCs w:val="44"/>
        </w:rPr>
      </w:pPr>
      <w:r>
        <w:rPr>
          <w:rFonts w:ascii="方正小标宋_GBK" w:eastAsia="方正小标宋_GBK" w:hAnsi="方正小标宋_GBK"/>
          <w:sz w:val="44"/>
          <w:szCs w:val="44"/>
        </w:rPr>
        <w:t>资产处置管理实施办法</w:t>
      </w:r>
    </w:p>
    <w:p w:rsidR="002C6BF9" w:rsidRDefault="002C6BF9" w:rsidP="002C6BF9">
      <w:pPr>
        <w:autoSpaceDE w:val="0"/>
        <w:spacing w:line="560" w:lineRule="exact"/>
        <w:rPr>
          <w:rFonts w:eastAsia="方正仿宋_GBK"/>
          <w:sz w:val="32"/>
          <w:szCs w:val="32"/>
        </w:rPr>
      </w:pPr>
      <w:r>
        <w:rPr>
          <w:rFonts w:eastAsia="方正仿宋_GBK"/>
          <w:sz w:val="32"/>
          <w:szCs w:val="32"/>
        </w:rPr>
        <w:t xml:space="preserve"> </w:t>
      </w:r>
    </w:p>
    <w:p w:rsidR="002C6BF9" w:rsidRDefault="002C6BF9" w:rsidP="002C6BF9">
      <w:pPr>
        <w:autoSpaceDE w:val="0"/>
        <w:spacing w:line="560" w:lineRule="exact"/>
        <w:jc w:val="center"/>
        <w:rPr>
          <w:rFonts w:eastAsia="方正黑体_GBK"/>
          <w:sz w:val="32"/>
          <w:szCs w:val="32"/>
        </w:rPr>
      </w:pPr>
      <w:r>
        <w:rPr>
          <w:rFonts w:ascii="方正黑体_GBK" w:eastAsia="方正黑体_GBK" w:hAnsi="方正黑体_GBK"/>
          <w:sz w:val="32"/>
          <w:szCs w:val="32"/>
        </w:rPr>
        <w:t>第一章</w:t>
      </w:r>
      <w:r>
        <w:rPr>
          <w:rFonts w:eastAsia="方正黑体_GBK"/>
          <w:sz w:val="32"/>
          <w:szCs w:val="32"/>
        </w:rPr>
        <w:t xml:space="preserve">  </w:t>
      </w:r>
      <w:r>
        <w:rPr>
          <w:rFonts w:ascii="方正黑体_GBK" w:eastAsia="方正黑体_GBK" w:hAnsi="方正黑体_GBK"/>
          <w:sz w:val="32"/>
          <w:szCs w:val="32"/>
        </w:rPr>
        <w:t>总</w:t>
      </w:r>
      <w:r>
        <w:rPr>
          <w:rFonts w:eastAsia="方正黑体_GBK"/>
          <w:sz w:val="32"/>
          <w:szCs w:val="32"/>
        </w:rPr>
        <w:t xml:space="preserve"> </w:t>
      </w:r>
      <w:r>
        <w:rPr>
          <w:rFonts w:ascii="方正黑体_GBK" w:eastAsia="方正黑体_GBK" w:hAnsi="方正黑体_GBK"/>
          <w:sz w:val="32"/>
          <w:szCs w:val="32"/>
        </w:rPr>
        <w:t>则</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第一条</w:t>
      </w:r>
      <w:r>
        <w:rPr>
          <w:rFonts w:eastAsia="方正仿宋_GBK"/>
          <w:b/>
          <w:sz w:val="32"/>
          <w:szCs w:val="32"/>
        </w:rPr>
        <w:t xml:space="preserve"> </w:t>
      </w:r>
      <w:r>
        <w:rPr>
          <w:rFonts w:ascii="方正仿宋_GBK" w:eastAsia="方正仿宋_GBK" w:hAnsi="方正仿宋_GBK"/>
          <w:sz w:val="32"/>
          <w:szCs w:val="32"/>
        </w:rPr>
        <w:t>为加强行政事业单位国有资产管理，规范国有资产处置行为，维护国有资产安全和完整，保障国家所有者权益，根据《行政事业性国有资产管理条例》（国务院令第</w:t>
      </w:r>
      <w:r>
        <w:rPr>
          <w:rFonts w:eastAsia="方正仿宋_GBK"/>
          <w:sz w:val="32"/>
          <w:szCs w:val="32"/>
        </w:rPr>
        <w:t>738</w:t>
      </w:r>
      <w:r>
        <w:rPr>
          <w:rFonts w:ascii="方正仿宋_GBK" w:eastAsia="方正仿宋_GBK" w:hAnsi="方正仿宋_GBK"/>
          <w:sz w:val="32"/>
          <w:szCs w:val="32"/>
        </w:rPr>
        <w:t>号）、《中央行政事业单位国有资产处置管理办法》（财资﹝</w:t>
      </w:r>
      <w:r>
        <w:rPr>
          <w:rFonts w:eastAsia="方正仿宋_GBK"/>
          <w:sz w:val="32"/>
          <w:szCs w:val="32"/>
        </w:rPr>
        <w:t>2021</w:t>
      </w:r>
      <w:r>
        <w:rPr>
          <w:rFonts w:ascii="方正仿宋_GBK" w:eastAsia="方正仿宋_GBK" w:hAnsi="方正仿宋_GBK"/>
          <w:sz w:val="32"/>
          <w:szCs w:val="32"/>
        </w:rPr>
        <w:t>﹞</w:t>
      </w:r>
      <w:r>
        <w:rPr>
          <w:rFonts w:eastAsia="方正仿宋_GBK"/>
          <w:sz w:val="32"/>
          <w:szCs w:val="32"/>
        </w:rPr>
        <w:t>127</w:t>
      </w:r>
      <w:r>
        <w:rPr>
          <w:rFonts w:ascii="方正仿宋_GBK" w:eastAsia="方正仿宋_GBK" w:hAnsi="方正仿宋_GBK"/>
          <w:sz w:val="32"/>
          <w:szCs w:val="32"/>
        </w:rPr>
        <w:t>号）、《新疆维吾尔自治区行政事业单位国有资产处置管理办法》（新财规﹝</w:t>
      </w:r>
      <w:r>
        <w:rPr>
          <w:rFonts w:eastAsia="方正仿宋_GBK"/>
          <w:sz w:val="32"/>
          <w:szCs w:val="32"/>
        </w:rPr>
        <w:t>2023</w:t>
      </w:r>
      <w:r>
        <w:rPr>
          <w:rFonts w:ascii="方正仿宋_GBK" w:eastAsia="方正仿宋_GBK" w:hAnsi="方正仿宋_GBK"/>
          <w:sz w:val="32"/>
          <w:szCs w:val="32"/>
        </w:rPr>
        <w:t>﹞</w:t>
      </w:r>
      <w:r>
        <w:rPr>
          <w:rFonts w:eastAsia="方正仿宋_GBK"/>
          <w:sz w:val="32"/>
          <w:szCs w:val="32"/>
        </w:rPr>
        <w:t>3</w:t>
      </w:r>
      <w:r>
        <w:rPr>
          <w:rFonts w:ascii="方正仿宋_GBK" w:eastAsia="方正仿宋_GBK" w:hAnsi="方正仿宋_GBK"/>
          <w:sz w:val="32"/>
          <w:szCs w:val="32"/>
        </w:rPr>
        <w:t>号）、《乌鲁木齐市行政事业性国有资产管理实施办法》（乌政发〔</w:t>
      </w:r>
      <w:r>
        <w:rPr>
          <w:rFonts w:eastAsia="方正仿宋_GBK"/>
          <w:sz w:val="32"/>
          <w:szCs w:val="32"/>
        </w:rPr>
        <w:t>2024</w:t>
      </w:r>
      <w:r>
        <w:rPr>
          <w:rFonts w:ascii="方正仿宋_GBK" w:eastAsia="方正仿宋_GBK" w:hAnsi="方正仿宋_GBK"/>
          <w:sz w:val="32"/>
          <w:szCs w:val="32"/>
        </w:rPr>
        <w:t>〕</w:t>
      </w:r>
      <w:r>
        <w:rPr>
          <w:rFonts w:eastAsia="方正仿宋_GBK"/>
          <w:sz w:val="32"/>
          <w:szCs w:val="32"/>
        </w:rPr>
        <w:t>212</w:t>
      </w:r>
      <w:r>
        <w:rPr>
          <w:rFonts w:ascii="方正仿宋_GBK" w:eastAsia="方正仿宋_GBK" w:hAnsi="方正仿宋_GBK"/>
          <w:sz w:val="32"/>
          <w:szCs w:val="32"/>
        </w:rPr>
        <w:t>号）等有关规定，制定本实施办法。</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第二条</w:t>
      </w:r>
      <w:r>
        <w:rPr>
          <w:rFonts w:eastAsia="方正仿宋_GBK"/>
          <w:b/>
          <w:sz w:val="32"/>
          <w:szCs w:val="32"/>
        </w:rPr>
        <w:t xml:space="preserve"> </w:t>
      </w:r>
      <w:r>
        <w:rPr>
          <w:rFonts w:ascii="方正仿宋_GBK" w:eastAsia="方正仿宋_GBK" w:hAnsi="方正仿宋_GBK"/>
          <w:sz w:val="32"/>
          <w:szCs w:val="32"/>
        </w:rPr>
        <w:t>本办法适用于市本级党的机关、人大机关、政协机关、行政机关、监察机关、审判机关、检察机关、各民主党派、有关人民团体及各类事业单位等（以下简称行政事业单位）。</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第三条</w:t>
      </w:r>
      <w:r>
        <w:rPr>
          <w:rFonts w:eastAsia="方正仿宋_GBK"/>
          <w:b/>
          <w:sz w:val="32"/>
          <w:szCs w:val="32"/>
        </w:rPr>
        <w:t xml:space="preserve"> </w:t>
      </w:r>
      <w:r>
        <w:rPr>
          <w:rFonts w:ascii="方正仿宋_GBK" w:eastAsia="方正仿宋_GBK" w:hAnsi="方正仿宋_GBK"/>
          <w:sz w:val="32"/>
          <w:szCs w:val="32"/>
        </w:rPr>
        <w:t>行政事业单位国有资产的处置，是指行政事业单位对其占有、使用的国有资产进行产权转移或核销的一种行为。</w:t>
      </w:r>
      <w:r>
        <w:rPr>
          <w:rFonts w:ascii="方正仿宋_GBK" w:eastAsia="方正仿宋_GBK" w:hAnsi="方正仿宋_GBK"/>
          <w:sz w:val="32"/>
          <w:szCs w:val="32"/>
        </w:rPr>
        <w:lastRenderedPageBreak/>
        <w:t>处置方式包括国有资产无偿划转、捐赠、转让、置换、报废、损失核销等。</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第四条</w:t>
      </w:r>
      <w:r>
        <w:rPr>
          <w:rFonts w:eastAsia="方正仿宋_GBK"/>
          <w:b/>
          <w:sz w:val="32"/>
          <w:szCs w:val="32"/>
        </w:rPr>
        <w:t xml:space="preserve"> </w:t>
      </w:r>
      <w:r>
        <w:rPr>
          <w:rFonts w:ascii="方正仿宋_GBK" w:eastAsia="方正仿宋_GBK" w:hAnsi="方正仿宋_GBK"/>
          <w:sz w:val="32"/>
          <w:szCs w:val="32"/>
        </w:rPr>
        <w:t>行政事业单位国有资产处置的范围：</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（一）因技术原因经鉴定，确需淘汰或者无法维修、无维修价值的资产；</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（二）涉及盘亏等非正常损失的资产；</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（三）已超过使用年限且无法满足现有工作需要的资产；</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（四）因自然灾害等不可抗力造成毁损、灭失的资产；</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（五）因单位分立、合并、改制、撤销、隶属关系改变或者部分职能、业务调整等移交的资产；</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（六）发生产权变动的资产；</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（七）其他按国家有关规定需要处置的资产。</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第五条</w:t>
      </w:r>
      <w:r>
        <w:rPr>
          <w:rFonts w:eastAsia="方正仿宋_GBK"/>
          <w:b/>
          <w:sz w:val="32"/>
          <w:szCs w:val="32"/>
        </w:rPr>
        <w:t xml:space="preserve"> </w:t>
      </w:r>
      <w:r>
        <w:rPr>
          <w:rFonts w:ascii="方正仿宋_GBK" w:eastAsia="方正仿宋_GBK" w:hAnsi="方正仿宋_GBK"/>
          <w:sz w:val="32"/>
          <w:szCs w:val="32"/>
        </w:rPr>
        <w:t>行政事业单位国有资产处置应当遵循公开、公正、公平和竞争择优的原则，倡导资产共享、循环利用。</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第六条</w:t>
      </w:r>
      <w:r>
        <w:rPr>
          <w:rFonts w:eastAsia="方正仿宋_GBK"/>
          <w:b/>
          <w:sz w:val="32"/>
          <w:szCs w:val="32"/>
        </w:rPr>
        <w:t xml:space="preserve"> </w:t>
      </w:r>
      <w:r>
        <w:rPr>
          <w:rFonts w:ascii="方正仿宋_GBK" w:eastAsia="方正仿宋_GBK" w:hAnsi="方正仿宋_GBK"/>
          <w:sz w:val="32"/>
          <w:szCs w:val="32"/>
        </w:rPr>
        <w:t>行政事业单位对占有、使用国有资产应落实资产管理的主体责任，建立和完善国有资产内部控制管理制度，明确岗位职责，完善处置流程，规范处置行为。</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lastRenderedPageBreak/>
        <w:t>行政事业单位根据履行职能、事业发展需要和资产使用状况，经集体决策后，严格履行资产处置审批程序，未经批准不得自行处置。</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行政事业单位应当依据处置批复等相关文件及时处置国有资产。已批复的资产处置事项需对处置方式、评估价值等内容进行调整的，应报原审批部门批准。已批复的资产处置事项因故终止或未能在有效期限内完成的，应说明理由，报原审批部门备案。</w:t>
      </w:r>
    </w:p>
    <w:p w:rsidR="002C6BF9" w:rsidRDefault="002C6BF9" w:rsidP="002C6BF9">
      <w:pPr>
        <w:autoSpaceDE w:val="0"/>
        <w:spacing w:line="560" w:lineRule="exact"/>
        <w:ind w:firstLineChars="200" w:firstLine="643"/>
        <w:rPr>
          <w:rFonts w:eastAsia="方正仿宋_GBK"/>
          <w:color w:val="FF0000"/>
          <w:sz w:val="32"/>
          <w:szCs w:val="32"/>
        </w:rPr>
      </w:pPr>
      <w:r>
        <w:rPr>
          <w:rFonts w:ascii="方正仿宋_GBK" w:eastAsia="方正仿宋_GBK" w:hAnsi="方正仿宋_GBK"/>
          <w:b/>
          <w:sz w:val="32"/>
          <w:szCs w:val="32"/>
        </w:rPr>
        <w:t>第七条</w:t>
      </w:r>
      <w:r>
        <w:rPr>
          <w:rFonts w:eastAsia="方正仿宋_GBK"/>
          <w:b/>
          <w:sz w:val="32"/>
          <w:szCs w:val="32"/>
        </w:rPr>
        <w:t xml:space="preserve"> </w:t>
      </w:r>
      <w:r>
        <w:rPr>
          <w:rFonts w:ascii="方正仿宋_GBK" w:eastAsia="方正仿宋_GBK" w:hAnsi="方正仿宋_GBK"/>
          <w:sz w:val="32"/>
          <w:szCs w:val="32"/>
        </w:rPr>
        <w:t>行政事业单位处置的国有资产权属应当清晰，取得或者形成的方式应当合法合规，权属关系不明或者存在权属纠纷的，应当按照有关规定界定权属后处置。</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被设置为担保物的国有资产处置，应当符合《中华人民共和国民法典》等法律的有关规定。</w:t>
      </w:r>
    </w:p>
    <w:p w:rsidR="002C6BF9" w:rsidRDefault="002C6BF9" w:rsidP="002C6BF9">
      <w:pPr>
        <w:autoSpaceDE w:val="0"/>
        <w:spacing w:line="560" w:lineRule="exact"/>
        <w:jc w:val="center"/>
        <w:rPr>
          <w:rFonts w:eastAsia="方正黑体_GBK"/>
          <w:sz w:val="32"/>
          <w:szCs w:val="32"/>
        </w:rPr>
      </w:pPr>
      <w:r>
        <w:rPr>
          <w:rFonts w:ascii="方正黑体_GBK" w:eastAsia="方正黑体_GBK" w:hAnsi="方正黑体_GBK"/>
          <w:sz w:val="32"/>
          <w:szCs w:val="32"/>
        </w:rPr>
        <w:t>第二章</w:t>
      </w:r>
      <w:r>
        <w:rPr>
          <w:rFonts w:eastAsia="方正黑体_GBK"/>
          <w:sz w:val="32"/>
          <w:szCs w:val="32"/>
        </w:rPr>
        <w:t xml:space="preserve">  </w:t>
      </w:r>
      <w:r>
        <w:rPr>
          <w:rFonts w:ascii="方正黑体_GBK" w:eastAsia="方正黑体_GBK" w:hAnsi="方正黑体_GBK"/>
          <w:sz w:val="32"/>
          <w:szCs w:val="32"/>
        </w:rPr>
        <w:t>处置权限、程序和要求</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第八条</w:t>
      </w:r>
      <w:r>
        <w:rPr>
          <w:rFonts w:eastAsia="方正仿宋_GBK"/>
          <w:sz w:val="32"/>
          <w:szCs w:val="32"/>
        </w:rPr>
        <w:t xml:space="preserve"> </w:t>
      </w:r>
      <w:r>
        <w:rPr>
          <w:rFonts w:ascii="方正仿宋_GBK" w:eastAsia="方正仿宋_GBK" w:hAnsi="方正仿宋_GBK"/>
          <w:sz w:val="32"/>
          <w:szCs w:val="32"/>
        </w:rPr>
        <w:t>市财政部门负责市本级行政事业单位国有资产处置的监督管理；市机关事务管理局按权限履行市本级行政事业单位国有资产处置审批；主管部门按权限履行本部门内的国有资产处置审批。</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第九条</w:t>
      </w:r>
      <w:r>
        <w:rPr>
          <w:rFonts w:eastAsia="方正仿宋_GBK"/>
          <w:sz w:val="32"/>
          <w:szCs w:val="32"/>
        </w:rPr>
        <w:t xml:space="preserve"> </w:t>
      </w:r>
      <w:r>
        <w:rPr>
          <w:rFonts w:ascii="方正仿宋_GBK" w:eastAsia="方正仿宋_GBK" w:hAnsi="方正仿宋_GBK"/>
          <w:sz w:val="32"/>
          <w:szCs w:val="32"/>
        </w:rPr>
        <w:t>行政事业单位国有资产处置审批权限：</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lastRenderedPageBreak/>
        <w:t>（一）处置单位价值或者批量价值</w:t>
      </w:r>
      <w:r>
        <w:rPr>
          <w:rFonts w:eastAsia="方正仿宋_GBK"/>
          <w:sz w:val="32"/>
          <w:szCs w:val="32"/>
        </w:rPr>
        <w:t>1000</w:t>
      </w:r>
      <w:r>
        <w:rPr>
          <w:rFonts w:ascii="方正仿宋_GBK" w:eastAsia="方正仿宋_GBK" w:hAnsi="方正仿宋_GBK"/>
          <w:sz w:val="32"/>
          <w:szCs w:val="32"/>
        </w:rPr>
        <w:t>万元（含</w:t>
      </w:r>
      <w:r>
        <w:rPr>
          <w:rFonts w:eastAsia="方正仿宋_GBK"/>
          <w:sz w:val="32"/>
          <w:szCs w:val="32"/>
        </w:rPr>
        <w:t>1000</w:t>
      </w:r>
      <w:r>
        <w:rPr>
          <w:rFonts w:ascii="方正仿宋_GBK" w:eastAsia="方正仿宋_GBK" w:hAnsi="方正仿宋_GBK"/>
          <w:sz w:val="32"/>
          <w:szCs w:val="32"/>
        </w:rPr>
        <w:t>万元，账面原值，下同）以上的国有资产，经同级资产管理部门审核，由主管部门报市人民政府同意后按程序审批；</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处置单位价值或者批量价值</w:t>
      </w:r>
      <w:r>
        <w:rPr>
          <w:rFonts w:eastAsia="方正仿宋_GBK"/>
          <w:sz w:val="32"/>
          <w:szCs w:val="32"/>
        </w:rPr>
        <w:t>100</w:t>
      </w:r>
      <w:r>
        <w:rPr>
          <w:rFonts w:ascii="方正仿宋_GBK" w:eastAsia="方正仿宋_GBK" w:hAnsi="方正仿宋_GBK"/>
          <w:sz w:val="32"/>
          <w:szCs w:val="32"/>
        </w:rPr>
        <w:t>万元以上（含</w:t>
      </w:r>
      <w:r>
        <w:rPr>
          <w:rFonts w:eastAsia="方正仿宋_GBK"/>
          <w:sz w:val="32"/>
          <w:szCs w:val="32"/>
        </w:rPr>
        <w:t>100</w:t>
      </w:r>
      <w:r>
        <w:rPr>
          <w:rFonts w:ascii="方正仿宋_GBK" w:eastAsia="方正仿宋_GBK" w:hAnsi="方正仿宋_GBK"/>
          <w:sz w:val="32"/>
          <w:szCs w:val="32"/>
        </w:rPr>
        <w:t>万元）的国有资产，应当经主管部门审核同意并提出明确意见后，报同级资产管理部门审批；</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部门内部处置单位价值或者批量价值</w:t>
      </w:r>
      <w:r>
        <w:rPr>
          <w:rFonts w:eastAsia="方正仿宋_GBK"/>
          <w:sz w:val="32"/>
          <w:szCs w:val="32"/>
        </w:rPr>
        <w:t>100</w:t>
      </w:r>
      <w:r>
        <w:rPr>
          <w:rFonts w:ascii="方正仿宋_GBK" w:eastAsia="方正仿宋_GBK" w:hAnsi="方正仿宋_GBK"/>
          <w:sz w:val="32"/>
          <w:szCs w:val="32"/>
        </w:rPr>
        <w:t>万元以下的国有资产，由主管部门自行审批；</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行政事业单位应当于审批之日起</w:t>
      </w:r>
      <w:r>
        <w:rPr>
          <w:rFonts w:eastAsia="方正仿宋_GBK"/>
          <w:sz w:val="32"/>
          <w:szCs w:val="32"/>
        </w:rPr>
        <w:t>15</w:t>
      </w:r>
      <w:r>
        <w:rPr>
          <w:rFonts w:ascii="方正仿宋_GBK" w:eastAsia="方正仿宋_GBK" w:hAnsi="方正仿宋_GBK"/>
          <w:sz w:val="32"/>
          <w:szCs w:val="32"/>
        </w:rPr>
        <w:t>个工作日内，将审批文件报同级资产管理部门备案；</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（二）行政事业单位应当在规定权限内根据实际及时处置国有资产，一个月度内分散处置的国有资产原则上按同一批次汇总计算批量价值；</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（三）办公用房和公务用车的处置按相关办法执行；</w:t>
      </w:r>
    </w:p>
    <w:p w:rsidR="002C6BF9" w:rsidRDefault="002C6BF9" w:rsidP="002C6BF9">
      <w:pPr>
        <w:autoSpaceDE w:val="0"/>
        <w:spacing w:before="1" w:line="560" w:lineRule="exact"/>
        <w:ind w:firstLineChars="200" w:firstLine="640"/>
        <w:rPr>
          <w:rFonts w:eastAsia="方正仿宋_GBK"/>
          <w:sz w:val="32"/>
          <w:szCs w:val="32"/>
        </w:rPr>
      </w:pPr>
      <w:r>
        <w:rPr>
          <w:rFonts w:ascii="方正仿宋_GBK" w:eastAsia="方正仿宋_GBK" w:hAnsi="方正仿宋_GBK"/>
          <w:sz w:val="32"/>
          <w:szCs w:val="32"/>
        </w:rPr>
        <w:t>（四）房屋、车辆的损失核销，报市财政局审批。</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第十条</w:t>
      </w:r>
      <w:r>
        <w:rPr>
          <w:rFonts w:eastAsia="方正仿宋_GBK"/>
          <w:b/>
          <w:sz w:val="32"/>
          <w:szCs w:val="32"/>
        </w:rPr>
        <w:t xml:space="preserve"> </w:t>
      </w:r>
      <w:r>
        <w:rPr>
          <w:rFonts w:ascii="方正仿宋_GBK" w:eastAsia="方正仿宋_GBK" w:hAnsi="方正仿宋_GBK"/>
          <w:sz w:val="32"/>
          <w:szCs w:val="32"/>
        </w:rPr>
        <w:t>行政事业单位国有资产处置的一般程序：</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（一）申报。行政事业单位向主管部门提交资产处置申请文件、资产清单等有关材料，申报处置的资产信息应与财政预算一体化的</w:t>
      </w:r>
      <w:r>
        <w:rPr>
          <w:rFonts w:eastAsia="方正仿宋_GBK"/>
          <w:sz w:val="32"/>
          <w:szCs w:val="32"/>
        </w:rPr>
        <w:t>“</w:t>
      </w:r>
      <w:r>
        <w:rPr>
          <w:rFonts w:ascii="方正仿宋_GBK" w:eastAsia="方正仿宋_GBK" w:hAnsi="方正仿宋_GBK"/>
          <w:sz w:val="32"/>
          <w:szCs w:val="32"/>
        </w:rPr>
        <w:t>行政事业单位国有资产管理信息系统</w:t>
      </w:r>
      <w:r>
        <w:rPr>
          <w:rFonts w:eastAsia="方正仿宋_GBK"/>
          <w:sz w:val="32"/>
          <w:szCs w:val="32"/>
        </w:rPr>
        <w:t>”</w:t>
      </w:r>
      <w:r>
        <w:rPr>
          <w:rFonts w:ascii="方正仿宋_GBK" w:eastAsia="方正仿宋_GBK" w:hAnsi="方正仿宋_GBK"/>
          <w:sz w:val="32"/>
          <w:szCs w:val="32"/>
        </w:rPr>
        <w:t>数据保持一</w:t>
      </w:r>
      <w:r>
        <w:rPr>
          <w:rFonts w:ascii="方正仿宋_GBK" w:eastAsia="方正仿宋_GBK" w:hAnsi="方正仿宋_GBK"/>
          <w:sz w:val="32"/>
          <w:szCs w:val="32"/>
        </w:rPr>
        <w:lastRenderedPageBreak/>
        <w:t>致，并对申报材料的真实性、合法合规性、完整性、有效性负责；</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（二）审核。主管部门对处置事项的科学性、合法合规性、可行性、完整性等进行审核，以正式文件报同级资产管理部门；</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（三）审批。同级资产管理部门按规定权限审批国有资产处置申请。其中，土地资产等重大国有资产处置事项经国有资产管理部门审核后报同级人民政府审批；</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（四）处置。行政事业单位取得资产处置事项的批复后，应当及时按照法定程序及相关规定处置资产、上缴处置收入，办理产权变更或注销手续；</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（五）账务处理。处置完成后，行政事业单位按照行政事业财务规则和政府会计制度调整相关会计账目，确保账实相符和账账相符；</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（六）信息化处理。账务处理完成后，应在财政预算一体化的</w:t>
      </w:r>
      <w:r>
        <w:rPr>
          <w:rFonts w:eastAsia="方正仿宋_GBK"/>
          <w:sz w:val="32"/>
          <w:szCs w:val="32"/>
        </w:rPr>
        <w:t>“</w:t>
      </w:r>
      <w:r>
        <w:rPr>
          <w:rFonts w:ascii="方正仿宋_GBK" w:eastAsia="方正仿宋_GBK" w:hAnsi="方正仿宋_GBK"/>
          <w:sz w:val="32"/>
          <w:szCs w:val="32"/>
        </w:rPr>
        <w:t>行政事业单位国有资产管理信息系统</w:t>
      </w:r>
      <w:r>
        <w:rPr>
          <w:rFonts w:eastAsia="方正仿宋_GBK"/>
          <w:sz w:val="32"/>
          <w:szCs w:val="32"/>
        </w:rPr>
        <w:t>”</w:t>
      </w:r>
      <w:r>
        <w:rPr>
          <w:rFonts w:ascii="方正仿宋_GBK" w:eastAsia="方正仿宋_GBK" w:hAnsi="方正仿宋_GBK"/>
          <w:sz w:val="32"/>
          <w:szCs w:val="32"/>
        </w:rPr>
        <w:t>中及时准确反映资产增减变动情况和处置收入情况。</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第十一条</w:t>
      </w:r>
      <w:r>
        <w:rPr>
          <w:rFonts w:eastAsia="方正仿宋_GBK"/>
          <w:b/>
          <w:sz w:val="32"/>
          <w:szCs w:val="32"/>
        </w:rPr>
        <w:t xml:space="preserve"> </w:t>
      </w:r>
      <w:r>
        <w:rPr>
          <w:rFonts w:ascii="方正仿宋_GBK" w:eastAsia="方正仿宋_GBK" w:hAnsi="方正仿宋_GBK"/>
          <w:sz w:val="32"/>
          <w:szCs w:val="32"/>
        </w:rPr>
        <w:t>研究开发机构、高等院校对持有的科技成果，可以自主决定转让，除涉及国家秘密、国家安全及关键核心技术外，不需审批或者备案。涉及国家秘密、国家安全及关键核心技术的科技成果转让，由各主管部门按照国家有关保密制度的</w:t>
      </w:r>
      <w:r>
        <w:rPr>
          <w:rFonts w:ascii="方正仿宋_GBK" w:eastAsia="方正仿宋_GBK" w:hAnsi="方正仿宋_GBK"/>
          <w:sz w:val="32"/>
          <w:szCs w:val="32"/>
        </w:rPr>
        <w:lastRenderedPageBreak/>
        <w:t>规定审批。研究开发机构、高等院校以科技成果作价投资形成的国有股权无偿划转、转让、损失核销等处置事项，由各主管部门审批。</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第十二条</w:t>
      </w:r>
      <w:r>
        <w:rPr>
          <w:rFonts w:eastAsia="方正仿宋_GBK"/>
          <w:b/>
          <w:sz w:val="32"/>
          <w:szCs w:val="32"/>
        </w:rPr>
        <w:t xml:space="preserve"> </w:t>
      </w:r>
      <w:r>
        <w:rPr>
          <w:rFonts w:ascii="方正仿宋_GBK" w:eastAsia="方正仿宋_GBK" w:hAnsi="方正仿宋_GBK"/>
          <w:sz w:val="32"/>
          <w:szCs w:val="32"/>
        </w:rPr>
        <w:t>在突发公共卫生事件或者国家重大自然灾害等应急情况下，相关单位可本着急事急办、特事特办的原则，按照主管部门要求履行相关程序后处置国有资产，待应急事件结束后报同级资产管理部门备案。</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第十三条</w:t>
      </w:r>
      <w:r>
        <w:rPr>
          <w:rFonts w:eastAsia="方正仿宋_GBK"/>
          <w:b/>
          <w:sz w:val="32"/>
          <w:szCs w:val="32"/>
        </w:rPr>
        <w:t xml:space="preserve"> </w:t>
      </w:r>
      <w:r>
        <w:rPr>
          <w:rFonts w:ascii="方正仿宋_GBK" w:eastAsia="方正仿宋_GBK" w:hAnsi="方正仿宋_GBK"/>
          <w:sz w:val="32"/>
          <w:szCs w:val="32"/>
        </w:rPr>
        <w:t>除国家另有规定外，行政事业单位转让、置换国有资产等，应当依法依规选择具有资质的中介机构进行资产评估，并按照国有资产评估管理有关规定进行核准或者备案。</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行政事业单位进行国有资产评估的，并如实提供有关情况和资料，对所提供情况和资料的客观性、真实性、合法性负责，不得以任何形式干预中介机构独立执业。</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研究开发机构、高等院校将其持有的科技成果转让给国有全资企业的，可以不进行资产评估；转让给非国有全资企业的，由单位自主决定是否进行资产评估；通过协议定价的，应当在本单位公示科技成果名称和拟交易价格。</w:t>
      </w:r>
    </w:p>
    <w:p w:rsidR="002C6BF9" w:rsidRDefault="002C6BF9" w:rsidP="002C6BF9">
      <w:pPr>
        <w:autoSpaceDE w:val="0"/>
        <w:spacing w:line="560" w:lineRule="exact"/>
        <w:ind w:firstLineChars="200" w:firstLine="643"/>
        <w:rPr>
          <w:rFonts w:eastAsia="方正仿宋_GBK"/>
          <w:color w:val="000000"/>
          <w:sz w:val="32"/>
          <w:szCs w:val="32"/>
        </w:rPr>
      </w:pPr>
      <w:r>
        <w:rPr>
          <w:rFonts w:ascii="方正仿宋_GBK" w:eastAsia="方正仿宋_GBK" w:hAnsi="方正仿宋_GBK"/>
          <w:b/>
          <w:color w:val="000000"/>
          <w:sz w:val="32"/>
          <w:szCs w:val="32"/>
        </w:rPr>
        <w:t>第十四条</w:t>
      </w:r>
      <w:r>
        <w:rPr>
          <w:rFonts w:eastAsia="方正仿宋_GBK"/>
          <w:b/>
          <w:color w:val="000000"/>
          <w:sz w:val="32"/>
          <w:szCs w:val="32"/>
        </w:rPr>
        <w:t xml:space="preserve"> </w:t>
      </w:r>
      <w:r>
        <w:rPr>
          <w:rFonts w:ascii="方正仿宋_GBK" w:eastAsia="方正仿宋_GBK" w:hAnsi="方正仿宋_GBK"/>
          <w:color w:val="000000"/>
          <w:sz w:val="32"/>
          <w:szCs w:val="32"/>
        </w:rPr>
        <w:t>行政事业单位通过无偿划转和置换取得的资产，应当符合资产配置标准，与其工作职责和人员编制情况相符。通过无偿划转和置换取得办公用房的，应当执行新建办公用房各项标准，不得以未使用财政资金、资产整合等名义规避审批。</w:t>
      </w:r>
    </w:p>
    <w:p w:rsidR="002C6BF9" w:rsidRDefault="002C6BF9" w:rsidP="002C6BF9">
      <w:pPr>
        <w:autoSpaceDE w:val="0"/>
        <w:spacing w:line="560" w:lineRule="exact"/>
        <w:ind w:firstLineChars="200" w:firstLine="643"/>
        <w:rPr>
          <w:rFonts w:eastAsia="方正仿宋_GBK"/>
          <w:color w:val="FF0000"/>
          <w:sz w:val="32"/>
          <w:szCs w:val="32"/>
        </w:rPr>
      </w:pPr>
      <w:r>
        <w:rPr>
          <w:rFonts w:ascii="方正仿宋_GBK" w:eastAsia="方正仿宋_GBK" w:hAnsi="方正仿宋_GBK"/>
          <w:b/>
          <w:color w:val="000000"/>
          <w:sz w:val="32"/>
          <w:szCs w:val="32"/>
        </w:rPr>
        <w:lastRenderedPageBreak/>
        <w:t>第十五条</w:t>
      </w:r>
      <w:r>
        <w:rPr>
          <w:rFonts w:eastAsia="方正仿宋_GBK"/>
          <w:b/>
          <w:color w:val="000000"/>
          <w:sz w:val="32"/>
          <w:szCs w:val="32"/>
        </w:rPr>
        <w:t xml:space="preserve"> </w:t>
      </w:r>
      <w:r>
        <w:rPr>
          <w:rFonts w:ascii="方正仿宋_GBK" w:eastAsia="方正仿宋_GBK" w:hAnsi="方正仿宋_GBK"/>
          <w:color w:val="000000"/>
          <w:sz w:val="32"/>
          <w:szCs w:val="32"/>
        </w:rPr>
        <w:t>国有资产处置事项的批复文件是国有资产处置的依据</w:t>
      </w:r>
      <w:r>
        <w:rPr>
          <w:rFonts w:ascii="方正仿宋_GBK" w:eastAsia="方正仿宋_GBK" w:hAnsi="方正仿宋_GBK"/>
          <w:sz w:val="32"/>
          <w:szCs w:val="32"/>
        </w:rPr>
        <w:t>、调整单位有关资产账目的原始凭证、办理国有资产产权变动的依据、</w:t>
      </w:r>
      <w:r>
        <w:rPr>
          <w:rFonts w:ascii="方正仿宋_GBK" w:eastAsia="方正仿宋_GBK" w:hAnsi="方正仿宋_GBK"/>
          <w:color w:val="000000"/>
          <w:sz w:val="32"/>
          <w:szCs w:val="32"/>
        </w:rPr>
        <w:t>编制资产配置预算的重要参考。行政事业单位国有资产处置情况应当在行政事业性国有资产管理情况年度报告中予以反映。</w:t>
      </w:r>
    </w:p>
    <w:p w:rsidR="002C6BF9" w:rsidRDefault="002C6BF9" w:rsidP="002C6BF9">
      <w:pPr>
        <w:autoSpaceDE w:val="0"/>
        <w:spacing w:line="560" w:lineRule="exact"/>
        <w:jc w:val="center"/>
        <w:rPr>
          <w:rFonts w:eastAsia="方正黑体_GBK"/>
          <w:sz w:val="32"/>
          <w:szCs w:val="32"/>
        </w:rPr>
      </w:pPr>
      <w:r>
        <w:rPr>
          <w:rFonts w:ascii="方正黑体_GBK" w:eastAsia="方正黑体_GBK" w:hAnsi="方正黑体_GBK"/>
          <w:sz w:val="32"/>
          <w:szCs w:val="32"/>
        </w:rPr>
        <w:t>第三章</w:t>
      </w:r>
      <w:r>
        <w:rPr>
          <w:rFonts w:eastAsia="方正黑体_GBK"/>
          <w:sz w:val="32"/>
          <w:szCs w:val="32"/>
        </w:rPr>
        <w:t xml:space="preserve">  </w:t>
      </w:r>
      <w:r>
        <w:rPr>
          <w:rFonts w:ascii="方正黑体_GBK" w:eastAsia="方正黑体_GBK" w:hAnsi="方正黑体_GBK"/>
          <w:sz w:val="32"/>
          <w:szCs w:val="32"/>
        </w:rPr>
        <w:t>处置方式</w:t>
      </w:r>
    </w:p>
    <w:p w:rsidR="002C6BF9" w:rsidRDefault="002C6BF9" w:rsidP="002C6BF9">
      <w:pPr>
        <w:autoSpaceDE w:val="0"/>
        <w:spacing w:before="1" w:line="560" w:lineRule="exact"/>
        <w:jc w:val="center"/>
        <w:rPr>
          <w:rFonts w:eastAsia="方正楷体_GBK"/>
          <w:sz w:val="32"/>
          <w:szCs w:val="32"/>
        </w:rPr>
      </w:pPr>
      <w:r>
        <w:rPr>
          <w:rFonts w:ascii="方正楷体_GBK" w:eastAsia="方正楷体_GBK" w:hAnsi="方正楷体_GBK"/>
          <w:sz w:val="32"/>
          <w:szCs w:val="32"/>
        </w:rPr>
        <w:t>第一节</w:t>
      </w:r>
      <w:r>
        <w:rPr>
          <w:rFonts w:eastAsia="方正楷体_GBK"/>
          <w:sz w:val="32"/>
          <w:szCs w:val="32"/>
        </w:rPr>
        <w:t xml:space="preserve"> </w:t>
      </w:r>
      <w:r>
        <w:rPr>
          <w:rFonts w:ascii="方正楷体_GBK" w:eastAsia="方正楷体_GBK" w:hAnsi="方正楷体_GBK"/>
          <w:sz w:val="32"/>
          <w:szCs w:val="32"/>
        </w:rPr>
        <w:t>无偿划转</w:t>
      </w:r>
    </w:p>
    <w:p w:rsidR="002C6BF9" w:rsidRDefault="002C6BF9" w:rsidP="002C6BF9">
      <w:pPr>
        <w:autoSpaceDE w:val="0"/>
        <w:spacing w:before="1" w:line="560" w:lineRule="exact"/>
        <w:ind w:firstLineChars="200" w:firstLine="643"/>
        <w:rPr>
          <w:rFonts w:eastAsia="方正仿宋_GBK"/>
          <w:b/>
          <w:sz w:val="32"/>
          <w:szCs w:val="32"/>
        </w:rPr>
      </w:pPr>
      <w:r>
        <w:rPr>
          <w:rFonts w:ascii="方正仿宋_GBK" w:eastAsia="方正仿宋_GBK" w:hAnsi="方正仿宋_GBK"/>
          <w:b/>
          <w:sz w:val="32"/>
          <w:szCs w:val="32"/>
        </w:rPr>
        <w:t>第十六条</w:t>
      </w:r>
      <w:r>
        <w:rPr>
          <w:rFonts w:eastAsia="方正仿宋_GBK"/>
          <w:b/>
          <w:sz w:val="32"/>
          <w:szCs w:val="32"/>
        </w:rPr>
        <w:t xml:space="preserve"> </w:t>
      </w:r>
      <w:r>
        <w:rPr>
          <w:rFonts w:ascii="方正仿宋_GBK" w:eastAsia="方正仿宋_GBK" w:hAnsi="方正仿宋_GBK"/>
          <w:sz w:val="32"/>
          <w:szCs w:val="32"/>
        </w:rPr>
        <w:t>无偿划转是指在不改变国有资产性质的前提下，以无偿转让的方式变更国有资产占有、使用权的行为。无偿划转</w:t>
      </w:r>
      <w:r>
        <w:rPr>
          <w:rFonts w:eastAsia="方正仿宋_GBK"/>
          <w:sz w:val="32"/>
          <w:szCs w:val="32"/>
        </w:rPr>
        <w:t>(</w:t>
      </w:r>
      <w:r>
        <w:rPr>
          <w:rFonts w:ascii="方正仿宋_GBK" w:eastAsia="方正仿宋_GBK" w:hAnsi="方正仿宋_GBK"/>
          <w:sz w:val="32"/>
          <w:szCs w:val="32"/>
        </w:rPr>
        <w:t>含调剂</w:t>
      </w:r>
      <w:r>
        <w:rPr>
          <w:rFonts w:eastAsia="方正仿宋_GBK"/>
          <w:sz w:val="32"/>
          <w:szCs w:val="32"/>
        </w:rPr>
        <w:t>)</w:t>
      </w:r>
      <w:r>
        <w:rPr>
          <w:rFonts w:ascii="方正仿宋_GBK" w:eastAsia="方正仿宋_GBK" w:hAnsi="方正仿宋_GBK"/>
          <w:sz w:val="32"/>
          <w:szCs w:val="32"/>
        </w:rPr>
        <w:t>国有资产应当按照以下程序办理：</w:t>
      </w:r>
    </w:p>
    <w:p w:rsidR="002C6BF9" w:rsidRDefault="002C6BF9" w:rsidP="002C6BF9">
      <w:pPr>
        <w:autoSpaceDE w:val="0"/>
        <w:spacing w:before="1" w:line="560" w:lineRule="exact"/>
        <w:ind w:firstLineChars="200" w:firstLine="640"/>
        <w:rPr>
          <w:rFonts w:eastAsia="方正仿宋_GBK"/>
          <w:sz w:val="32"/>
          <w:szCs w:val="32"/>
        </w:rPr>
      </w:pPr>
      <w:r>
        <w:rPr>
          <w:rFonts w:ascii="方正仿宋_GBK" w:eastAsia="方正仿宋_GBK" w:hAnsi="方正仿宋_GBK"/>
          <w:sz w:val="32"/>
          <w:szCs w:val="32"/>
        </w:rPr>
        <w:t>（一）同级行政事业单位之间无偿划转国有资产，以及行政事业单位对国有全资企业无偿划转国有资产，由市机关事务管理局按照第二章规定的相应权限履行审批手续。</w:t>
      </w:r>
    </w:p>
    <w:p w:rsidR="002C6BF9" w:rsidRDefault="002C6BF9" w:rsidP="002C6BF9">
      <w:pPr>
        <w:autoSpaceDE w:val="0"/>
        <w:spacing w:before="1" w:line="560" w:lineRule="exact"/>
        <w:ind w:firstLineChars="200" w:firstLine="640"/>
        <w:rPr>
          <w:rFonts w:eastAsia="方正仿宋_GBK"/>
          <w:sz w:val="32"/>
          <w:szCs w:val="32"/>
        </w:rPr>
      </w:pPr>
      <w:r>
        <w:rPr>
          <w:rFonts w:ascii="方正仿宋_GBK" w:eastAsia="方正仿宋_GBK" w:hAnsi="方正仿宋_GBK"/>
          <w:sz w:val="32"/>
          <w:szCs w:val="32"/>
        </w:rPr>
        <w:t>（二）跨政府级次无偿划转国有资产，由市财政局按照第二章规定的相应权限履行审批手续。</w:t>
      </w:r>
    </w:p>
    <w:p w:rsidR="002C6BF9" w:rsidRDefault="002C6BF9" w:rsidP="002C6BF9">
      <w:pPr>
        <w:autoSpaceDE w:val="0"/>
        <w:spacing w:before="1" w:line="560" w:lineRule="exact"/>
        <w:ind w:firstLineChars="200" w:firstLine="643"/>
        <w:rPr>
          <w:rFonts w:eastAsia="方正仿宋_GBK"/>
          <w:b/>
          <w:sz w:val="32"/>
          <w:szCs w:val="32"/>
        </w:rPr>
      </w:pPr>
      <w:r>
        <w:rPr>
          <w:rFonts w:ascii="方正仿宋_GBK" w:eastAsia="方正仿宋_GBK" w:hAnsi="方正仿宋_GBK"/>
          <w:b/>
          <w:sz w:val="32"/>
          <w:szCs w:val="32"/>
        </w:rPr>
        <w:t>第十七条</w:t>
      </w:r>
      <w:r>
        <w:rPr>
          <w:rFonts w:eastAsia="方正仿宋_GBK"/>
          <w:b/>
          <w:sz w:val="32"/>
          <w:szCs w:val="32"/>
        </w:rPr>
        <w:t xml:space="preserve"> </w:t>
      </w:r>
      <w:r>
        <w:rPr>
          <w:rFonts w:ascii="方正仿宋_GBK" w:eastAsia="方正仿宋_GBK" w:hAnsi="方正仿宋_GBK"/>
          <w:sz w:val="32"/>
          <w:szCs w:val="32"/>
        </w:rPr>
        <w:t>行政事业单位申请无偿划转国有资产，应当由划出方提交以下材料：</w:t>
      </w:r>
    </w:p>
    <w:p w:rsidR="002C6BF9" w:rsidRDefault="002C6BF9" w:rsidP="002C6BF9">
      <w:pPr>
        <w:autoSpaceDE w:val="0"/>
        <w:spacing w:before="1" w:line="560" w:lineRule="exact"/>
        <w:ind w:firstLineChars="200" w:firstLine="640"/>
        <w:rPr>
          <w:rFonts w:eastAsia="方正仿宋_GBK"/>
          <w:b/>
          <w:sz w:val="32"/>
          <w:szCs w:val="32"/>
        </w:rPr>
      </w:pPr>
      <w:r>
        <w:rPr>
          <w:rFonts w:ascii="方正仿宋_GBK" w:eastAsia="方正仿宋_GBK" w:hAnsi="方正仿宋_GBK"/>
          <w:sz w:val="32"/>
          <w:szCs w:val="32"/>
        </w:rPr>
        <w:t>（一）申请文件及单位内部集体决策文件，国有资产价值凭证及产权证明（如购货发票或者收据、记账凭证、固定资产卡片、竣工决算报告、国有土地使用权证、房屋所有权证、不</w:t>
      </w:r>
      <w:r>
        <w:rPr>
          <w:rFonts w:ascii="方正仿宋_GBK" w:eastAsia="方正仿宋_GBK" w:hAnsi="方正仿宋_GBK"/>
          <w:sz w:val="32"/>
          <w:szCs w:val="32"/>
        </w:rPr>
        <w:lastRenderedPageBreak/>
        <w:t>动产权证、专利证、著作权证、担保</w:t>
      </w:r>
      <w:r>
        <w:rPr>
          <w:rFonts w:eastAsia="方正仿宋_GBK"/>
          <w:sz w:val="32"/>
          <w:szCs w:val="32"/>
        </w:rPr>
        <w:t>/</w:t>
      </w:r>
      <w:r>
        <w:rPr>
          <w:rFonts w:ascii="方正仿宋_GBK" w:eastAsia="方正仿宋_GBK" w:hAnsi="方正仿宋_GBK"/>
          <w:sz w:val="32"/>
          <w:szCs w:val="32"/>
        </w:rPr>
        <w:t>抵押凭证、债权或者股权凭证、投资协议等凭据，下同）；</w:t>
      </w:r>
    </w:p>
    <w:p w:rsidR="002C6BF9" w:rsidRDefault="002C6BF9" w:rsidP="002C6BF9">
      <w:pPr>
        <w:autoSpaceDE w:val="0"/>
        <w:spacing w:before="1" w:line="560" w:lineRule="exact"/>
        <w:ind w:firstLineChars="200" w:firstLine="640"/>
        <w:rPr>
          <w:rFonts w:eastAsia="方正仿宋_GBK"/>
          <w:b/>
          <w:sz w:val="32"/>
          <w:szCs w:val="32"/>
        </w:rPr>
      </w:pPr>
      <w:r>
        <w:rPr>
          <w:rFonts w:ascii="方正仿宋_GBK" w:eastAsia="方正仿宋_GBK" w:hAnsi="方正仿宋_GBK"/>
          <w:sz w:val="32"/>
          <w:szCs w:val="32"/>
        </w:rPr>
        <w:t>（二）接收方同类资产存量和需求情况；</w:t>
      </w:r>
    </w:p>
    <w:p w:rsidR="002C6BF9" w:rsidRDefault="002C6BF9" w:rsidP="002C6BF9">
      <w:pPr>
        <w:autoSpaceDE w:val="0"/>
        <w:spacing w:before="1" w:line="560" w:lineRule="exact"/>
        <w:ind w:firstLineChars="200" w:firstLine="640"/>
        <w:rPr>
          <w:rFonts w:eastAsia="方正仿宋_GBK"/>
          <w:b/>
          <w:sz w:val="32"/>
          <w:szCs w:val="32"/>
        </w:rPr>
      </w:pPr>
      <w:r>
        <w:rPr>
          <w:rFonts w:ascii="方正仿宋_GBK" w:eastAsia="方正仿宋_GBK" w:hAnsi="方正仿宋_GBK"/>
          <w:sz w:val="32"/>
          <w:szCs w:val="32"/>
        </w:rPr>
        <w:t>（三）划出方和划入方签署的意向性协议；</w:t>
      </w:r>
    </w:p>
    <w:p w:rsidR="002C6BF9" w:rsidRDefault="002C6BF9" w:rsidP="002C6BF9">
      <w:pPr>
        <w:autoSpaceDE w:val="0"/>
        <w:spacing w:before="1" w:line="560" w:lineRule="exact"/>
        <w:ind w:firstLineChars="200" w:firstLine="640"/>
        <w:rPr>
          <w:rFonts w:eastAsia="方正仿宋_GBK"/>
          <w:b/>
          <w:sz w:val="32"/>
          <w:szCs w:val="32"/>
        </w:rPr>
      </w:pPr>
      <w:r>
        <w:rPr>
          <w:rFonts w:ascii="方正仿宋_GBK" w:eastAsia="方正仿宋_GBK" w:hAnsi="方正仿宋_GBK"/>
          <w:sz w:val="32"/>
          <w:szCs w:val="32"/>
        </w:rPr>
        <w:t>（四）因单位撤销、合并、分立、改制、隶属关系改变等原因发生国有资产划转的，应当提供机构改革相关批复文件；</w:t>
      </w:r>
    </w:p>
    <w:p w:rsidR="002C6BF9" w:rsidRDefault="002C6BF9" w:rsidP="002C6BF9">
      <w:pPr>
        <w:autoSpaceDE w:val="0"/>
        <w:spacing w:before="1" w:line="560" w:lineRule="exact"/>
        <w:ind w:firstLineChars="200" w:firstLine="640"/>
        <w:rPr>
          <w:rFonts w:eastAsia="方正仿宋_GBK"/>
          <w:b/>
          <w:sz w:val="32"/>
          <w:szCs w:val="32"/>
        </w:rPr>
      </w:pPr>
      <w:r>
        <w:rPr>
          <w:rFonts w:ascii="方正仿宋_GBK" w:eastAsia="方正仿宋_GBK" w:hAnsi="方正仿宋_GBK"/>
          <w:color w:val="000000"/>
          <w:sz w:val="32"/>
          <w:szCs w:val="32"/>
        </w:rPr>
        <w:t>（五）市级行政事业单位国有资产处置申请</w:t>
      </w:r>
      <w:r>
        <w:rPr>
          <w:rFonts w:ascii="方正仿宋_GBK" w:eastAsia="方正仿宋_GBK" w:hAnsi="方正仿宋_GBK"/>
          <w:sz w:val="32"/>
          <w:szCs w:val="32"/>
        </w:rPr>
        <w:t>表；</w:t>
      </w:r>
    </w:p>
    <w:p w:rsidR="002C6BF9" w:rsidRDefault="002C6BF9" w:rsidP="002C6BF9">
      <w:pPr>
        <w:autoSpaceDE w:val="0"/>
        <w:spacing w:before="1" w:line="560" w:lineRule="exact"/>
        <w:ind w:firstLineChars="200" w:firstLine="640"/>
        <w:rPr>
          <w:rFonts w:eastAsia="方正仿宋_GBK"/>
          <w:b/>
          <w:sz w:val="32"/>
          <w:szCs w:val="32"/>
        </w:rPr>
      </w:pPr>
      <w:r>
        <w:rPr>
          <w:rFonts w:ascii="方正仿宋_GBK" w:eastAsia="方正仿宋_GBK" w:hAnsi="方正仿宋_GBK"/>
          <w:sz w:val="32"/>
          <w:szCs w:val="32"/>
        </w:rPr>
        <w:t>（六）其他相关材料。</w:t>
      </w:r>
    </w:p>
    <w:p w:rsidR="002C6BF9" w:rsidRDefault="002C6BF9" w:rsidP="002C6BF9">
      <w:pPr>
        <w:autoSpaceDE w:val="0"/>
        <w:spacing w:line="560" w:lineRule="exact"/>
        <w:jc w:val="center"/>
        <w:rPr>
          <w:rFonts w:eastAsia="方正楷体_GBK"/>
          <w:sz w:val="32"/>
          <w:szCs w:val="32"/>
        </w:rPr>
      </w:pPr>
      <w:r>
        <w:rPr>
          <w:rFonts w:ascii="方正楷体_GBK" w:eastAsia="方正楷体_GBK" w:hAnsi="方正楷体_GBK"/>
          <w:sz w:val="32"/>
          <w:szCs w:val="32"/>
        </w:rPr>
        <w:t>第二节</w:t>
      </w:r>
      <w:r>
        <w:rPr>
          <w:rFonts w:eastAsia="方正楷体_GBK"/>
          <w:sz w:val="32"/>
          <w:szCs w:val="32"/>
        </w:rPr>
        <w:t xml:space="preserve"> </w:t>
      </w:r>
      <w:r>
        <w:rPr>
          <w:rFonts w:ascii="方正楷体_GBK" w:eastAsia="方正楷体_GBK" w:hAnsi="方正楷体_GBK"/>
          <w:sz w:val="32"/>
          <w:szCs w:val="32"/>
        </w:rPr>
        <w:t>捐</w:t>
      </w:r>
      <w:r>
        <w:rPr>
          <w:rFonts w:eastAsia="方正楷体_GBK"/>
          <w:sz w:val="32"/>
          <w:szCs w:val="32"/>
        </w:rPr>
        <w:t xml:space="preserve"> </w:t>
      </w:r>
      <w:r>
        <w:rPr>
          <w:rFonts w:ascii="方正楷体_GBK" w:eastAsia="方正楷体_GBK" w:hAnsi="方正楷体_GBK"/>
          <w:sz w:val="32"/>
          <w:szCs w:val="32"/>
        </w:rPr>
        <w:t>赠</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第十八条</w:t>
      </w:r>
      <w:r>
        <w:rPr>
          <w:rFonts w:eastAsia="方正仿宋_GBK"/>
          <w:b/>
          <w:sz w:val="32"/>
          <w:szCs w:val="32"/>
        </w:rPr>
        <w:t xml:space="preserve"> </w:t>
      </w:r>
      <w:r>
        <w:rPr>
          <w:rFonts w:ascii="方正仿宋_GBK" w:eastAsia="方正仿宋_GBK" w:hAnsi="方正仿宋_GBK"/>
          <w:sz w:val="32"/>
          <w:szCs w:val="32"/>
        </w:rPr>
        <w:t>对外捐赠是指行政事业单位依照《中华人民共和国公益事业捐赠法》</w:t>
      </w:r>
      <w:r>
        <w:rPr>
          <w:rFonts w:eastAsia="方正仿宋_GBK"/>
          <w:sz w:val="32"/>
          <w:szCs w:val="32"/>
        </w:rPr>
        <w:t>,</w:t>
      </w:r>
      <w:r>
        <w:rPr>
          <w:rFonts w:ascii="方正仿宋_GBK" w:eastAsia="方正仿宋_GBK" w:hAnsi="方正仿宋_GBK"/>
          <w:sz w:val="32"/>
          <w:szCs w:val="32"/>
        </w:rPr>
        <w:t>自愿无偿将其占有、使用的国有资产赠与合法受赠人的行为。</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行政事业单位对外捐赠应当利用本单位闲置资产或者淘汰且具有使用价值的资产，不得新购资产用于对外捐赠。</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同一部门上下级单位之间和部门所属单位之间，不得相互捐赠资产。</w:t>
      </w:r>
    </w:p>
    <w:p w:rsidR="002C6BF9" w:rsidRDefault="002C6BF9" w:rsidP="002C6BF9">
      <w:pPr>
        <w:autoSpaceDE w:val="0"/>
        <w:spacing w:line="560" w:lineRule="exact"/>
        <w:ind w:firstLineChars="200" w:firstLine="640"/>
        <w:rPr>
          <w:rFonts w:eastAsia="方正仿宋_GBK"/>
          <w:color w:val="000000"/>
          <w:sz w:val="32"/>
          <w:szCs w:val="32"/>
        </w:rPr>
      </w:pPr>
      <w:r>
        <w:rPr>
          <w:rFonts w:ascii="方正仿宋_GBK" w:eastAsia="方正仿宋_GBK" w:hAnsi="方正仿宋_GBK"/>
          <w:color w:val="000000"/>
          <w:sz w:val="32"/>
          <w:szCs w:val="32"/>
        </w:rPr>
        <w:t>行政事业单位国有资产确因工作需要捐赠的，只能限于公益性和救济性捐赠。</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lastRenderedPageBreak/>
        <w:t>第十九条</w:t>
      </w:r>
      <w:r>
        <w:rPr>
          <w:rFonts w:eastAsia="方正仿宋_GBK"/>
          <w:b/>
          <w:sz w:val="32"/>
          <w:szCs w:val="32"/>
        </w:rPr>
        <w:t xml:space="preserve"> </w:t>
      </w:r>
      <w:r>
        <w:rPr>
          <w:rFonts w:ascii="方正仿宋_GBK" w:eastAsia="方正仿宋_GBK" w:hAnsi="方正仿宋_GBK"/>
          <w:sz w:val="32"/>
          <w:szCs w:val="32"/>
        </w:rPr>
        <w:t>行政事业单位申请对外捐赠国有资产，应当提交以下材料：</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（一）申请文件及单位内部决策文件，国有资产价值凭证及产权证明；</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（二）</w:t>
      </w:r>
      <w:r>
        <w:rPr>
          <w:rFonts w:ascii="方正仿宋_GBK" w:eastAsia="方正仿宋_GBK" w:hAnsi="方正仿宋_GBK"/>
          <w:color w:val="000000"/>
          <w:sz w:val="32"/>
          <w:szCs w:val="32"/>
        </w:rPr>
        <w:t>对外捐赠报告，</w:t>
      </w:r>
      <w:r>
        <w:rPr>
          <w:rFonts w:ascii="方正仿宋_GBK" w:eastAsia="方正仿宋_GBK" w:hAnsi="方正仿宋_GBK"/>
          <w:sz w:val="32"/>
          <w:szCs w:val="32"/>
        </w:rPr>
        <w:t>包括对外捐赠事由、方式、责任人、国有资产构成及其数额、对外捐赠事项对本单位财务状况和业务活动影响的分析；</w:t>
      </w:r>
    </w:p>
    <w:p w:rsidR="002C6BF9" w:rsidRDefault="002C6BF9" w:rsidP="002C6BF9">
      <w:pPr>
        <w:autoSpaceDE w:val="0"/>
        <w:spacing w:before="1" w:line="560" w:lineRule="exact"/>
        <w:ind w:firstLineChars="200" w:firstLine="640"/>
        <w:rPr>
          <w:rFonts w:eastAsia="方正仿宋_GBK"/>
          <w:b/>
          <w:sz w:val="32"/>
          <w:szCs w:val="32"/>
        </w:rPr>
      </w:pPr>
      <w:r>
        <w:rPr>
          <w:rFonts w:ascii="方正仿宋_GBK" w:eastAsia="方正仿宋_GBK" w:hAnsi="方正仿宋_GBK"/>
          <w:color w:val="000000"/>
          <w:sz w:val="32"/>
          <w:szCs w:val="32"/>
        </w:rPr>
        <w:t>（三）市级行政事业单位国有资产处置申请</w:t>
      </w:r>
      <w:r>
        <w:rPr>
          <w:rFonts w:ascii="方正仿宋_GBK" w:eastAsia="方正仿宋_GBK" w:hAnsi="方正仿宋_GBK"/>
          <w:sz w:val="32"/>
          <w:szCs w:val="32"/>
        </w:rPr>
        <w:t>表；</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（四）其他相关材料。</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第二十条</w:t>
      </w:r>
      <w:r>
        <w:rPr>
          <w:rFonts w:eastAsia="方正仿宋_GBK"/>
          <w:b/>
          <w:sz w:val="32"/>
          <w:szCs w:val="32"/>
        </w:rPr>
        <w:t xml:space="preserve"> </w:t>
      </w:r>
      <w:r>
        <w:rPr>
          <w:rFonts w:ascii="方正仿宋_GBK" w:eastAsia="方正仿宋_GBK" w:hAnsi="方正仿宋_GBK"/>
          <w:sz w:val="32"/>
          <w:szCs w:val="32"/>
        </w:rPr>
        <w:t>对外捐赠应当依据受赠方出具的合法有效的捐赠资产交接清单等佐证资料予以确认。</w:t>
      </w:r>
    </w:p>
    <w:p w:rsidR="002C6BF9" w:rsidRDefault="002C6BF9" w:rsidP="002C6BF9">
      <w:pPr>
        <w:autoSpaceDE w:val="0"/>
        <w:spacing w:line="560" w:lineRule="exact"/>
        <w:jc w:val="center"/>
        <w:rPr>
          <w:rFonts w:eastAsia="方正楷体_GBK"/>
          <w:sz w:val="32"/>
          <w:szCs w:val="32"/>
        </w:rPr>
      </w:pPr>
      <w:r>
        <w:rPr>
          <w:rFonts w:ascii="方正楷体_GBK" w:eastAsia="方正楷体_GBK" w:hAnsi="方正楷体_GBK"/>
          <w:sz w:val="32"/>
          <w:szCs w:val="32"/>
        </w:rPr>
        <w:t>第三节</w:t>
      </w:r>
      <w:r>
        <w:rPr>
          <w:rFonts w:eastAsia="方正楷体_GBK"/>
          <w:sz w:val="32"/>
          <w:szCs w:val="32"/>
        </w:rPr>
        <w:t xml:space="preserve"> </w:t>
      </w:r>
      <w:r>
        <w:rPr>
          <w:rFonts w:ascii="方正楷体_GBK" w:eastAsia="方正楷体_GBK" w:hAnsi="方正楷体_GBK"/>
          <w:sz w:val="32"/>
          <w:szCs w:val="32"/>
        </w:rPr>
        <w:t>转</w:t>
      </w:r>
      <w:r>
        <w:rPr>
          <w:rFonts w:eastAsia="方正楷体_GBK"/>
          <w:sz w:val="32"/>
          <w:szCs w:val="32"/>
        </w:rPr>
        <w:t xml:space="preserve"> </w:t>
      </w:r>
      <w:r>
        <w:rPr>
          <w:rFonts w:ascii="方正楷体_GBK" w:eastAsia="方正楷体_GBK" w:hAnsi="方正楷体_GBK"/>
          <w:sz w:val="32"/>
          <w:szCs w:val="32"/>
        </w:rPr>
        <w:t>让</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第二十一条</w:t>
      </w:r>
      <w:r>
        <w:rPr>
          <w:rFonts w:eastAsia="方正仿宋_GBK"/>
          <w:b/>
          <w:sz w:val="32"/>
          <w:szCs w:val="32"/>
        </w:rPr>
        <w:t xml:space="preserve"> </w:t>
      </w:r>
      <w:r>
        <w:rPr>
          <w:rFonts w:ascii="方正仿宋_GBK" w:eastAsia="方正仿宋_GBK" w:hAnsi="方正仿宋_GBK"/>
          <w:sz w:val="32"/>
          <w:szCs w:val="32"/>
        </w:rPr>
        <w:t>转让是指行政事业单位变更国有资产占有、使用权并取得收益的处置行为。行政事业单位转让国有资产，应当以公开竞争方式进行，严格控制非公开协议方式，可以通过相应公共资源交易平台，采取拍卖等公开竞价方式进行处置。经公开征集只有一个意向受让方的，经原审批部门批准，可以以协议转让等方式进行处置。</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第二十二条</w:t>
      </w:r>
      <w:r>
        <w:rPr>
          <w:rFonts w:eastAsia="方正仿宋_GBK"/>
          <w:b/>
          <w:sz w:val="32"/>
          <w:szCs w:val="32"/>
        </w:rPr>
        <w:t xml:space="preserve"> </w:t>
      </w:r>
      <w:r>
        <w:rPr>
          <w:rFonts w:ascii="方正仿宋_GBK" w:eastAsia="方正仿宋_GBK" w:hAnsi="方正仿宋_GBK"/>
          <w:sz w:val="32"/>
          <w:szCs w:val="32"/>
        </w:rPr>
        <w:t>涉及公共安全、文物保护、外交事务、城乡规划、生活设施配套、公益事业项目等有特殊要求的，要严格履</w:t>
      </w:r>
      <w:r>
        <w:rPr>
          <w:rFonts w:ascii="方正仿宋_GBK" w:eastAsia="方正仿宋_GBK" w:hAnsi="方正仿宋_GBK"/>
          <w:sz w:val="32"/>
          <w:szCs w:val="32"/>
        </w:rPr>
        <w:lastRenderedPageBreak/>
        <w:t>行审批程序，报经同级人民政府批准后，可采用非公开协议方式转让。</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第二十三条</w:t>
      </w:r>
      <w:r>
        <w:rPr>
          <w:rFonts w:eastAsia="方正仿宋_GBK"/>
          <w:b/>
          <w:sz w:val="32"/>
          <w:szCs w:val="32"/>
        </w:rPr>
        <w:t xml:space="preserve"> </w:t>
      </w:r>
      <w:r>
        <w:rPr>
          <w:rFonts w:ascii="方正仿宋_GBK" w:eastAsia="方正仿宋_GBK" w:hAnsi="方正仿宋_GBK"/>
          <w:sz w:val="32"/>
          <w:szCs w:val="32"/>
        </w:rPr>
        <w:t>行政事业单位转让国有资产，以国有资产审批部门核准或者备案的资产评估报告所确认的评估价值作为转让底价。意向交易价格低于评估结果</w:t>
      </w:r>
      <w:r>
        <w:rPr>
          <w:rFonts w:eastAsia="方正仿宋_GBK"/>
          <w:sz w:val="32"/>
          <w:szCs w:val="32"/>
        </w:rPr>
        <w:t>90%</w:t>
      </w:r>
      <w:r>
        <w:rPr>
          <w:rFonts w:ascii="方正仿宋_GBK" w:eastAsia="方正仿宋_GBK" w:hAnsi="方正仿宋_GBK"/>
          <w:sz w:val="32"/>
          <w:szCs w:val="32"/>
        </w:rPr>
        <w:t>的，应当报原审批部门重新确认后交易。</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第二十四条</w:t>
      </w:r>
      <w:r>
        <w:rPr>
          <w:rFonts w:eastAsia="方正仿宋_GBK"/>
          <w:b/>
          <w:sz w:val="32"/>
          <w:szCs w:val="32"/>
        </w:rPr>
        <w:t xml:space="preserve"> </w:t>
      </w:r>
      <w:r>
        <w:rPr>
          <w:rFonts w:ascii="方正仿宋_GBK" w:eastAsia="方正仿宋_GBK" w:hAnsi="方正仿宋_GBK"/>
          <w:sz w:val="32"/>
          <w:szCs w:val="32"/>
        </w:rPr>
        <w:t>行政事业单位申请转让国有资产，应当提交以下材料：</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（一）申请文件及单位内部集体决策文件，国有资产价值凭证及产权证明；</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（二）转让方案，包括国有资产的基本情况，转让的原因、方式，可行性及风险分析等；</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（三）转让方和受让方签署的意向性协议；</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（四）</w:t>
      </w:r>
      <w:r>
        <w:rPr>
          <w:rFonts w:ascii="方正仿宋_GBK" w:eastAsia="方正仿宋_GBK" w:hAnsi="方正仿宋_GBK"/>
          <w:color w:val="000000"/>
          <w:sz w:val="32"/>
          <w:szCs w:val="32"/>
        </w:rPr>
        <w:t>市级行政事业单位国有资产处置申请</w:t>
      </w:r>
      <w:r>
        <w:rPr>
          <w:rFonts w:ascii="方正仿宋_GBK" w:eastAsia="方正仿宋_GBK" w:hAnsi="方正仿宋_GBK"/>
          <w:sz w:val="32"/>
          <w:szCs w:val="32"/>
        </w:rPr>
        <w:t>表；</w:t>
      </w:r>
    </w:p>
    <w:p w:rsidR="002C6BF9" w:rsidRDefault="002C6BF9" w:rsidP="002C6BF9">
      <w:pPr>
        <w:autoSpaceDE w:val="0"/>
        <w:spacing w:line="560" w:lineRule="exact"/>
        <w:ind w:firstLineChars="200" w:firstLine="640"/>
        <w:rPr>
          <w:rFonts w:eastAsia="方正仿宋_GBK"/>
          <w:color w:val="000000"/>
          <w:sz w:val="32"/>
          <w:szCs w:val="32"/>
        </w:rPr>
      </w:pPr>
      <w:r>
        <w:rPr>
          <w:rFonts w:ascii="方正仿宋_GBK" w:eastAsia="方正仿宋_GBK" w:hAnsi="方正仿宋_GBK"/>
          <w:color w:val="000000"/>
          <w:sz w:val="32"/>
          <w:szCs w:val="32"/>
        </w:rPr>
        <w:t>（五）其他相关材料。</w:t>
      </w:r>
    </w:p>
    <w:p w:rsidR="002C6BF9" w:rsidRDefault="002C6BF9" w:rsidP="002C6BF9">
      <w:pPr>
        <w:autoSpaceDE w:val="0"/>
        <w:spacing w:line="560" w:lineRule="exact"/>
        <w:ind w:firstLineChars="200" w:firstLine="643"/>
        <w:rPr>
          <w:rFonts w:eastAsia="方正仿宋_GBK"/>
          <w:color w:val="000000"/>
          <w:sz w:val="32"/>
          <w:szCs w:val="32"/>
        </w:rPr>
      </w:pPr>
      <w:r>
        <w:rPr>
          <w:rFonts w:ascii="方正仿宋_GBK" w:eastAsia="方正仿宋_GBK" w:hAnsi="方正仿宋_GBK"/>
          <w:b/>
          <w:color w:val="000000"/>
          <w:sz w:val="32"/>
          <w:szCs w:val="32"/>
        </w:rPr>
        <w:t>第二十五条</w:t>
      </w:r>
      <w:r>
        <w:rPr>
          <w:rFonts w:eastAsia="方正仿宋_GBK"/>
          <w:b/>
          <w:color w:val="000000"/>
          <w:sz w:val="32"/>
          <w:szCs w:val="32"/>
        </w:rPr>
        <w:t xml:space="preserve"> </w:t>
      </w:r>
      <w:r>
        <w:rPr>
          <w:rFonts w:ascii="方正仿宋_GBK" w:eastAsia="方正仿宋_GBK" w:hAnsi="方正仿宋_GBK"/>
          <w:color w:val="000000"/>
          <w:sz w:val="32"/>
          <w:szCs w:val="32"/>
        </w:rPr>
        <w:t>行政事业单位国有土地房屋资产征收拆迁的应当提交以下材料：</w:t>
      </w:r>
    </w:p>
    <w:p w:rsidR="002C6BF9" w:rsidRDefault="002C6BF9" w:rsidP="002C6BF9">
      <w:pPr>
        <w:autoSpaceDE w:val="0"/>
        <w:spacing w:line="560" w:lineRule="exact"/>
        <w:ind w:firstLineChars="200" w:firstLine="640"/>
        <w:rPr>
          <w:rFonts w:eastAsia="方正仿宋_GBK"/>
          <w:color w:val="000000"/>
          <w:sz w:val="32"/>
          <w:szCs w:val="32"/>
        </w:rPr>
      </w:pPr>
      <w:r>
        <w:rPr>
          <w:rFonts w:ascii="方正仿宋_GBK" w:eastAsia="方正仿宋_GBK" w:hAnsi="方正仿宋_GBK"/>
          <w:color w:val="000000"/>
          <w:sz w:val="32"/>
          <w:szCs w:val="32"/>
        </w:rPr>
        <w:t>（一）申请文件及单位内部集体决策文件，国有资产价值凭证及产权证明；</w:t>
      </w:r>
    </w:p>
    <w:p w:rsidR="002C6BF9" w:rsidRDefault="002C6BF9" w:rsidP="002C6BF9">
      <w:pPr>
        <w:autoSpaceDE w:val="0"/>
        <w:spacing w:line="560" w:lineRule="exact"/>
        <w:ind w:firstLineChars="200" w:firstLine="640"/>
        <w:rPr>
          <w:rFonts w:eastAsia="方正仿宋_GBK"/>
          <w:color w:val="000000"/>
          <w:sz w:val="32"/>
          <w:szCs w:val="32"/>
        </w:rPr>
      </w:pPr>
      <w:r>
        <w:rPr>
          <w:rFonts w:ascii="方正仿宋_GBK" w:eastAsia="方正仿宋_GBK" w:hAnsi="方正仿宋_GBK"/>
          <w:color w:val="000000"/>
          <w:sz w:val="32"/>
          <w:szCs w:val="32"/>
        </w:rPr>
        <w:lastRenderedPageBreak/>
        <w:t>（二）当地政府征收拆迁文件、公告；</w:t>
      </w:r>
    </w:p>
    <w:p w:rsidR="002C6BF9" w:rsidRDefault="002C6BF9" w:rsidP="002C6BF9">
      <w:pPr>
        <w:autoSpaceDE w:val="0"/>
        <w:spacing w:line="560" w:lineRule="exact"/>
        <w:ind w:firstLineChars="200" w:firstLine="640"/>
        <w:rPr>
          <w:rFonts w:eastAsia="方正仿宋_GBK"/>
          <w:color w:val="000000"/>
          <w:sz w:val="32"/>
          <w:szCs w:val="32"/>
        </w:rPr>
      </w:pPr>
      <w:r>
        <w:rPr>
          <w:rFonts w:ascii="方正仿宋_GBK" w:eastAsia="方正仿宋_GBK" w:hAnsi="方正仿宋_GBK"/>
          <w:color w:val="000000"/>
          <w:sz w:val="32"/>
          <w:szCs w:val="32"/>
        </w:rPr>
        <w:t>（三）征迁双方签署的征拆补偿意向性协议，征收补偿应达到国家或当地政府规定的补偿标准；</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（四）</w:t>
      </w:r>
      <w:r>
        <w:rPr>
          <w:rFonts w:ascii="方正仿宋_GBK" w:eastAsia="方正仿宋_GBK" w:hAnsi="方正仿宋_GBK"/>
          <w:color w:val="000000"/>
          <w:sz w:val="32"/>
          <w:szCs w:val="32"/>
        </w:rPr>
        <w:t>市级行政事业单位国有资产处置申请</w:t>
      </w:r>
      <w:r>
        <w:rPr>
          <w:rFonts w:ascii="方正仿宋_GBK" w:eastAsia="方正仿宋_GBK" w:hAnsi="方正仿宋_GBK"/>
          <w:sz w:val="32"/>
          <w:szCs w:val="32"/>
        </w:rPr>
        <w:t>表；</w:t>
      </w:r>
    </w:p>
    <w:p w:rsidR="002C6BF9" w:rsidRDefault="002C6BF9" w:rsidP="002C6BF9">
      <w:pPr>
        <w:autoSpaceDE w:val="0"/>
        <w:spacing w:line="560" w:lineRule="exact"/>
        <w:ind w:firstLineChars="200" w:firstLine="640"/>
        <w:rPr>
          <w:rFonts w:eastAsia="方正仿宋_GBK"/>
          <w:color w:val="000000"/>
          <w:sz w:val="32"/>
          <w:szCs w:val="32"/>
        </w:rPr>
      </w:pPr>
      <w:r>
        <w:rPr>
          <w:rFonts w:ascii="方正仿宋_GBK" w:eastAsia="方正仿宋_GBK" w:hAnsi="方正仿宋_GBK"/>
          <w:color w:val="000000"/>
          <w:sz w:val="32"/>
          <w:szCs w:val="32"/>
        </w:rPr>
        <w:t>（五）其他相关材料。</w:t>
      </w:r>
    </w:p>
    <w:p w:rsidR="002C6BF9" w:rsidRDefault="002C6BF9" w:rsidP="002C6BF9">
      <w:pPr>
        <w:autoSpaceDE w:val="0"/>
        <w:spacing w:line="560" w:lineRule="exact"/>
        <w:jc w:val="center"/>
        <w:rPr>
          <w:rFonts w:eastAsia="方正楷体_GBK"/>
          <w:sz w:val="32"/>
          <w:szCs w:val="32"/>
        </w:rPr>
      </w:pPr>
      <w:r>
        <w:rPr>
          <w:rFonts w:ascii="方正楷体_GBK" w:eastAsia="方正楷体_GBK" w:hAnsi="方正楷体_GBK"/>
          <w:sz w:val="32"/>
          <w:szCs w:val="32"/>
        </w:rPr>
        <w:t>第四节</w:t>
      </w:r>
      <w:r>
        <w:rPr>
          <w:rFonts w:eastAsia="方正楷体_GBK"/>
          <w:sz w:val="32"/>
          <w:szCs w:val="32"/>
        </w:rPr>
        <w:t xml:space="preserve"> </w:t>
      </w:r>
      <w:r>
        <w:rPr>
          <w:rFonts w:ascii="方正楷体_GBK" w:eastAsia="方正楷体_GBK" w:hAnsi="方正楷体_GBK"/>
          <w:sz w:val="32"/>
          <w:szCs w:val="32"/>
        </w:rPr>
        <w:t>置换</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第二十六条</w:t>
      </w:r>
      <w:r>
        <w:rPr>
          <w:rFonts w:eastAsia="方正仿宋_GBK"/>
          <w:sz w:val="32"/>
          <w:szCs w:val="32"/>
        </w:rPr>
        <w:t xml:space="preserve"> </w:t>
      </w:r>
      <w:r>
        <w:rPr>
          <w:rFonts w:ascii="方正仿宋_GBK" w:eastAsia="方正仿宋_GBK" w:hAnsi="方正仿宋_GBK"/>
          <w:sz w:val="32"/>
          <w:szCs w:val="32"/>
        </w:rPr>
        <w:t>置换是指行政事业单位与其他单位以固定资产、无形资产等为主进行的资产交换，一般不涉及货币性资产或者只涉及用于补差价的少量货币性资产。</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资产置换，应当以资产评估报告所确认的评估价值作为置换对价的参考依据。</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第二十七条</w:t>
      </w:r>
      <w:r>
        <w:rPr>
          <w:rFonts w:eastAsia="方正仿宋_GBK"/>
          <w:sz w:val="32"/>
          <w:szCs w:val="32"/>
        </w:rPr>
        <w:t xml:space="preserve"> </w:t>
      </w:r>
      <w:r>
        <w:rPr>
          <w:rFonts w:ascii="方正仿宋_GBK" w:eastAsia="方正仿宋_GBK" w:hAnsi="方正仿宋_GBK"/>
          <w:sz w:val="32"/>
          <w:szCs w:val="32"/>
        </w:rPr>
        <w:t>行政事业单位申请置换国有资产，应当提交以下材料：</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（一）申请文件及双方单位内部集体决策文件，双方资产价值凭证及产权证明；</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（二）置换方案，包括双方拟用于置换资产的基本情况、设置担保情况，置换的原因、方式，可行性及风险分析等；</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（三）置换资产的相关配置审批文件或证明资料；</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lastRenderedPageBreak/>
        <w:t>（四）置换双方签署的意向性协议；</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（五）</w:t>
      </w:r>
      <w:r>
        <w:rPr>
          <w:rFonts w:ascii="方正仿宋_GBK" w:eastAsia="方正仿宋_GBK" w:hAnsi="方正仿宋_GBK"/>
          <w:color w:val="000000"/>
          <w:sz w:val="32"/>
          <w:szCs w:val="32"/>
        </w:rPr>
        <w:t>市级行政事业单位国有资产处置申请</w:t>
      </w:r>
      <w:r>
        <w:rPr>
          <w:rFonts w:ascii="方正仿宋_GBK" w:eastAsia="方正仿宋_GBK" w:hAnsi="方正仿宋_GBK"/>
          <w:sz w:val="32"/>
          <w:szCs w:val="32"/>
        </w:rPr>
        <w:t>表；</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（六）其他相关材料。</w:t>
      </w:r>
    </w:p>
    <w:p w:rsidR="002C6BF9" w:rsidRDefault="002C6BF9" w:rsidP="002C6BF9">
      <w:pPr>
        <w:autoSpaceDE w:val="0"/>
        <w:spacing w:line="560" w:lineRule="exact"/>
        <w:jc w:val="center"/>
        <w:rPr>
          <w:rFonts w:eastAsia="方正楷体_GBK"/>
          <w:sz w:val="32"/>
          <w:szCs w:val="32"/>
        </w:rPr>
      </w:pPr>
      <w:r>
        <w:rPr>
          <w:rFonts w:ascii="方正楷体_GBK" w:eastAsia="方正楷体_GBK" w:hAnsi="方正楷体_GBK"/>
          <w:sz w:val="32"/>
          <w:szCs w:val="32"/>
        </w:rPr>
        <w:t>第五节</w:t>
      </w:r>
      <w:r>
        <w:rPr>
          <w:rFonts w:eastAsia="方正楷体_GBK"/>
          <w:sz w:val="32"/>
          <w:szCs w:val="32"/>
        </w:rPr>
        <w:t xml:space="preserve"> </w:t>
      </w:r>
      <w:r>
        <w:rPr>
          <w:rFonts w:ascii="方正楷体_GBK" w:eastAsia="方正楷体_GBK" w:hAnsi="方正楷体_GBK"/>
          <w:sz w:val="32"/>
          <w:szCs w:val="32"/>
        </w:rPr>
        <w:t>报</w:t>
      </w:r>
      <w:r>
        <w:rPr>
          <w:rFonts w:eastAsia="方正楷体_GBK"/>
          <w:sz w:val="32"/>
          <w:szCs w:val="32"/>
        </w:rPr>
        <w:t xml:space="preserve"> </w:t>
      </w:r>
      <w:r>
        <w:rPr>
          <w:rFonts w:ascii="方正楷体_GBK" w:eastAsia="方正楷体_GBK" w:hAnsi="方正楷体_GBK"/>
          <w:sz w:val="32"/>
          <w:szCs w:val="32"/>
        </w:rPr>
        <w:t>废</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第二十八条</w:t>
      </w:r>
      <w:r>
        <w:rPr>
          <w:rFonts w:eastAsia="方正仿宋_GBK"/>
          <w:b/>
          <w:sz w:val="32"/>
          <w:szCs w:val="32"/>
        </w:rPr>
        <w:t xml:space="preserve"> </w:t>
      </w:r>
      <w:r>
        <w:rPr>
          <w:rFonts w:ascii="方正仿宋_GBK" w:eastAsia="方正仿宋_GBK" w:hAnsi="方正仿宋_GBK"/>
          <w:sz w:val="32"/>
          <w:szCs w:val="32"/>
        </w:rPr>
        <w:t>报废是指按照有关规定或者经有关部门、专家鉴定，对因技术原因确需淘汰或者无法维修、无维修价值的国有资产，或者已超过使用年限且无法满足工作需要的国有资产，进行产权核销的国有资产处置行为。</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行政事业单位设备报废年限应当按照现行国有资产配置标准规定的使用年限执行，其他资产报废年限可参照《财政部关于印发</w:t>
      </w:r>
      <w:r>
        <w:rPr>
          <w:rFonts w:eastAsia="方正仿宋_GBK"/>
          <w:sz w:val="32"/>
          <w:szCs w:val="32"/>
        </w:rPr>
        <w:t>&lt;</w:t>
      </w:r>
      <w:r>
        <w:rPr>
          <w:rFonts w:ascii="方正仿宋_GBK" w:eastAsia="方正仿宋_GBK" w:hAnsi="方正仿宋_GBK"/>
          <w:sz w:val="32"/>
          <w:szCs w:val="32"/>
        </w:rPr>
        <w:t>政府会计准则第</w:t>
      </w:r>
      <w:r>
        <w:rPr>
          <w:rFonts w:eastAsia="方正仿宋_GBK"/>
          <w:sz w:val="32"/>
          <w:szCs w:val="32"/>
        </w:rPr>
        <w:t>3</w:t>
      </w:r>
      <w:r>
        <w:rPr>
          <w:rFonts w:ascii="方正仿宋_GBK" w:eastAsia="方正仿宋_GBK" w:hAnsi="方正仿宋_GBK"/>
          <w:sz w:val="32"/>
          <w:szCs w:val="32"/>
        </w:rPr>
        <w:t>号</w:t>
      </w:r>
      <w:r>
        <w:rPr>
          <w:rFonts w:eastAsia="方正仿宋_GBK"/>
          <w:sz w:val="32"/>
          <w:szCs w:val="32"/>
        </w:rPr>
        <w:t>-</w:t>
      </w:r>
      <w:r>
        <w:rPr>
          <w:rFonts w:ascii="方正仿宋_GBK" w:eastAsia="方正仿宋_GBK" w:hAnsi="方正仿宋_GBK"/>
          <w:sz w:val="32"/>
          <w:szCs w:val="32"/>
        </w:rPr>
        <w:t>固定资产</w:t>
      </w:r>
      <w:r>
        <w:rPr>
          <w:rFonts w:eastAsia="方正仿宋_GBK"/>
          <w:sz w:val="32"/>
          <w:szCs w:val="32"/>
        </w:rPr>
        <w:t>&gt;</w:t>
      </w:r>
      <w:r>
        <w:rPr>
          <w:rFonts w:ascii="方正仿宋_GBK" w:eastAsia="方正仿宋_GBK" w:hAnsi="方正仿宋_GBK"/>
          <w:sz w:val="32"/>
          <w:szCs w:val="32"/>
        </w:rPr>
        <w:t>应用指南的通知》</w:t>
      </w:r>
      <w:r>
        <w:rPr>
          <w:rFonts w:eastAsia="方正仿宋_GBK"/>
          <w:sz w:val="32"/>
          <w:szCs w:val="32"/>
        </w:rPr>
        <w:t xml:space="preserve">( </w:t>
      </w:r>
      <w:r>
        <w:rPr>
          <w:rFonts w:ascii="方正仿宋_GBK" w:eastAsia="方正仿宋_GBK" w:hAnsi="方正仿宋_GBK"/>
          <w:sz w:val="32"/>
          <w:szCs w:val="32"/>
        </w:rPr>
        <w:t>财会〔</w:t>
      </w:r>
      <w:r>
        <w:rPr>
          <w:rFonts w:eastAsia="方正仿宋_GBK"/>
          <w:sz w:val="32"/>
          <w:szCs w:val="32"/>
        </w:rPr>
        <w:t>2017</w:t>
      </w:r>
      <w:r>
        <w:rPr>
          <w:rFonts w:ascii="方正仿宋_GBK" w:eastAsia="方正仿宋_GBK" w:hAnsi="方正仿宋_GBK"/>
          <w:sz w:val="32"/>
          <w:szCs w:val="32"/>
        </w:rPr>
        <w:t>〕</w:t>
      </w:r>
      <w:r>
        <w:rPr>
          <w:rFonts w:eastAsia="方正仿宋_GBK"/>
          <w:sz w:val="32"/>
          <w:szCs w:val="32"/>
        </w:rPr>
        <w:t>4</w:t>
      </w:r>
      <w:r>
        <w:rPr>
          <w:rFonts w:ascii="方正仿宋_GBK" w:eastAsia="方正仿宋_GBK" w:hAnsi="方正仿宋_GBK"/>
          <w:sz w:val="32"/>
          <w:szCs w:val="32"/>
        </w:rPr>
        <w:t>号</w:t>
      </w:r>
      <w:r>
        <w:rPr>
          <w:rFonts w:eastAsia="方正仿宋_GBK"/>
          <w:sz w:val="32"/>
          <w:szCs w:val="32"/>
        </w:rPr>
        <w:t>)</w:t>
      </w:r>
      <w:r>
        <w:rPr>
          <w:rFonts w:ascii="方正仿宋_GBK" w:eastAsia="方正仿宋_GBK" w:hAnsi="方正仿宋_GBK"/>
          <w:sz w:val="32"/>
          <w:szCs w:val="32"/>
        </w:rPr>
        <w:t>等折旧年限标准执行。已达使用年限仍可继续使用的国有资产，应当继续使用。</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国家或行业对资产报废有技术要求的，应当由具备相应资质的专业机构进行技术鉴定。房屋、车辆、电器电子产品、危险品报废（拆除）等处理应当符合国家有关规定。</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第二十九条</w:t>
      </w:r>
      <w:r>
        <w:rPr>
          <w:rFonts w:eastAsia="方正仿宋_GBK"/>
          <w:sz w:val="32"/>
          <w:szCs w:val="32"/>
        </w:rPr>
        <w:t xml:space="preserve"> </w:t>
      </w:r>
      <w:r>
        <w:rPr>
          <w:rFonts w:ascii="方正仿宋_GBK" w:eastAsia="方正仿宋_GBK" w:hAnsi="方正仿宋_GBK"/>
          <w:sz w:val="32"/>
          <w:szCs w:val="32"/>
        </w:rPr>
        <w:t>行政事业单位申请报废国有资产，应当提交以下材料：</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（一）申请文件及单位内部集体决策文件，国有资产价值凭证及产权证明；</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lastRenderedPageBreak/>
        <w:t>（二）有关部门、专家出具的鉴定文件及处理意见；</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（三）因房屋拆除等原因需办理国有资产核销手续的，提交相关职能部门的房屋拆除批复文件、建设项目拆建立项文件、双方签定的房屋拆迁补偿协议等；</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（四）专利、非专利技术、著作权、资源资质等因被其他新技术所代替或者已经超过法律保护的期限、丧失使用价值和转让价值的，提供有关技术部门的鉴定材料，或者已经超过法律保护期限的证明文件；</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（五）</w:t>
      </w:r>
      <w:r>
        <w:rPr>
          <w:rFonts w:ascii="方正仿宋_GBK" w:eastAsia="方正仿宋_GBK" w:hAnsi="方正仿宋_GBK"/>
          <w:color w:val="000000"/>
          <w:sz w:val="32"/>
          <w:szCs w:val="32"/>
        </w:rPr>
        <w:t>市级行政事业单位国有资产处置申请</w:t>
      </w:r>
      <w:r>
        <w:rPr>
          <w:rFonts w:ascii="方正仿宋_GBK" w:eastAsia="方正仿宋_GBK" w:hAnsi="方正仿宋_GBK"/>
          <w:sz w:val="32"/>
          <w:szCs w:val="32"/>
        </w:rPr>
        <w:t>表；</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（六）其他相关材料。</w:t>
      </w:r>
    </w:p>
    <w:p w:rsidR="002C6BF9" w:rsidRDefault="002C6BF9" w:rsidP="002C6BF9">
      <w:pPr>
        <w:autoSpaceDE w:val="0"/>
        <w:spacing w:line="560" w:lineRule="exact"/>
        <w:jc w:val="center"/>
        <w:rPr>
          <w:rFonts w:eastAsia="方正楷体_GBK"/>
          <w:sz w:val="32"/>
          <w:szCs w:val="32"/>
        </w:rPr>
      </w:pPr>
      <w:r>
        <w:rPr>
          <w:rFonts w:ascii="方正楷体_GBK" w:eastAsia="方正楷体_GBK" w:hAnsi="方正楷体_GBK"/>
          <w:sz w:val="32"/>
          <w:szCs w:val="32"/>
        </w:rPr>
        <w:t>第六节</w:t>
      </w:r>
      <w:r>
        <w:rPr>
          <w:rFonts w:eastAsia="方正楷体_GBK"/>
          <w:sz w:val="32"/>
          <w:szCs w:val="32"/>
        </w:rPr>
        <w:t xml:space="preserve"> </w:t>
      </w:r>
      <w:r>
        <w:rPr>
          <w:rFonts w:ascii="方正楷体_GBK" w:eastAsia="方正楷体_GBK" w:hAnsi="方正楷体_GBK"/>
          <w:sz w:val="32"/>
          <w:szCs w:val="32"/>
        </w:rPr>
        <w:t>损失核销</w:t>
      </w:r>
    </w:p>
    <w:p w:rsidR="002C6BF9" w:rsidRDefault="002C6BF9" w:rsidP="002C6BF9">
      <w:pPr>
        <w:autoSpaceDE w:val="0"/>
        <w:spacing w:before="1" w:line="560" w:lineRule="exact"/>
        <w:ind w:firstLineChars="200" w:firstLine="643"/>
        <w:rPr>
          <w:rFonts w:eastAsia="方正仿宋_GBK"/>
          <w:sz w:val="32"/>
          <w:szCs w:val="32"/>
        </w:rPr>
      </w:pPr>
      <w:r>
        <w:rPr>
          <w:rFonts w:ascii="方正仿宋_GBK" w:eastAsia="方正仿宋_GBK" w:hAnsi="方正仿宋_GBK"/>
          <w:b/>
          <w:sz w:val="32"/>
          <w:szCs w:val="32"/>
        </w:rPr>
        <w:t>第三十条</w:t>
      </w:r>
      <w:r>
        <w:rPr>
          <w:rFonts w:eastAsia="方正仿宋_GBK"/>
          <w:sz w:val="32"/>
          <w:szCs w:val="32"/>
        </w:rPr>
        <w:t xml:space="preserve"> </w:t>
      </w:r>
      <w:r>
        <w:rPr>
          <w:rFonts w:ascii="方正仿宋_GBK" w:eastAsia="方正仿宋_GBK" w:hAnsi="方正仿宋_GBK"/>
          <w:sz w:val="32"/>
          <w:szCs w:val="32"/>
        </w:rPr>
        <w:t>损失核销是指由于发生盘亏、毁损、非正常损失等原因，按照有关规定对国有资产损失进行核销的国有资产处置行为。行政事业单位对发生的国有资产损失，应当及时处理。</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第三十一条</w:t>
      </w:r>
      <w:r>
        <w:rPr>
          <w:rFonts w:eastAsia="方正仿宋_GBK"/>
          <w:sz w:val="32"/>
          <w:szCs w:val="32"/>
        </w:rPr>
        <w:t xml:space="preserve"> </w:t>
      </w:r>
      <w:r>
        <w:rPr>
          <w:rFonts w:ascii="方正仿宋_GBK" w:eastAsia="方正仿宋_GBK" w:hAnsi="方正仿宋_GBK"/>
          <w:sz w:val="32"/>
          <w:szCs w:val="32"/>
        </w:rPr>
        <w:t>行政事业单位申请存货、固定资产、无形资产等国有资产损失核销，应当提交以下材料：</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（一）申请文件及单位内部集体决策文件，国有资产价值凭证及产权证明；</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lastRenderedPageBreak/>
        <w:t>（二）国有资产盘亏、毁损以及非正常损失的情况说明，第三方机构出具的经济鉴证证明，国家有关技术鉴定部门或者具有技术鉴定资格的第三方机构出具的技术鉴定证明</w:t>
      </w:r>
      <w:r>
        <w:rPr>
          <w:rFonts w:eastAsia="方正仿宋_GBK"/>
          <w:sz w:val="32"/>
          <w:szCs w:val="32"/>
        </w:rPr>
        <w:t>(</w:t>
      </w:r>
      <w:r>
        <w:rPr>
          <w:rFonts w:ascii="方正仿宋_GBK" w:eastAsia="方正仿宋_GBK" w:hAnsi="方正仿宋_GBK"/>
          <w:sz w:val="32"/>
          <w:szCs w:val="32"/>
        </w:rPr>
        <w:t>涉及保险索赔的应当有保险公司理赔情况说明</w:t>
      </w:r>
      <w:r>
        <w:rPr>
          <w:rFonts w:eastAsia="方正仿宋_GBK"/>
          <w:sz w:val="32"/>
          <w:szCs w:val="32"/>
        </w:rPr>
        <w:t>)</w:t>
      </w:r>
      <w:r>
        <w:rPr>
          <w:rFonts w:ascii="方正仿宋_GBK" w:eastAsia="方正仿宋_GBK" w:hAnsi="方正仿宋_GBK"/>
          <w:sz w:val="32"/>
          <w:szCs w:val="32"/>
        </w:rPr>
        <w:t>，赔偿责任认定说明和单位内部核批文件；</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（三）国有资产被盗的，需要提供公安机关出具的结案证明；</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（四）因不可抗力因素</w:t>
      </w:r>
      <w:r>
        <w:rPr>
          <w:rFonts w:eastAsia="方正仿宋_GBK"/>
          <w:sz w:val="32"/>
          <w:szCs w:val="32"/>
        </w:rPr>
        <w:t>(</w:t>
      </w:r>
      <w:r>
        <w:rPr>
          <w:rFonts w:ascii="方正仿宋_GBK" w:eastAsia="方正仿宋_GBK" w:hAnsi="方正仿宋_GBK"/>
          <w:sz w:val="32"/>
          <w:szCs w:val="32"/>
        </w:rPr>
        <w:t>自然灾害、意外事故</w:t>
      </w:r>
      <w:r>
        <w:rPr>
          <w:rFonts w:eastAsia="方正仿宋_GBK"/>
          <w:sz w:val="32"/>
          <w:szCs w:val="32"/>
        </w:rPr>
        <w:t>)</w:t>
      </w:r>
      <w:r>
        <w:rPr>
          <w:rFonts w:ascii="方正仿宋_GBK" w:eastAsia="方正仿宋_GBK" w:hAnsi="方正仿宋_GBK"/>
          <w:sz w:val="32"/>
          <w:szCs w:val="32"/>
        </w:rPr>
        <w:t>造成国有资产毁损的，需要提供相关部门出具的受灾证明、事故处理报告、车辆报损证明、房屋拆除证明资料等；</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（五）</w:t>
      </w:r>
      <w:r>
        <w:rPr>
          <w:rFonts w:ascii="方正仿宋_GBK" w:eastAsia="方正仿宋_GBK" w:hAnsi="方正仿宋_GBK"/>
          <w:color w:val="000000"/>
          <w:sz w:val="32"/>
          <w:szCs w:val="32"/>
        </w:rPr>
        <w:t>市级行政事业单位国有资产处置申请</w:t>
      </w:r>
      <w:r>
        <w:rPr>
          <w:rFonts w:ascii="方正仿宋_GBK" w:eastAsia="方正仿宋_GBK" w:hAnsi="方正仿宋_GBK"/>
          <w:sz w:val="32"/>
          <w:szCs w:val="32"/>
        </w:rPr>
        <w:t>表；</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（六）其他相关材料。</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第三十二条</w:t>
      </w:r>
      <w:r>
        <w:rPr>
          <w:rFonts w:eastAsia="方正仿宋_GBK"/>
          <w:sz w:val="32"/>
          <w:szCs w:val="32"/>
        </w:rPr>
        <w:t xml:space="preserve"> </w:t>
      </w:r>
      <w:r>
        <w:rPr>
          <w:rFonts w:ascii="方正仿宋_GBK" w:eastAsia="方正仿宋_GBK" w:hAnsi="方正仿宋_GBK"/>
          <w:sz w:val="32"/>
          <w:szCs w:val="32"/>
        </w:rPr>
        <w:t>行政事业单位申请对外投资、担保</w:t>
      </w:r>
      <w:r>
        <w:rPr>
          <w:rFonts w:eastAsia="方正仿宋_GBK"/>
          <w:sz w:val="32"/>
          <w:szCs w:val="32"/>
        </w:rPr>
        <w:t>(</w:t>
      </w:r>
      <w:r>
        <w:rPr>
          <w:rFonts w:ascii="方正仿宋_GBK" w:eastAsia="方正仿宋_GBK" w:hAnsi="方正仿宋_GBK"/>
          <w:sz w:val="32"/>
          <w:szCs w:val="32"/>
        </w:rPr>
        <w:t>抵押</w:t>
      </w:r>
      <w:r>
        <w:rPr>
          <w:rFonts w:eastAsia="方正仿宋_GBK"/>
          <w:sz w:val="32"/>
          <w:szCs w:val="32"/>
        </w:rPr>
        <w:t>)</w:t>
      </w:r>
      <w:r>
        <w:rPr>
          <w:rFonts w:ascii="方正仿宋_GBK" w:eastAsia="方正仿宋_GBK" w:hAnsi="方正仿宋_GBK"/>
          <w:sz w:val="32"/>
          <w:szCs w:val="32"/>
        </w:rPr>
        <w:t>国有资产的损失核销，应当提交以下材料：</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（一）申请文件及单位内部集体决策文件，国有资产价值凭证及产权证明；</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（二）形成对外投资、担保</w:t>
      </w:r>
      <w:r>
        <w:rPr>
          <w:rFonts w:eastAsia="方正仿宋_GBK"/>
          <w:sz w:val="32"/>
          <w:szCs w:val="32"/>
        </w:rPr>
        <w:t>(</w:t>
      </w:r>
      <w:r>
        <w:rPr>
          <w:rFonts w:ascii="方正仿宋_GBK" w:eastAsia="方正仿宋_GBK" w:hAnsi="方正仿宋_GBK"/>
          <w:sz w:val="32"/>
          <w:szCs w:val="32"/>
        </w:rPr>
        <w:t>抵押</w:t>
      </w:r>
      <w:r>
        <w:rPr>
          <w:rFonts w:eastAsia="方正仿宋_GBK"/>
          <w:sz w:val="32"/>
          <w:szCs w:val="32"/>
        </w:rPr>
        <w:t>)</w:t>
      </w:r>
      <w:r>
        <w:rPr>
          <w:rFonts w:ascii="方正仿宋_GBK" w:eastAsia="方正仿宋_GBK" w:hAnsi="方正仿宋_GBK"/>
          <w:sz w:val="32"/>
          <w:szCs w:val="32"/>
        </w:rPr>
        <w:t>的审批文件，形成损失的情况说明、被投资单位的清算审计报告及注销文件、第三方机构出具的经济鉴证证明和具有法律效力的证明材料；</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lastRenderedPageBreak/>
        <w:t>（三）涉及仲裁或者提起诉讼的，提交仲裁决定或者法院判决等相关法律文书；</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（四）其他相关材料。</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第三十三条</w:t>
      </w:r>
      <w:r>
        <w:rPr>
          <w:rFonts w:eastAsia="方正仿宋_GBK"/>
          <w:sz w:val="32"/>
          <w:szCs w:val="32"/>
        </w:rPr>
        <w:t xml:space="preserve"> </w:t>
      </w:r>
      <w:r>
        <w:rPr>
          <w:rFonts w:ascii="方正仿宋_GBK" w:eastAsia="方正仿宋_GBK" w:hAnsi="方正仿宋_GBK"/>
          <w:sz w:val="32"/>
          <w:szCs w:val="32"/>
        </w:rPr>
        <w:t>行政事业单位应当对报损的资产备查登记，实行</w:t>
      </w:r>
      <w:r>
        <w:rPr>
          <w:rFonts w:eastAsia="方正仿宋_GBK"/>
          <w:sz w:val="32"/>
          <w:szCs w:val="32"/>
        </w:rPr>
        <w:t>“</w:t>
      </w:r>
      <w:r>
        <w:rPr>
          <w:rFonts w:ascii="方正仿宋_GBK" w:eastAsia="方正仿宋_GBK" w:hAnsi="方正仿宋_GBK"/>
          <w:sz w:val="32"/>
          <w:szCs w:val="32"/>
        </w:rPr>
        <w:t>账销案存</w:t>
      </w:r>
      <w:r>
        <w:rPr>
          <w:rFonts w:eastAsia="方正仿宋_GBK"/>
          <w:sz w:val="32"/>
          <w:szCs w:val="32"/>
        </w:rPr>
        <w:t>”</w:t>
      </w:r>
      <w:r>
        <w:rPr>
          <w:rFonts w:ascii="方正仿宋_GBK" w:eastAsia="方正仿宋_GBK" w:hAnsi="方正仿宋_GBK"/>
          <w:sz w:val="32"/>
          <w:szCs w:val="32"/>
        </w:rPr>
        <w:t>的方式管理，对已批准核销的资产损失，单位仍有追偿的权利和义务，对</w:t>
      </w:r>
      <w:r>
        <w:rPr>
          <w:rFonts w:eastAsia="方正仿宋_GBK"/>
          <w:sz w:val="32"/>
          <w:szCs w:val="32"/>
        </w:rPr>
        <w:t>“</w:t>
      </w:r>
      <w:r>
        <w:rPr>
          <w:rFonts w:ascii="方正仿宋_GBK" w:eastAsia="方正仿宋_GBK" w:hAnsi="方正仿宋_GBK"/>
          <w:sz w:val="32"/>
          <w:szCs w:val="32"/>
        </w:rPr>
        <w:t>账销案存</w:t>
      </w:r>
      <w:r>
        <w:rPr>
          <w:rFonts w:eastAsia="方正仿宋_GBK"/>
          <w:sz w:val="32"/>
          <w:szCs w:val="32"/>
        </w:rPr>
        <w:t>”</w:t>
      </w:r>
      <w:r>
        <w:rPr>
          <w:rFonts w:ascii="方正仿宋_GBK" w:eastAsia="方正仿宋_GBK" w:hAnsi="方正仿宋_GBK"/>
          <w:sz w:val="32"/>
          <w:szCs w:val="32"/>
        </w:rPr>
        <w:t>资产清理和追索收回的资产，应当及时入账。</w:t>
      </w:r>
    </w:p>
    <w:p w:rsidR="002C6BF9" w:rsidRDefault="002C6BF9" w:rsidP="002C6BF9">
      <w:pPr>
        <w:autoSpaceDE w:val="0"/>
        <w:spacing w:line="560" w:lineRule="exact"/>
        <w:jc w:val="center"/>
        <w:rPr>
          <w:rFonts w:eastAsia="方正黑体_GBK"/>
          <w:sz w:val="32"/>
          <w:szCs w:val="32"/>
        </w:rPr>
      </w:pPr>
      <w:r>
        <w:rPr>
          <w:rFonts w:ascii="方正黑体_GBK" w:eastAsia="方正黑体_GBK" w:hAnsi="方正黑体_GBK"/>
          <w:sz w:val="32"/>
          <w:szCs w:val="32"/>
        </w:rPr>
        <w:t>第四章</w:t>
      </w:r>
      <w:r>
        <w:rPr>
          <w:rFonts w:eastAsia="方正黑体_GBK"/>
          <w:sz w:val="32"/>
          <w:szCs w:val="32"/>
        </w:rPr>
        <w:t xml:space="preserve">  </w:t>
      </w:r>
      <w:r>
        <w:rPr>
          <w:rFonts w:ascii="方正黑体_GBK" w:eastAsia="方正黑体_GBK" w:hAnsi="方正黑体_GBK"/>
          <w:sz w:val="32"/>
          <w:szCs w:val="32"/>
        </w:rPr>
        <w:t>处置收入</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第三十四条</w:t>
      </w:r>
      <w:r>
        <w:rPr>
          <w:rFonts w:eastAsia="方正仿宋_GBK"/>
          <w:sz w:val="32"/>
          <w:szCs w:val="32"/>
        </w:rPr>
        <w:t xml:space="preserve"> </w:t>
      </w:r>
      <w:r>
        <w:rPr>
          <w:rFonts w:ascii="方正仿宋_GBK" w:eastAsia="方正仿宋_GBK" w:hAnsi="方正仿宋_GBK"/>
          <w:sz w:val="32"/>
          <w:szCs w:val="32"/>
        </w:rPr>
        <w:t>处置收入是指在转让、置换、报废等处置国有资产过程中获得的收入，包括转让资产收入、置换差价收入、拆迁补偿收入、报废报损残值变价收入、保险理赔收入、转让土地使用权收益、所办企业的清算收入等。</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第三十五条</w:t>
      </w:r>
      <w:r>
        <w:rPr>
          <w:rFonts w:eastAsia="方正仿宋_GBK"/>
          <w:sz w:val="32"/>
          <w:szCs w:val="32"/>
        </w:rPr>
        <w:t xml:space="preserve"> </w:t>
      </w:r>
      <w:r>
        <w:rPr>
          <w:rFonts w:ascii="方正仿宋_GBK" w:eastAsia="方正仿宋_GBK" w:hAnsi="方正仿宋_GBK"/>
          <w:sz w:val="32"/>
          <w:szCs w:val="32"/>
        </w:rPr>
        <w:t>除国家另有规定外，行政事业单位国有资产处置收入，应当在扣除相关税金、资产评估费、拍卖佣金等费用后，按照政府非税收入和国库集中收缴管理有关规定及时上缴国库。土地使用权转让收益以及占地补偿收益，按规定上缴国库。</w:t>
      </w:r>
    </w:p>
    <w:p w:rsidR="002C6BF9" w:rsidRDefault="002C6BF9" w:rsidP="002C6BF9">
      <w:pPr>
        <w:autoSpaceDE w:val="0"/>
        <w:spacing w:line="560" w:lineRule="exact"/>
        <w:ind w:firstLineChars="200" w:firstLine="640"/>
        <w:rPr>
          <w:rFonts w:eastAsia="方正仿宋_GBK"/>
          <w:color w:val="000000"/>
          <w:sz w:val="32"/>
          <w:szCs w:val="32"/>
        </w:rPr>
      </w:pPr>
      <w:r>
        <w:rPr>
          <w:rFonts w:ascii="方正仿宋_GBK" w:eastAsia="方正仿宋_GBK" w:hAnsi="方正仿宋_GBK"/>
          <w:color w:val="000000"/>
          <w:sz w:val="32"/>
          <w:szCs w:val="32"/>
        </w:rPr>
        <w:t>高等院校处置已达使用年限并且应淘汰报废的国有资产取得的收益，留归高等院校，纳入单位预算，统一核算、统一管理。研究开发机构、高等院校转化科技成果所获得的收入全部</w:t>
      </w:r>
      <w:r>
        <w:rPr>
          <w:rFonts w:ascii="方正仿宋_GBK" w:eastAsia="方正仿宋_GBK" w:hAnsi="方正仿宋_GBK"/>
          <w:color w:val="000000"/>
          <w:sz w:val="32"/>
          <w:szCs w:val="32"/>
        </w:rPr>
        <w:lastRenderedPageBreak/>
        <w:t>留归本单位，纳入单位预算，统一核算、统一管理，主要用于对完成和转化职务科技成果作出重要贡献人员的奖励和报酬、科学技术研发与成果转化等相关工作。</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第三十六条</w:t>
      </w:r>
      <w:r>
        <w:rPr>
          <w:rFonts w:eastAsia="方正仿宋_GBK"/>
          <w:sz w:val="32"/>
          <w:szCs w:val="32"/>
        </w:rPr>
        <w:t xml:space="preserve"> </w:t>
      </w:r>
      <w:r>
        <w:rPr>
          <w:rFonts w:ascii="方正仿宋_GBK" w:eastAsia="方正仿宋_GBK" w:hAnsi="方正仿宋_GBK"/>
          <w:sz w:val="32"/>
          <w:szCs w:val="32"/>
        </w:rPr>
        <w:t>事业单位利用国有资产对外投资形成的股权（权益）的处置收入，除按照市本级国有资本经营预算有关规定应申报、上交的国有资本收益和国家另有规定外，按照以下规定管理：</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（一）利用货币资金对外投资形成股权（权益）的处置收入纳入单位预算，统一核算，统一管理；</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（二）研究开发机构、高等院校利用科技成果作价投资形成股权</w:t>
      </w:r>
      <w:r>
        <w:rPr>
          <w:rFonts w:eastAsia="方正仿宋_GBK"/>
          <w:sz w:val="32"/>
          <w:szCs w:val="32"/>
        </w:rPr>
        <w:t>(</w:t>
      </w:r>
      <w:r>
        <w:rPr>
          <w:rFonts w:ascii="方正仿宋_GBK" w:eastAsia="方正仿宋_GBK" w:hAnsi="方正仿宋_GBK"/>
          <w:sz w:val="32"/>
          <w:szCs w:val="32"/>
        </w:rPr>
        <w:t>权益</w:t>
      </w:r>
      <w:r>
        <w:rPr>
          <w:rFonts w:eastAsia="方正仿宋_GBK"/>
          <w:sz w:val="32"/>
          <w:szCs w:val="32"/>
        </w:rPr>
        <w:t>)</w:t>
      </w:r>
      <w:r>
        <w:rPr>
          <w:rFonts w:ascii="方正仿宋_GBK" w:eastAsia="方正仿宋_GBK" w:hAnsi="方正仿宋_GBK"/>
          <w:sz w:val="32"/>
          <w:szCs w:val="32"/>
        </w:rPr>
        <w:t>的处置收入纳入单位预算，统一核算，统一管理；</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（三）利用其他国有资产对外投资形成的股权</w:t>
      </w:r>
      <w:r>
        <w:rPr>
          <w:rFonts w:eastAsia="方正仿宋_GBK"/>
          <w:sz w:val="32"/>
          <w:szCs w:val="32"/>
        </w:rPr>
        <w:t>(</w:t>
      </w:r>
      <w:r>
        <w:rPr>
          <w:rFonts w:ascii="方正仿宋_GBK" w:eastAsia="方正仿宋_GBK" w:hAnsi="方正仿宋_GBK"/>
          <w:sz w:val="32"/>
          <w:szCs w:val="32"/>
        </w:rPr>
        <w:t>权益</w:t>
      </w:r>
      <w:r>
        <w:rPr>
          <w:rFonts w:eastAsia="方正仿宋_GBK"/>
          <w:sz w:val="32"/>
          <w:szCs w:val="32"/>
        </w:rPr>
        <w:t>)</w:t>
      </w:r>
      <w:r>
        <w:rPr>
          <w:rFonts w:ascii="方正仿宋_GBK" w:eastAsia="方正仿宋_GBK" w:hAnsi="方正仿宋_GBK"/>
          <w:sz w:val="32"/>
          <w:szCs w:val="32"/>
        </w:rPr>
        <w:t>的处置收入，扣除投资收益以及相关税费后，按照政府非税收入和国库集中收缴管理有关规定及时上缴国库；投资收益纳入单位预算，统一核算，统一管理；</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（四）统筹利用货币资金、科技成果和其他国有资产混合对外投资形成的股权（权益）的处置收入，按照本条第（一）、（二）、（三）项的有关规定分别管理。</w:t>
      </w:r>
    </w:p>
    <w:p w:rsidR="002C6BF9" w:rsidRDefault="002C6BF9" w:rsidP="002C6BF9">
      <w:pPr>
        <w:autoSpaceDE w:val="0"/>
        <w:spacing w:line="560" w:lineRule="exact"/>
        <w:jc w:val="center"/>
        <w:rPr>
          <w:rFonts w:eastAsia="方正黑体_GBK"/>
          <w:sz w:val="32"/>
          <w:szCs w:val="32"/>
        </w:rPr>
      </w:pPr>
      <w:r>
        <w:rPr>
          <w:rFonts w:ascii="方正黑体_GBK" w:eastAsia="方正黑体_GBK" w:hAnsi="方正黑体_GBK"/>
          <w:sz w:val="32"/>
          <w:szCs w:val="32"/>
        </w:rPr>
        <w:t>第五章</w:t>
      </w:r>
      <w:r>
        <w:rPr>
          <w:rFonts w:eastAsia="方正黑体_GBK"/>
          <w:sz w:val="32"/>
          <w:szCs w:val="32"/>
        </w:rPr>
        <w:t xml:space="preserve">  </w:t>
      </w:r>
      <w:r>
        <w:rPr>
          <w:rFonts w:ascii="方正黑体_GBK" w:eastAsia="方正黑体_GBK" w:hAnsi="方正黑体_GBK"/>
          <w:sz w:val="32"/>
          <w:szCs w:val="32"/>
        </w:rPr>
        <w:t>监督检查</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lastRenderedPageBreak/>
        <w:t>第三十七条</w:t>
      </w:r>
      <w:r>
        <w:rPr>
          <w:rFonts w:eastAsia="方正仿宋_GBK"/>
          <w:sz w:val="32"/>
          <w:szCs w:val="32"/>
        </w:rPr>
        <w:t xml:space="preserve"> </w:t>
      </w:r>
      <w:r>
        <w:rPr>
          <w:rFonts w:ascii="方正仿宋_GBK" w:eastAsia="方正仿宋_GBK" w:hAnsi="方正仿宋_GBK"/>
          <w:sz w:val="32"/>
          <w:szCs w:val="32"/>
        </w:rPr>
        <w:t>市财政部门应当对本级各部门及其所属行政事业单位国有资产处置情况进行监督检查。</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各部门应当建立健全行政事业单位国有资产处置监督管理制度，根据职责对本行业行政事业单位国有资产处置依法进行监督。</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各部门所属单位应当制定行政事业单位国有资产处置内部控制制度，防控行政事业单位国有资产处置管理风险。</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第三十八条</w:t>
      </w:r>
      <w:r>
        <w:rPr>
          <w:rFonts w:eastAsia="方正仿宋_GBK"/>
          <w:b/>
          <w:sz w:val="32"/>
          <w:szCs w:val="32"/>
        </w:rPr>
        <w:t xml:space="preserve"> </w:t>
      </w:r>
      <w:r>
        <w:rPr>
          <w:rFonts w:ascii="方正仿宋_GBK" w:eastAsia="方正仿宋_GBK" w:hAnsi="方正仿宋_GBK"/>
          <w:sz w:val="32"/>
          <w:szCs w:val="32"/>
        </w:rPr>
        <w:t>行政事业单位国有资产管理部门、行政事业单位及其工作人员在国有资产处置管理工作中，存在违反本办法规定的行为，以及其他滥用职权、玩忽职守、徇私舞弊等违法违纪行为的，依照《中华人民共和国公务员法》、《中华人民共和国监察法》、《行政事业性国有资产管理条例》等国家有关规定追究责任；构成犯罪的，依法追究刑事责任。</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第三十九条</w:t>
      </w:r>
      <w:r>
        <w:rPr>
          <w:rFonts w:eastAsia="方正仿宋_GBK"/>
          <w:sz w:val="32"/>
          <w:szCs w:val="32"/>
        </w:rPr>
        <w:t xml:space="preserve"> </w:t>
      </w:r>
      <w:r>
        <w:rPr>
          <w:rFonts w:ascii="方正仿宋_GBK" w:eastAsia="方正仿宋_GBK" w:hAnsi="方正仿宋_GBK"/>
          <w:sz w:val="32"/>
          <w:szCs w:val="32"/>
        </w:rPr>
        <w:t>国有资产处置过程中有下列情形之一的，依纪依法追究相关人员责任：</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（一）未按照规定经集体决策或者履行审批程序，擅自越权对规定限额以上的国有资产进行处置；</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（二）未按照规定办理国有资产处置手续，对不符合规定的申报处置材料予以审批；</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（三）低价处置国有资产；</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lastRenderedPageBreak/>
        <w:t>（四）借盘活资产名义，对无需处置的行政事业单位国有资产进行处置或虚假交易，变相虚增财政收入；</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（五）截留国有资产处置收入；</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（六）未按照规定评估国有资产导致国家利益损失；</w:t>
      </w: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sz w:val="32"/>
          <w:szCs w:val="32"/>
        </w:rPr>
        <w:t>（七）其他造成单位国有资产损失的行为。</w:t>
      </w:r>
    </w:p>
    <w:p w:rsidR="002C6BF9" w:rsidRDefault="002C6BF9" w:rsidP="002C6BF9">
      <w:pPr>
        <w:autoSpaceDE w:val="0"/>
        <w:spacing w:line="560" w:lineRule="exact"/>
        <w:jc w:val="center"/>
        <w:rPr>
          <w:rFonts w:eastAsia="方正黑体_GBK"/>
          <w:sz w:val="32"/>
          <w:szCs w:val="32"/>
        </w:rPr>
      </w:pPr>
      <w:r>
        <w:rPr>
          <w:rFonts w:ascii="方正黑体_GBK" w:eastAsia="方正黑体_GBK" w:hAnsi="方正黑体_GBK"/>
          <w:sz w:val="32"/>
          <w:szCs w:val="32"/>
        </w:rPr>
        <w:t>第六章</w:t>
      </w:r>
      <w:r>
        <w:rPr>
          <w:rFonts w:eastAsia="方正黑体_GBK"/>
          <w:sz w:val="32"/>
          <w:szCs w:val="32"/>
        </w:rPr>
        <w:t xml:space="preserve">  </w:t>
      </w:r>
      <w:r>
        <w:rPr>
          <w:rFonts w:ascii="方正黑体_GBK" w:eastAsia="方正黑体_GBK" w:hAnsi="方正黑体_GBK"/>
          <w:sz w:val="32"/>
          <w:szCs w:val="32"/>
        </w:rPr>
        <w:t>附</w:t>
      </w:r>
      <w:r>
        <w:rPr>
          <w:rFonts w:eastAsia="方正黑体_GBK"/>
          <w:sz w:val="32"/>
          <w:szCs w:val="32"/>
        </w:rPr>
        <w:t xml:space="preserve"> </w:t>
      </w:r>
      <w:r>
        <w:rPr>
          <w:rFonts w:ascii="方正黑体_GBK" w:eastAsia="方正黑体_GBK" w:hAnsi="方正黑体_GBK"/>
          <w:sz w:val="32"/>
          <w:szCs w:val="32"/>
        </w:rPr>
        <w:t>则</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第四十条</w:t>
      </w:r>
      <w:r>
        <w:rPr>
          <w:rFonts w:eastAsia="方正仿宋_GBK"/>
          <w:b/>
          <w:sz w:val="32"/>
          <w:szCs w:val="32"/>
        </w:rPr>
        <w:t xml:space="preserve"> </w:t>
      </w:r>
      <w:r>
        <w:rPr>
          <w:rFonts w:ascii="方正仿宋_GBK" w:eastAsia="方正仿宋_GBK" w:hAnsi="方正仿宋_GBK"/>
          <w:sz w:val="32"/>
          <w:szCs w:val="32"/>
        </w:rPr>
        <w:t>执行企业财务、会计制度的事业单位，以及行政事业单位所办国有及国有控股企业国有资产处置，按照企业国有资产管理有关规定执行，不适用本办法。</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第四十一条</w:t>
      </w:r>
      <w:r>
        <w:rPr>
          <w:rFonts w:eastAsia="方正仿宋_GBK"/>
          <w:sz w:val="32"/>
          <w:szCs w:val="32"/>
        </w:rPr>
        <w:t xml:space="preserve"> </w:t>
      </w:r>
      <w:r>
        <w:rPr>
          <w:rFonts w:ascii="方正仿宋_GBK" w:eastAsia="方正仿宋_GBK" w:hAnsi="方正仿宋_GBK"/>
          <w:sz w:val="32"/>
          <w:szCs w:val="32"/>
        </w:rPr>
        <w:t>行政事业单位货币性资产损失核销，按照预算及财务管理有关规定执行。</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第四十二条</w:t>
      </w:r>
      <w:r>
        <w:rPr>
          <w:rFonts w:eastAsia="方正仿宋_GBK"/>
          <w:sz w:val="32"/>
          <w:szCs w:val="32"/>
        </w:rPr>
        <w:t xml:space="preserve"> </w:t>
      </w:r>
      <w:r>
        <w:rPr>
          <w:rFonts w:ascii="方正仿宋_GBK" w:eastAsia="方正仿宋_GBK" w:hAnsi="方正仿宋_GBK"/>
          <w:sz w:val="32"/>
          <w:szCs w:val="32"/>
        </w:rPr>
        <w:t>公共基础设施、政府储备物资、国有文物文化等行政事业性国有资产处置，以及行政事业单位境外国有资产处置，有关规定另行制定。</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第四十三条</w:t>
      </w:r>
      <w:r>
        <w:rPr>
          <w:rFonts w:eastAsia="方正仿宋_GBK"/>
          <w:b/>
          <w:sz w:val="32"/>
          <w:szCs w:val="32"/>
        </w:rPr>
        <w:t xml:space="preserve"> </w:t>
      </w:r>
      <w:r>
        <w:rPr>
          <w:rFonts w:ascii="方正仿宋_GBK" w:eastAsia="方正仿宋_GBK" w:hAnsi="方正仿宋_GBK"/>
          <w:sz w:val="32"/>
          <w:szCs w:val="32"/>
        </w:rPr>
        <w:t>区（县）人民政府确定的行政事业单位国有资产管理部门可结合实际，参照本办法规定权限下，制定资产处置具体管理办法。</w:t>
      </w:r>
    </w:p>
    <w:p w:rsidR="002C6BF9" w:rsidRDefault="002C6BF9" w:rsidP="002C6BF9">
      <w:pPr>
        <w:autoSpaceDE w:val="0"/>
        <w:spacing w:line="560" w:lineRule="exact"/>
        <w:ind w:firstLineChars="200" w:firstLine="643"/>
        <w:rPr>
          <w:rFonts w:eastAsia="方正仿宋_GBK"/>
          <w:sz w:val="32"/>
          <w:szCs w:val="32"/>
        </w:rPr>
      </w:pPr>
      <w:r>
        <w:rPr>
          <w:rFonts w:ascii="方正仿宋_GBK" w:eastAsia="方正仿宋_GBK" w:hAnsi="方正仿宋_GBK"/>
          <w:b/>
          <w:sz w:val="32"/>
          <w:szCs w:val="32"/>
        </w:rPr>
        <w:t>第四十四条</w:t>
      </w:r>
      <w:r>
        <w:rPr>
          <w:rFonts w:eastAsia="方正仿宋_GBK"/>
          <w:b/>
          <w:sz w:val="32"/>
          <w:szCs w:val="32"/>
        </w:rPr>
        <w:t xml:space="preserve"> </w:t>
      </w:r>
      <w:r>
        <w:rPr>
          <w:rFonts w:ascii="方正仿宋_GBK" w:eastAsia="方正仿宋_GBK" w:hAnsi="方正仿宋_GBK"/>
          <w:sz w:val="32"/>
          <w:szCs w:val="32"/>
        </w:rPr>
        <w:t>行政事业单位涉及国家安全和秘密的国有资产处置，应当符合国家有关保密制度的规定和要求。</w:t>
      </w:r>
    </w:p>
    <w:p w:rsidR="002C6BF9" w:rsidRDefault="002C6BF9" w:rsidP="002C6BF9">
      <w:pPr>
        <w:autoSpaceDE w:val="0"/>
        <w:spacing w:line="560" w:lineRule="exact"/>
        <w:ind w:firstLineChars="200" w:firstLine="643"/>
        <w:rPr>
          <w:rFonts w:ascii="方正仿宋_GBK" w:eastAsia="方正仿宋_GBK" w:hAnsi="方正仿宋_GBK"/>
          <w:sz w:val="32"/>
          <w:szCs w:val="32"/>
        </w:rPr>
      </w:pPr>
      <w:r>
        <w:rPr>
          <w:rFonts w:ascii="方正仿宋_GBK" w:eastAsia="方正仿宋_GBK" w:hAnsi="方正仿宋_GBK"/>
          <w:b/>
          <w:sz w:val="32"/>
          <w:szCs w:val="32"/>
        </w:rPr>
        <w:lastRenderedPageBreak/>
        <w:t>第四十五条</w:t>
      </w:r>
      <w:r>
        <w:rPr>
          <w:rFonts w:eastAsia="方正仿宋_GBK"/>
          <w:b/>
          <w:sz w:val="32"/>
          <w:szCs w:val="32"/>
        </w:rPr>
        <w:t xml:space="preserve"> </w:t>
      </w:r>
      <w:r>
        <w:rPr>
          <w:rFonts w:ascii="方正仿宋_GBK" w:eastAsia="方正仿宋_GBK" w:hAnsi="方正仿宋_GBK"/>
          <w:sz w:val="32"/>
          <w:szCs w:val="32"/>
        </w:rPr>
        <w:t>本办法自</w:t>
      </w:r>
      <w:r>
        <w:rPr>
          <w:rFonts w:eastAsia="方正仿宋_GBK"/>
          <w:sz w:val="32"/>
          <w:szCs w:val="32"/>
        </w:rPr>
        <w:t>2025</w:t>
      </w:r>
      <w:r>
        <w:rPr>
          <w:rFonts w:ascii="方正仿宋_GBK" w:eastAsia="方正仿宋_GBK" w:hAnsi="方正仿宋_GBK"/>
          <w:sz w:val="32"/>
          <w:szCs w:val="32"/>
        </w:rPr>
        <w:t>年</w:t>
      </w:r>
      <w:r>
        <w:rPr>
          <w:rFonts w:eastAsia="方正仿宋_GBK"/>
          <w:sz w:val="32"/>
          <w:szCs w:val="32"/>
        </w:rPr>
        <w:t>1</w:t>
      </w:r>
      <w:r>
        <w:rPr>
          <w:rFonts w:ascii="方正仿宋_GBK" w:eastAsia="方正仿宋_GBK" w:hAnsi="方正仿宋_GBK"/>
          <w:sz w:val="32"/>
          <w:szCs w:val="32"/>
        </w:rPr>
        <w:t>月</w:t>
      </w:r>
      <w:r>
        <w:rPr>
          <w:rFonts w:eastAsia="方正仿宋_GBK"/>
          <w:sz w:val="32"/>
          <w:szCs w:val="32"/>
        </w:rPr>
        <w:t>1</w:t>
      </w:r>
      <w:r>
        <w:rPr>
          <w:rFonts w:ascii="方正仿宋_GBK" w:eastAsia="方正仿宋_GBK" w:hAnsi="方正仿宋_GBK"/>
          <w:sz w:val="32"/>
          <w:szCs w:val="32"/>
        </w:rPr>
        <w:t>日起施行，有效期</w:t>
      </w:r>
      <w:r>
        <w:rPr>
          <w:rFonts w:eastAsia="方正仿宋_GBK"/>
          <w:sz w:val="32"/>
          <w:szCs w:val="32"/>
        </w:rPr>
        <w:t>5</w:t>
      </w:r>
      <w:r>
        <w:rPr>
          <w:rFonts w:ascii="方正仿宋_GBK" w:eastAsia="方正仿宋_GBK" w:hAnsi="方正仿宋_GBK"/>
          <w:sz w:val="32"/>
          <w:szCs w:val="32"/>
        </w:rPr>
        <w:t>年。《关于印发</w:t>
      </w:r>
      <w:r>
        <w:rPr>
          <w:rFonts w:eastAsia="方正仿宋_GBK"/>
          <w:sz w:val="32"/>
          <w:szCs w:val="32"/>
        </w:rPr>
        <w:t>&lt;</w:t>
      </w:r>
      <w:r>
        <w:rPr>
          <w:rFonts w:ascii="方正仿宋_GBK" w:eastAsia="方正仿宋_GBK" w:hAnsi="方正仿宋_GBK"/>
          <w:sz w:val="32"/>
          <w:szCs w:val="32"/>
        </w:rPr>
        <w:t>乌鲁木齐市本级行政单位国有资产管理暂行办法</w:t>
      </w:r>
      <w:r>
        <w:rPr>
          <w:rFonts w:eastAsia="方正仿宋_GBK"/>
          <w:sz w:val="32"/>
          <w:szCs w:val="32"/>
        </w:rPr>
        <w:t>&gt;</w:t>
      </w:r>
      <w:r>
        <w:rPr>
          <w:rFonts w:ascii="方正仿宋_GBK" w:eastAsia="方正仿宋_GBK" w:hAnsi="方正仿宋_GBK"/>
          <w:sz w:val="32"/>
          <w:szCs w:val="32"/>
        </w:rPr>
        <w:t>的通知》（乌财资管〔</w:t>
      </w:r>
      <w:r>
        <w:rPr>
          <w:rFonts w:eastAsia="方正仿宋_GBK"/>
          <w:sz w:val="32"/>
          <w:szCs w:val="32"/>
        </w:rPr>
        <w:t>2013</w:t>
      </w:r>
      <w:r>
        <w:rPr>
          <w:rFonts w:ascii="方正仿宋_GBK" w:eastAsia="方正仿宋_GBK" w:hAnsi="方正仿宋_GBK"/>
          <w:sz w:val="32"/>
          <w:szCs w:val="32"/>
        </w:rPr>
        <w:t>〕</w:t>
      </w:r>
      <w:r>
        <w:rPr>
          <w:rFonts w:eastAsia="方正仿宋_GBK"/>
          <w:sz w:val="32"/>
          <w:szCs w:val="32"/>
        </w:rPr>
        <w:t>33</w:t>
      </w:r>
      <w:r>
        <w:rPr>
          <w:rFonts w:ascii="方正仿宋_GBK" w:eastAsia="方正仿宋_GBK" w:hAnsi="方正仿宋_GBK"/>
          <w:sz w:val="32"/>
          <w:szCs w:val="32"/>
        </w:rPr>
        <w:t>号）、《关于印发</w:t>
      </w:r>
      <w:r>
        <w:rPr>
          <w:rFonts w:eastAsia="方正仿宋_GBK"/>
          <w:sz w:val="32"/>
          <w:szCs w:val="32"/>
        </w:rPr>
        <w:t>&lt;</w:t>
      </w:r>
      <w:r>
        <w:rPr>
          <w:rFonts w:ascii="方正仿宋_GBK" w:eastAsia="方正仿宋_GBK" w:hAnsi="方正仿宋_GBK"/>
          <w:sz w:val="32"/>
          <w:szCs w:val="32"/>
        </w:rPr>
        <w:t>乌鲁木齐市本级事业单位国有资产管理暂行办法</w:t>
      </w:r>
      <w:r>
        <w:rPr>
          <w:rFonts w:eastAsia="方正仿宋_GBK"/>
          <w:sz w:val="32"/>
          <w:szCs w:val="32"/>
        </w:rPr>
        <w:t>&gt;</w:t>
      </w:r>
      <w:r>
        <w:rPr>
          <w:rFonts w:ascii="方正仿宋_GBK" w:eastAsia="方正仿宋_GBK" w:hAnsi="方正仿宋_GBK"/>
          <w:sz w:val="32"/>
          <w:szCs w:val="32"/>
        </w:rPr>
        <w:t>的通知》（乌财资管〔</w:t>
      </w:r>
      <w:r>
        <w:rPr>
          <w:rFonts w:eastAsia="方正仿宋_GBK"/>
          <w:sz w:val="32"/>
          <w:szCs w:val="32"/>
        </w:rPr>
        <w:t>2013</w:t>
      </w:r>
      <w:r>
        <w:rPr>
          <w:rFonts w:ascii="方正仿宋_GBK" w:eastAsia="方正仿宋_GBK" w:hAnsi="方正仿宋_GBK"/>
          <w:sz w:val="32"/>
          <w:szCs w:val="32"/>
        </w:rPr>
        <w:t>〕</w:t>
      </w:r>
      <w:r>
        <w:rPr>
          <w:rFonts w:eastAsia="方正仿宋_GBK"/>
          <w:sz w:val="32"/>
          <w:szCs w:val="32"/>
        </w:rPr>
        <w:t>34</w:t>
      </w:r>
      <w:r>
        <w:rPr>
          <w:rFonts w:ascii="方正仿宋_GBK" w:eastAsia="方正仿宋_GBK" w:hAnsi="方正仿宋_GBK"/>
          <w:sz w:val="32"/>
          <w:szCs w:val="32"/>
        </w:rPr>
        <w:t>号）予以废止。</w:t>
      </w:r>
    </w:p>
    <w:p w:rsidR="002C6BF9" w:rsidRDefault="002C6BF9" w:rsidP="002C6BF9">
      <w:pPr>
        <w:autoSpaceDE w:val="0"/>
        <w:spacing w:line="560" w:lineRule="exact"/>
        <w:ind w:firstLineChars="200" w:firstLine="640"/>
        <w:rPr>
          <w:rFonts w:ascii="方正仿宋_GBK" w:eastAsia="方正仿宋_GBK" w:hAnsi="方正仿宋_GBK"/>
          <w:sz w:val="32"/>
          <w:szCs w:val="32"/>
        </w:rPr>
      </w:pPr>
    </w:p>
    <w:p w:rsidR="002C6BF9" w:rsidRDefault="002C6BF9" w:rsidP="002C6BF9">
      <w:pPr>
        <w:autoSpaceDE w:val="0"/>
        <w:spacing w:line="560" w:lineRule="exact"/>
        <w:ind w:firstLineChars="200" w:firstLine="640"/>
        <w:rPr>
          <w:rFonts w:eastAsia="方正仿宋_GBK"/>
          <w:sz w:val="32"/>
          <w:szCs w:val="32"/>
        </w:rPr>
      </w:pPr>
      <w:r>
        <w:rPr>
          <w:rFonts w:ascii="方正仿宋_GBK" w:eastAsia="方正仿宋_GBK" w:hAnsi="方正仿宋_GBK" w:hint="eastAsia"/>
          <w:sz w:val="32"/>
          <w:szCs w:val="32"/>
        </w:rPr>
        <w:t>附：市级行政事业单位国有资产处置申请表</w:t>
      </w:r>
    </w:p>
    <w:p w:rsidR="002C6BF9" w:rsidRPr="000E7D72" w:rsidRDefault="002C6BF9" w:rsidP="002C6BF9">
      <w:pPr>
        <w:autoSpaceDE w:val="0"/>
        <w:spacing w:line="560" w:lineRule="exact"/>
        <w:ind w:firstLineChars="200" w:firstLine="640"/>
        <w:rPr>
          <w:rFonts w:eastAsia="方正仿宋_GBK"/>
          <w:sz w:val="32"/>
          <w:szCs w:val="32"/>
        </w:rPr>
      </w:pPr>
    </w:p>
    <w:p w:rsidR="002C6BF9" w:rsidRDefault="002C6BF9" w:rsidP="002C6BF9">
      <w:pPr>
        <w:spacing w:line="560" w:lineRule="exact"/>
        <w:ind w:right="1280"/>
        <w:rPr>
          <w:rFonts w:ascii="方正仿宋_GBK" w:eastAsia="方正仿宋_GBK"/>
          <w:sz w:val="32"/>
          <w:szCs w:val="32"/>
        </w:rPr>
        <w:sectPr w:rsidR="002C6BF9" w:rsidSect="0057200D">
          <w:footerReference w:type="even" r:id="rId6"/>
          <w:footerReference w:type="default" r:id="rId7"/>
          <w:pgSz w:w="11906" w:h="16838" w:code="9"/>
          <w:pgMar w:top="2098" w:right="1474" w:bottom="1928" w:left="1588" w:header="851" w:footer="992" w:gutter="0"/>
          <w:cols w:space="425"/>
          <w:docGrid w:type="lines" w:linePitch="435" w:charSpace="-1675"/>
        </w:sectPr>
      </w:pPr>
    </w:p>
    <w:tbl>
      <w:tblPr>
        <w:tblW w:w="16494" w:type="dxa"/>
        <w:tblInd w:w="-1344" w:type="dxa"/>
        <w:tblLayout w:type="fixed"/>
        <w:tblLook w:val="04A0"/>
      </w:tblPr>
      <w:tblGrid>
        <w:gridCol w:w="734"/>
        <w:gridCol w:w="290"/>
        <w:gridCol w:w="32"/>
        <w:gridCol w:w="780"/>
        <w:gridCol w:w="181"/>
        <w:gridCol w:w="426"/>
        <w:gridCol w:w="379"/>
        <w:gridCol w:w="662"/>
        <w:gridCol w:w="15"/>
        <w:gridCol w:w="361"/>
        <w:gridCol w:w="236"/>
        <w:gridCol w:w="35"/>
        <w:gridCol w:w="15"/>
        <w:gridCol w:w="423"/>
        <w:gridCol w:w="189"/>
        <w:gridCol w:w="49"/>
        <w:gridCol w:w="471"/>
        <w:gridCol w:w="567"/>
        <w:gridCol w:w="36"/>
        <w:gridCol w:w="956"/>
        <w:gridCol w:w="103"/>
        <w:gridCol w:w="606"/>
        <w:gridCol w:w="320"/>
        <w:gridCol w:w="292"/>
        <w:gridCol w:w="96"/>
        <w:gridCol w:w="377"/>
        <w:gridCol w:w="190"/>
        <w:gridCol w:w="825"/>
        <w:gridCol w:w="1014"/>
        <w:gridCol w:w="611"/>
        <w:gridCol w:w="449"/>
        <w:gridCol w:w="611"/>
        <w:gridCol w:w="1139"/>
        <w:gridCol w:w="611"/>
        <w:gridCol w:w="419"/>
        <w:gridCol w:w="14"/>
        <w:gridCol w:w="611"/>
        <w:gridCol w:w="80"/>
        <w:gridCol w:w="677"/>
        <w:gridCol w:w="15"/>
        <w:gridCol w:w="597"/>
      </w:tblGrid>
      <w:tr w:rsidR="002C6BF9" w:rsidTr="009D7A33">
        <w:trPr>
          <w:gridAfter w:val="2"/>
          <w:wAfter w:w="612" w:type="dxa"/>
          <w:trHeight w:val="197"/>
        </w:trPr>
        <w:tc>
          <w:tcPr>
            <w:tcW w:w="734" w:type="dxa"/>
            <w:tcBorders>
              <w:top w:val="nil"/>
              <w:left w:val="nil"/>
              <w:bottom w:val="nil"/>
              <w:right w:val="nil"/>
            </w:tcBorders>
            <w:noWrap/>
            <w:vAlign w:val="center"/>
            <w:hideMark/>
          </w:tcPr>
          <w:p w:rsidR="002C6BF9" w:rsidRDefault="002C6BF9" w:rsidP="009D7A33">
            <w:pPr>
              <w:autoSpaceDE w:val="0"/>
              <w:spacing w:line="300" w:lineRule="exact"/>
              <w:textAlignment w:val="center"/>
              <w:rPr>
                <w:rFonts w:ascii="宋体" w:hAnsi="宋体"/>
                <w:color w:val="000000"/>
              </w:rPr>
            </w:pPr>
            <w:r>
              <w:rPr>
                <w:rFonts w:ascii="宋体" w:hAnsi="宋体" w:hint="eastAsia"/>
                <w:color w:val="000000"/>
              </w:rPr>
              <w:lastRenderedPageBreak/>
              <w:t>附</w:t>
            </w:r>
            <w:r>
              <w:rPr>
                <w:rFonts w:ascii="宋体" w:hAnsi="宋体" w:hint="eastAsia"/>
                <w:color w:val="000000"/>
              </w:rPr>
              <w:t>1</w:t>
            </w:r>
          </w:p>
        </w:tc>
        <w:tc>
          <w:tcPr>
            <w:tcW w:w="1102" w:type="dxa"/>
            <w:gridSpan w:val="3"/>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986" w:type="dxa"/>
            <w:gridSpan w:val="3"/>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662" w:type="dxa"/>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662" w:type="dxa"/>
            <w:gridSpan w:val="5"/>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661" w:type="dxa"/>
            <w:gridSpan w:val="3"/>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1074" w:type="dxa"/>
            <w:gridSpan w:val="3"/>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1059"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926"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765" w:type="dxa"/>
            <w:gridSpan w:val="3"/>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1015"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1014" w:type="dxa"/>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1060"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1750"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1044" w:type="dxa"/>
            <w:gridSpan w:val="3"/>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691"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677" w:type="dxa"/>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r>
      <w:tr w:rsidR="002C6BF9" w:rsidTr="009D7A33">
        <w:trPr>
          <w:gridAfter w:val="2"/>
          <w:wAfter w:w="612" w:type="dxa"/>
          <w:trHeight w:val="400"/>
        </w:trPr>
        <w:tc>
          <w:tcPr>
            <w:tcW w:w="15882" w:type="dxa"/>
            <w:gridSpan w:val="39"/>
            <w:tcBorders>
              <w:top w:val="nil"/>
              <w:left w:val="nil"/>
              <w:bottom w:val="nil"/>
              <w:right w:val="nil"/>
            </w:tcBorders>
            <w:noWrap/>
            <w:vAlign w:val="center"/>
            <w:hideMark/>
          </w:tcPr>
          <w:p w:rsidR="002C6BF9" w:rsidRDefault="002C6BF9" w:rsidP="009D7A33">
            <w:pPr>
              <w:autoSpaceDE w:val="0"/>
              <w:spacing w:line="300" w:lineRule="exact"/>
              <w:jc w:val="center"/>
              <w:textAlignment w:val="center"/>
              <w:rPr>
                <w:rFonts w:ascii="方正小标宋_GBK" w:eastAsia="方正小标宋_GBK" w:hAnsi="方正小标宋_GBK"/>
                <w:color w:val="000000"/>
                <w:sz w:val="32"/>
                <w:szCs w:val="32"/>
              </w:rPr>
            </w:pPr>
            <w:r>
              <w:rPr>
                <w:rFonts w:ascii="方正小标宋_GBK" w:eastAsia="方正小标宋_GBK" w:hAnsi="方正小标宋_GBK" w:hint="eastAsia"/>
                <w:color w:val="000000"/>
                <w:sz w:val="32"/>
                <w:szCs w:val="32"/>
              </w:rPr>
              <w:t>市级行政事业单位国有资产处置申请表（无偿划转、对外捐赠）</w:t>
            </w:r>
          </w:p>
        </w:tc>
      </w:tr>
      <w:tr w:rsidR="002C6BF9" w:rsidTr="009D7A33">
        <w:trPr>
          <w:trHeight w:val="349"/>
        </w:trPr>
        <w:tc>
          <w:tcPr>
            <w:tcW w:w="3860" w:type="dxa"/>
            <w:gridSpan w:val="10"/>
            <w:tcBorders>
              <w:top w:val="nil"/>
              <w:left w:val="nil"/>
              <w:bottom w:val="nil"/>
              <w:right w:val="nil"/>
            </w:tcBorders>
            <w:noWrap/>
            <w:vAlign w:val="center"/>
            <w:hideMark/>
          </w:tcPr>
          <w:p w:rsidR="002C6BF9" w:rsidRDefault="002C6BF9" w:rsidP="009D7A33">
            <w:pPr>
              <w:autoSpaceDE w:val="0"/>
              <w:spacing w:line="300" w:lineRule="exact"/>
              <w:rPr>
                <w:rFonts w:ascii="宋体" w:hAnsi="宋体"/>
                <w:color w:val="000000"/>
                <w:sz w:val="18"/>
                <w:szCs w:val="18"/>
              </w:rPr>
            </w:pPr>
            <w:r>
              <w:rPr>
                <w:rFonts w:ascii="宋体" w:hAnsi="宋体" w:hint="eastAsia"/>
                <w:color w:val="000000"/>
                <w:sz w:val="18"/>
                <w:szCs w:val="18"/>
              </w:rPr>
              <w:t>申报单位（签章）</w:t>
            </w:r>
          </w:p>
        </w:tc>
        <w:tc>
          <w:tcPr>
            <w:tcW w:w="236" w:type="dxa"/>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sz w:val="18"/>
                <w:szCs w:val="18"/>
              </w:rPr>
            </w:pPr>
          </w:p>
        </w:tc>
        <w:tc>
          <w:tcPr>
            <w:tcW w:w="662" w:type="dxa"/>
            <w:gridSpan w:val="4"/>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sz w:val="18"/>
                <w:szCs w:val="18"/>
              </w:rPr>
            </w:pPr>
          </w:p>
        </w:tc>
        <w:tc>
          <w:tcPr>
            <w:tcW w:w="3400" w:type="dxa"/>
            <w:gridSpan w:val="9"/>
            <w:tcBorders>
              <w:top w:val="nil"/>
              <w:left w:val="nil"/>
              <w:bottom w:val="nil"/>
              <w:right w:val="nil"/>
            </w:tcBorders>
            <w:noWrap/>
            <w:vAlign w:val="center"/>
            <w:hideMark/>
          </w:tcPr>
          <w:p w:rsidR="002C6BF9" w:rsidRDefault="002C6BF9" w:rsidP="009D7A33">
            <w:pPr>
              <w:autoSpaceDE w:val="0"/>
              <w:spacing w:line="300" w:lineRule="exact"/>
              <w:jc w:val="right"/>
              <w:textAlignment w:val="center"/>
              <w:rPr>
                <w:rFonts w:ascii="宋体" w:hAnsi="宋体"/>
                <w:color w:val="000000"/>
                <w:sz w:val="18"/>
                <w:szCs w:val="18"/>
              </w:rPr>
            </w:pPr>
            <w:r>
              <w:rPr>
                <w:rFonts w:ascii="宋体" w:hAnsi="宋体" w:hint="eastAsia"/>
                <w:color w:val="000000"/>
                <w:sz w:val="18"/>
                <w:szCs w:val="18"/>
              </w:rPr>
              <w:t>申报日期</w:t>
            </w:r>
            <w:r>
              <w:rPr>
                <w:rFonts w:ascii="宋体" w:hAnsi="宋体" w:hint="eastAsia"/>
                <w:color w:val="000000"/>
                <w:sz w:val="18"/>
                <w:szCs w:val="18"/>
              </w:rPr>
              <w:t>:</w:t>
            </w:r>
          </w:p>
        </w:tc>
        <w:tc>
          <w:tcPr>
            <w:tcW w:w="3113" w:type="dxa"/>
            <w:gridSpan w:val="6"/>
            <w:tcBorders>
              <w:top w:val="nil"/>
              <w:left w:val="nil"/>
              <w:bottom w:val="nil"/>
              <w:right w:val="nil"/>
            </w:tcBorders>
            <w:noWrap/>
            <w:vAlign w:val="center"/>
            <w:hideMark/>
          </w:tcPr>
          <w:p w:rsidR="002C6BF9" w:rsidRDefault="002C6BF9" w:rsidP="009D7A33">
            <w:pPr>
              <w:autoSpaceDE w:val="0"/>
              <w:spacing w:line="300" w:lineRule="exac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w:t>
            </w:r>
          </w:p>
        </w:tc>
        <w:tc>
          <w:tcPr>
            <w:tcW w:w="1060"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sz w:val="18"/>
                <w:szCs w:val="18"/>
              </w:rPr>
            </w:pPr>
          </w:p>
        </w:tc>
        <w:tc>
          <w:tcPr>
            <w:tcW w:w="1750"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sz w:val="18"/>
                <w:szCs w:val="18"/>
              </w:rPr>
            </w:pPr>
          </w:p>
        </w:tc>
        <w:tc>
          <w:tcPr>
            <w:tcW w:w="1044" w:type="dxa"/>
            <w:gridSpan w:val="3"/>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sz w:val="18"/>
                <w:szCs w:val="18"/>
              </w:rPr>
            </w:pPr>
            <w:r>
              <w:rPr>
                <w:rFonts w:ascii="宋体" w:hAnsi="宋体" w:hint="eastAsia"/>
                <w:color w:val="000000"/>
                <w:sz w:val="18"/>
                <w:szCs w:val="18"/>
              </w:rPr>
              <w:t>金额：元</w:t>
            </w:r>
          </w:p>
        </w:tc>
        <w:tc>
          <w:tcPr>
            <w:tcW w:w="1369" w:type="dxa"/>
            <w:gridSpan w:val="4"/>
            <w:tcBorders>
              <w:top w:val="nil"/>
              <w:left w:val="nil"/>
              <w:bottom w:val="nil"/>
              <w:right w:val="nil"/>
            </w:tcBorders>
            <w:noWrap/>
            <w:vAlign w:val="center"/>
            <w:hideMark/>
          </w:tcPr>
          <w:p w:rsidR="002C6BF9" w:rsidRDefault="002C6BF9" w:rsidP="009D7A33">
            <w:pPr>
              <w:autoSpaceDE w:val="0"/>
              <w:spacing w:line="300" w:lineRule="exact"/>
              <w:rPr>
                <w:rFonts w:ascii="宋体" w:hAnsi="宋体"/>
                <w:color w:val="000000"/>
                <w:sz w:val="18"/>
                <w:szCs w:val="18"/>
              </w:rPr>
            </w:pPr>
          </w:p>
        </w:tc>
      </w:tr>
      <w:tr w:rsidR="002C6BF9" w:rsidTr="009D7A33">
        <w:trPr>
          <w:gridAfter w:val="2"/>
          <w:wAfter w:w="612" w:type="dxa"/>
          <w:trHeight w:val="352"/>
        </w:trPr>
        <w:tc>
          <w:tcPr>
            <w:tcW w:w="1024" w:type="dxa"/>
            <w:gridSpan w:val="2"/>
            <w:vMerge w:val="restart"/>
            <w:tcBorders>
              <w:top w:val="single" w:sz="4" w:space="0" w:color="000000"/>
              <w:left w:val="single" w:sz="4" w:space="0" w:color="000000"/>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序号</w:t>
            </w:r>
          </w:p>
        </w:tc>
        <w:tc>
          <w:tcPr>
            <w:tcW w:w="1419" w:type="dxa"/>
            <w:gridSpan w:val="4"/>
            <w:vMerge w:val="restart"/>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资产名称</w:t>
            </w:r>
          </w:p>
        </w:tc>
        <w:tc>
          <w:tcPr>
            <w:tcW w:w="1417" w:type="dxa"/>
            <w:gridSpan w:val="4"/>
            <w:vMerge w:val="restart"/>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资产编号</w:t>
            </w:r>
          </w:p>
        </w:tc>
        <w:tc>
          <w:tcPr>
            <w:tcW w:w="2977" w:type="dxa"/>
            <w:gridSpan w:val="10"/>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资产类别</w:t>
            </w:r>
          </w:p>
        </w:tc>
        <w:tc>
          <w:tcPr>
            <w:tcW w:w="709" w:type="dxa"/>
            <w:gridSpan w:val="2"/>
            <w:vMerge w:val="restart"/>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资产来源</w:t>
            </w:r>
          </w:p>
        </w:tc>
        <w:tc>
          <w:tcPr>
            <w:tcW w:w="708" w:type="dxa"/>
            <w:gridSpan w:val="3"/>
            <w:vMerge w:val="restart"/>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型号规格</w:t>
            </w:r>
          </w:p>
        </w:tc>
        <w:tc>
          <w:tcPr>
            <w:tcW w:w="567" w:type="dxa"/>
            <w:gridSpan w:val="2"/>
            <w:vMerge w:val="restart"/>
            <w:tcBorders>
              <w:top w:val="single" w:sz="4" w:space="0" w:color="000000"/>
              <w:left w:val="nil"/>
              <w:bottom w:val="single" w:sz="4" w:space="0" w:color="000000"/>
              <w:right w:val="single" w:sz="4" w:space="0" w:color="000000"/>
            </w:tcBorders>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计量单位</w:t>
            </w:r>
          </w:p>
        </w:tc>
        <w:tc>
          <w:tcPr>
            <w:tcW w:w="825" w:type="dxa"/>
            <w:vMerge w:val="restart"/>
            <w:tcBorders>
              <w:top w:val="single" w:sz="4" w:space="0" w:color="000000"/>
              <w:left w:val="nil"/>
              <w:bottom w:val="single" w:sz="4" w:space="0" w:color="000000"/>
              <w:right w:val="single" w:sz="4" w:space="0" w:color="000000"/>
            </w:tcBorders>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数量（股份）</w:t>
            </w:r>
          </w:p>
        </w:tc>
        <w:tc>
          <w:tcPr>
            <w:tcW w:w="1014" w:type="dxa"/>
            <w:vMerge w:val="restart"/>
            <w:tcBorders>
              <w:top w:val="single" w:sz="4" w:space="0" w:color="000000"/>
              <w:left w:val="nil"/>
              <w:bottom w:val="single" w:sz="4" w:space="0" w:color="000000"/>
              <w:right w:val="single" w:sz="4" w:space="0" w:color="000000"/>
            </w:tcBorders>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购置（投资）日期</w:t>
            </w:r>
          </w:p>
        </w:tc>
        <w:tc>
          <w:tcPr>
            <w:tcW w:w="3854" w:type="dxa"/>
            <w:gridSpan w:val="7"/>
            <w:tcBorders>
              <w:top w:val="single" w:sz="4" w:space="0" w:color="000000"/>
              <w:left w:val="nil"/>
              <w:bottom w:val="nil"/>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价值</w:t>
            </w:r>
          </w:p>
        </w:tc>
        <w:tc>
          <w:tcPr>
            <w:tcW w:w="691" w:type="dxa"/>
            <w:gridSpan w:val="2"/>
            <w:vMerge w:val="restart"/>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处置方式</w:t>
            </w:r>
          </w:p>
        </w:tc>
        <w:tc>
          <w:tcPr>
            <w:tcW w:w="677" w:type="dxa"/>
            <w:vMerge w:val="restart"/>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备注</w:t>
            </w:r>
          </w:p>
        </w:tc>
      </w:tr>
      <w:tr w:rsidR="002C6BF9" w:rsidTr="009D7A33">
        <w:trPr>
          <w:gridAfter w:val="2"/>
          <w:wAfter w:w="612" w:type="dxa"/>
          <w:trHeight w:val="426"/>
        </w:trPr>
        <w:tc>
          <w:tcPr>
            <w:tcW w:w="1024" w:type="dxa"/>
            <w:gridSpan w:val="2"/>
            <w:vMerge/>
            <w:tcBorders>
              <w:top w:val="single" w:sz="4" w:space="0" w:color="000000"/>
              <w:left w:val="single" w:sz="4" w:space="0" w:color="000000"/>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1419" w:type="dxa"/>
            <w:gridSpan w:val="4"/>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1417" w:type="dxa"/>
            <w:gridSpan w:val="4"/>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709" w:type="dxa"/>
            <w:gridSpan w:val="4"/>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固定资产</w:t>
            </w:r>
          </w:p>
        </w:tc>
        <w:tc>
          <w:tcPr>
            <w:tcW w:w="709" w:type="dxa"/>
            <w:gridSpan w:val="3"/>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无形资产</w:t>
            </w:r>
          </w:p>
        </w:tc>
        <w:tc>
          <w:tcPr>
            <w:tcW w:w="567" w:type="dxa"/>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对外投资</w:t>
            </w:r>
          </w:p>
        </w:tc>
        <w:tc>
          <w:tcPr>
            <w:tcW w:w="992" w:type="dxa"/>
            <w:gridSpan w:val="2"/>
            <w:tcBorders>
              <w:top w:val="single" w:sz="4" w:space="0" w:color="000000"/>
              <w:left w:val="nil"/>
              <w:bottom w:val="single" w:sz="4" w:space="0" w:color="000000"/>
              <w:right w:val="single" w:sz="4" w:space="0" w:color="000000"/>
            </w:tcBorders>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存货等其他资产</w:t>
            </w:r>
          </w:p>
        </w:tc>
        <w:tc>
          <w:tcPr>
            <w:tcW w:w="709" w:type="dxa"/>
            <w:gridSpan w:val="2"/>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708" w:type="dxa"/>
            <w:gridSpan w:val="3"/>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567" w:type="dxa"/>
            <w:gridSpan w:val="2"/>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825" w:type="dxa"/>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1014" w:type="dxa"/>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1060" w:type="dxa"/>
            <w:gridSpan w:val="2"/>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账面原值</w:t>
            </w:r>
          </w:p>
        </w:tc>
        <w:tc>
          <w:tcPr>
            <w:tcW w:w="1750" w:type="dxa"/>
            <w:gridSpan w:val="2"/>
            <w:tcBorders>
              <w:top w:val="single" w:sz="4" w:space="0" w:color="000000"/>
              <w:left w:val="nil"/>
              <w:bottom w:val="single" w:sz="4" w:space="0" w:color="000000"/>
              <w:right w:val="single" w:sz="4" w:space="0" w:color="000000"/>
            </w:tcBorders>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已计提（坏账）</w:t>
            </w:r>
            <w:r>
              <w:rPr>
                <w:rFonts w:ascii="宋体" w:hAnsi="宋体" w:hint="eastAsia"/>
                <w:color w:val="000000"/>
                <w:sz w:val="18"/>
                <w:szCs w:val="18"/>
              </w:rPr>
              <w:t>/</w:t>
            </w:r>
            <w:r>
              <w:rPr>
                <w:rFonts w:ascii="宋体" w:hAnsi="宋体" w:hint="eastAsia"/>
                <w:color w:val="000000"/>
                <w:sz w:val="18"/>
                <w:szCs w:val="18"/>
              </w:rPr>
              <w:t>折旧</w:t>
            </w:r>
            <w:r>
              <w:rPr>
                <w:rFonts w:ascii="宋体" w:hAnsi="宋体" w:hint="eastAsia"/>
                <w:color w:val="000000"/>
                <w:sz w:val="18"/>
                <w:szCs w:val="18"/>
              </w:rPr>
              <w:t>/</w:t>
            </w:r>
            <w:r>
              <w:rPr>
                <w:rFonts w:ascii="宋体" w:hAnsi="宋体" w:hint="eastAsia"/>
                <w:color w:val="000000"/>
                <w:sz w:val="18"/>
                <w:szCs w:val="18"/>
              </w:rPr>
              <w:t>（摊销额）</w:t>
            </w:r>
          </w:p>
        </w:tc>
        <w:tc>
          <w:tcPr>
            <w:tcW w:w="1044" w:type="dxa"/>
            <w:gridSpan w:val="3"/>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20"/>
                <w:szCs w:val="20"/>
              </w:rPr>
            </w:pPr>
            <w:r>
              <w:rPr>
                <w:rFonts w:ascii="宋体" w:hAnsi="宋体" w:hint="eastAsia"/>
                <w:color w:val="000000"/>
                <w:sz w:val="18"/>
                <w:szCs w:val="18"/>
              </w:rPr>
              <w:t>账面净值</w:t>
            </w:r>
          </w:p>
        </w:tc>
        <w:tc>
          <w:tcPr>
            <w:tcW w:w="691" w:type="dxa"/>
            <w:gridSpan w:val="2"/>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677" w:type="dxa"/>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r>
      <w:tr w:rsidR="002C6BF9" w:rsidTr="009D7A33">
        <w:trPr>
          <w:gridAfter w:val="2"/>
          <w:wAfter w:w="612" w:type="dxa"/>
          <w:trHeight w:val="254"/>
        </w:trPr>
        <w:tc>
          <w:tcPr>
            <w:tcW w:w="1024" w:type="dxa"/>
            <w:gridSpan w:val="2"/>
            <w:tcBorders>
              <w:top w:val="single" w:sz="4" w:space="0" w:color="000000"/>
              <w:left w:val="single" w:sz="4" w:space="0" w:color="000000"/>
              <w:bottom w:val="single" w:sz="4" w:space="0" w:color="000000"/>
              <w:right w:val="single" w:sz="4" w:space="0" w:color="000000"/>
            </w:tcBorders>
            <w:noWrap/>
            <w:vAlign w:val="center"/>
          </w:tcPr>
          <w:p w:rsidR="002C6BF9" w:rsidRDefault="002C6BF9" w:rsidP="009D7A33">
            <w:pPr>
              <w:autoSpaceDE w:val="0"/>
              <w:spacing w:line="300" w:lineRule="exact"/>
              <w:jc w:val="center"/>
              <w:textAlignment w:val="center"/>
              <w:rPr>
                <w:rFonts w:ascii="宋体" w:hAnsi="宋体"/>
                <w:color w:val="000000"/>
              </w:rPr>
            </w:pPr>
          </w:p>
        </w:tc>
        <w:tc>
          <w:tcPr>
            <w:tcW w:w="1419" w:type="dxa"/>
            <w:gridSpan w:val="4"/>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rPr>
                <w:rFonts w:ascii="宋体" w:hAnsi="宋体"/>
                <w:color w:val="000000"/>
              </w:rPr>
            </w:pPr>
            <w:r>
              <w:rPr>
                <w:rFonts w:ascii="宋体" w:hAnsi="宋体" w:hint="eastAsia"/>
                <w:color w:val="000000"/>
              </w:rPr>
              <w:t>合计</w:t>
            </w:r>
          </w:p>
        </w:tc>
        <w:tc>
          <w:tcPr>
            <w:tcW w:w="1417" w:type="dxa"/>
            <w:gridSpan w:val="4"/>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jc w:val="center"/>
              <w:rPr>
                <w:rFonts w:ascii="宋体" w:hAnsi="宋体"/>
                <w:color w:val="000000"/>
              </w:rPr>
            </w:pPr>
          </w:p>
        </w:tc>
        <w:tc>
          <w:tcPr>
            <w:tcW w:w="709" w:type="dxa"/>
            <w:gridSpan w:val="4"/>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9"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567"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992"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9"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8"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567"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825"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14"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6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75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44"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91"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77"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r>
      <w:tr w:rsidR="002C6BF9" w:rsidTr="009D7A33">
        <w:trPr>
          <w:gridAfter w:val="2"/>
          <w:wAfter w:w="612" w:type="dxa"/>
          <w:trHeight w:val="269"/>
        </w:trPr>
        <w:tc>
          <w:tcPr>
            <w:tcW w:w="1024" w:type="dxa"/>
            <w:gridSpan w:val="2"/>
            <w:tcBorders>
              <w:top w:val="single" w:sz="4" w:space="0" w:color="000000"/>
              <w:left w:val="single" w:sz="4" w:space="0" w:color="000000"/>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rPr>
            </w:pPr>
            <w:r>
              <w:rPr>
                <w:rFonts w:ascii="宋体" w:hAnsi="宋体" w:hint="eastAsia"/>
                <w:color w:val="000000"/>
              </w:rPr>
              <w:t>1</w:t>
            </w:r>
          </w:p>
        </w:tc>
        <w:tc>
          <w:tcPr>
            <w:tcW w:w="1419" w:type="dxa"/>
            <w:gridSpan w:val="4"/>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417" w:type="dxa"/>
            <w:gridSpan w:val="4"/>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9" w:type="dxa"/>
            <w:gridSpan w:val="4"/>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9"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567"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992"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9"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8"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567"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825"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14"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6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75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44"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91"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77"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r>
      <w:tr w:rsidR="002C6BF9" w:rsidTr="009D7A33">
        <w:trPr>
          <w:gridAfter w:val="2"/>
          <w:wAfter w:w="612" w:type="dxa"/>
          <w:trHeight w:val="224"/>
        </w:trPr>
        <w:tc>
          <w:tcPr>
            <w:tcW w:w="1024" w:type="dxa"/>
            <w:gridSpan w:val="2"/>
            <w:tcBorders>
              <w:top w:val="single" w:sz="4" w:space="0" w:color="000000"/>
              <w:left w:val="single" w:sz="4" w:space="0" w:color="000000"/>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rPr>
            </w:pPr>
            <w:r>
              <w:rPr>
                <w:rFonts w:ascii="宋体" w:hAnsi="宋体" w:hint="eastAsia"/>
                <w:color w:val="000000"/>
              </w:rPr>
              <w:t>2</w:t>
            </w:r>
          </w:p>
        </w:tc>
        <w:tc>
          <w:tcPr>
            <w:tcW w:w="1419" w:type="dxa"/>
            <w:gridSpan w:val="4"/>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417" w:type="dxa"/>
            <w:gridSpan w:val="4"/>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9" w:type="dxa"/>
            <w:gridSpan w:val="4"/>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9"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567"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992"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9"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8"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567"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825"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14"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6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75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44"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91"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77"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r>
      <w:tr w:rsidR="002C6BF9" w:rsidTr="009D7A33">
        <w:trPr>
          <w:gridAfter w:val="2"/>
          <w:wAfter w:w="612" w:type="dxa"/>
          <w:trHeight w:val="280"/>
        </w:trPr>
        <w:tc>
          <w:tcPr>
            <w:tcW w:w="1024" w:type="dxa"/>
            <w:gridSpan w:val="2"/>
            <w:tcBorders>
              <w:top w:val="single" w:sz="4" w:space="0" w:color="000000"/>
              <w:left w:val="single" w:sz="4" w:space="0" w:color="000000"/>
              <w:bottom w:val="single" w:sz="4" w:space="0" w:color="000000"/>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rPr>
            </w:pPr>
            <w:r>
              <w:rPr>
                <w:rFonts w:ascii="宋体" w:hAnsi="宋体" w:hint="eastAsia"/>
                <w:color w:val="000000"/>
              </w:rPr>
              <w:t>……</w:t>
            </w:r>
          </w:p>
        </w:tc>
        <w:tc>
          <w:tcPr>
            <w:tcW w:w="1419" w:type="dxa"/>
            <w:gridSpan w:val="4"/>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417" w:type="dxa"/>
            <w:gridSpan w:val="4"/>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9" w:type="dxa"/>
            <w:gridSpan w:val="4"/>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9"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567"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992"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9"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8"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567"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825"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14"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6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75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44"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91"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77"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r>
      <w:tr w:rsidR="002C6BF9" w:rsidTr="009D7A33">
        <w:trPr>
          <w:gridAfter w:val="2"/>
          <w:wAfter w:w="612" w:type="dxa"/>
          <w:trHeight w:val="424"/>
        </w:trPr>
        <w:tc>
          <w:tcPr>
            <w:tcW w:w="1024" w:type="dxa"/>
            <w:gridSpan w:val="2"/>
            <w:tcBorders>
              <w:top w:val="single" w:sz="4" w:space="0" w:color="000000"/>
              <w:left w:val="single" w:sz="4" w:space="0" w:color="000000"/>
              <w:bottom w:val="single" w:sz="4" w:space="0" w:color="000000"/>
              <w:right w:val="single" w:sz="4" w:space="0" w:color="000000"/>
            </w:tcBorders>
            <w:vAlign w:val="center"/>
            <w:hideMark/>
          </w:tcPr>
          <w:p w:rsidR="002C6BF9" w:rsidRDefault="002C6BF9" w:rsidP="009D7A33">
            <w:pPr>
              <w:autoSpaceDE w:val="0"/>
              <w:spacing w:line="300" w:lineRule="exact"/>
              <w:textAlignment w:val="center"/>
              <w:rPr>
                <w:rFonts w:ascii="宋体" w:hAnsi="宋体"/>
                <w:color w:val="000000"/>
                <w:sz w:val="20"/>
                <w:szCs w:val="20"/>
              </w:rPr>
            </w:pPr>
            <w:r>
              <w:rPr>
                <w:rFonts w:ascii="宋体" w:hAnsi="宋体" w:hint="eastAsia"/>
                <w:color w:val="000000"/>
                <w:sz w:val="20"/>
                <w:szCs w:val="20"/>
              </w:rPr>
              <w:t>处置原因</w:t>
            </w:r>
          </w:p>
        </w:tc>
        <w:tc>
          <w:tcPr>
            <w:tcW w:w="14858" w:type="dxa"/>
            <w:gridSpan w:val="37"/>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jc w:val="center"/>
              <w:rPr>
                <w:rFonts w:ascii="宋体" w:hAnsi="宋体"/>
                <w:color w:val="000000"/>
              </w:rPr>
            </w:pPr>
          </w:p>
        </w:tc>
      </w:tr>
      <w:tr w:rsidR="002C6BF9" w:rsidTr="009D7A33">
        <w:trPr>
          <w:gridAfter w:val="2"/>
          <w:wAfter w:w="612" w:type="dxa"/>
          <w:trHeight w:val="381"/>
        </w:trPr>
        <w:tc>
          <w:tcPr>
            <w:tcW w:w="1024" w:type="dxa"/>
            <w:gridSpan w:val="2"/>
            <w:vMerge w:val="restart"/>
            <w:tcBorders>
              <w:top w:val="nil"/>
              <w:left w:val="single" w:sz="4" w:space="0" w:color="000000"/>
              <w:bottom w:val="single" w:sz="4" w:space="0" w:color="000000"/>
              <w:right w:val="single" w:sz="4" w:space="0" w:color="000000"/>
            </w:tcBorders>
            <w:vAlign w:val="center"/>
            <w:hideMark/>
          </w:tcPr>
          <w:p w:rsidR="002C6BF9" w:rsidRDefault="002C6BF9" w:rsidP="009D7A33">
            <w:pPr>
              <w:autoSpaceDE w:val="0"/>
              <w:spacing w:line="300" w:lineRule="exact"/>
              <w:jc w:val="center"/>
              <w:textAlignment w:val="center"/>
              <w:rPr>
                <w:rFonts w:ascii="宋体" w:hAnsi="宋体"/>
                <w:color w:val="000000"/>
              </w:rPr>
            </w:pPr>
            <w:r>
              <w:rPr>
                <w:rFonts w:ascii="宋体" w:hAnsi="宋体" w:hint="eastAsia"/>
                <w:color w:val="000000"/>
              </w:rPr>
              <w:t>划出方</w:t>
            </w:r>
          </w:p>
        </w:tc>
        <w:tc>
          <w:tcPr>
            <w:tcW w:w="993" w:type="dxa"/>
            <w:gridSpan w:val="3"/>
            <w:vMerge w:val="restart"/>
            <w:tcBorders>
              <w:top w:val="nil"/>
              <w:left w:val="nil"/>
              <w:bottom w:val="single" w:sz="4" w:space="0" w:color="000000"/>
              <w:right w:val="nil"/>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单位意见</w:t>
            </w:r>
          </w:p>
        </w:tc>
        <w:tc>
          <w:tcPr>
            <w:tcW w:w="2790" w:type="dxa"/>
            <w:gridSpan w:val="11"/>
            <w:tcBorders>
              <w:top w:val="single" w:sz="4" w:space="0" w:color="000000"/>
              <w:left w:val="single" w:sz="4" w:space="0" w:color="000000"/>
              <w:bottom w:val="nil"/>
              <w:right w:val="nil"/>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资产管理部门负责人（签名）</w:t>
            </w:r>
          </w:p>
        </w:tc>
        <w:tc>
          <w:tcPr>
            <w:tcW w:w="3824" w:type="dxa"/>
            <w:gridSpan w:val="10"/>
            <w:tcBorders>
              <w:top w:val="single" w:sz="4" w:space="0" w:color="000000"/>
              <w:left w:val="single" w:sz="4" w:space="0" w:color="000000"/>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财务管理部门负责人（签名）</w:t>
            </w:r>
          </w:p>
        </w:tc>
        <w:tc>
          <w:tcPr>
            <w:tcW w:w="4839" w:type="dxa"/>
            <w:gridSpan w:val="7"/>
            <w:tcBorders>
              <w:top w:val="single" w:sz="4" w:space="0" w:color="000000"/>
              <w:left w:val="nil"/>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单位负责人（签名、单位盖章）</w:t>
            </w:r>
          </w:p>
        </w:tc>
        <w:tc>
          <w:tcPr>
            <w:tcW w:w="2412" w:type="dxa"/>
            <w:gridSpan w:val="6"/>
            <w:tcBorders>
              <w:top w:val="single" w:sz="4" w:space="0" w:color="000000"/>
              <w:left w:val="nil"/>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同级资产管理部门审核意见</w:t>
            </w:r>
          </w:p>
        </w:tc>
      </w:tr>
      <w:tr w:rsidR="002C6BF9" w:rsidTr="009D7A33">
        <w:trPr>
          <w:gridAfter w:val="2"/>
          <w:wAfter w:w="612" w:type="dxa"/>
          <w:trHeight w:val="274"/>
        </w:trPr>
        <w:tc>
          <w:tcPr>
            <w:tcW w:w="1024" w:type="dxa"/>
            <w:gridSpan w:val="2"/>
            <w:vMerge/>
            <w:tcBorders>
              <w:top w:val="nil"/>
              <w:left w:val="single" w:sz="4" w:space="0" w:color="000000"/>
              <w:bottom w:val="single" w:sz="4" w:space="0" w:color="000000"/>
              <w:right w:val="single" w:sz="4" w:space="0" w:color="000000"/>
            </w:tcBorders>
            <w:vAlign w:val="center"/>
            <w:hideMark/>
          </w:tcPr>
          <w:p w:rsidR="002C6BF9" w:rsidRDefault="002C6BF9" w:rsidP="009D7A33">
            <w:pPr>
              <w:rPr>
                <w:rFonts w:ascii="宋体" w:hAnsi="宋体"/>
                <w:color w:val="000000"/>
              </w:rPr>
            </w:pPr>
          </w:p>
        </w:tc>
        <w:tc>
          <w:tcPr>
            <w:tcW w:w="993" w:type="dxa"/>
            <w:gridSpan w:val="3"/>
            <w:vMerge/>
            <w:tcBorders>
              <w:top w:val="nil"/>
              <w:left w:val="nil"/>
              <w:bottom w:val="single" w:sz="4" w:space="0" w:color="000000"/>
              <w:right w:val="nil"/>
            </w:tcBorders>
            <w:vAlign w:val="center"/>
            <w:hideMark/>
          </w:tcPr>
          <w:p w:rsidR="002C6BF9" w:rsidRDefault="002C6BF9" w:rsidP="009D7A33">
            <w:pPr>
              <w:rPr>
                <w:rFonts w:ascii="宋体" w:hAnsi="宋体"/>
                <w:color w:val="000000"/>
                <w:sz w:val="18"/>
                <w:szCs w:val="18"/>
              </w:rPr>
            </w:pPr>
          </w:p>
        </w:tc>
        <w:tc>
          <w:tcPr>
            <w:tcW w:w="2790" w:type="dxa"/>
            <w:gridSpan w:val="11"/>
            <w:tcBorders>
              <w:top w:val="nil"/>
              <w:left w:val="single" w:sz="4" w:space="0" w:color="000000"/>
              <w:bottom w:val="single" w:sz="4" w:space="0" w:color="000000"/>
              <w:right w:val="nil"/>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3824" w:type="dxa"/>
            <w:gridSpan w:val="10"/>
            <w:tcBorders>
              <w:top w:val="nil"/>
              <w:left w:val="single" w:sz="4" w:space="0" w:color="000000"/>
              <w:bottom w:val="single" w:sz="4" w:space="0" w:color="000000"/>
              <w:right w:val="single" w:sz="4" w:space="0" w:color="000000"/>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4839" w:type="dxa"/>
            <w:gridSpan w:val="7"/>
            <w:tcBorders>
              <w:top w:val="nil"/>
              <w:left w:val="nil"/>
              <w:bottom w:val="single" w:sz="4" w:space="0" w:color="000000"/>
              <w:right w:val="single" w:sz="4" w:space="0" w:color="000000"/>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2412" w:type="dxa"/>
            <w:gridSpan w:val="6"/>
            <w:tcBorders>
              <w:top w:val="nil"/>
              <w:left w:val="nil"/>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经办人：</w:t>
            </w:r>
          </w:p>
        </w:tc>
      </w:tr>
      <w:tr w:rsidR="002C6BF9" w:rsidTr="009D7A33">
        <w:trPr>
          <w:gridAfter w:val="2"/>
          <w:wAfter w:w="612" w:type="dxa"/>
          <w:trHeight w:val="431"/>
        </w:trPr>
        <w:tc>
          <w:tcPr>
            <w:tcW w:w="1024" w:type="dxa"/>
            <w:gridSpan w:val="2"/>
            <w:vMerge/>
            <w:tcBorders>
              <w:top w:val="nil"/>
              <w:left w:val="single" w:sz="4" w:space="0" w:color="000000"/>
              <w:bottom w:val="single" w:sz="4" w:space="0" w:color="000000"/>
              <w:right w:val="single" w:sz="4" w:space="0" w:color="000000"/>
            </w:tcBorders>
            <w:vAlign w:val="center"/>
            <w:hideMark/>
          </w:tcPr>
          <w:p w:rsidR="002C6BF9" w:rsidRDefault="002C6BF9" w:rsidP="009D7A33">
            <w:pPr>
              <w:rPr>
                <w:rFonts w:ascii="宋体" w:hAnsi="宋体"/>
                <w:color w:val="000000"/>
              </w:rPr>
            </w:pPr>
          </w:p>
        </w:tc>
        <w:tc>
          <w:tcPr>
            <w:tcW w:w="993" w:type="dxa"/>
            <w:gridSpan w:val="3"/>
            <w:vMerge w:val="restart"/>
            <w:tcBorders>
              <w:top w:val="nil"/>
              <w:left w:val="nil"/>
              <w:bottom w:val="single" w:sz="4" w:space="0" w:color="000000"/>
              <w:right w:val="nil"/>
            </w:tcBorders>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主管部门审核意见</w:t>
            </w:r>
          </w:p>
        </w:tc>
        <w:tc>
          <w:tcPr>
            <w:tcW w:w="2790" w:type="dxa"/>
            <w:gridSpan w:val="11"/>
            <w:tcBorders>
              <w:top w:val="single" w:sz="4" w:space="0" w:color="000000"/>
              <w:left w:val="single" w:sz="4" w:space="0" w:color="000000"/>
              <w:bottom w:val="nil"/>
              <w:right w:val="nil"/>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资产管理部门负责人（签名）</w:t>
            </w:r>
          </w:p>
        </w:tc>
        <w:tc>
          <w:tcPr>
            <w:tcW w:w="3824" w:type="dxa"/>
            <w:gridSpan w:val="10"/>
            <w:tcBorders>
              <w:top w:val="single" w:sz="4" w:space="0" w:color="000000"/>
              <w:left w:val="single" w:sz="4" w:space="0" w:color="000000"/>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财务管理部门负责人（签名）</w:t>
            </w:r>
          </w:p>
        </w:tc>
        <w:tc>
          <w:tcPr>
            <w:tcW w:w="4839" w:type="dxa"/>
            <w:gridSpan w:val="7"/>
            <w:tcBorders>
              <w:top w:val="single" w:sz="4" w:space="0" w:color="000000"/>
              <w:left w:val="nil"/>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单位负责人（签名、单位盖章）</w:t>
            </w:r>
          </w:p>
        </w:tc>
        <w:tc>
          <w:tcPr>
            <w:tcW w:w="2412" w:type="dxa"/>
            <w:gridSpan w:val="6"/>
            <w:tcBorders>
              <w:top w:val="nil"/>
              <w:left w:val="nil"/>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负责人：</w:t>
            </w:r>
          </w:p>
        </w:tc>
      </w:tr>
      <w:tr w:rsidR="002C6BF9" w:rsidTr="009D7A33">
        <w:trPr>
          <w:gridAfter w:val="2"/>
          <w:wAfter w:w="612" w:type="dxa"/>
          <w:trHeight w:val="246"/>
        </w:trPr>
        <w:tc>
          <w:tcPr>
            <w:tcW w:w="1024" w:type="dxa"/>
            <w:gridSpan w:val="2"/>
            <w:vMerge/>
            <w:tcBorders>
              <w:top w:val="nil"/>
              <w:left w:val="single" w:sz="4" w:space="0" w:color="000000"/>
              <w:bottom w:val="single" w:sz="4" w:space="0" w:color="000000"/>
              <w:right w:val="single" w:sz="4" w:space="0" w:color="000000"/>
            </w:tcBorders>
            <w:vAlign w:val="center"/>
            <w:hideMark/>
          </w:tcPr>
          <w:p w:rsidR="002C6BF9" w:rsidRDefault="002C6BF9" w:rsidP="009D7A33">
            <w:pPr>
              <w:rPr>
                <w:rFonts w:ascii="宋体" w:hAnsi="宋体"/>
                <w:color w:val="000000"/>
              </w:rPr>
            </w:pPr>
          </w:p>
        </w:tc>
        <w:tc>
          <w:tcPr>
            <w:tcW w:w="993" w:type="dxa"/>
            <w:gridSpan w:val="3"/>
            <w:vMerge/>
            <w:tcBorders>
              <w:top w:val="nil"/>
              <w:left w:val="nil"/>
              <w:bottom w:val="single" w:sz="4" w:space="0" w:color="000000"/>
              <w:right w:val="nil"/>
            </w:tcBorders>
            <w:vAlign w:val="center"/>
            <w:hideMark/>
          </w:tcPr>
          <w:p w:rsidR="002C6BF9" w:rsidRDefault="002C6BF9" w:rsidP="009D7A33">
            <w:pPr>
              <w:rPr>
                <w:rFonts w:ascii="宋体" w:hAnsi="宋体"/>
                <w:color w:val="000000"/>
                <w:sz w:val="18"/>
                <w:szCs w:val="18"/>
              </w:rPr>
            </w:pPr>
          </w:p>
        </w:tc>
        <w:tc>
          <w:tcPr>
            <w:tcW w:w="2790" w:type="dxa"/>
            <w:gridSpan w:val="11"/>
            <w:tcBorders>
              <w:top w:val="nil"/>
              <w:left w:val="single" w:sz="4" w:space="0" w:color="000000"/>
              <w:bottom w:val="single" w:sz="4" w:space="0" w:color="000000"/>
              <w:right w:val="nil"/>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3824" w:type="dxa"/>
            <w:gridSpan w:val="10"/>
            <w:tcBorders>
              <w:top w:val="nil"/>
              <w:left w:val="single" w:sz="4" w:space="0" w:color="000000"/>
              <w:bottom w:val="single" w:sz="4" w:space="0" w:color="000000"/>
              <w:right w:val="single" w:sz="4" w:space="0" w:color="000000"/>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4839" w:type="dxa"/>
            <w:gridSpan w:val="7"/>
            <w:tcBorders>
              <w:top w:val="nil"/>
              <w:left w:val="nil"/>
              <w:bottom w:val="single" w:sz="4" w:space="0" w:color="000000"/>
              <w:right w:val="single" w:sz="4" w:space="0" w:color="000000"/>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2412" w:type="dxa"/>
            <w:gridSpan w:val="6"/>
            <w:tcBorders>
              <w:top w:val="nil"/>
              <w:left w:val="nil"/>
              <w:bottom w:val="nil"/>
              <w:right w:val="single" w:sz="4" w:space="0" w:color="000000"/>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r>
      <w:tr w:rsidR="002C6BF9" w:rsidTr="009D7A33">
        <w:trPr>
          <w:gridAfter w:val="2"/>
          <w:wAfter w:w="612" w:type="dxa"/>
          <w:trHeight w:val="440"/>
        </w:trPr>
        <w:tc>
          <w:tcPr>
            <w:tcW w:w="1024" w:type="dxa"/>
            <w:gridSpan w:val="2"/>
            <w:vMerge w:val="restart"/>
            <w:tcBorders>
              <w:top w:val="nil"/>
              <w:left w:val="single" w:sz="4" w:space="0" w:color="000000"/>
              <w:bottom w:val="single" w:sz="4" w:space="0" w:color="000000"/>
              <w:right w:val="single" w:sz="4" w:space="0" w:color="000000"/>
            </w:tcBorders>
            <w:vAlign w:val="center"/>
            <w:hideMark/>
          </w:tcPr>
          <w:p w:rsidR="002C6BF9" w:rsidRDefault="002C6BF9" w:rsidP="009D7A33">
            <w:pPr>
              <w:autoSpaceDE w:val="0"/>
              <w:spacing w:line="300" w:lineRule="exact"/>
              <w:jc w:val="center"/>
              <w:textAlignment w:val="center"/>
              <w:rPr>
                <w:rFonts w:ascii="宋体" w:hAnsi="宋体"/>
                <w:color w:val="000000"/>
              </w:rPr>
            </w:pPr>
            <w:r>
              <w:rPr>
                <w:rFonts w:ascii="宋体" w:hAnsi="宋体" w:hint="eastAsia"/>
                <w:color w:val="000000"/>
              </w:rPr>
              <w:t>接收方</w:t>
            </w:r>
          </w:p>
        </w:tc>
        <w:tc>
          <w:tcPr>
            <w:tcW w:w="993" w:type="dxa"/>
            <w:gridSpan w:val="3"/>
            <w:vMerge w:val="restart"/>
            <w:tcBorders>
              <w:top w:val="nil"/>
              <w:left w:val="nil"/>
              <w:bottom w:val="single" w:sz="4" w:space="0" w:color="000000"/>
              <w:right w:val="nil"/>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单位意见</w:t>
            </w:r>
          </w:p>
        </w:tc>
        <w:tc>
          <w:tcPr>
            <w:tcW w:w="2790" w:type="dxa"/>
            <w:gridSpan w:val="11"/>
            <w:tcBorders>
              <w:top w:val="single" w:sz="4" w:space="0" w:color="000000"/>
              <w:left w:val="single" w:sz="4" w:space="0" w:color="000000"/>
              <w:bottom w:val="nil"/>
              <w:right w:val="nil"/>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资产管理部门负责人（签名）</w:t>
            </w:r>
          </w:p>
        </w:tc>
        <w:tc>
          <w:tcPr>
            <w:tcW w:w="3824" w:type="dxa"/>
            <w:gridSpan w:val="10"/>
            <w:tcBorders>
              <w:top w:val="single" w:sz="4" w:space="0" w:color="000000"/>
              <w:left w:val="single" w:sz="4" w:space="0" w:color="000000"/>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财务管理部门负责人（签名）</w:t>
            </w:r>
          </w:p>
        </w:tc>
        <w:tc>
          <w:tcPr>
            <w:tcW w:w="4839" w:type="dxa"/>
            <w:gridSpan w:val="7"/>
            <w:tcBorders>
              <w:top w:val="single" w:sz="4" w:space="0" w:color="000000"/>
              <w:left w:val="nil"/>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单位负责人（签名、单位盖章）</w:t>
            </w:r>
          </w:p>
        </w:tc>
        <w:tc>
          <w:tcPr>
            <w:tcW w:w="2412" w:type="dxa"/>
            <w:gridSpan w:val="6"/>
            <w:tcBorders>
              <w:top w:val="single" w:sz="4" w:space="0" w:color="000000"/>
              <w:left w:val="nil"/>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同级资产管理部门意见</w:t>
            </w:r>
          </w:p>
        </w:tc>
      </w:tr>
      <w:tr w:rsidR="002C6BF9" w:rsidTr="009D7A33">
        <w:trPr>
          <w:gridAfter w:val="2"/>
          <w:wAfter w:w="612" w:type="dxa"/>
          <w:trHeight w:val="229"/>
        </w:trPr>
        <w:tc>
          <w:tcPr>
            <w:tcW w:w="1024" w:type="dxa"/>
            <w:gridSpan w:val="2"/>
            <w:vMerge/>
            <w:tcBorders>
              <w:top w:val="nil"/>
              <w:left w:val="single" w:sz="4" w:space="0" w:color="000000"/>
              <w:bottom w:val="single" w:sz="4" w:space="0" w:color="000000"/>
              <w:right w:val="single" w:sz="4" w:space="0" w:color="000000"/>
            </w:tcBorders>
            <w:vAlign w:val="center"/>
            <w:hideMark/>
          </w:tcPr>
          <w:p w:rsidR="002C6BF9" w:rsidRDefault="002C6BF9" w:rsidP="009D7A33">
            <w:pPr>
              <w:rPr>
                <w:rFonts w:ascii="宋体" w:hAnsi="宋体"/>
                <w:color w:val="000000"/>
              </w:rPr>
            </w:pPr>
          </w:p>
        </w:tc>
        <w:tc>
          <w:tcPr>
            <w:tcW w:w="993" w:type="dxa"/>
            <w:gridSpan w:val="3"/>
            <w:vMerge/>
            <w:tcBorders>
              <w:top w:val="nil"/>
              <w:left w:val="nil"/>
              <w:bottom w:val="single" w:sz="4" w:space="0" w:color="000000"/>
              <w:right w:val="nil"/>
            </w:tcBorders>
            <w:vAlign w:val="center"/>
            <w:hideMark/>
          </w:tcPr>
          <w:p w:rsidR="002C6BF9" w:rsidRDefault="002C6BF9" w:rsidP="009D7A33">
            <w:pPr>
              <w:rPr>
                <w:rFonts w:ascii="宋体" w:hAnsi="宋体"/>
                <w:color w:val="000000"/>
                <w:sz w:val="18"/>
                <w:szCs w:val="18"/>
              </w:rPr>
            </w:pPr>
          </w:p>
        </w:tc>
        <w:tc>
          <w:tcPr>
            <w:tcW w:w="2790" w:type="dxa"/>
            <w:gridSpan w:val="11"/>
            <w:tcBorders>
              <w:top w:val="nil"/>
              <w:left w:val="single" w:sz="4" w:space="0" w:color="000000"/>
              <w:bottom w:val="single" w:sz="4" w:space="0" w:color="000000"/>
              <w:right w:val="nil"/>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3824" w:type="dxa"/>
            <w:gridSpan w:val="10"/>
            <w:tcBorders>
              <w:top w:val="nil"/>
              <w:left w:val="single" w:sz="4" w:space="0" w:color="000000"/>
              <w:bottom w:val="single" w:sz="4" w:space="0" w:color="000000"/>
              <w:right w:val="single" w:sz="4" w:space="0" w:color="000000"/>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4839" w:type="dxa"/>
            <w:gridSpan w:val="7"/>
            <w:tcBorders>
              <w:top w:val="nil"/>
              <w:left w:val="nil"/>
              <w:bottom w:val="single" w:sz="4" w:space="0" w:color="000000"/>
              <w:right w:val="single" w:sz="4" w:space="0" w:color="000000"/>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2412" w:type="dxa"/>
            <w:gridSpan w:val="6"/>
            <w:tcBorders>
              <w:top w:val="nil"/>
              <w:left w:val="nil"/>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经办人：</w:t>
            </w:r>
          </w:p>
        </w:tc>
      </w:tr>
      <w:tr w:rsidR="002C6BF9" w:rsidTr="009D7A33">
        <w:trPr>
          <w:gridAfter w:val="2"/>
          <w:wAfter w:w="612" w:type="dxa"/>
          <w:trHeight w:val="499"/>
        </w:trPr>
        <w:tc>
          <w:tcPr>
            <w:tcW w:w="1024" w:type="dxa"/>
            <w:gridSpan w:val="2"/>
            <w:vMerge/>
            <w:tcBorders>
              <w:top w:val="nil"/>
              <w:left w:val="single" w:sz="4" w:space="0" w:color="000000"/>
              <w:bottom w:val="single" w:sz="4" w:space="0" w:color="000000"/>
              <w:right w:val="single" w:sz="4" w:space="0" w:color="000000"/>
            </w:tcBorders>
            <w:vAlign w:val="center"/>
            <w:hideMark/>
          </w:tcPr>
          <w:p w:rsidR="002C6BF9" w:rsidRDefault="002C6BF9" w:rsidP="009D7A33">
            <w:pPr>
              <w:rPr>
                <w:rFonts w:ascii="宋体" w:hAnsi="宋体"/>
                <w:color w:val="000000"/>
              </w:rPr>
            </w:pPr>
          </w:p>
        </w:tc>
        <w:tc>
          <w:tcPr>
            <w:tcW w:w="993" w:type="dxa"/>
            <w:gridSpan w:val="3"/>
            <w:vMerge w:val="restart"/>
            <w:tcBorders>
              <w:top w:val="nil"/>
              <w:left w:val="nil"/>
              <w:bottom w:val="single" w:sz="4" w:space="0" w:color="000000"/>
              <w:right w:val="nil"/>
            </w:tcBorders>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主管部门审核意见</w:t>
            </w:r>
          </w:p>
        </w:tc>
        <w:tc>
          <w:tcPr>
            <w:tcW w:w="2790" w:type="dxa"/>
            <w:gridSpan w:val="11"/>
            <w:tcBorders>
              <w:top w:val="single" w:sz="4" w:space="0" w:color="000000"/>
              <w:left w:val="single" w:sz="4" w:space="0" w:color="000000"/>
              <w:bottom w:val="nil"/>
              <w:right w:val="nil"/>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资产管理部门负责人（签名）</w:t>
            </w:r>
          </w:p>
        </w:tc>
        <w:tc>
          <w:tcPr>
            <w:tcW w:w="3824" w:type="dxa"/>
            <w:gridSpan w:val="10"/>
            <w:tcBorders>
              <w:top w:val="single" w:sz="4" w:space="0" w:color="000000"/>
              <w:left w:val="single" w:sz="4" w:space="0" w:color="000000"/>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财务管理部门负责人（签名）</w:t>
            </w:r>
          </w:p>
        </w:tc>
        <w:tc>
          <w:tcPr>
            <w:tcW w:w="4839" w:type="dxa"/>
            <w:gridSpan w:val="7"/>
            <w:tcBorders>
              <w:top w:val="single" w:sz="4" w:space="0" w:color="000000"/>
              <w:left w:val="nil"/>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单位负责人（签名、单位盖章）</w:t>
            </w:r>
          </w:p>
        </w:tc>
        <w:tc>
          <w:tcPr>
            <w:tcW w:w="2412" w:type="dxa"/>
            <w:gridSpan w:val="6"/>
            <w:tcBorders>
              <w:top w:val="nil"/>
              <w:left w:val="nil"/>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负责人：</w:t>
            </w:r>
          </w:p>
        </w:tc>
      </w:tr>
      <w:tr w:rsidR="002C6BF9" w:rsidTr="009D7A33">
        <w:trPr>
          <w:gridAfter w:val="2"/>
          <w:wAfter w:w="612" w:type="dxa"/>
          <w:trHeight w:val="234"/>
        </w:trPr>
        <w:tc>
          <w:tcPr>
            <w:tcW w:w="1024" w:type="dxa"/>
            <w:gridSpan w:val="2"/>
            <w:vMerge/>
            <w:tcBorders>
              <w:top w:val="nil"/>
              <w:left w:val="single" w:sz="4" w:space="0" w:color="000000"/>
              <w:bottom w:val="single" w:sz="4" w:space="0" w:color="000000"/>
              <w:right w:val="single" w:sz="4" w:space="0" w:color="000000"/>
            </w:tcBorders>
            <w:vAlign w:val="center"/>
            <w:hideMark/>
          </w:tcPr>
          <w:p w:rsidR="002C6BF9" w:rsidRDefault="002C6BF9" w:rsidP="009D7A33">
            <w:pPr>
              <w:rPr>
                <w:rFonts w:ascii="宋体" w:hAnsi="宋体"/>
                <w:color w:val="000000"/>
              </w:rPr>
            </w:pPr>
          </w:p>
        </w:tc>
        <w:tc>
          <w:tcPr>
            <w:tcW w:w="993" w:type="dxa"/>
            <w:gridSpan w:val="3"/>
            <w:vMerge/>
            <w:tcBorders>
              <w:top w:val="nil"/>
              <w:left w:val="nil"/>
              <w:bottom w:val="single" w:sz="4" w:space="0" w:color="000000"/>
              <w:right w:val="nil"/>
            </w:tcBorders>
            <w:vAlign w:val="center"/>
            <w:hideMark/>
          </w:tcPr>
          <w:p w:rsidR="002C6BF9" w:rsidRDefault="002C6BF9" w:rsidP="009D7A33">
            <w:pPr>
              <w:rPr>
                <w:rFonts w:ascii="宋体" w:hAnsi="宋体"/>
                <w:color w:val="000000"/>
                <w:sz w:val="18"/>
                <w:szCs w:val="18"/>
              </w:rPr>
            </w:pPr>
          </w:p>
        </w:tc>
        <w:tc>
          <w:tcPr>
            <w:tcW w:w="2790" w:type="dxa"/>
            <w:gridSpan w:val="11"/>
            <w:tcBorders>
              <w:top w:val="nil"/>
              <w:left w:val="single" w:sz="4" w:space="0" w:color="000000"/>
              <w:bottom w:val="single" w:sz="4" w:space="0" w:color="000000"/>
              <w:right w:val="nil"/>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3824" w:type="dxa"/>
            <w:gridSpan w:val="10"/>
            <w:tcBorders>
              <w:top w:val="nil"/>
              <w:left w:val="single" w:sz="4" w:space="0" w:color="000000"/>
              <w:bottom w:val="single" w:sz="4" w:space="0" w:color="000000"/>
              <w:right w:val="single" w:sz="4" w:space="0" w:color="000000"/>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4839" w:type="dxa"/>
            <w:gridSpan w:val="7"/>
            <w:tcBorders>
              <w:top w:val="nil"/>
              <w:left w:val="nil"/>
              <w:bottom w:val="single" w:sz="4" w:space="0" w:color="000000"/>
              <w:right w:val="single" w:sz="4" w:space="0" w:color="000000"/>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2412" w:type="dxa"/>
            <w:gridSpan w:val="6"/>
            <w:tcBorders>
              <w:top w:val="nil"/>
              <w:left w:val="nil"/>
              <w:bottom w:val="single" w:sz="4" w:space="0" w:color="000000"/>
              <w:right w:val="single" w:sz="4" w:space="0" w:color="000000"/>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r>
      <w:tr w:rsidR="002C6BF9" w:rsidTr="009D7A33">
        <w:trPr>
          <w:gridAfter w:val="2"/>
          <w:wAfter w:w="612" w:type="dxa"/>
          <w:trHeight w:val="270"/>
        </w:trPr>
        <w:tc>
          <w:tcPr>
            <w:tcW w:w="15882" w:type="dxa"/>
            <w:gridSpan w:val="39"/>
            <w:tcBorders>
              <w:top w:val="nil"/>
              <w:left w:val="nil"/>
              <w:bottom w:val="nil"/>
              <w:right w:val="nil"/>
            </w:tcBorders>
            <w:noWrap/>
            <w:vAlign w:val="center"/>
            <w:hideMark/>
          </w:tcPr>
          <w:p w:rsidR="002C6BF9" w:rsidRDefault="002C6BF9" w:rsidP="009D7A33">
            <w:pPr>
              <w:autoSpaceDE w:val="0"/>
              <w:spacing w:line="300" w:lineRule="exact"/>
              <w:textAlignment w:val="center"/>
              <w:rPr>
                <w:rFonts w:ascii="宋体" w:hAnsi="宋体"/>
                <w:color w:val="000000"/>
                <w:sz w:val="18"/>
                <w:szCs w:val="18"/>
              </w:rPr>
            </w:pPr>
            <w:r>
              <w:rPr>
                <w:rFonts w:ascii="宋体" w:hAnsi="宋体" w:hint="eastAsia"/>
                <w:color w:val="000000"/>
                <w:sz w:val="18"/>
                <w:szCs w:val="18"/>
              </w:rPr>
              <w:t>说明：</w:t>
            </w:r>
            <w:r>
              <w:rPr>
                <w:rFonts w:ascii="宋体" w:hAnsi="宋体" w:hint="eastAsia"/>
                <w:color w:val="000000"/>
                <w:sz w:val="18"/>
                <w:szCs w:val="18"/>
              </w:rPr>
              <w:t>1.</w:t>
            </w:r>
            <w:r>
              <w:rPr>
                <w:rFonts w:ascii="宋体" w:hAnsi="宋体" w:hint="eastAsia"/>
                <w:color w:val="000000"/>
                <w:sz w:val="18"/>
                <w:szCs w:val="18"/>
              </w:rPr>
              <w:t>本表适用于市级行政事业单位国有资产无偿划转、对外捐赠等处置事项申请。</w:t>
            </w:r>
          </w:p>
        </w:tc>
      </w:tr>
      <w:tr w:rsidR="002C6BF9" w:rsidTr="009D7A33">
        <w:trPr>
          <w:gridAfter w:val="2"/>
          <w:wAfter w:w="612" w:type="dxa"/>
          <w:trHeight w:val="270"/>
        </w:trPr>
        <w:tc>
          <w:tcPr>
            <w:tcW w:w="15882" w:type="dxa"/>
            <w:gridSpan w:val="39"/>
            <w:tcBorders>
              <w:top w:val="nil"/>
              <w:left w:val="nil"/>
              <w:bottom w:val="nil"/>
              <w:right w:val="nil"/>
            </w:tcBorders>
            <w:noWrap/>
            <w:vAlign w:val="center"/>
            <w:hideMark/>
          </w:tcPr>
          <w:p w:rsidR="002C6BF9" w:rsidRDefault="002C6BF9" w:rsidP="009D7A33">
            <w:pPr>
              <w:autoSpaceDE w:val="0"/>
              <w:spacing w:line="300" w:lineRule="exact"/>
              <w:ind w:firstLineChars="300" w:firstLine="515"/>
              <w:textAlignment w:val="center"/>
              <w:rPr>
                <w:rStyle w:val="15"/>
                <w:rFonts w:hint="default"/>
              </w:rPr>
            </w:pPr>
            <w:r>
              <w:rPr>
                <w:rFonts w:ascii="宋体" w:hAnsi="宋体" w:hint="eastAsia"/>
                <w:color w:val="000000"/>
                <w:sz w:val="18"/>
                <w:szCs w:val="18"/>
              </w:rPr>
              <w:t>2.</w:t>
            </w:r>
            <w:r>
              <w:rPr>
                <w:rFonts w:ascii="宋体" w:hAnsi="宋体" w:hint="eastAsia"/>
                <w:color w:val="000000"/>
                <w:sz w:val="18"/>
                <w:szCs w:val="18"/>
              </w:rPr>
              <w:t>资产类别：（</w:t>
            </w:r>
            <w:r>
              <w:rPr>
                <w:rFonts w:ascii="宋体" w:hAnsi="宋体" w:hint="eastAsia"/>
                <w:color w:val="000000"/>
                <w:sz w:val="18"/>
                <w:szCs w:val="18"/>
              </w:rPr>
              <w:t>1</w:t>
            </w:r>
            <w:r>
              <w:rPr>
                <w:rFonts w:ascii="宋体" w:hAnsi="宋体" w:hint="eastAsia"/>
                <w:color w:val="000000"/>
                <w:sz w:val="18"/>
                <w:szCs w:val="18"/>
              </w:rPr>
              <w:t>）固定资产包括</w:t>
            </w:r>
            <w:r>
              <w:rPr>
                <w:rStyle w:val="15"/>
                <w:rFonts w:hint="default"/>
              </w:rPr>
              <w:t>①房屋及构筑物②设备③文物和陈列品④图书、档案⑤家具、用具、装具⑥特种动植物；  （2）无形资产包括①专利权②非专利权③著作权④资源资质⑤商标权</w:t>
            </w:r>
          </w:p>
          <w:p w:rsidR="002C6BF9" w:rsidRDefault="002C6BF9" w:rsidP="009D7A33">
            <w:pPr>
              <w:autoSpaceDE w:val="0"/>
              <w:spacing w:line="300" w:lineRule="exact"/>
              <w:ind w:firstLineChars="993" w:firstLine="1706"/>
              <w:textAlignment w:val="center"/>
              <w:rPr>
                <w:rFonts w:ascii="宋体" w:hAnsi="宋体"/>
                <w:color w:val="000000"/>
                <w:sz w:val="18"/>
                <w:szCs w:val="18"/>
              </w:rPr>
            </w:pPr>
            <w:r>
              <w:rPr>
                <w:rStyle w:val="15"/>
                <w:rFonts w:hint="default"/>
              </w:rPr>
              <w:t xml:space="preserve">⑥信息数据⑦其他；  </w:t>
            </w:r>
            <w:r>
              <w:rPr>
                <w:rFonts w:ascii="宋体" w:hAnsi="宋体" w:hint="eastAsia"/>
                <w:color w:val="000000"/>
                <w:sz w:val="18"/>
                <w:szCs w:val="18"/>
              </w:rPr>
              <w:t>（</w:t>
            </w:r>
            <w:r>
              <w:rPr>
                <w:rFonts w:ascii="宋体" w:hAnsi="宋体" w:hint="eastAsia"/>
                <w:color w:val="000000"/>
                <w:sz w:val="18"/>
                <w:szCs w:val="18"/>
              </w:rPr>
              <w:t>3</w:t>
            </w:r>
            <w:r>
              <w:rPr>
                <w:rFonts w:ascii="宋体" w:hAnsi="宋体" w:hint="eastAsia"/>
                <w:color w:val="000000"/>
                <w:sz w:val="18"/>
                <w:szCs w:val="18"/>
              </w:rPr>
              <w:t>）对外投资包括①短期投资②长期股权③长期债权投资；</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）存货等其他资产。</w:t>
            </w:r>
          </w:p>
        </w:tc>
      </w:tr>
      <w:tr w:rsidR="002C6BF9" w:rsidTr="009D7A33">
        <w:trPr>
          <w:gridAfter w:val="2"/>
          <w:wAfter w:w="612" w:type="dxa"/>
          <w:trHeight w:val="270"/>
        </w:trPr>
        <w:tc>
          <w:tcPr>
            <w:tcW w:w="15882" w:type="dxa"/>
            <w:gridSpan w:val="39"/>
            <w:tcBorders>
              <w:top w:val="nil"/>
              <w:left w:val="nil"/>
              <w:bottom w:val="nil"/>
              <w:right w:val="nil"/>
            </w:tcBorders>
            <w:noWrap/>
            <w:vAlign w:val="center"/>
            <w:hideMark/>
          </w:tcPr>
          <w:p w:rsidR="002C6BF9" w:rsidRDefault="002C6BF9" w:rsidP="009D7A33">
            <w:pPr>
              <w:autoSpaceDE w:val="0"/>
              <w:spacing w:line="300" w:lineRule="exact"/>
              <w:ind w:firstLineChars="298" w:firstLine="512"/>
              <w:textAlignment w:val="center"/>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资产来源：（</w:t>
            </w:r>
            <w:r>
              <w:rPr>
                <w:rFonts w:ascii="宋体" w:hAnsi="宋体" w:hint="eastAsia"/>
                <w:color w:val="000000"/>
                <w:sz w:val="18"/>
                <w:szCs w:val="18"/>
              </w:rPr>
              <w:t>1</w:t>
            </w:r>
            <w:r>
              <w:rPr>
                <w:rFonts w:ascii="宋体" w:hAnsi="宋体" w:hint="eastAsia"/>
                <w:color w:val="000000"/>
                <w:sz w:val="18"/>
                <w:szCs w:val="18"/>
              </w:rPr>
              <w:t>）财政性资金形成；</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）单位自筹资金形成；</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3</w:t>
            </w:r>
            <w:r>
              <w:rPr>
                <w:rFonts w:ascii="宋体" w:hAnsi="宋体" w:hint="eastAsia"/>
                <w:color w:val="000000"/>
                <w:sz w:val="18"/>
                <w:szCs w:val="18"/>
              </w:rPr>
              <w:t>）单位合并形成；</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）上级拨付资金形成；</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）无偿划转形成；</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6</w:t>
            </w:r>
            <w:r>
              <w:rPr>
                <w:rFonts w:ascii="宋体" w:hAnsi="宋体" w:hint="eastAsia"/>
                <w:color w:val="000000"/>
                <w:sz w:val="18"/>
                <w:szCs w:val="18"/>
              </w:rPr>
              <w:t>）接受捐赠形成；</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7</w:t>
            </w:r>
            <w:r>
              <w:rPr>
                <w:rFonts w:ascii="宋体" w:hAnsi="宋体" w:hint="eastAsia"/>
                <w:color w:val="000000"/>
                <w:sz w:val="18"/>
                <w:szCs w:val="18"/>
              </w:rPr>
              <w:t>）其他；</w:t>
            </w:r>
          </w:p>
        </w:tc>
      </w:tr>
      <w:tr w:rsidR="002C6BF9" w:rsidTr="009D7A33">
        <w:trPr>
          <w:gridAfter w:val="2"/>
          <w:wAfter w:w="612" w:type="dxa"/>
          <w:trHeight w:val="270"/>
        </w:trPr>
        <w:tc>
          <w:tcPr>
            <w:tcW w:w="15882" w:type="dxa"/>
            <w:gridSpan w:val="39"/>
            <w:tcBorders>
              <w:top w:val="nil"/>
              <w:left w:val="nil"/>
              <w:bottom w:val="nil"/>
              <w:right w:val="nil"/>
            </w:tcBorders>
            <w:noWrap/>
            <w:vAlign w:val="center"/>
            <w:hideMark/>
          </w:tcPr>
          <w:p w:rsidR="002C6BF9" w:rsidRDefault="002C6BF9" w:rsidP="009D7A33">
            <w:pPr>
              <w:autoSpaceDE w:val="0"/>
              <w:spacing w:line="300" w:lineRule="exact"/>
              <w:ind w:firstLineChars="300" w:firstLine="515"/>
              <w:textAlignment w:val="center"/>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资产处置方式：（</w:t>
            </w:r>
            <w:r>
              <w:rPr>
                <w:rFonts w:ascii="宋体" w:hAnsi="宋体" w:hint="eastAsia"/>
                <w:color w:val="000000"/>
                <w:sz w:val="18"/>
                <w:szCs w:val="18"/>
              </w:rPr>
              <w:t>1</w:t>
            </w:r>
            <w:r>
              <w:rPr>
                <w:rFonts w:ascii="宋体" w:hAnsi="宋体" w:hint="eastAsia"/>
                <w:color w:val="000000"/>
                <w:sz w:val="18"/>
                <w:szCs w:val="18"/>
              </w:rPr>
              <w:t>）无偿划转；</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）对外捐赠；</w:t>
            </w:r>
          </w:p>
        </w:tc>
      </w:tr>
      <w:tr w:rsidR="002C6BF9" w:rsidTr="009D7A33">
        <w:trPr>
          <w:gridAfter w:val="2"/>
          <w:wAfter w:w="612" w:type="dxa"/>
          <w:trHeight w:val="270"/>
        </w:trPr>
        <w:tc>
          <w:tcPr>
            <w:tcW w:w="15882" w:type="dxa"/>
            <w:gridSpan w:val="39"/>
            <w:tcBorders>
              <w:top w:val="nil"/>
              <w:left w:val="nil"/>
              <w:bottom w:val="nil"/>
              <w:right w:val="nil"/>
            </w:tcBorders>
            <w:noWrap/>
            <w:vAlign w:val="center"/>
            <w:hideMark/>
          </w:tcPr>
          <w:p w:rsidR="002C6BF9" w:rsidRDefault="002C6BF9" w:rsidP="009D7A33">
            <w:pPr>
              <w:autoSpaceDE w:val="0"/>
              <w:spacing w:line="300" w:lineRule="exact"/>
              <w:ind w:firstLineChars="300" w:firstLine="515"/>
              <w:textAlignment w:val="center"/>
              <w:rPr>
                <w:rFonts w:ascii="宋体" w:hAnsi="宋体"/>
                <w:color w:val="000000"/>
                <w:sz w:val="18"/>
                <w:szCs w:val="18"/>
              </w:rPr>
            </w:pPr>
            <w:r>
              <w:rPr>
                <w:rFonts w:ascii="宋体" w:hAnsi="宋体" w:hint="eastAsia"/>
                <w:color w:val="000000"/>
                <w:sz w:val="18"/>
                <w:szCs w:val="18"/>
              </w:rPr>
              <w:t>5.</w:t>
            </w:r>
            <w:r>
              <w:rPr>
                <w:rFonts w:ascii="宋体" w:hAnsi="宋体" w:hint="eastAsia"/>
                <w:color w:val="000000"/>
                <w:sz w:val="18"/>
                <w:szCs w:val="18"/>
              </w:rPr>
              <w:t>表中资产类别、资产来源、资产处置方式等用填表说明中最末级标准名称填写，选填“其他”的，需在备注栏进行说明</w:t>
            </w:r>
            <w:r>
              <w:rPr>
                <w:rFonts w:ascii="宋体" w:hAnsi="宋体" w:hint="eastAsia"/>
                <w:color w:val="000000"/>
                <w:sz w:val="18"/>
                <w:szCs w:val="18"/>
              </w:rPr>
              <w:t xml:space="preserve"> </w:t>
            </w:r>
            <w:r>
              <w:rPr>
                <w:rFonts w:ascii="宋体" w:hAnsi="宋体" w:hint="eastAsia"/>
                <w:color w:val="000000"/>
                <w:sz w:val="18"/>
                <w:szCs w:val="18"/>
              </w:rPr>
              <w:t>。</w:t>
            </w:r>
          </w:p>
        </w:tc>
      </w:tr>
      <w:tr w:rsidR="002C6BF9" w:rsidTr="009D7A33">
        <w:trPr>
          <w:gridAfter w:val="1"/>
          <w:wAfter w:w="597" w:type="dxa"/>
          <w:trHeight w:val="270"/>
        </w:trPr>
        <w:tc>
          <w:tcPr>
            <w:tcW w:w="1056" w:type="dxa"/>
            <w:gridSpan w:val="3"/>
            <w:tcBorders>
              <w:top w:val="nil"/>
              <w:left w:val="nil"/>
              <w:bottom w:val="nil"/>
              <w:right w:val="nil"/>
            </w:tcBorders>
            <w:noWrap/>
            <w:vAlign w:val="center"/>
            <w:hideMark/>
          </w:tcPr>
          <w:p w:rsidR="002C6BF9" w:rsidRDefault="002C6BF9" w:rsidP="009D7A33">
            <w:pPr>
              <w:autoSpaceDE w:val="0"/>
              <w:spacing w:line="300" w:lineRule="exact"/>
              <w:textAlignment w:val="center"/>
              <w:rPr>
                <w:rFonts w:eastAsia="方正仿宋_GBK"/>
                <w:sz w:val="32"/>
                <w:szCs w:val="32"/>
              </w:rPr>
            </w:pPr>
            <w:r>
              <w:rPr>
                <w:rFonts w:eastAsia="方正仿宋_GBK" w:hint="eastAsia"/>
                <w:sz w:val="32"/>
                <w:szCs w:val="32"/>
              </w:rPr>
              <w:br w:type="page"/>
            </w:r>
          </w:p>
          <w:p w:rsidR="002C6BF9" w:rsidRDefault="002C6BF9" w:rsidP="009D7A33">
            <w:pPr>
              <w:autoSpaceDE w:val="0"/>
              <w:spacing w:line="300" w:lineRule="exact"/>
              <w:textAlignment w:val="center"/>
              <w:rPr>
                <w:rFonts w:ascii="宋体" w:hAnsi="宋体"/>
                <w:color w:val="000000"/>
              </w:rPr>
            </w:pPr>
            <w:r>
              <w:rPr>
                <w:rFonts w:ascii="宋体" w:hAnsi="宋体" w:hint="eastAsia"/>
                <w:color w:val="000000"/>
              </w:rPr>
              <w:t>附</w:t>
            </w:r>
            <w:r>
              <w:rPr>
                <w:rFonts w:ascii="宋体" w:hAnsi="宋体" w:hint="eastAsia"/>
                <w:color w:val="000000"/>
              </w:rPr>
              <w:t>2</w:t>
            </w:r>
          </w:p>
        </w:tc>
        <w:tc>
          <w:tcPr>
            <w:tcW w:w="780" w:type="dxa"/>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986" w:type="dxa"/>
            <w:gridSpan w:val="3"/>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677"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632" w:type="dxa"/>
            <w:gridSpan w:val="3"/>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676" w:type="dxa"/>
            <w:gridSpan w:val="4"/>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1074" w:type="dxa"/>
            <w:gridSpan w:val="3"/>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1059"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926"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765" w:type="dxa"/>
            <w:gridSpan w:val="3"/>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1015"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1014" w:type="dxa"/>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1060"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1750"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1030"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705" w:type="dxa"/>
            <w:gridSpan w:val="3"/>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c>
          <w:tcPr>
            <w:tcW w:w="692"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rPr>
            </w:pPr>
          </w:p>
        </w:tc>
      </w:tr>
      <w:tr w:rsidR="002C6BF9" w:rsidTr="009D7A33">
        <w:trPr>
          <w:gridAfter w:val="1"/>
          <w:wAfter w:w="597" w:type="dxa"/>
          <w:trHeight w:val="420"/>
        </w:trPr>
        <w:tc>
          <w:tcPr>
            <w:tcW w:w="15897" w:type="dxa"/>
            <w:gridSpan w:val="40"/>
            <w:tcBorders>
              <w:top w:val="nil"/>
              <w:left w:val="nil"/>
              <w:bottom w:val="nil"/>
              <w:right w:val="nil"/>
            </w:tcBorders>
            <w:noWrap/>
            <w:vAlign w:val="center"/>
            <w:hideMark/>
          </w:tcPr>
          <w:p w:rsidR="002C6BF9" w:rsidRDefault="002C6BF9" w:rsidP="009D7A33">
            <w:pPr>
              <w:autoSpaceDE w:val="0"/>
              <w:spacing w:line="300" w:lineRule="exact"/>
              <w:jc w:val="center"/>
              <w:textAlignment w:val="center"/>
              <w:rPr>
                <w:rFonts w:ascii="方正小标宋_GBK" w:eastAsia="方正小标宋_GBK" w:hAnsi="方正小标宋_GBK"/>
                <w:color w:val="000000"/>
                <w:sz w:val="32"/>
                <w:szCs w:val="32"/>
              </w:rPr>
            </w:pPr>
            <w:r>
              <w:rPr>
                <w:rFonts w:ascii="方正小标宋_GBK" w:eastAsia="方正小标宋_GBK" w:hAnsi="方正小标宋_GBK" w:hint="eastAsia"/>
                <w:color w:val="000000"/>
                <w:sz w:val="32"/>
                <w:szCs w:val="32"/>
              </w:rPr>
              <w:t>市级行政事业单位国有资产处置申请表（转让、置换、报废、损失核销）</w:t>
            </w:r>
          </w:p>
        </w:tc>
      </w:tr>
      <w:tr w:rsidR="002C6BF9" w:rsidTr="009D7A33">
        <w:trPr>
          <w:gridAfter w:val="1"/>
          <w:wAfter w:w="597" w:type="dxa"/>
          <w:trHeight w:val="270"/>
        </w:trPr>
        <w:tc>
          <w:tcPr>
            <w:tcW w:w="2822" w:type="dxa"/>
            <w:gridSpan w:val="7"/>
            <w:tcBorders>
              <w:top w:val="nil"/>
              <w:left w:val="nil"/>
              <w:bottom w:val="nil"/>
              <w:right w:val="nil"/>
            </w:tcBorders>
            <w:noWrap/>
            <w:vAlign w:val="center"/>
            <w:hideMark/>
          </w:tcPr>
          <w:p w:rsidR="002C6BF9" w:rsidRDefault="002C6BF9" w:rsidP="009D7A33">
            <w:pPr>
              <w:autoSpaceDE w:val="0"/>
              <w:spacing w:line="300" w:lineRule="exact"/>
              <w:rPr>
                <w:rFonts w:ascii="宋体" w:hAnsi="宋体"/>
                <w:color w:val="000000"/>
                <w:sz w:val="18"/>
                <w:szCs w:val="18"/>
              </w:rPr>
            </w:pPr>
            <w:r>
              <w:rPr>
                <w:rFonts w:ascii="宋体" w:hAnsi="宋体" w:hint="eastAsia"/>
                <w:color w:val="000000"/>
                <w:sz w:val="18"/>
                <w:szCs w:val="18"/>
              </w:rPr>
              <w:t>申报单位（签章）</w:t>
            </w:r>
          </w:p>
        </w:tc>
        <w:tc>
          <w:tcPr>
            <w:tcW w:w="677"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sz w:val="18"/>
                <w:szCs w:val="18"/>
              </w:rPr>
            </w:pPr>
          </w:p>
        </w:tc>
        <w:tc>
          <w:tcPr>
            <w:tcW w:w="632" w:type="dxa"/>
            <w:gridSpan w:val="3"/>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sz w:val="18"/>
                <w:szCs w:val="18"/>
              </w:rPr>
            </w:pPr>
          </w:p>
        </w:tc>
        <w:tc>
          <w:tcPr>
            <w:tcW w:w="676" w:type="dxa"/>
            <w:gridSpan w:val="4"/>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sz w:val="18"/>
                <w:szCs w:val="18"/>
              </w:rPr>
            </w:pPr>
          </w:p>
        </w:tc>
        <w:tc>
          <w:tcPr>
            <w:tcW w:w="2133" w:type="dxa"/>
            <w:gridSpan w:val="5"/>
            <w:tcBorders>
              <w:top w:val="nil"/>
              <w:left w:val="nil"/>
              <w:bottom w:val="nil"/>
              <w:right w:val="nil"/>
            </w:tcBorders>
            <w:noWrap/>
            <w:vAlign w:val="center"/>
            <w:hideMark/>
          </w:tcPr>
          <w:p w:rsidR="002C6BF9" w:rsidRDefault="002C6BF9" w:rsidP="009D7A33">
            <w:pPr>
              <w:autoSpaceDE w:val="0"/>
              <w:spacing w:line="300" w:lineRule="exact"/>
              <w:jc w:val="right"/>
              <w:textAlignment w:val="center"/>
              <w:rPr>
                <w:rFonts w:ascii="宋体" w:hAnsi="宋体"/>
                <w:color w:val="000000"/>
                <w:sz w:val="18"/>
                <w:szCs w:val="18"/>
              </w:rPr>
            </w:pPr>
            <w:r>
              <w:rPr>
                <w:rFonts w:ascii="宋体" w:hAnsi="宋体" w:hint="eastAsia"/>
                <w:color w:val="000000"/>
                <w:sz w:val="18"/>
                <w:szCs w:val="18"/>
              </w:rPr>
              <w:t>申报日期</w:t>
            </w:r>
          </w:p>
        </w:tc>
        <w:tc>
          <w:tcPr>
            <w:tcW w:w="2706" w:type="dxa"/>
            <w:gridSpan w:val="7"/>
            <w:tcBorders>
              <w:top w:val="nil"/>
              <w:left w:val="nil"/>
              <w:bottom w:val="single" w:sz="4" w:space="0" w:color="000000"/>
              <w:right w:val="nil"/>
            </w:tcBorders>
            <w:noWrap/>
            <w:vAlign w:val="center"/>
            <w:hideMark/>
          </w:tcPr>
          <w:p w:rsidR="002C6BF9" w:rsidRDefault="002C6BF9" w:rsidP="009D7A33">
            <w:pPr>
              <w:autoSpaceDE w:val="0"/>
              <w:spacing w:line="300" w:lineRule="exac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w:t>
            </w:r>
          </w:p>
        </w:tc>
        <w:tc>
          <w:tcPr>
            <w:tcW w:w="1014" w:type="dxa"/>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sz w:val="18"/>
                <w:szCs w:val="18"/>
              </w:rPr>
            </w:pPr>
          </w:p>
        </w:tc>
        <w:tc>
          <w:tcPr>
            <w:tcW w:w="1060"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sz w:val="18"/>
                <w:szCs w:val="18"/>
              </w:rPr>
            </w:pPr>
          </w:p>
        </w:tc>
        <w:tc>
          <w:tcPr>
            <w:tcW w:w="1750"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sz w:val="18"/>
                <w:szCs w:val="18"/>
              </w:rPr>
            </w:pPr>
          </w:p>
        </w:tc>
        <w:tc>
          <w:tcPr>
            <w:tcW w:w="1735" w:type="dxa"/>
            <w:gridSpan w:val="5"/>
            <w:tcBorders>
              <w:top w:val="nil"/>
              <w:left w:val="nil"/>
              <w:bottom w:val="nil"/>
              <w:right w:val="nil"/>
            </w:tcBorders>
            <w:noWrap/>
            <w:vAlign w:val="center"/>
            <w:hideMark/>
          </w:tcPr>
          <w:p w:rsidR="002C6BF9" w:rsidRDefault="002C6BF9" w:rsidP="009D7A33">
            <w:pPr>
              <w:autoSpaceDE w:val="0"/>
              <w:spacing w:line="300" w:lineRule="exact"/>
              <w:textAlignment w:val="center"/>
              <w:rPr>
                <w:rFonts w:ascii="宋体" w:hAnsi="宋体"/>
                <w:color w:val="000000"/>
                <w:sz w:val="18"/>
                <w:szCs w:val="18"/>
              </w:rPr>
            </w:pPr>
            <w:r>
              <w:rPr>
                <w:rFonts w:ascii="宋体" w:hAnsi="宋体" w:hint="eastAsia"/>
                <w:color w:val="000000"/>
                <w:sz w:val="18"/>
                <w:szCs w:val="18"/>
              </w:rPr>
              <w:t>金额：元</w:t>
            </w:r>
          </w:p>
        </w:tc>
        <w:tc>
          <w:tcPr>
            <w:tcW w:w="692" w:type="dxa"/>
            <w:gridSpan w:val="2"/>
            <w:tcBorders>
              <w:top w:val="nil"/>
              <w:left w:val="nil"/>
              <w:bottom w:val="nil"/>
              <w:right w:val="nil"/>
            </w:tcBorders>
            <w:noWrap/>
            <w:vAlign w:val="center"/>
          </w:tcPr>
          <w:p w:rsidR="002C6BF9" w:rsidRDefault="002C6BF9" w:rsidP="009D7A33">
            <w:pPr>
              <w:autoSpaceDE w:val="0"/>
              <w:spacing w:line="300" w:lineRule="exact"/>
              <w:rPr>
                <w:rFonts w:ascii="宋体" w:hAnsi="宋体"/>
                <w:color w:val="000000"/>
                <w:sz w:val="18"/>
                <w:szCs w:val="18"/>
              </w:rPr>
            </w:pPr>
          </w:p>
        </w:tc>
      </w:tr>
      <w:tr w:rsidR="002C6BF9" w:rsidTr="009D7A33">
        <w:trPr>
          <w:gridAfter w:val="1"/>
          <w:wAfter w:w="597" w:type="dxa"/>
          <w:trHeight w:val="279"/>
        </w:trPr>
        <w:tc>
          <w:tcPr>
            <w:tcW w:w="1056" w:type="dxa"/>
            <w:gridSpan w:val="3"/>
            <w:vMerge w:val="restart"/>
            <w:tcBorders>
              <w:top w:val="single" w:sz="4" w:space="0" w:color="000000"/>
              <w:left w:val="single" w:sz="4" w:space="0" w:color="000000"/>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序号</w:t>
            </w:r>
          </w:p>
        </w:tc>
        <w:tc>
          <w:tcPr>
            <w:tcW w:w="780" w:type="dxa"/>
            <w:vMerge w:val="restart"/>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资产名称</w:t>
            </w:r>
          </w:p>
        </w:tc>
        <w:tc>
          <w:tcPr>
            <w:tcW w:w="986" w:type="dxa"/>
            <w:gridSpan w:val="3"/>
            <w:vMerge w:val="restart"/>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资产编号</w:t>
            </w:r>
          </w:p>
        </w:tc>
        <w:tc>
          <w:tcPr>
            <w:tcW w:w="3059" w:type="dxa"/>
            <w:gridSpan w:val="12"/>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资产类别</w:t>
            </w:r>
          </w:p>
        </w:tc>
        <w:tc>
          <w:tcPr>
            <w:tcW w:w="1059" w:type="dxa"/>
            <w:gridSpan w:val="2"/>
            <w:vMerge w:val="restart"/>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资产来源</w:t>
            </w:r>
          </w:p>
        </w:tc>
        <w:tc>
          <w:tcPr>
            <w:tcW w:w="926" w:type="dxa"/>
            <w:gridSpan w:val="2"/>
            <w:vMerge w:val="restart"/>
            <w:tcBorders>
              <w:top w:val="nil"/>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型号规格</w:t>
            </w:r>
          </w:p>
        </w:tc>
        <w:tc>
          <w:tcPr>
            <w:tcW w:w="765" w:type="dxa"/>
            <w:gridSpan w:val="3"/>
            <w:vMerge w:val="restart"/>
            <w:tcBorders>
              <w:top w:val="single" w:sz="4" w:space="0" w:color="000000"/>
              <w:left w:val="nil"/>
              <w:bottom w:val="single" w:sz="4" w:space="0" w:color="000000"/>
              <w:right w:val="single" w:sz="4" w:space="0" w:color="000000"/>
            </w:tcBorders>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计量单位</w:t>
            </w:r>
          </w:p>
        </w:tc>
        <w:tc>
          <w:tcPr>
            <w:tcW w:w="1015" w:type="dxa"/>
            <w:gridSpan w:val="2"/>
            <w:vMerge w:val="restart"/>
            <w:tcBorders>
              <w:top w:val="single" w:sz="4" w:space="0" w:color="000000"/>
              <w:left w:val="nil"/>
              <w:bottom w:val="single" w:sz="4" w:space="0" w:color="000000"/>
              <w:right w:val="single" w:sz="4" w:space="0" w:color="000000"/>
            </w:tcBorders>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数量</w:t>
            </w:r>
            <w:r>
              <w:rPr>
                <w:rFonts w:ascii="宋体" w:hAnsi="宋体" w:hint="eastAsia"/>
                <w:color w:val="000000"/>
                <w:sz w:val="18"/>
                <w:szCs w:val="18"/>
              </w:rPr>
              <w:t xml:space="preserve">  </w:t>
            </w:r>
            <w:r>
              <w:rPr>
                <w:rFonts w:ascii="宋体" w:hAnsi="宋体" w:hint="eastAsia"/>
                <w:color w:val="000000"/>
                <w:sz w:val="18"/>
                <w:szCs w:val="18"/>
              </w:rPr>
              <w:t>（股份）</w:t>
            </w:r>
          </w:p>
        </w:tc>
        <w:tc>
          <w:tcPr>
            <w:tcW w:w="1014" w:type="dxa"/>
            <w:vMerge w:val="restart"/>
            <w:tcBorders>
              <w:top w:val="single" w:sz="4" w:space="0" w:color="000000"/>
              <w:left w:val="nil"/>
              <w:bottom w:val="single" w:sz="4" w:space="0" w:color="000000"/>
              <w:right w:val="single" w:sz="4" w:space="0" w:color="000000"/>
            </w:tcBorders>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购置</w:t>
            </w:r>
            <w:r>
              <w:rPr>
                <w:rFonts w:ascii="宋体" w:hAnsi="宋体" w:hint="eastAsia"/>
                <w:color w:val="000000"/>
                <w:sz w:val="18"/>
                <w:szCs w:val="18"/>
              </w:rPr>
              <w:t xml:space="preserve">  </w:t>
            </w:r>
            <w:r>
              <w:rPr>
                <w:rFonts w:ascii="宋体" w:hAnsi="宋体" w:hint="eastAsia"/>
                <w:color w:val="000000"/>
                <w:sz w:val="18"/>
                <w:szCs w:val="18"/>
              </w:rPr>
              <w:t>（投资）日期</w:t>
            </w:r>
          </w:p>
        </w:tc>
        <w:tc>
          <w:tcPr>
            <w:tcW w:w="3840" w:type="dxa"/>
            <w:gridSpan w:val="6"/>
            <w:tcBorders>
              <w:top w:val="single" w:sz="4" w:space="0" w:color="000000"/>
              <w:left w:val="nil"/>
              <w:bottom w:val="nil"/>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价值</w:t>
            </w:r>
          </w:p>
        </w:tc>
        <w:tc>
          <w:tcPr>
            <w:tcW w:w="705" w:type="dxa"/>
            <w:gridSpan w:val="3"/>
            <w:vMerge w:val="restart"/>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处置方式</w:t>
            </w:r>
          </w:p>
        </w:tc>
        <w:tc>
          <w:tcPr>
            <w:tcW w:w="692" w:type="dxa"/>
            <w:gridSpan w:val="2"/>
            <w:vMerge w:val="restart"/>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备注</w:t>
            </w:r>
          </w:p>
        </w:tc>
      </w:tr>
      <w:tr w:rsidR="002C6BF9" w:rsidTr="009D7A33">
        <w:trPr>
          <w:gridAfter w:val="1"/>
          <w:wAfter w:w="597" w:type="dxa"/>
          <w:trHeight w:val="628"/>
        </w:trPr>
        <w:tc>
          <w:tcPr>
            <w:tcW w:w="1056" w:type="dxa"/>
            <w:gridSpan w:val="3"/>
            <w:vMerge/>
            <w:tcBorders>
              <w:top w:val="single" w:sz="4" w:space="0" w:color="000000"/>
              <w:left w:val="single" w:sz="4" w:space="0" w:color="000000"/>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780" w:type="dxa"/>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986" w:type="dxa"/>
            <w:gridSpan w:val="3"/>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677" w:type="dxa"/>
            <w:gridSpan w:val="2"/>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固定资产</w:t>
            </w:r>
          </w:p>
        </w:tc>
        <w:tc>
          <w:tcPr>
            <w:tcW w:w="632" w:type="dxa"/>
            <w:gridSpan w:val="3"/>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无形资产</w:t>
            </w:r>
          </w:p>
        </w:tc>
        <w:tc>
          <w:tcPr>
            <w:tcW w:w="676" w:type="dxa"/>
            <w:gridSpan w:val="4"/>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对外投资</w:t>
            </w:r>
          </w:p>
        </w:tc>
        <w:tc>
          <w:tcPr>
            <w:tcW w:w="1074" w:type="dxa"/>
            <w:gridSpan w:val="3"/>
            <w:tcBorders>
              <w:top w:val="single" w:sz="4" w:space="0" w:color="000000"/>
              <w:left w:val="nil"/>
              <w:bottom w:val="single" w:sz="4" w:space="0" w:color="000000"/>
              <w:right w:val="single" w:sz="4" w:space="0" w:color="000000"/>
            </w:tcBorders>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存货等其他资产</w:t>
            </w:r>
          </w:p>
        </w:tc>
        <w:tc>
          <w:tcPr>
            <w:tcW w:w="1059" w:type="dxa"/>
            <w:gridSpan w:val="2"/>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926" w:type="dxa"/>
            <w:gridSpan w:val="2"/>
            <w:vMerge/>
            <w:tcBorders>
              <w:top w:val="nil"/>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765" w:type="dxa"/>
            <w:gridSpan w:val="3"/>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1015" w:type="dxa"/>
            <w:gridSpan w:val="2"/>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1014" w:type="dxa"/>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1060" w:type="dxa"/>
            <w:gridSpan w:val="2"/>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账面原值</w:t>
            </w:r>
          </w:p>
        </w:tc>
        <w:tc>
          <w:tcPr>
            <w:tcW w:w="1750" w:type="dxa"/>
            <w:gridSpan w:val="2"/>
            <w:tcBorders>
              <w:top w:val="single" w:sz="4" w:space="0" w:color="000000"/>
              <w:left w:val="nil"/>
              <w:bottom w:val="single" w:sz="4" w:space="0" w:color="000000"/>
              <w:right w:val="single" w:sz="4" w:space="0" w:color="000000"/>
            </w:tcBorders>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已计提（坏账）</w:t>
            </w:r>
            <w:r>
              <w:rPr>
                <w:rFonts w:ascii="宋体" w:hAnsi="宋体" w:hint="eastAsia"/>
                <w:color w:val="000000"/>
                <w:sz w:val="18"/>
                <w:szCs w:val="18"/>
              </w:rPr>
              <w:t>/</w:t>
            </w:r>
            <w:r>
              <w:rPr>
                <w:rFonts w:ascii="宋体" w:hAnsi="宋体" w:hint="eastAsia"/>
                <w:color w:val="000000"/>
                <w:sz w:val="18"/>
                <w:szCs w:val="18"/>
              </w:rPr>
              <w:t>折旧</w:t>
            </w:r>
            <w:r>
              <w:rPr>
                <w:rFonts w:ascii="宋体" w:hAnsi="宋体" w:hint="eastAsia"/>
                <w:color w:val="000000"/>
                <w:sz w:val="18"/>
                <w:szCs w:val="18"/>
              </w:rPr>
              <w:t>/</w:t>
            </w:r>
            <w:r>
              <w:rPr>
                <w:rFonts w:ascii="宋体" w:hAnsi="宋体" w:hint="eastAsia"/>
                <w:color w:val="000000"/>
                <w:sz w:val="18"/>
                <w:szCs w:val="18"/>
              </w:rPr>
              <w:t>（摊销额）</w:t>
            </w:r>
          </w:p>
        </w:tc>
        <w:tc>
          <w:tcPr>
            <w:tcW w:w="1030" w:type="dxa"/>
            <w:gridSpan w:val="2"/>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账面净值</w:t>
            </w:r>
          </w:p>
        </w:tc>
        <w:tc>
          <w:tcPr>
            <w:tcW w:w="705" w:type="dxa"/>
            <w:gridSpan w:val="3"/>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692" w:type="dxa"/>
            <w:gridSpan w:val="2"/>
            <w:vMerge/>
            <w:tcBorders>
              <w:top w:val="single" w:sz="4" w:space="0" w:color="000000"/>
              <w:left w:val="nil"/>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r>
      <w:tr w:rsidR="002C6BF9" w:rsidTr="009D7A33">
        <w:trPr>
          <w:gridAfter w:val="1"/>
          <w:wAfter w:w="597" w:type="dxa"/>
          <w:trHeight w:val="400"/>
        </w:trPr>
        <w:tc>
          <w:tcPr>
            <w:tcW w:w="1056" w:type="dxa"/>
            <w:gridSpan w:val="3"/>
            <w:tcBorders>
              <w:top w:val="single" w:sz="4" w:space="0" w:color="000000"/>
              <w:left w:val="single" w:sz="4" w:space="0" w:color="000000"/>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80" w:type="dxa"/>
            <w:tcBorders>
              <w:top w:val="single" w:sz="4" w:space="0" w:color="000000"/>
              <w:left w:val="nil"/>
              <w:bottom w:val="single" w:sz="4" w:space="0" w:color="000000"/>
              <w:right w:val="single" w:sz="4" w:space="0" w:color="000000"/>
            </w:tcBorders>
            <w:noWrap/>
            <w:vAlign w:val="center"/>
            <w:hideMark/>
          </w:tcPr>
          <w:p w:rsidR="002C6BF9" w:rsidRDefault="002C6BF9" w:rsidP="009D7A33">
            <w:pPr>
              <w:autoSpaceDE w:val="0"/>
              <w:spacing w:line="300" w:lineRule="exact"/>
              <w:jc w:val="center"/>
              <w:rPr>
                <w:rFonts w:ascii="宋体" w:hAnsi="宋体"/>
                <w:color w:val="000000"/>
              </w:rPr>
            </w:pPr>
            <w:r>
              <w:rPr>
                <w:rFonts w:ascii="宋体" w:hAnsi="宋体" w:hint="eastAsia"/>
                <w:color w:val="000000"/>
              </w:rPr>
              <w:t>合计</w:t>
            </w:r>
          </w:p>
        </w:tc>
        <w:tc>
          <w:tcPr>
            <w:tcW w:w="986"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77"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32"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76" w:type="dxa"/>
            <w:gridSpan w:val="4"/>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74"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59"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926"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65"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15"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14"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6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75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3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5"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92"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r>
      <w:tr w:rsidR="002C6BF9" w:rsidTr="009D7A33">
        <w:trPr>
          <w:gridAfter w:val="1"/>
          <w:wAfter w:w="597" w:type="dxa"/>
          <w:trHeight w:val="400"/>
        </w:trPr>
        <w:tc>
          <w:tcPr>
            <w:tcW w:w="1056" w:type="dxa"/>
            <w:gridSpan w:val="3"/>
            <w:tcBorders>
              <w:top w:val="single" w:sz="4" w:space="0" w:color="000000"/>
              <w:left w:val="single" w:sz="4" w:space="0" w:color="000000"/>
              <w:bottom w:val="single" w:sz="4" w:space="0" w:color="000000"/>
              <w:right w:val="single" w:sz="4" w:space="0" w:color="000000"/>
            </w:tcBorders>
            <w:noWrap/>
            <w:vAlign w:val="center"/>
            <w:hideMark/>
          </w:tcPr>
          <w:p w:rsidR="002C6BF9" w:rsidRDefault="002C6BF9" w:rsidP="009D7A33">
            <w:pPr>
              <w:autoSpaceDE w:val="0"/>
              <w:spacing w:line="300" w:lineRule="exact"/>
              <w:rPr>
                <w:rFonts w:ascii="宋体" w:hAnsi="宋体"/>
                <w:color w:val="000000"/>
              </w:rPr>
            </w:pPr>
            <w:r>
              <w:rPr>
                <w:rFonts w:ascii="宋体" w:hAnsi="宋体" w:hint="eastAsia"/>
                <w:color w:val="000000"/>
              </w:rPr>
              <w:t>1</w:t>
            </w:r>
          </w:p>
        </w:tc>
        <w:tc>
          <w:tcPr>
            <w:tcW w:w="780"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986"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77"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32"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76" w:type="dxa"/>
            <w:gridSpan w:val="4"/>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74"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59"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926"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65"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15"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14"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6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75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3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5"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92"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r>
      <w:tr w:rsidR="002C6BF9" w:rsidTr="009D7A33">
        <w:trPr>
          <w:gridAfter w:val="1"/>
          <w:wAfter w:w="597" w:type="dxa"/>
          <w:trHeight w:val="400"/>
        </w:trPr>
        <w:tc>
          <w:tcPr>
            <w:tcW w:w="1056" w:type="dxa"/>
            <w:gridSpan w:val="3"/>
            <w:tcBorders>
              <w:top w:val="single" w:sz="4" w:space="0" w:color="000000"/>
              <w:left w:val="single" w:sz="4" w:space="0" w:color="000000"/>
              <w:bottom w:val="single" w:sz="4" w:space="0" w:color="000000"/>
              <w:right w:val="single" w:sz="4" w:space="0" w:color="000000"/>
            </w:tcBorders>
            <w:noWrap/>
            <w:vAlign w:val="center"/>
            <w:hideMark/>
          </w:tcPr>
          <w:p w:rsidR="002C6BF9" w:rsidRDefault="002C6BF9" w:rsidP="009D7A33">
            <w:pPr>
              <w:autoSpaceDE w:val="0"/>
              <w:spacing w:line="300" w:lineRule="exact"/>
              <w:rPr>
                <w:rFonts w:ascii="宋体" w:hAnsi="宋体"/>
                <w:color w:val="000000"/>
              </w:rPr>
            </w:pPr>
            <w:r>
              <w:rPr>
                <w:rFonts w:ascii="宋体" w:hAnsi="宋体" w:hint="eastAsia"/>
                <w:color w:val="000000"/>
              </w:rPr>
              <w:lastRenderedPageBreak/>
              <w:t>2</w:t>
            </w:r>
          </w:p>
        </w:tc>
        <w:tc>
          <w:tcPr>
            <w:tcW w:w="780"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986"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77"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32"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76" w:type="dxa"/>
            <w:gridSpan w:val="4"/>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74"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59"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926"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65"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15"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14"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6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75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3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5"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92"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r>
      <w:tr w:rsidR="002C6BF9" w:rsidTr="009D7A33">
        <w:trPr>
          <w:gridAfter w:val="1"/>
          <w:wAfter w:w="597" w:type="dxa"/>
          <w:trHeight w:val="400"/>
        </w:trPr>
        <w:tc>
          <w:tcPr>
            <w:tcW w:w="1056" w:type="dxa"/>
            <w:gridSpan w:val="3"/>
            <w:tcBorders>
              <w:top w:val="single" w:sz="4" w:space="0" w:color="000000"/>
              <w:left w:val="single" w:sz="4" w:space="0" w:color="000000"/>
              <w:bottom w:val="single" w:sz="4" w:space="0" w:color="000000"/>
              <w:right w:val="single" w:sz="4" w:space="0" w:color="000000"/>
            </w:tcBorders>
            <w:noWrap/>
            <w:vAlign w:val="center"/>
            <w:hideMark/>
          </w:tcPr>
          <w:p w:rsidR="002C6BF9" w:rsidRDefault="002C6BF9" w:rsidP="009D7A33">
            <w:pPr>
              <w:autoSpaceDE w:val="0"/>
              <w:spacing w:line="300" w:lineRule="exact"/>
              <w:rPr>
                <w:rFonts w:ascii="宋体" w:hAnsi="宋体"/>
                <w:color w:val="000000"/>
              </w:rPr>
            </w:pPr>
            <w:r>
              <w:rPr>
                <w:rFonts w:ascii="宋体" w:hAnsi="宋体" w:hint="eastAsia"/>
                <w:color w:val="000000"/>
              </w:rPr>
              <w:t>……</w:t>
            </w:r>
          </w:p>
        </w:tc>
        <w:tc>
          <w:tcPr>
            <w:tcW w:w="780"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986"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77"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32"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76" w:type="dxa"/>
            <w:gridSpan w:val="4"/>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74"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59"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926"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65"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15"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14" w:type="dxa"/>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6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75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1030"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705" w:type="dxa"/>
            <w:gridSpan w:val="3"/>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c>
          <w:tcPr>
            <w:tcW w:w="692" w:type="dxa"/>
            <w:gridSpan w:val="2"/>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rPr>
            </w:pPr>
          </w:p>
        </w:tc>
      </w:tr>
      <w:tr w:rsidR="002C6BF9" w:rsidTr="009D7A33">
        <w:trPr>
          <w:gridAfter w:val="1"/>
          <w:wAfter w:w="597" w:type="dxa"/>
          <w:trHeight w:val="368"/>
        </w:trPr>
        <w:tc>
          <w:tcPr>
            <w:tcW w:w="1056" w:type="dxa"/>
            <w:gridSpan w:val="3"/>
            <w:tcBorders>
              <w:top w:val="single" w:sz="4" w:space="0" w:color="000000"/>
              <w:left w:val="single" w:sz="4" w:space="0" w:color="000000"/>
              <w:bottom w:val="single" w:sz="4" w:space="0" w:color="000000"/>
              <w:right w:val="single" w:sz="4" w:space="0" w:color="000000"/>
            </w:tcBorders>
            <w:vAlign w:val="center"/>
            <w:hideMark/>
          </w:tcPr>
          <w:p w:rsidR="002C6BF9" w:rsidRDefault="002C6BF9" w:rsidP="009D7A33">
            <w:pPr>
              <w:autoSpaceDE w:val="0"/>
              <w:spacing w:line="300" w:lineRule="exact"/>
              <w:jc w:val="center"/>
              <w:textAlignment w:val="center"/>
              <w:rPr>
                <w:rFonts w:ascii="宋体" w:hAnsi="宋体"/>
                <w:color w:val="000000"/>
              </w:rPr>
            </w:pPr>
            <w:r>
              <w:rPr>
                <w:rFonts w:ascii="宋体" w:hAnsi="宋体" w:hint="eastAsia"/>
                <w:color w:val="000000"/>
                <w:sz w:val="18"/>
                <w:szCs w:val="18"/>
              </w:rPr>
              <w:t>处置原因</w:t>
            </w:r>
          </w:p>
        </w:tc>
        <w:tc>
          <w:tcPr>
            <w:tcW w:w="14841" w:type="dxa"/>
            <w:gridSpan w:val="37"/>
            <w:tcBorders>
              <w:top w:val="single" w:sz="4" w:space="0" w:color="000000"/>
              <w:left w:val="nil"/>
              <w:bottom w:val="single" w:sz="4" w:space="0" w:color="000000"/>
              <w:right w:val="single" w:sz="4" w:space="0" w:color="000000"/>
            </w:tcBorders>
            <w:noWrap/>
            <w:vAlign w:val="center"/>
          </w:tcPr>
          <w:p w:rsidR="002C6BF9" w:rsidRDefault="002C6BF9" w:rsidP="009D7A33">
            <w:pPr>
              <w:autoSpaceDE w:val="0"/>
              <w:spacing w:line="300" w:lineRule="exact"/>
              <w:jc w:val="center"/>
              <w:rPr>
                <w:rFonts w:ascii="宋体" w:hAnsi="宋体"/>
                <w:color w:val="000000"/>
              </w:rPr>
            </w:pPr>
          </w:p>
        </w:tc>
      </w:tr>
      <w:tr w:rsidR="002C6BF9" w:rsidTr="009D7A33">
        <w:trPr>
          <w:gridAfter w:val="1"/>
          <w:wAfter w:w="597" w:type="dxa"/>
          <w:trHeight w:val="460"/>
        </w:trPr>
        <w:tc>
          <w:tcPr>
            <w:tcW w:w="1056" w:type="dxa"/>
            <w:gridSpan w:val="3"/>
            <w:vMerge w:val="restart"/>
            <w:tcBorders>
              <w:top w:val="nil"/>
              <w:left w:val="single" w:sz="4" w:space="0" w:color="000000"/>
              <w:bottom w:val="single" w:sz="4" w:space="0" w:color="000000"/>
              <w:right w:val="single" w:sz="4" w:space="0" w:color="000000"/>
            </w:tcBorders>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行政事业单位意见</w:t>
            </w:r>
          </w:p>
        </w:tc>
        <w:tc>
          <w:tcPr>
            <w:tcW w:w="3751" w:type="dxa"/>
            <w:gridSpan w:val="13"/>
            <w:tcBorders>
              <w:top w:val="single" w:sz="4" w:space="0" w:color="000000"/>
              <w:left w:val="nil"/>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资产管理部门负责人（签名）</w:t>
            </w:r>
          </w:p>
        </w:tc>
        <w:tc>
          <w:tcPr>
            <w:tcW w:w="5853" w:type="dxa"/>
            <w:gridSpan w:val="13"/>
            <w:tcBorders>
              <w:top w:val="single" w:sz="4" w:space="0" w:color="000000"/>
              <w:left w:val="nil"/>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财务管理部门负责人（签名）</w:t>
            </w:r>
          </w:p>
        </w:tc>
        <w:tc>
          <w:tcPr>
            <w:tcW w:w="5237" w:type="dxa"/>
            <w:gridSpan w:val="11"/>
            <w:tcBorders>
              <w:top w:val="single" w:sz="4" w:space="0" w:color="000000"/>
              <w:left w:val="nil"/>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单位负责人（签名、单位盖章）</w:t>
            </w:r>
          </w:p>
        </w:tc>
      </w:tr>
      <w:tr w:rsidR="002C6BF9" w:rsidTr="009D7A33">
        <w:trPr>
          <w:gridAfter w:val="1"/>
          <w:wAfter w:w="597" w:type="dxa"/>
          <w:trHeight w:val="155"/>
        </w:trPr>
        <w:tc>
          <w:tcPr>
            <w:tcW w:w="1056" w:type="dxa"/>
            <w:gridSpan w:val="3"/>
            <w:vMerge/>
            <w:tcBorders>
              <w:top w:val="nil"/>
              <w:left w:val="single" w:sz="4" w:space="0" w:color="000000"/>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3751" w:type="dxa"/>
            <w:gridSpan w:val="13"/>
            <w:tcBorders>
              <w:top w:val="nil"/>
              <w:left w:val="nil"/>
              <w:bottom w:val="single" w:sz="4" w:space="0" w:color="000000"/>
              <w:right w:val="single" w:sz="4" w:space="0" w:color="000000"/>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5853" w:type="dxa"/>
            <w:gridSpan w:val="13"/>
            <w:tcBorders>
              <w:top w:val="nil"/>
              <w:left w:val="nil"/>
              <w:bottom w:val="single" w:sz="4" w:space="0" w:color="000000"/>
              <w:right w:val="single" w:sz="4" w:space="0" w:color="000000"/>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5237" w:type="dxa"/>
            <w:gridSpan w:val="11"/>
            <w:tcBorders>
              <w:top w:val="nil"/>
              <w:left w:val="nil"/>
              <w:bottom w:val="single" w:sz="4" w:space="0" w:color="000000"/>
              <w:right w:val="single" w:sz="4" w:space="0" w:color="000000"/>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r>
      <w:tr w:rsidR="002C6BF9" w:rsidTr="009D7A33">
        <w:trPr>
          <w:gridAfter w:val="1"/>
          <w:wAfter w:w="597" w:type="dxa"/>
          <w:trHeight w:val="420"/>
        </w:trPr>
        <w:tc>
          <w:tcPr>
            <w:tcW w:w="1056" w:type="dxa"/>
            <w:gridSpan w:val="3"/>
            <w:vMerge w:val="restart"/>
            <w:tcBorders>
              <w:top w:val="nil"/>
              <w:left w:val="single" w:sz="4" w:space="0" w:color="000000"/>
              <w:bottom w:val="single" w:sz="4" w:space="0" w:color="000000"/>
              <w:right w:val="single" w:sz="4" w:space="0" w:color="000000"/>
            </w:tcBorders>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主管部门审核意见</w:t>
            </w:r>
          </w:p>
        </w:tc>
        <w:tc>
          <w:tcPr>
            <w:tcW w:w="3751" w:type="dxa"/>
            <w:gridSpan w:val="13"/>
            <w:tcBorders>
              <w:top w:val="single" w:sz="4" w:space="0" w:color="000000"/>
              <w:left w:val="nil"/>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资产管理部门负责人（签名）</w:t>
            </w:r>
          </w:p>
        </w:tc>
        <w:tc>
          <w:tcPr>
            <w:tcW w:w="5853" w:type="dxa"/>
            <w:gridSpan w:val="13"/>
            <w:tcBorders>
              <w:top w:val="single" w:sz="4" w:space="0" w:color="000000"/>
              <w:left w:val="nil"/>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财务管理部门负责人（签名）</w:t>
            </w:r>
          </w:p>
        </w:tc>
        <w:tc>
          <w:tcPr>
            <w:tcW w:w="5237" w:type="dxa"/>
            <w:gridSpan w:val="11"/>
            <w:tcBorders>
              <w:top w:val="single" w:sz="4" w:space="0" w:color="000000"/>
              <w:left w:val="nil"/>
              <w:bottom w:val="nil"/>
              <w:right w:val="single" w:sz="4" w:space="0" w:color="000000"/>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单位负责人（签名、单位盖章）</w:t>
            </w:r>
          </w:p>
        </w:tc>
      </w:tr>
      <w:tr w:rsidR="002C6BF9" w:rsidTr="009D7A33">
        <w:trPr>
          <w:gridAfter w:val="1"/>
          <w:wAfter w:w="597" w:type="dxa"/>
          <w:trHeight w:val="298"/>
        </w:trPr>
        <w:tc>
          <w:tcPr>
            <w:tcW w:w="1056" w:type="dxa"/>
            <w:gridSpan w:val="3"/>
            <w:vMerge/>
            <w:tcBorders>
              <w:top w:val="nil"/>
              <w:left w:val="single" w:sz="4" w:space="0" w:color="000000"/>
              <w:bottom w:val="single" w:sz="4" w:space="0" w:color="000000"/>
              <w:right w:val="single" w:sz="4" w:space="0" w:color="000000"/>
            </w:tcBorders>
            <w:vAlign w:val="center"/>
            <w:hideMark/>
          </w:tcPr>
          <w:p w:rsidR="002C6BF9" w:rsidRDefault="002C6BF9" w:rsidP="009D7A33">
            <w:pPr>
              <w:rPr>
                <w:rFonts w:ascii="宋体" w:hAnsi="宋体"/>
                <w:color w:val="000000"/>
                <w:sz w:val="18"/>
                <w:szCs w:val="18"/>
              </w:rPr>
            </w:pPr>
          </w:p>
        </w:tc>
        <w:tc>
          <w:tcPr>
            <w:tcW w:w="3751" w:type="dxa"/>
            <w:gridSpan w:val="13"/>
            <w:tcBorders>
              <w:top w:val="nil"/>
              <w:left w:val="nil"/>
              <w:bottom w:val="nil"/>
              <w:right w:val="single" w:sz="4" w:space="0" w:color="000000"/>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5853" w:type="dxa"/>
            <w:gridSpan w:val="13"/>
            <w:tcBorders>
              <w:top w:val="nil"/>
              <w:left w:val="nil"/>
              <w:bottom w:val="nil"/>
              <w:right w:val="single" w:sz="4" w:space="0" w:color="000000"/>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5237" w:type="dxa"/>
            <w:gridSpan w:val="11"/>
            <w:tcBorders>
              <w:top w:val="nil"/>
              <w:left w:val="nil"/>
              <w:bottom w:val="nil"/>
              <w:right w:val="single" w:sz="4" w:space="0" w:color="000000"/>
            </w:tcBorders>
            <w:noWrap/>
            <w:vAlign w:val="center"/>
            <w:hideMark/>
          </w:tcPr>
          <w:p w:rsidR="002C6BF9" w:rsidRDefault="002C6BF9" w:rsidP="009D7A33">
            <w:pPr>
              <w:autoSpaceDE w:val="0"/>
              <w:spacing w:line="300" w:lineRule="exact"/>
              <w:jc w:val="righ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r>
      <w:tr w:rsidR="002C6BF9" w:rsidTr="009D7A33">
        <w:trPr>
          <w:gridAfter w:val="1"/>
          <w:wAfter w:w="597" w:type="dxa"/>
          <w:trHeight w:val="409"/>
        </w:trPr>
        <w:tc>
          <w:tcPr>
            <w:tcW w:w="1056" w:type="dxa"/>
            <w:gridSpan w:val="3"/>
            <w:vMerge w:val="restart"/>
            <w:tcBorders>
              <w:top w:val="nil"/>
              <w:left w:val="single" w:sz="4" w:space="0" w:color="000000"/>
              <w:bottom w:val="single" w:sz="4" w:space="0" w:color="000000"/>
              <w:right w:val="nil"/>
            </w:tcBorders>
            <w:vAlign w:val="center"/>
            <w:hideMark/>
          </w:tcPr>
          <w:p w:rsidR="002C6BF9" w:rsidRDefault="002C6BF9" w:rsidP="009D7A33">
            <w:pPr>
              <w:autoSpaceDE w:val="0"/>
              <w:spacing w:line="300" w:lineRule="exact"/>
              <w:jc w:val="center"/>
              <w:textAlignment w:val="center"/>
              <w:rPr>
                <w:rFonts w:ascii="宋体" w:hAnsi="宋体"/>
                <w:color w:val="000000"/>
                <w:sz w:val="18"/>
                <w:szCs w:val="18"/>
              </w:rPr>
            </w:pPr>
            <w:r>
              <w:rPr>
                <w:rFonts w:ascii="宋体" w:hAnsi="宋体" w:hint="eastAsia"/>
                <w:color w:val="000000"/>
                <w:sz w:val="18"/>
                <w:szCs w:val="18"/>
              </w:rPr>
              <w:t>同级资产管理部门审核意见</w:t>
            </w:r>
          </w:p>
        </w:tc>
        <w:tc>
          <w:tcPr>
            <w:tcW w:w="1766" w:type="dxa"/>
            <w:gridSpan w:val="4"/>
            <w:tcBorders>
              <w:top w:val="single" w:sz="4" w:space="0" w:color="000000"/>
              <w:left w:val="single" w:sz="4" w:space="0" w:color="000000"/>
              <w:bottom w:val="nil"/>
              <w:right w:val="nil"/>
            </w:tcBorders>
            <w:noWrap/>
            <w:vAlign w:val="center"/>
            <w:hideMark/>
          </w:tcPr>
          <w:p w:rsidR="002C6BF9" w:rsidRDefault="002C6BF9" w:rsidP="009D7A33">
            <w:pPr>
              <w:autoSpaceDE w:val="0"/>
              <w:spacing w:line="300" w:lineRule="exact"/>
              <w:rPr>
                <w:rFonts w:ascii="宋体" w:hAnsi="宋体"/>
                <w:color w:val="000000"/>
                <w:sz w:val="16"/>
                <w:szCs w:val="16"/>
              </w:rPr>
            </w:pPr>
            <w:r>
              <w:rPr>
                <w:rFonts w:ascii="宋体" w:hAnsi="宋体" w:hint="eastAsia"/>
                <w:color w:val="000000"/>
                <w:sz w:val="16"/>
                <w:szCs w:val="16"/>
              </w:rPr>
              <w:t>审核意见：</w:t>
            </w:r>
          </w:p>
        </w:tc>
        <w:tc>
          <w:tcPr>
            <w:tcW w:w="677" w:type="dxa"/>
            <w:gridSpan w:val="2"/>
            <w:tcBorders>
              <w:top w:val="single" w:sz="4" w:space="0" w:color="000000"/>
              <w:left w:val="nil"/>
              <w:bottom w:val="nil"/>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632" w:type="dxa"/>
            <w:gridSpan w:val="3"/>
            <w:tcBorders>
              <w:top w:val="single" w:sz="4" w:space="0" w:color="000000"/>
              <w:left w:val="nil"/>
              <w:bottom w:val="nil"/>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676" w:type="dxa"/>
            <w:gridSpan w:val="4"/>
            <w:tcBorders>
              <w:top w:val="single" w:sz="4" w:space="0" w:color="000000"/>
              <w:left w:val="nil"/>
              <w:bottom w:val="nil"/>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1074" w:type="dxa"/>
            <w:gridSpan w:val="3"/>
            <w:tcBorders>
              <w:top w:val="single" w:sz="4" w:space="0" w:color="000000"/>
              <w:left w:val="nil"/>
              <w:bottom w:val="nil"/>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1059" w:type="dxa"/>
            <w:gridSpan w:val="2"/>
            <w:tcBorders>
              <w:top w:val="single" w:sz="4" w:space="0" w:color="000000"/>
              <w:left w:val="nil"/>
              <w:bottom w:val="nil"/>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926" w:type="dxa"/>
            <w:gridSpan w:val="2"/>
            <w:tcBorders>
              <w:top w:val="single" w:sz="4" w:space="0" w:color="000000"/>
              <w:left w:val="nil"/>
              <w:bottom w:val="nil"/>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765" w:type="dxa"/>
            <w:gridSpan w:val="3"/>
            <w:tcBorders>
              <w:top w:val="single" w:sz="4" w:space="0" w:color="000000"/>
              <w:left w:val="nil"/>
              <w:bottom w:val="nil"/>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1015" w:type="dxa"/>
            <w:gridSpan w:val="2"/>
            <w:tcBorders>
              <w:top w:val="single" w:sz="4" w:space="0" w:color="000000"/>
              <w:left w:val="nil"/>
              <w:bottom w:val="nil"/>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1014" w:type="dxa"/>
            <w:tcBorders>
              <w:top w:val="single" w:sz="4" w:space="0" w:color="000000"/>
              <w:left w:val="nil"/>
              <w:bottom w:val="nil"/>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1060" w:type="dxa"/>
            <w:gridSpan w:val="2"/>
            <w:tcBorders>
              <w:top w:val="single" w:sz="4" w:space="0" w:color="000000"/>
              <w:left w:val="nil"/>
              <w:bottom w:val="nil"/>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1750" w:type="dxa"/>
            <w:gridSpan w:val="2"/>
            <w:tcBorders>
              <w:top w:val="single" w:sz="4" w:space="0" w:color="000000"/>
              <w:left w:val="nil"/>
              <w:bottom w:val="nil"/>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1030" w:type="dxa"/>
            <w:gridSpan w:val="2"/>
            <w:tcBorders>
              <w:top w:val="single" w:sz="4" w:space="0" w:color="000000"/>
              <w:left w:val="nil"/>
              <w:bottom w:val="nil"/>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705" w:type="dxa"/>
            <w:gridSpan w:val="3"/>
            <w:tcBorders>
              <w:top w:val="single" w:sz="4" w:space="0" w:color="000000"/>
              <w:left w:val="nil"/>
              <w:bottom w:val="nil"/>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692" w:type="dxa"/>
            <w:gridSpan w:val="2"/>
            <w:tcBorders>
              <w:top w:val="single" w:sz="4" w:space="0" w:color="000000"/>
              <w:left w:val="nil"/>
              <w:bottom w:val="nil"/>
              <w:right w:val="single" w:sz="4" w:space="0" w:color="000000"/>
            </w:tcBorders>
            <w:noWrap/>
            <w:vAlign w:val="center"/>
          </w:tcPr>
          <w:p w:rsidR="002C6BF9" w:rsidRDefault="002C6BF9" w:rsidP="009D7A33">
            <w:pPr>
              <w:autoSpaceDE w:val="0"/>
              <w:spacing w:line="300" w:lineRule="exact"/>
              <w:rPr>
                <w:rFonts w:ascii="宋体" w:hAnsi="宋体"/>
                <w:color w:val="000000"/>
                <w:sz w:val="16"/>
                <w:szCs w:val="16"/>
              </w:rPr>
            </w:pPr>
          </w:p>
        </w:tc>
      </w:tr>
      <w:tr w:rsidR="002C6BF9" w:rsidTr="009D7A33">
        <w:trPr>
          <w:gridAfter w:val="1"/>
          <w:wAfter w:w="597" w:type="dxa"/>
          <w:trHeight w:val="497"/>
        </w:trPr>
        <w:tc>
          <w:tcPr>
            <w:tcW w:w="1056" w:type="dxa"/>
            <w:gridSpan w:val="3"/>
            <w:vMerge/>
            <w:tcBorders>
              <w:top w:val="nil"/>
              <w:left w:val="single" w:sz="4" w:space="0" w:color="000000"/>
              <w:bottom w:val="single" w:sz="4" w:space="0" w:color="000000"/>
              <w:right w:val="nil"/>
            </w:tcBorders>
            <w:vAlign w:val="center"/>
            <w:hideMark/>
          </w:tcPr>
          <w:p w:rsidR="002C6BF9" w:rsidRDefault="002C6BF9" w:rsidP="009D7A33">
            <w:pPr>
              <w:rPr>
                <w:rFonts w:ascii="宋体" w:hAnsi="宋体"/>
                <w:color w:val="000000"/>
                <w:sz w:val="18"/>
                <w:szCs w:val="18"/>
              </w:rPr>
            </w:pPr>
          </w:p>
        </w:tc>
        <w:tc>
          <w:tcPr>
            <w:tcW w:w="780" w:type="dxa"/>
            <w:tcBorders>
              <w:top w:val="nil"/>
              <w:left w:val="single" w:sz="4" w:space="0" w:color="000000"/>
              <w:bottom w:val="single" w:sz="4" w:space="0" w:color="000000"/>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986" w:type="dxa"/>
            <w:gridSpan w:val="3"/>
            <w:tcBorders>
              <w:top w:val="nil"/>
              <w:left w:val="nil"/>
              <w:bottom w:val="single" w:sz="4" w:space="0" w:color="000000"/>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677" w:type="dxa"/>
            <w:gridSpan w:val="2"/>
            <w:tcBorders>
              <w:top w:val="nil"/>
              <w:left w:val="nil"/>
              <w:bottom w:val="single" w:sz="4" w:space="0" w:color="000000"/>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632" w:type="dxa"/>
            <w:gridSpan w:val="3"/>
            <w:tcBorders>
              <w:top w:val="nil"/>
              <w:left w:val="nil"/>
              <w:bottom w:val="single" w:sz="4" w:space="0" w:color="000000"/>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676" w:type="dxa"/>
            <w:gridSpan w:val="4"/>
            <w:tcBorders>
              <w:top w:val="nil"/>
              <w:left w:val="nil"/>
              <w:bottom w:val="single" w:sz="4" w:space="0" w:color="000000"/>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1074" w:type="dxa"/>
            <w:gridSpan w:val="3"/>
            <w:tcBorders>
              <w:top w:val="nil"/>
              <w:left w:val="nil"/>
              <w:bottom w:val="single" w:sz="4" w:space="0" w:color="000000"/>
              <w:right w:val="nil"/>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经办人：</w:t>
            </w:r>
          </w:p>
        </w:tc>
        <w:tc>
          <w:tcPr>
            <w:tcW w:w="1059" w:type="dxa"/>
            <w:gridSpan w:val="2"/>
            <w:tcBorders>
              <w:top w:val="nil"/>
              <w:left w:val="nil"/>
              <w:bottom w:val="single" w:sz="4" w:space="0" w:color="000000"/>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926" w:type="dxa"/>
            <w:gridSpan w:val="2"/>
            <w:tcBorders>
              <w:top w:val="nil"/>
              <w:left w:val="nil"/>
              <w:bottom w:val="single" w:sz="4" w:space="0" w:color="000000"/>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765" w:type="dxa"/>
            <w:gridSpan w:val="3"/>
            <w:tcBorders>
              <w:top w:val="nil"/>
              <w:left w:val="nil"/>
              <w:bottom w:val="single" w:sz="4" w:space="0" w:color="000000"/>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1015" w:type="dxa"/>
            <w:gridSpan w:val="2"/>
            <w:tcBorders>
              <w:top w:val="nil"/>
              <w:left w:val="nil"/>
              <w:bottom w:val="single" w:sz="4" w:space="0" w:color="000000"/>
              <w:right w:val="nil"/>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负责人：</w:t>
            </w:r>
          </w:p>
        </w:tc>
        <w:tc>
          <w:tcPr>
            <w:tcW w:w="1014" w:type="dxa"/>
            <w:tcBorders>
              <w:top w:val="nil"/>
              <w:left w:val="nil"/>
              <w:bottom w:val="single" w:sz="4" w:space="0" w:color="000000"/>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1060" w:type="dxa"/>
            <w:gridSpan w:val="2"/>
            <w:tcBorders>
              <w:top w:val="nil"/>
              <w:left w:val="nil"/>
              <w:bottom w:val="single" w:sz="4" w:space="0" w:color="000000"/>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1750" w:type="dxa"/>
            <w:gridSpan w:val="2"/>
            <w:tcBorders>
              <w:top w:val="nil"/>
              <w:left w:val="nil"/>
              <w:bottom w:val="single" w:sz="4" w:space="0" w:color="000000"/>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1030" w:type="dxa"/>
            <w:gridSpan w:val="2"/>
            <w:tcBorders>
              <w:top w:val="nil"/>
              <w:left w:val="nil"/>
              <w:bottom w:val="single" w:sz="4" w:space="0" w:color="000000"/>
              <w:right w:val="nil"/>
            </w:tcBorders>
            <w:noWrap/>
            <w:vAlign w:val="center"/>
            <w:hideMark/>
          </w:tcPr>
          <w:p w:rsidR="002C6BF9" w:rsidRDefault="002C6BF9" w:rsidP="009D7A33">
            <w:pPr>
              <w:autoSpaceDE w:val="0"/>
              <w:spacing w:line="300" w:lineRule="exact"/>
              <w:textAlignment w:val="center"/>
              <w:rPr>
                <w:rFonts w:ascii="宋体" w:hAnsi="宋体"/>
                <w:color w:val="000000"/>
                <w:sz w:val="16"/>
                <w:szCs w:val="16"/>
              </w:rPr>
            </w:pPr>
            <w:r>
              <w:rPr>
                <w:rFonts w:ascii="宋体" w:hAnsi="宋体" w:hint="eastAsia"/>
                <w:color w:val="000000"/>
                <w:sz w:val="16"/>
                <w:szCs w:val="16"/>
              </w:rPr>
              <w:t>年</w:t>
            </w:r>
            <w:r>
              <w:rPr>
                <w:rFonts w:ascii="宋体" w:hAnsi="宋体" w:hint="eastAsia"/>
                <w:color w:val="000000"/>
                <w:sz w:val="16"/>
                <w:szCs w:val="16"/>
              </w:rPr>
              <w:t xml:space="preserve">   </w:t>
            </w:r>
            <w:r>
              <w:rPr>
                <w:rFonts w:ascii="宋体" w:hAnsi="宋体" w:hint="eastAsia"/>
                <w:color w:val="000000"/>
                <w:sz w:val="16"/>
                <w:szCs w:val="16"/>
              </w:rPr>
              <w:t>月</w:t>
            </w:r>
            <w:r>
              <w:rPr>
                <w:rFonts w:ascii="宋体" w:hAnsi="宋体" w:hint="eastAsia"/>
                <w:color w:val="000000"/>
                <w:sz w:val="16"/>
                <w:szCs w:val="16"/>
              </w:rPr>
              <w:t xml:space="preserve">   </w:t>
            </w:r>
            <w:r>
              <w:rPr>
                <w:rFonts w:ascii="宋体" w:hAnsi="宋体" w:hint="eastAsia"/>
                <w:color w:val="000000"/>
                <w:sz w:val="16"/>
                <w:szCs w:val="16"/>
              </w:rPr>
              <w:t>日</w:t>
            </w:r>
          </w:p>
        </w:tc>
        <w:tc>
          <w:tcPr>
            <w:tcW w:w="705" w:type="dxa"/>
            <w:gridSpan w:val="3"/>
            <w:tcBorders>
              <w:top w:val="nil"/>
              <w:left w:val="nil"/>
              <w:bottom w:val="single" w:sz="4" w:space="0" w:color="000000"/>
              <w:right w:val="nil"/>
            </w:tcBorders>
            <w:noWrap/>
            <w:vAlign w:val="center"/>
          </w:tcPr>
          <w:p w:rsidR="002C6BF9" w:rsidRDefault="002C6BF9" w:rsidP="009D7A33">
            <w:pPr>
              <w:autoSpaceDE w:val="0"/>
              <w:spacing w:line="300" w:lineRule="exact"/>
              <w:rPr>
                <w:rFonts w:ascii="宋体" w:hAnsi="宋体"/>
                <w:color w:val="000000"/>
                <w:sz w:val="16"/>
                <w:szCs w:val="16"/>
              </w:rPr>
            </w:pPr>
          </w:p>
        </w:tc>
        <w:tc>
          <w:tcPr>
            <w:tcW w:w="692" w:type="dxa"/>
            <w:gridSpan w:val="2"/>
            <w:tcBorders>
              <w:top w:val="nil"/>
              <w:left w:val="nil"/>
              <w:bottom w:val="single" w:sz="4" w:space="0" w:color="000000"/>
              <w:right w:val="single" w:sz="4" w:space="0" w:color="000000"/>
            </w:tcBorders>
            <w:noWrap/>
            <w:vAlign w:val="center"/>
          </w:tcPr>
          <w:p w:rsidR="002C6BF9" w:rsidRDefault="002C6BF9" w:rsidP="009D7A33">
            <w:pPr>
              <w:autoSpaceDE w:val="0"/>
              <w:spacing w:line="300" w:lineRule="exact"/>
              <w:rPr>
                <w:rFonts w:ascii="宋体" w:hAnsi="宋体"/>
                <w:color w:val="000000"/>
                <w:sz w:val="16"/>
                <w:szCs w:val="16"/>
              </w:rPr>
            </w:pPr>
          </w:p>
        </w:tc>
      </w:tr>
      <w:tr w:rsidR="002C6BF9" w:rsidTr="009D7A33">
        <w:trPr>
          <w:gridAfter w:val="1"/>
          <w:wAfter w:w="597" w:type="dxa"/>
          <w:trHeight w:val="270"/>
        </w:trPr>
        <w:tc>
          <w:tcPr>
            <w:tcW w:w="15897" w:type="dxa"/>
            <w:gridSpan w:val="40"/>
            <w:tcBorders>
              <w:top w:val="nil"/>
              <w:left w:val="nil"/>
              <w:bottom w:val="nil"/>
              <w:right w:val="nil"/>
            </w:tcBorders>
            <w:noWrap/>
            <w:vAlign w:val="center"/>
            <w:hideMark/>
          </w:tcPr>
          <w:p w:rsidR="002C6BF9" w:rsidRDefault="002C6BF9" w:rsidP="009D7A33">
            <w:pPr>
              <w:autoSpaceDE w:val="0"/>
              <w:spacing w:line="300" w:lineRule="exact"/>
              <w:textAlignment w:val="center"/>
              <w:rPr>
                <w:rFonts w:ascii="宋体" w:hAnsi="宋体"/>
                <w:color w:val="000000"/>
                <w:sz w:val="18"/>
                <w:szCs w:val="18"/>
              </w:rPr>
            </w:pPr>
            <w:r>
              <w:rPr>
                <w:rFonts w:ascii="宋体" w:hAnsi="宋体" w:hint="eastAsia"/>
                <w:color w:val="000000"/>
                <w:sz w:val="18"/>
                <w:szCs w:val="18"/>
              </w:rPr>
              <w:t>说明：</w:t>
            </w:r>
            <w:r>
              <w:rPr>
                <w:rFonts w:ascii="宋体" w:hAnsi="宋体" w:hint="eastAsia"/>
                <w:color w:val="000000"/>
                <w:sz w:val="18"/>
                <w:szCs w:val="18"/>
              </w:rPr>
              <w:t>1.</w:t>
            </w:r>
            <w:r>
              <w:rPr>
                <w:rFonts w:ascii="宋体" w:hAnsi="宋体" w:hint="eastAsia"/>
                <w:color w:val="000000"/>
                <w:sz w:val="18"/>
                <w:szCs w:val="18"/>
              </w:rPr>
              <w:t>本表适用于市级行政事业单位国有资产转让、置换、报废、损失核销等处置事项申请。</w:t>
            </w:r>
          </w:p>
        </w:tc>
      </w:tr>
      <w:tr w:rsidR="002C6BF9" w:rsidTr="009D7A33">
        <w:trPr>
          <w:gridAfter w:val="1"/>
          <w:wAfter w:w="597" w:type="dxa"/>
          <w:trHeight w:val="270"/>
        </w:trPr>
        <w:tc>
          <w:tcPr>
            <w:tcW w:w="15897" w:type="dxa"/>
            <w:gridSpan w:val="40"/>
            <w:tcBorders>
              <w:top w:val="nil"/>
              <w:left w:val="nil"/>
              <w:bottom w:val="nil"/>
              <w:right w:val="nil"/>
            </w:tcBorders>
            <w:noWrap/>
            <w:vAlign w:val="center"/>
            <w:hideMark/>
          </w:tcPr>
          <w:p w:rsidR="002C6BF9" w:rsidRDefault="002C6BF9" w:rsidP="002C6BF9">
            <w:pPr>
              <w:autoSpaceDE w:val="0"/>
              <w:spacing w:line="300" w:lineRule="exact"/>
              <w:ind w:leftChars="253" w:left="1732" w:hangingChars="696" w:hanging="1196"/>
              <w:textAlignment w:val="cente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资产类别：（</w:t>
            </w:r>
            <w:r>
              <w:rPr>
                <w:rFonts w:ascii="宋体" w:hAnsi="宋体" w:hint="eastAsia"/>
                <w:color w:val="000000"/>
                <w:sz w:val="18"/>
                <w:szCs w:val="18"/>
              </w:rPr>
              <w:t>1</w:t>
            </w:r>
            <w:r>
              <w:rPr>
                <w:rFonts w:ascii="宋体" w:hAnsi="宋体" w:hint="eastAsia"/>
                <w:color w:val="000000"/>
                <w:sz w:val="18"/>
                <w:szCs w:val="18"/>
              </w:rPr>
              <w:t>）固定资产包括</w:t>
            </w:r>
            <w:r>
              <w:rPr>
                <w:rStyle w:val="15"/>
                <w:rFonts w:hint="default"/>
              </w:rPr>
              <w:t>①房屋及构筑物②设备③文物和陈列品④图书、档案⑤家具、用具、装具⑥特种动植物；  （2）无形资产包括①专利权②非专利权</w:t>
            </w:r>
            <w:r>
              <w:rPr>
                <w:rFonts w:ascii="宋体" w:hAnsi="宋体" w:hint="eastAsia"/>
                <w:color w:val="000000"/>
                <w:sz w:val="18"/>
                <w:szCs w:val="18"/>
              </w:rPr>
              <w:t>③著作权④资源资质⑤商标权⑥信息数据⑦其他；</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3</w:t>
            </w:r>
            <w:r>
              <w:rPr>
                <w:rFonts w:ascii="宋体" w:hAnsi="宋体" w:hint="eastAsia"/>
                <w:color w:val="000000"/>
                <w:sz w:val="18"/>
                <w:szCs w:val="18"/>
              </w:rPr>
              <w:t>）对外投资包括①短期投资②长期股权③长期债权投资；</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）存货等其他资产。</w:t>
            </w:r>
          </w:p>
        </w:tc>
      </w:tr>
      <w:tr w:rsidR="002C6BF9" w:rsidTr="009D7A33">
        <w:trPr>
          <w:gridAfter w:val="1"/>
          <w:wAfter w:w="597" w:type="dxa"/>
          <w:trHeight w:val="270"/>
        </w:trPr>
        <w:tc>
          <w:tcPr>
            <w:tcW w:w="15897" w:type="dxa"/>
            <w:gridSpan w:val="40"/>
            <w:tcBorders>
              <w:top w:val="nil"/>
              <w:left w:val="nil"/>
              <w:bottom w:val="nil"/>
              <w:right w:val="nil"/>
            </w:tcBorders>
            <w:noWrap/>
            <w:vAlign w:val="center"/>
            <w:hideMark/>
          </w:tcPr>
          <w:p w:rsidR="002C6BF9" w:rsidRDefault="002C6BF9" w:rsidP="009D7A33">
            <w:pPr>
              <w:autoSpaceDE w:val="0"/>
              <w:spacing w:line="300" w:lineRule="exact"/>
              <w:ind w:firstLineChars="300" w:firstLine="515"/>
              <w:textAlignment w:val="center"/>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资产来源：（</w:t>
            </w:r>
            <w:r>
              <w:rPr>
                <w:rFonts w:ascii="宋体" w:hAnsi="宋体" w:hint="eastAsia"/>
                <w:color w:val="000000"/>
                <w:sz w:val="18"/>
                <w:szCs w:val="18"/>
              </w:rPr>
              <w:t>1</w:t>
            </w:r>
            <w:r>
              <w:rPr>
                <w:rFonts w:ascii="宋体" w:hAnsi="宋体" w:hint="eastAsia"/>
                <w:color w:val="000000"/>
                <w:sz w:val="18"/>
                <w:szCs w:val="18"/>
              </w:rPr>
              <w:t>）财政性资金形成；</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）单位自筹资金形成；</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3</w:t>
            </w:r>
            <w:r>
              <w:rPr>
                <w:rFonts w:ascii="宋体" w:hAnsi="宋体" w:hint="eastAsia"/>
                <w:color w:val="000000"/>
                <w:sz w:val="18"/>
                <w:szCs w:val="18"/>
              </w:rPr>
              <w:t>）单位合并形成；</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）上级拨付资金形成；</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）无偿划转形成；</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6</w:t>
            </w:r>
            <w:r>
              <w:rPr>
                <w:rFonts w:ascii="宋体" w:hAnsi="宋体" w:hint="eastAsia"/>
                <w:color w:val="000000"/>
                <w:sz w:val="18"/>
                <w:szCs w:val="18"/>
              </w:rPr>
              <w:t>）接受捐赠形成；</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7</w:t>
            </w:r>
            <w:r>
              <w:rPr>
                <w:rFonts w:ascii="宋体" w:hAnsi="宋体" w:hint="eastAsia"/>
                <w:color w:val="000000"/>
                <w:sz w:val="18"/>
                <w:szCs w:val="18"/>
              </w:rPr>
              <w:t>）其他；</w:t>
            </w:r>
          </w:p>
        </w:tc>
      </w:tr>
      <w:tr w:rsidR="002C6BF9" w:rsidTr="009D7A33">
        <w:trPr>
          <w:gridAfter w:val="1"/>
          <w:wAfter w:w="597" w:type="dxa"/>
          <w:trHeight w:val="270"/>
        </w:trPr>
        <w:tc>
          <w:tcPr>
            <w:tcW w:w="15897" w:type="dxa"/>
            <w:gridSpan w:val="40"/>
            <w:tcBorders>
              <w:top w:val="nil"/>
              <w:left w:val="nil"/>
              <w:bottom w:val="nil"/>
              <w:right w:val="nil"/>
            </w:tcBorders>
            <w:noWrap/>
            <w:vAlign w:val="center"/>
            <w:hideMark/>
          </w:tcPr>
          <w:p w:rsidR="002C6BF9" w:rsidRDefault="002C6BF9" w:rsidP="009D7A33">
            <w:pPr>
              <w:autoSpaceDE w:val="0"/>
              <w:spacing w:line="300" w:lineRule="exact"/>
              <w:ind w:firstLineChars="300" w:firstLine="515"/>
              <w:textAlignment w:val="center"/>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资产处置方式：（</w:t>
            </w:r>
            <w:r>
              <w:rPr>
                <w:rFonts w:ascii="宋体" w:hAnsi="宋体" w:hint="eastAsia"/>
                <w:color w:val="000000"/>
                <w:sz w:val="18"/>
                <w:szCs w:val="18"/>
              </w:rPr>
              <w:t>1</w:t>
            </w:r>
            <w:r>
              <w:rPr>
                <w:rFonts w:ascii="宋体" w:hAnsi="宋体" w:hint="eastAsia"/>
                <w:color w:val="000000"/>
                <w:sz w:val="18"/>
                <w:szCs w:val="18"/>
              </w:rPr>
              <w:t>）转让；</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）置换；</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3</w:t>
            </w:r>
            <w:r>
              <w:rPr>
                <w:rFonts w:ascii="宋体" w:hAnsi="宋体" w:hint="eastAsia"/>
                <w:color w:val="000000"/>
                <w:sz w:val="18"/>
                <w:szCs w:val="18"/>
              </w:rPr>
              <w:t>）报废；</w:t>
            </w:r>
            <w:r>
              <w:rPr>
                <w:rFonts w:ascii="宋体" w:hAnsi="宋体" w:hint="eastAsia"/>
                <w:color w:val="000000"/>
                <w:sz w:val="18"/>
                <w:szCs w:val="18"/>
              </w:rPr>
              <w:t xml:space="preserve">  </w:t>
            </w: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）损失核销。</w:t>
            </w:r>
          </w:p>
        </w:tc>
      </w:tr>
      <w:tr w:rsidR="002C6BF9" w:rsidTr="009D7A33">
        <w:trPr>
          <w:gridAfter w:val="1"/>
          <w:wAfter w:w="597" w:type="dxa"/>
          <w:trHeight w:val="270"/>
        </w:trPr>
        <w:tc>
          <w:tcPr>
            <w:tcW w:w="15897" w:type="dxa"/>
            <w:gridSpan w:val="40"/>
            <w:tcBorders>
              <w:top w:val="nil"/>
              <w:left w:val="nil"/>
              <w:bottom w:val="nil"/>
              <w:right w:val="nil"/>
            </w:tcBorders>
            <w:noWrap/>
            <w:vAlign w:val="center"/>
            <w:hideMark/>
          </w:tcPr>
          <w:p w:rsidR="002C6BF9" w:rsidRDefault="002C6BF9" w:rsidP="009D7A33">
            <w:pPr>
              <w:autoSpaceDE w:val="0"/>
              <w:spacing w:line="300" w:lineRule="exact"/>
              <w:ind w:firstLineChars="298" w:firstLine="512"/>
              <w:textAlignment w:val="center"/>
              <w:rPr>
                <w:rFonts w:ascii="宋体" w:hAnsi="宋体"/>
                <w:color w:val="000000"/>
                <w:sz w:val="18"/>
                <w:szCs w:val="18"/>
              </w:rPr>
            </w:pPr>
            <w:r>
              <w:rPr>
                <w:rFonts w:ascii="宋体" w:hAnsi="宋体" w:hint="eastAsia"/>
                <w:color w:val="000000"/>
                <w:sz w:val="18"/>
                <w:szCs w:val="18"/>
              </w:rPr>
              <w:t>5.</w:t>
            </w:r>
            <w:r>
              <w:rPr>
                <w:rFonts w:ascii="宋体" w:hAnsi="宋体" w:hint="eastAsia"/>
                <w:color w:val="000000"/>
                <w:sz w:val="18"/>
                <w:szCs w:val="18"/>
              </w:rPr>
              <w:t>表中资产类别、资产来源、资产处置方式等用填表说明中最末级标准名称填写，选填“其他”的，需在备注栏进行说明</w:t>
            </w:r>
            <w:r>
              <w:rPr>
                <w:rFonts w:ascii="宋体" w:hAnsi="宋体" w:hint="eastAsia"/>
                <w:color w:val="000000"/>
                <w:sz w:val="18"/>
                <w:szCs w:val="18"/>
              </w:rPr>
              <w:t xml:space="preserve"> </w:t>
            </w:r>
            <w:r>
              <w:rPr>
                <w:rFonts w:ascii="宋体" w:hAnsi="宋体" w:hint="eastAsia"/>
                <w:color w:val="000000"/>
                <w:sz w:val="18"/>
                <w:szCs w:val="18"/>
              </w:rPr>
              <w:t>。</w:t>
            </w:r>
          </w:p>
        </w:tc>
      </w:tr>
    </w:tbl>
    <w:p w:rsidR="002C6BF9" w:rsidRPr="00F7697A" w:rsidRDefault="002C6BF9" w:rsidP="002C6BF9">
      <w:pPr>
        <w:autoSpaceDE w:val="0"/>
        <w:spacing w:line="300" w:lineRule="exact"/>
        <w:rPr>
          <w:rFonts w:eastAsia="方正仿宋_GBK"/>
          <w:sz w:val="18"/>
          <w:szCs w:val="18"/>
        </w:rPr>
        <w:sectPr w:rsidR="002C6BF9" w:rsidRPr="00F7697A" w:rsidSect="00AB593E">
          <w:pgSz w:w="16838" w:h="11906" w:orient="landscape" w:code="9"/>
          <w:pgMar w:top="1588" w:right="2098" w:bottom="1474" w:left="1928" w:header="851" w:footer="992" w:gutter="0"/>
          <w:cols w:space="425"/>
          <w:docGrid w:type="linesAndChars" w:linePitch="435" w:charSpace="-1675"/>
        </w:sectPr>
      </w:pPr>
    </w:p>
    <w:p w:rsidR="004358AB" w:rsidRDefault="004358AB" w:rsidP="00D31D50">
      <w:pPr>
        <w:spacing w:line="220" w:lineRule="atLeast"/>
      </w:pPr>
    </w:p>
    <w:sectPr w:rsidR="004358AB" w:rsidSect="00E468CE">
      <w:pgSz w:w="11906" w:h="16838" w:code="9"/>
      <w:pgMar w:top="2098" w:right="1474" w:bottom="1928" w:left="1588" w:header="851" w:footer="992" w:gutter="0"/>
      <w:cols w:space="425"/>
      <w:docGrid w:type="lines" w:linePitch="435"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1EB" w:rsidRDefault="002C01EB" w:rsidP="00411B02">
      <w:pPr>
        <w:spacing w:after="0"/>
      </w:pPr>
      <w:r>
        <w:separator/>
      </w:r>
    </w:p>
  </w:endnote>
  <w:endnote w:type="continuationSeparator" w:id="0">
    <w:p w:rsidR="002C01EB" w:rsidRDefault="002C01EB" w:rsidP="00411B0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微软雅黑"/>
    <w:panose1 w:val="02010600030101010101"/>
    <w:charset w:val="86"/>
    <w:family w:val="modern"/>
    <w:notTrueType/>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auto"/>
    <w:pitch w:val="variable"/>
    <w:sig w:usb0="A00002BF" w:usb1="38CF7CFA" w:usb2="00082016" w:usb3="00000000" w:csb0="00040001" w:csb1="00000000"/>
  </w:font>
  <w:font w:name="仿宋_GB2312">
    <w:altName w:val="微软雅黑"/>
    <w:charset w:val="86"/>
    <w:family w:val="modern"/>
    <w:pitch w:val="fixed"/>
    <w:sig w:usb0="00000000" w:usb1="080E0000" w:usb2="00000010" w:usb3="00000000" w:csb0="00040000" w:csb1="00000000"/>
  </w:font>
  <w:font w:name="方正仿宋_GBK">
    <w:panose1 w:val="03000509000000000000"/>
    <w:charset w:val="86"/>
    <w:family w:val="auto"/>
    <w:pitch w:val="variable"/>
    <w:sig w:usb0="A00002BF" w:usb1="38CF7CFA" w:usb2="00082016" w:usb3="00000000" w:csb0="00040001" w:csb1="00000000"/>
  </w:font>
  <w:font w:name="方正黑体_GBK">
    <w:panose1 w:val="03000509000000000000"/>
    <w:charset w:val="86"/>
    <w:family w:val="auto"/>
    <w:pitch w:val="variable"/>
    <w:sig w:usb0="A00002BF" w:usb1="38CF7CFA" w:usb2="00082016" w:usb3="00000000" w:csb0="00040001" w:csb1="00000000"/>
  </w:font>
  <w:font w:name="方正楷体_GBK">
    <w:panose1 w:val="03000509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DC" w:rsidRDefault="00411B02" w:rsidP="00C01F76">
    <w:pPr>
      <w:pStyle w:val="a3"/>
      <w:framePr w:wrap="around" w:vAnchor="text" w:hAnchor="margin" w:xAlign="center" w:y="1"/>
      <w:rPr>
        <w:rStyle w:val="a4"/>
      </w:rPr>
    </w:pPr>
    <w:r>
      <w:rPr>
        <w:rStyle w:val="a4"/>
      </w:rPr>
      <w:fldChar w:fldCharType="begin"/>
    </w:r>
    <w:r w:rsidR="002C6BF9">
      <w:rPr>
        <w:rStyle w:val="a4"/>
      </w:rPr>
      <w:instrText xml:space="preserve">PAGE  </w:instrText>
    </w:r>
    <w:r>
      <w:rPr>
        <w:rStyle w:val="a4"/>
      </w:rPr>
      <w:fldChar w:fldCharType="separate"/>
    </w:r>
    <w:r w:rsidR="002C6BF9">
      <w:rPr>
        <w:rStyle w:val="a4"/>
        <w:noProof/>
      </w:rPr>
      <w:t>2</w:t>
    </w:r>
    <w:r>
      <w:rPr>
        <w:rStyle w:val="a4"/>
      </w:rPr>
      <w:fldChar w:fldCharType="end"/>
    </w:r>
  </w:p>
  <w:p w:rsidR="00577ADC" w:rsidRDefault="002C01E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DC" w:rsidRDefault="002C6BF9" w:rsidP="00622846">
    <w:pPr>
      <w:pStyle w:val="a3"/>
      <w:framePr w:w="827" w:wrap="around" w:vAnchor="text" w:hAnchor="margin" w:xAlign="outside" w:y="1"/>
      <w:rPr>
        <w:rStyle w:val="a4"/>
      </w:rPr>
    </w:pPr>
    <w:r>
      <w:rPr>
        <w:rStyle w:val="a4"/>
        <w:rFonts w:hint="eastAsia"/>
      </w:rPr>
      <w:t>—</w:t>
    </w:r>
    <w:r w:rsidR="00411B02" w:rsidRPr="0060130A">
      <w:rPr>
        <w:rStyle w:val="a4"/>
        <w:sz w:val="28"/>
        <w:szCs w:val="28"/>
      </w:rPr>
      <w:fldChar w:fldCharType="begin"/>
    </w:r>
    <w:r w:rsidRPr="0060130A">
      <w:rPr>
        <w:rStyle w:val="a4"/>
        <w:sz w:val="28"/>
        <w:szCs w:val="28"/>
      </w:rPr>
      <w:instrText xml:space="preserve">PAGE  </w:instrText>
    </w:r>
    <w:r w:rsidR="00411B02" w:rsidRPr="0060130A">
      <w:rPr>
        <w:rStyle w:val="a4"/>
        <w:sz w:val="28"/>
        <w:szCs w:val="28"/>
      </w:rPr>
      <w:fldChar w:fldCharType="separate"/>
    </w:r>
    <w:r w:rsidR="00F7697A">
      <w:rPr>
        <w:rStyle w:val="a4"/>
        <w:noProof/>
        <w:sz w:val="28"/>
        <w:szCs w:val="28"/>
      </w:rPr>
      <w:t>24</w:t>
    </w:r>
    <w:r w:rsidR="00411B02" w:rsidRPr="0060130A">
      <w:rPr>
        <w:rStyle w:val="a4"/>
        <w:sz w:val="28"/>
        <w:szCs w:val="28"/>
      </w:rPr>
      <w:fldChar w:fldCharType="end"/>
    </w:r>
    <w:r>
      <w:rPr>
        <w:rStyle w:val="a4"/>
        <w:rFonts w:hint="eastAsia"/>
      </w:rPr>
      <w:t>—</w:t>
    </w:r>
  </w:p>
  <w:p w:rsidR="00577ADC" w:rsidRDefault="002C01EB" w:rsidP="00C01F76">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1EB" w:rsidRDefault="002C01EB" w:rsidP="00411B02">
      <w:pPr>
        <w:spacing w:after="0"/>
      </w:pPr>
      <w:r>
        <w:separator/>
      </w:r>
    </w:p>
  </w:footnote>
  <w:footnote w:type="continuationSeparator" w:id="0">
    <w:p w:rsidR="002C01EB" w:rsidRDefault="002C01EB" w:rsidP="00411B0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2C01EB"/>
    <w:rsid w:val="002C6BF9"/>
    <w:rsid w:val="00323B43"/>
    <w:rsid w:val="003D37D8"/>
    <w:rsid w:val="00411B02"/>
    <w:rsid w:val="00426133"/>
    <w:rsid w:val="004358AB"/>
    <w:rsid w:val="008B7726"/>
    <w:rsid w:val="00917F42"/>
    <w:rsid w:val="00D31D50"/>
    <w:rsid w:val="00F769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footer"/>
    <w:basedOn w:val="a"/>
    <w:link w:val="Char"/>
    <w:rsid w:val="002C6BF9"/>
    <w:pPr>
      <w:widowControl w:val="0"/>
      <w:tabs>
        <w:tab w:val="center" w:pos="4153"/>
        <w:tab w:val="right" w:pos="8306"/>
      </w:tabs>
      <w:adjustRightInd/>
      <w:spacing w:after="0"/>
    </w:pPr>
    <w:rPr>
      <w:rFonts w:ascii="Times New Roman" w:eastAsia="黑体" w:hAnsi="Times New Roman" w:cs="Times New Roman"/>
      <w:snapToGrid w:val="0"/>
      <w:sz w:val="18"/>
      <w:szCs w:val="18"/>
    </w:rPr>
  </w:style>
  <w:style w:type="character" w:customStyle="1" w:styleId="Char">
    <w:name w:val="页脚 Char"/>
    <w:basedOn w:val="a0"/>
    <w:link w:val="a3"/>
    <w:rsid w:val="002C6BF9"/>
    <w:rPr>
      <w:rFonts w:ascii="Times New Roman" w:eastAsia="黑体" w:hAnsi="Times New Roman" w:cs="Times New Roman"/>
      <w:snapToGrid w:val="0"/>
      <w:sz w:val="18"/>
      <w:szCs w:val="18"/>
    </w:rPr>
  </w:style>
  <w:style w:type="character" w:styleId="a4">
    <w:name w:val="page number"/>
    <w:basedOn w:val="a0"/>
    <w:rsid w:val="002C6BF9"/>
  </w:style>
  <w:style w:type="character" w:customStyle="1" w:styleId="15">
    <w:name w:val="15"/>
    <w:rsid w:val="002C6BF9"/>
    <w:rPr>
      <w:rFonts w:ascii="宋体" w:eastAsia="宋体" w:hAnsi="宋体" w:hint="eastAsia"/>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1462</Words>
  <Characters>8340</Characters>
  <Application>Microsoft Office Word</Application>
  <DocSecurity>0</DocSecurity>
  <Lines>69</Lines>
  <Paragraphs>19</Paragraphs>
  <ScaleCrop>false</ScaleCrop>
  <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2025-07-02T09:21:00Z</dcterms:modified>
</cp:coreProperties>
</file>