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A3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黑体_GBK" w:cs="Times New Roman"/>
          <w:i w:val="0"/>
          <w:caps w:val="0"/>
          <w:color w:val="auto"/>
          <w:spacing w:val="0"/>
          <w:sz w:val="32"/>
          <w:szCs w:val="32"/>
          <w:shd w:val="clear" w:fill="FFFFFF"/>
          <w:lang w:val="en-US" w:eastAsia="zh-CN"/>
        </w:rPr>
      </w:pPr>
      <w:r>
        <w:rPr>
          <w:rFonts w:hint="default" w:ascii="Times New Roman" w:hAnsi="Times New Roman" w:eastAsia="方正黑体_GBK" w:cs="Times New Roman"/>
          <w:i w:val="0"/>
          <w:caps w:val="0"/>
          <w:color w:val="auto"/>
          <w:spacing w:val="0"/>
          <w:sz w:val="32"/>
          <w:szCs w:val="32"/>
          <w:shd w:val="clear" w:fill="FFFFFF"/>
          <w:lang w:eastAsia="zh-CN"/>
        </w:rPr>
        <w:t>附件</w:t>
      </w:r>
      <w:r>
        <w:rPr>
          <w:rFonts w:hint="default" w:ascii="Times New Roman" w:hAnsi="Times New Roman" w:eastAsia="方正黑体_GBK" w:cs="Times New Roman"/>
          <w:i w:val="0"/>
          <w:caps w:val="0"/>
          <w:color w:val="auto"/>
          <w:spacing w:val="0"/>
          <w:sz w:val="32"/>
          <w:szCs w:val="32"/>
          <w:shd w:val="clear" w:fill="FFFFFF"/>
          <w:lang w:val="en-US" w:eastAsia="zh-CN"/>
        </w:rPr>
        <w:t>1</w:t>
      </w:r>
    </w:p>
    <w:p w14:paraId="32BB25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小标宋_GBK" w:cs="Times New Roman"/>
          <w:i w:val="0"/>
          <w:caps w:val="0"/>
          <w:color w:val="auto"/>
          <w:spacing w:val="0"/>
          <w:sz w:val="36"/>
          <w:szCs w:val="36"/>
          <w:lang w:eastAsia="zh-CN"/>
        </w:rPr>
      </w:pPr>
      <w:bookmarkStart w:id="0" w:name="_GoBack"/>
      <w:r>
        <w:rPr>
          <w:rFonts w:hint="default" w:ascii="Times New Roman" w:hAnsi="Times New Roman" w:eastAsia="方正小标宋_GBK" w:cs="Times New Roman"/>
          <w:i w:val="0"/>
          <w:caps w:val="0"/>
          <w:color w:val="auto"/>
          <w:spacing w:val="0"/>
          <w:sz w:val="36"/>
          <w:szCs w:val="36"/>
          <w:shd w:val="clear" w:fill="FFFFFF"/>
          <w:lang w:eastAsia="zh-CN"/>
        </w:rPr>
        <w:t>《</w:t>
      </w:r>
      <w:r>
        <w:rPr>
          <w:rFonts w:hint="default" w:ascii="Times New Roman" w:hAnsi="Times New Roman" w:eastAsia="方正小标宋_GBK" w:cs="Times New Roman"/>
          <w:i w:val="0"/>
          <w:caps w:val="0"/>
          <w:color w:val="auto"/>
          <w:spacing w:val="0"/>
          <w:sz w:val="36"/>
          <w:szCs w:val="36"/>
          <w:shd w:val="clear" w:fill="FFFFFF"/>
        </w:rPr>
        <w:t>乌鲁木齐市客运出租汽车管理条例</w:t>
      </w:r>
      <w:r>
        <w:rPr>
          <w:rFonts w:hint="default" w:ascii="Times New Roman" w:hAnsi="Times New Roman" w:eastAsia="方正小标宋_GBK" w:cs="Times New Roman"/>
          <w:i w:val="0"/>
          <w:caps w:val="0"/>
          <w:color w:val="auto"/>
          <w:spacing w:val="0"/>
          <w:sz w:val="36"/>
          <w:szCs w:val="36"/>
          <w:shd w:val="clear" w:fill="FFFFFF"/>
          <w:lang w:eastAsia="zh-CN"/>
        </w:rPr>
        <w:t>》行政处罚裁量权基准</w:t>
      </w:r>
    </w:p>
    <w:bookmarkEnd w:id="0"/>
    <w:tbl>
      <w:tblPr>
        <w:tblStyle w:val="7"/>
        <w:tblW w:w="5314" w:type="pct"/>
        <w:jc w:val="center"/>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Layout w:type="fixed"/>
        <w:tblCellMar>
          <w:top w:w="15" w:type="dxa"/>
          <w:left w:w="15" w:type="dxa"/>
          <w:bottom w:w="15" w:type="dxa"/>
          <w:right w:w="15" w:type="dxa"/>
        </w:tblCellMar>
      </w:tblPr>
      <w:tblGrid>
        <w:gridCol w:w="683"/>
        <w:gridCol w:w="1156"/>
        <w:gridCol w:w="2167"/>
        <w:gridCol w:w="1868"/>
        <w:gridCol w:w="1166"/>
        <w:gridCol w:w="4250"/>
        <w:gridCol w:w="2283"/>
      </w:tblGrid>
      <w:tr w14:paraId="26D7AC40">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CellMar>
            <w:top w:w="15" w:type="dxa"/>
            <w:left w:w="15" w:type="dxa"/>
            <w:bottom w:w="15" w:type="dxa"/>
            <w:right w:w="15" w:type="dxa"/>
          </w:tblCellMar>
        </w:tblPrEx>
        <w:trPr>
          <w:jc w:val="center"/>
        </w:trPr>
        <w:tc>
          <w:tcPr>
            <w:tcW w:w="251"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354B9D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序号</w:t>
            </w:r>
          </w:p>
        </w:tc>
        <w:tc>
          <w:tcPr>
            <w:tcW w:w="426"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71AFB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违法行为</w:t>
            </w:r>
          </w:p>
        </w:tc>
        <w:tc>
          <w:tcPr>
            <w:tcW w:w="797"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6441A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法规依据</w:t>
            </w:r>
          </w:p>
        </w:tc>
        <w:tc>
          <w:tcPr>
            <w:tcW w:w="688"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5D1B89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处罚依据</w:t>
            </w:r>
          </w:p>
        </w:tc>
        <w:tc>
          <w:tcPr>
            <w:tcW w:w="429"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3EA354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i w:val="0"/>
                <w:caps w:val="0"/>
                <w:color w:val="auto"/>
                <w:spacing w:val="0"/>
                <w:sz w:val="24"/>
                <w:szCs w:val="24"/>
                <w:lang w:val="en-US" w:eastAsia="zh-CN"/>
              </w:rPr>
            </w:pPr>
            <w:r>
              <w:rPr>
                <w:rFonts w:hint="default" w:ascii="Times New Roman" w:hAnsi="Times New Roman" w:eastAsia="方正黑体_GBK" w:cs="Times New Roman"/>
                <w:i w:val="0"/>
                <w:caps w:val="0"/>
                <w:color w:val="auto"/>
                <w:spacing w:val="0"/>
                <w:sz w:val="24"/>
                <w:szCs w:val="24"/>
                <w:lang w:val="en-US" w:eastAsia="zh-CN"/>
              </w:rPr>
              <w:t>裁量阶次</w:t>
            </w:r>
          </w:p>
        </w:tc>
        <w:tc>
          <w:tcPr>
            <w:tcW w:w="1565"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0B0DB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裁量情节</w:t>
            </w:r>
          </w:p>
        </w:tc>
        <w:tc>
          <w:tcPr>
            <w:tcW w:w="841"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5FCF5D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裁量标准</w:t>
            </w:r>
          </w:p>
        </w:tc>
      </w:tr>
      <w:tr w14:paraId="3B3C8577">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655" w:hRule="atLeast"/>
          <w:jc w:val="center"/>
        </w:trPr>
        <w:tc>
          <w:tcPr>
            <w:tcW w:w="251"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D2F42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b w:val="0"/>
                <w:bCs w:val="0"/>
                <w:color w:val="auto"/>
                <w:sz w:val="20"/>
                <w:szCs w:val="20"/>
              </w:rPr>
            </w:pPr>
            <w:r>
              <w:rPr>
                <w:rFonts w:hint="default" w:ascii="Times New Roman" w:hAnsi="Times New Roman" w:eastAsia="方正仿宋_GBK" w:cs="Times New Roman"/>
                <w:i w:val="0"/>
                <w:caps w:val="0"/>
                <w:color w:val="auto"/>
                <w:spacing w:val="0"/>
                <w:kern w:val="2"/>
                <w:sz w:val="28"/>
                <w:szCs w:val="28"/>
                <w:lang w:val="en-US" w:eastAsia="zh-CN" w:bidi="ar-SA"/>
              </w:rPr>
              <w:t>1</w:t>
            </w:r>
          </w:p>
        </w:tc>
        <w:tc>
          <w:tcPr>
            <w:tcW w:w="426"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DC70E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kern w:val="2"/>
                <w:sz w:val="20"/>
                <w:szCs w:val="20"/>
                <w:lang w:val="en-US" w:eastAsia="zh-CN" w:bidi="ar-SA"/>
              </w:rPr>
              <w:t>巡游车、网约车驾驶员发生道路交通亡人事故并负同等以上责任</w:t>
            </w:r>
          </w:p>
        </w:tc>
        <w:tc>
          <w:tcPr>
            <w:tcW w:w="797"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60D3172">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《乌鲁木齐市客运出租汽车管理条例》第十六条从事客运出租汽车经营应当遵守下列规定：（一）对驾驶员开展社会主义核心价值观、铸牢中华民族共同体意识以及职业道德、安全营运等教育活动；</w:t>
            </w:r>
          </w:p>
          <w:p w14:paraId="1590D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kern w:val="2"/>
                <w:sz w:val="20"/>
                <w:szCs w:val="20"/>
                <w:lang w:val="en-US" w:eastAsia="zh-CN" w:bidi="ar-SA"/>
              </w:rPr>
            </w:pPr>
          </w:p>
        </w:tc>
        <w:tc>
          <w:tcPr>
            <w:tcW w:w="68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F8241F8">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二十五条：巡游车驾驶员发生道路交通亡人事故并负同等以上责任的，由市交通运输主管部门责令巡游车经营者相应车辆停业整顿一个月，处二万元以上五万元以下的罚款。</w:t>
            </w:r>
          </w:p>
          <w:p w14:paraId="0C902D1A">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网约车驾驶员发生道路交通亡人事故并负同等以上责任的，由市交通运输主管部门责令网约车经营企业相应车辆停业整顿一个月，处二万元以上五万元以下的罚款。</w:t>
            </w:r>
          </w:p>
          <w:p w14:paraId="434C4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p>
        </w:tc>
        <w:tc>
          <w:tcPr>
            <w:tcW w:w="429"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00C46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从轻</w:t>
            </w:r>
          </w:p>
        </w:tc>
        <w:tc>
          <w:tcPr>
            <w:tcW w:w="156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C8A022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第一次违法且具有以下情形之一</w:t>
            </w:r>
          </w:p>
          <w:p w14:paraId="717BA7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一</w:t>
            </w:r>
            <w:r>
              <w:rPr>
                <w:rFonts w:hint="default" w:ascii="Times New Roman" w:hAnsi="Times New Roman" w:eastAsia="方正仿宋_GBK" w:cs="Times New Roman"/>
                <w:i w:val="0"/>
                <w:caps w:val="0"/>
                <w:color w:val="auto"/>
                <w:spacing w:val="0"/>
                <w:sz w:val="21"/>
                <w:szCs w:val="21"/>
              </w:rPr>
              <w:t>）主动消除或者减轻违法行为危害后果的；</w:t>
            </w:r>
          </w:p>
          <w:p w14:paraId="1BA437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1.</w:t>
            </w:r>
            <w:r>
              <w:rPr>
                <w:rFonts w:hint="default" w:ascii="Times New Roman" w:hAnsi="Times New Roman" w:eastAsia="方正仿宋_GBK" w:cs="Times New Roman"/>
                <w:i w:val="0"/>
                <w:caps w:val="0"/>
                <w:color w:val="auto"/>
                <w:spacing w:val="0"/>
                <w:sz w:val="21"/>
                <w:szCs w:val="21"/>
                <w:lang w:eastAsia="zh-CN"/>
              </w:rPr>
              <w:t>发生道路交通亡人事故并负同等责任</w:t>
            </w:r>
            <w:r>
              <w:rPr>
                <w:rFonts w:hint="default" w:ascii="Times New Roman" w:hAnsi="Times New Roman" w:eastAsia="方正仿宋_GBK" w:cs="Times New Roman"/>
                <w:i w:val="0"/>
                <w:caps w:val="0"/>
                <w:color w:val="auto"/>
                <w:spacing w:val="0"/>
                <w:sz w:val="21"/>
                <w:szCs w:val="21"/>
              </w:rPr>
              <w:t>；</w:t>
            </w:r>
          </w:p>
          <w:p w14:paraId="65819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.积极配合执法并及时</w:t>
            </w:r>
            <w:r>
              <w:rPr>
                <w:rFonts w:hint="default" w:ascii="Times New Roman" w:hAnsi="Times New Roman" w:eastAsia="方正仿宋_GBK" w:cs="Times New Roman"/>
                <w:i w:val="0"/>
                <w:caps w:val="0"/>
                <w:color w:val="auto"/>
                <w:spacing w:val="0"/>
                <w:sz w:val="21"/>
                <w:szCs w:val="21"/>
                <w:lang w:eastAsia="zh-CN"/>
              </w:rPr>
              <w:t>整改</w:t>
            </w:r>
            <w:r>
              <w:rPr>
                <w:rFonts w:hint="default" w:ascii="Times New Roman" w:hAnsi="Times New Roman" w:eastAsia="方正仿宋_GBK" w:cs="Times New Roman"/>
                <w:i w:val="0"/>
                <w:caps w:val="0"/>
                <w:color w:val="auto"/>
                <w:spacing w:val="0"/>
                <w:sz w:val="21"/>
                <w:szCs w:val="21"/>
              </w:rPr>
              <w:t>纠正违法行为；</w:t>
            </w:r>
          </w:p>
          <w:p w14:paraId="7ABBCC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F3E2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eastAsia="zh-CN"/>
              </w:rPr>
              <w:t>违法行为人</w:t>
            </w:r>
            <w:r>
              <w:rPr>
                <w:rFonts w:hint="default" w:ascii="Times New Roman" w:hAnsi="Times New Roman" w:eastAsia="方正仿宋_GBK" w:cs="Times New Roman"/>
                <w:i w:val="0"/>
                <w:caps w:val="0"/>
                <w:color w:val="auto"/>
                <w:spacing w:val="0"/>
                <w:sz w:val="20"/>
                <w:szCs w:val="20"/>
              </w:rPr>
              <w:t>具有以上情形</w:t>
            </w:r>
            <w:r>
              <w:rPr>
                <w:rFonts w:hint="default" w:ascii="Times New Roman" w:hAnsi="Times New Roman" w:eastAsia="方正仿宋_GBK" w:cs="Times New Roman"/>
                <w:i w:val="0"/>
                <w:caps w:val="0"/>
                <w:color w:val="auto"/>
                <w:spacing w:val="0"/>
                <w:sz w:val="20"/>
                <w:szCs w:val="20"/>
                <w:lang w:eastAsia="zh-CN"/>
              </w:rPr>
              <w:t>之一</w:t>
            </w:r>
            <w:r>
              <w:rPr>
                <w:rFonts w:hint="default" w:ascii="Times New Roman" w:hAnsi="Times New Roman" w:eastAsia="方正仿宋_GBK" w:cs="Times New Roman"/>
                <w:i w:val="0"/>
                <w:caps w:val="0"/>
                <w:color w:val="auto"/>
                <w:spacing w:val="0"/>
                <w:sz w:val="20"/>
                <w:szCs w:val="20"/>
              </w:rPr>
              <w:t>的，</w:t>
            </w:r>
            <w:r>
              <w:rPr>
                <w:rFonts w:hint="default" w:ascii="Times New Roman" w:hAnsi="Times New Roman" w:eastAsia="方正仿宋_GBK" w:cs="Times New Roman"/>
                <w:i w:val="0"/>
                <w:caps w:val="0"/>
                <w:color w:val="auto"/>
                <w:spacing w:val="0"/>
                <w:sz w:val="20"/>
                <w:szCs w:val="20"/>
                <w:lang w:eastAsia="zh-CN"/>
              </w:rPr>
              <w:t>责令相应车辆停业整顿一个月，</w:t>
            </w:r>
            <w:r>
              <w:rPr>
                <w:rFonts w:hint="default" w:ascii="Times New Roman" w:hAnsi="Times New Roman" w:eastAsia="方正仿宋_GBK" w:cs="Times New Roman"/>
                <w:i w:val="0"/>
                <w:caps w:val="0"/>
                <w:color w:val="auto"/>
                <w:spacing w:val="0"/>
                <w:sz w:val="20"/>
                <w:szCs w:val="20"/>
              </w:rPr>
              <w:t>处</w:t>
            </w:r>
            <w:r>
              <w:rPr>
                <w:rFonts w:hint="default" w:ascii="Times New Roman" w:hAnsi="Times New Roman" w:eastAsia="方正仿宋_GBK" w:cs="Times New Roman"/>
                <w:i w:val="0"/>
                <w:caps w:val="0"/>
                <w:color w:val="auto"/>
                <w:spacing w:val="0"/>
                <w:sz w:val="20"/>
                <w:szCs w:val="20"/>
                <w:lang w:val="en-US" w:eastAsia="zh-CN"/>
              </w:rPr>
              <w:t>20000</w:t>
            </w:r>
            <w:r>
              <w:rPr>
                <w:rFonts w:hint="default" w:ascii="Times New Roman" w:hAnsi="Times New Roman" w:eastAsia="方正仿宋_GBK" w:cs="Times New Roman"/>
                <w:i w:val="0"/>
                <w:caps w:val="0"/>
                <w:color w:val="auto"/>
                <w:spacing w:val="0"/>
                <w:sz w:val="20"/>
                <w:szCs w:val="20"/>
              </w:rPr>
              <w:t>元</w:t>
            </w:r>
            <w:r>
              <w:rPr>
                <w:rFonts w:hint="default" w:ascii="Times New Roman" w:hAnsi="Times New Roman" w:eastAsia="方正仿宋_GBK" w:cs="Times New Roman"/>
                <w:color w:val="auto"/>
                <w:sz w:val="20"/>
                <w:szCs w:val="20"/>
              </w:rPr>
              <w:t>罚款</w:t>
            </w:r>
          </w:p>
        </w:tc>
      </w:tr>
      <w:tr w14:paraId="01878C72">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2517EB6">
            <w:pPr>
              <w:jc w:val="center"/>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B8AAE59">
            <w:pPr>
              <w:jc w:val="center"/>
              <w:rPr>
                <w:rFonts w:hint="default" w:ascii="Times New Roman" w:hAnsi="Times New Roman" w:eastAsia="方正仿宋_GBK" w:cs="Times New Roman"/>
                <w:i w:val="0"/>
                <w:caps w:val="0"/>
                <w:color w:val="auto"/>
                <w:spacing w:val="0"/>
                <w:sz w:val="20"/>
                <w:szCs w:val="20"/>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C2C07FE">
            <w:pPr>
              <w:jc w:val="center"/>
              <w:rPr>
                <w:rFonts w:hint="default" w:ascii="Times New Roman" w:hAnsi="Times New Roman" w:eastAsia="方正仿宋_GBK" w:cs="Times New Roman"/>
                <w:i w:val="0"/>
                <w:caps w:val="0"/>
                <w:color w:val="auto"/>
                <w:spacing w:val="0"/>
                <w:kern w:val="2"/>
                <w:sz w:val="20"/>
                <w:szCs w:val="20"/>
                <w:lang w:val="en-US" w:eastAsia="zh-CN" w:bidi="ar-SA"/>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7A60199">
            <w:pPr>
              <w:jc w:val="center"/>
              <w:rPr>
                <w:rFonts w:hint="default" w:ascii="Times New Roman" w:hAnsi="Times New Roman" w:eastAsia="方正仿宋_GBK" w:cs="Times New Roman"/>
                <w:i w:val="0"/>
                <w:caps w:val="0"/>
                <w:color w:val="auto"/>
                <w:spacing w:val="0"/>
                <w:sz w:val="20"/>
                <w:szCs w:val="20"/>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5BD3C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一般</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B8AB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eastAsia="zh-CN"/>
              </w:rPr>
              <w:t>第一次违法，发生道路交通亡人事故并负主要责任，且不具有从轻或从重情节</w:t>
            </w:r>
            <w:r>
              <w:rPr>
                <w:rFonts w:hint="default" w:ascii="Times New Roman" w:hAnsi="Times New Roman" w:eastAsia="方正仿宋_GBK" w:cs="Times New Roman"/>
                <w:i w:val="0"/>
                <w:caps w:val="0"/>
                <w:color w:val="auto"/>
                <w:spacing w:val="0"/>
                <w:sz w:val="20"/>
                <w:szCs w:val="20"/>
              </w:rPr>
              <w:t>。</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3BA1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rPr>
              <w:t>违法行为人具有以上情形的，</w:t>
            </w:r>
            <w:r>
              <w:rPr>
                <w:rFonts w:hint="default" w:ascii="Times New Roman" w:hAnsi="Times New Roman" w:eastAsia="方正仿宋_GBK" w:cs="Times New Roman"/>
                <w:i w:val="0"/>
                <w:caps w:val="0"/>
                <w:color w:val="auto"/>
                <w:spacing w:val="0"/>
                <w:sz w:val="20"/>
                <w:szCs w:val="20"/>
                <w:lang w:eastAsia="zh-CN"/>
              </w:rPr>
              <w:t>责令相应车辆停业整顿一个月，</w:t>
            </w:r>
            <w:r>
              <w:rPr>
                <w:rFonts w:hint="default" w:ascii="Times New Roman" w:hAnsi="Times New Roman" w:eastAsia="方正仿宋_GBK" w:cs="Times New Roman"/>
                <w:i w:val="0"/>
                <w:caps w:val="0"/>
                <w:color w:val="auto"/>
                <w:spacing w:val="0"/>
                <w:sz w:val="20"/>
                <w:szCs w:val="20"/>
              </w:rPr>
              <w:t>处</w:t>
            </w:r>
            <w:r>
              <w:rPr>
                <w:rFonts w:hint="default" w:ascii="Times New Roman" w:hAnsi="Times New Roman" w:eastAsia="方正仿宋_GBK" w:cs="Times New Roman"/>
                <w:i w:val="0"/>
                <w:caps w:val="0"/>
                <w:color w:val="auto"/>
                <w:spacing w:val="0"/>
                <w:sz w:val="20"/>
                <w:szCs w:val="20"/>
                <w:lang w:val="en-US" w:eastAsia="zh-CN"/>
              </w:rPr>
              <w:t>30000</w:t>
            </w:r>
            <w:r>
              <w:rPr>
                <w:rFonts w:hint="default" w:ascii="Times New Roman" w:hAnsi="Times New Roman" w:eastAsia="方正仿宋_GBK" w:cs="Times New Roman"/>
                <w:i w:val="0"/>
                <w:caps w:val="0"/>
                <w:color w:val="auto"/>
                <w:spacing w:val="0"/>
                <w:sz w:val="20"/>
                <w:szCs w:val="20"/>
              </w:rPr>
              <w:t>元</w:t>
            </w:r>
            <w:r>
              <w:rPr>
                <w:rFonts w:hint="default" w:ascii="Times New Roman" w:hAnsi="Times New Roman" w:eastAsia="方正仿宋_GBK" w:cs="Times New Roman"/>
                <w:color w:val="auto"/>
                <w:sz w:val="20"/>
                <w:szCs w:val="20"/>
              </w:rPr>
              <w:t>罚款</w:t>
            </w:r>
          </w:p>
        </w:tc>
      </w:tr>
      <w:tr w14:paraId="51932E58">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107" w:hRule="atLeast"/>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D758D8A">
            <w:pPr>
              <w:jc w:val="center"/>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18C73C">
            <w:pPr>
              <w:jc w:val="center"/>
              <w:rPr>
                <w:rFonts w:hint="default" w:ascii="Times New Roman" w:hAnsi="Times New Roman" w:eastAsia="方正仿宋_GBK" w:cs="Times New Roman"/>
                <w:i w:val="0"/>
                <w:caps w:val="0"/>
                <w:color w:val="auto"/>
                <w:spacing w:val="0"/>
                <w:sz w:val="20"/>
                <w:szCs w:val="20"/>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7297E56">
            <w:pPr>
              <w:jc w:val="center"/>
              <w:rPr>
                <w:rFonts w:hint="default" w:ascii="Times New Roman" w:hAnsi="Times New Roman" w:eastAsia="方正仿宋_GBK" w:cs="Times New Roman"/>
                <w:i w:val="0"/>
                <w:caps w:val="0"/>
                <w:color w:val="auto"/>
                <w:spacing w:val="0"/>
                <w:kern w:val="2"/>
                <w:sz w:val="20"/>
                <w:szCs w:val="20"/>
                <w:lang w:val="en-US" w:eastAsia="zh-CN" w:bidi="ar-SA"/>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631CD3">
            <w:pPr>
              <w:jc w:val="center"/>
              <w:rPr>
                <w:rFonts w:hint="default" w:ascii="Times New Roman" w:hAnsi="Times New Roman" w:eastAsia="方正仿宋_GBK" w:cs="Times New Roman"/>
                <w:i w:val="0"/>
                <w:caps w:val="0"/>
                <w:color w:val="auto"/>
                <w:spacing w:val="0"/>
                <w:sz w:val="20"/>
                <w:szCs w:val="20"/>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A0F9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eastAsia="zh-CN"/>
              </w:rPr>
              <w:t>从重</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5C0298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71BE4B8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被行政处罚后</w:t>
            </w:r>
            <w:r>
              <w:rPr>
                <w:rFonts w:hint="default" w:ascii="Times New Roman" w:hAnsi="Times New Roman" w:eastAsia="方正仿宋_GBK" w:cs="Times New Roman"/>
                <w:i w:val="0"/>
                <w:caps w:val="0"/>
                <w:color w:val="auto"/>
                <w:spacing w:val="0"/>
                <w:sz w:val="20"/>
                <w:szCs w:val="20"/>
                <w:lang w:eastAsia="zh-CN"/>
              </w:rPr>
              <w:t>第二次及以上</w:t>
            </w:r>
            <w:r>
              <w:rPr>
                <w:rFonts w:hint="default" w:ascii="Times New Roman" w:hAnsi="Times New Roman" w:eastAsia="方正仿宋_GBK" w:cs="Times New Roman"/>
                <w:i w:val="0"/>
                <w:caps w:val="0"/>
                <w:color w:val="auto"/>
                <w:spacing w:val="0"/>
                <w:sz w:val="20"/>
                <w:szCs w:val="20"/>
              </w:rPr>
              <w:t>发生同类违法行为的；</w:t>
            </w:r>
          </w:p>
          <w:p w14:paraId="038BE866">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lang w:eastAsia="zh-CN"/>
              </w:rPr>
              <w:t>发生道路交通亡人事故并负全部责任</w:t>
            </w:r>
            <w:r>
              <w:rPr>
                <w:rFonts w:hint="default" w:ascii="Times New Roman" w:hAnsi="Times New Roman" w:eastAsia="方正仿宋_GBK" w:cs="Times New Roman"/>
                <w:i w:val="0"/>
                <w:caps w:val="0"/>
                <w:color w:val="auto"/>
                <w:spacing w:val="0"/>
                <w:sz w:val="20"/>
                <w:szCs w:val="20"/>
                <w:lang w:val="en-US" w:eastAsia="zh-CN"/>
              </w:rPr>
              <w:t>;</w:t>
            </w:r>
          </w:p>
          <w:p w14:paraId="373C268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经行政机关责令</w:t>
            </w:r>
            <w:r>
              <w:rPr>
                <w:rFonts w:hint="default" w:ascii="Times New Roman" w:hAnsi="Times New Roman" w:eastAsia="方正仿宋_GBK" w:cs="Times New Roman"/>
                <w:i w:val="0"/>
                <w:caps w:val="0"/>
                <w:color w:val="auto"/>
                <w:spacing w:val="0"/>
                <w:sz w:val="20"/>
                <w:szCs w:val="20"/>
                <w:lang w:eastAsia="zh-CN"/>
              </w:rPr>
              <w:t>停业整顿</w:t>
            </w:r>
            <w:r>
              <w:rPr>
                <w:rFonts w:hint="default" w:ascii="Times New Roman" w:hAnsi="Times New Roman" w:eastAsia="方正仿宋_GBK" w:cs="Times New Roman"/>
                <w:i w:val="0"/>
                <w:caps w:val="0"/>
                <w:color w:val="auto"/>
                <w:spacing w:val="0"/>
                <w:sz w:val="20"/>
                <w:szCs w:val="20"/>
              </w:rPr>
              <w:t>，</w:t>
            </w:r>
            <w:r>
              <w:rPr>
                <w:rFonts w:hint="default" w:ascii="Times New Roman" w:hAnsi="Times New Roman" w:eastAsia="方正仿宋_GBK" w:cs="Times New Roman"/>
                <w:i w:val="0"/>
                <w:caps w:val="0"/>
                <w:color w:val="auto"/>
                <w:spacing w:val="0"/>
                <w:sz w:val="20"/>
                <w:szCs w:val="20"/>
                <w:lang w:eastAsia="zh-CN"/>
              </w:rPr>
              <w:t>拒不执行的</w:t>
            </w:r>
            <w:r>
              <w:rPr>
                <w:rFonts w:hint="default" w:ascii="Times New Roman" w:hAnsi="Times New Roman" w:eastAsia="方正仿宋_GBK" w:cs="Times New Roman"/>
                <w:i w:val="0"/>
                <w:caps w:val="0"/>
                <w:color w:val="auto"/>
                <w:spacing w:val="0"/>
                <w:sz w:val="20"/>
                <w:szCs w:val="20"/>
              </w:rPr>
              <w:t>；</w:t>
            </w:r>
          </w:p>
          <w:p w14:paraId="04EFAE6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lang w:eastAsia="zh-CN"/>
              </w:rPr>
              <w:t>严重</w:t>
            </w:r>
            <w:r>
              <w:rPr>
                <w:rFonts w:hint="default" w:ascii="Times New Roman" w:hAnsi="Times New Roman" w:eastAsia="方正仿宋_GBK" w:cs="Times New Roman"/>
                <w:i w:val="0"/>
                <w:caps w:val="0"/>
                <w:color w:val="auto"/>
                <w:spacing w:val="0"/>
                <w:sz w:val="20"/>
                <w:szCs w:val="20"/>
              </w:rPr>
              <w:t>妨碍执法人员查处违法行为的；</w:t>
            </w:r>
          </w:p>
          <w:p w14:paraId="57A450E5">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对举报人、证人打击报复的；</w:t>
            </w:r>
          </w:p>
          <w:p w14:paraId="7F019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w:t>
            </w:r>
            <w:r>
              <w:rPr>
                <w:rFonts w:hint="default" w:ascii="Times New Roman" w:hAnsi="Times New Roman" w:eastAsia="方正仿宋_GBK" w:cs="Times New Roman"/>
                <w:i w:val="0"/>
                <w:caps w:val="0"/>
                <w:color w:val="auto"/>
                <w:spacing w:val="0"/>
                <w:sz w:val="20"/>
                <w:szCs w:val="20"/>
                <w:lang w:eastAsia="zh-CN"/>
              </w:rPr>
              <w:t>五</w:t>
            </w:r>
            <w:r>
              <w:rPr>
                <w:rFonts w:hint="default" w:ascii="Times New Roman" w:hAnsi="Times New Roman" w:eastAsia="方正仿宋_GBK" w:cs="Times New Roman"/>
                <w:i w:val="0"/>
                <w:caps w:val="0"/>
                <w:color w:val="auto"/>
                <w:spacing w:val="0"/>
                <w:sz w:val="20"/>
                <w:szCs w:val="20"/>
              </w:rPr>
              <w:t>）</w:t>
            </w:r>
            <w:r>
              <w:rPr>
                <w:rFonts w:hint="default" w:ascii="Times New Roman" w:hAnsi="Times New Roman" w:eastAsia="方正仿宋_GBK" w:cs="Times New Roman"/>
                <w:i w:val="0"/>
                <w:caps w:val="0"/>
                <w:color w:val="auto"/>
                <w:spacing w:val="0"/>
                <w:sz w:val="21"/>
                <w:szCs w:val="21"/>
              </w:rPr>
              <w:t>违法行为具有较大社会危害性</w:t>
            </w:r>
            <w:r>
              <w:rPr>
                <w:rFonts w:hint="default" w:ascii="Times New Roman" w:hAnsi="Times New Roman" w:eastAsia="方正仿宋_GBK" w:cs="Times New Roman"/>
                <w:i w:val="0"/>
                <w:caps w:val="0"/>
                <w:color w:val="auto"/>
                <w:spacing w:val="0"/>
                <w:sz w:val="20"/>
                <w:szCs w:val="20"/>
              </w:rPr>
              <w:t>；</w:t>
            </w:r>
          </w:p>
          <w:p w14:paraId="4BBCF1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rPr>
              <w:t>（</w:t>
            </w:r>
            <w:r>
              <w:rPr>
                <w:rFonts w:hint="default" w:ascii="Times New Roman" w:hAnsi="Times New Roman" w:eastAsia="方正仿宋_GBK" w:cs="Times New Roman"/>
                <w:i w:val="0"/>
                <w:caps w:val="0"/>
                <w:color w:val="auto"/>
                <w:spacing w:val="0"/>
                <w:sz w:val="20"/>
                <w:szCs w:val="20"/>
                <w:lang w:eastAsia="zh-CN"/>
              </w:rPr>
              <w:t>六</w:t>
            </w:r>
            <w:r>
              <w:rPr>
                <w:rFonts w:hint="default" w:ascii="Times New Roman" w:hAnsi="Times New Roman" w:eastAsia="方正仿宋_GBK" w:cs="Times New Roman"/>
                <w:i w:val="0"/>
                <w:caps w:val="0"/>
                <w:color w:val="auto"/>
                <w:spacing w:val="0"/>
                <w:sz w:val="20"/>
                <w:szCs w:val="20"/>
              </w:rPr>
              <w:t>）法律、法规和规章规定从重行政处罚的其他情形</w:t>
            </w:r>
            <w:r>
              <w:rPr>
                <w:rFonts w:hint="default" w:ascii="Times New Roman" w:hAnsi="Times New Roman" w:eastAsia="方正仿宋_GBK" w:cs="Times New Roman"/>
                <w:i w:val="0"/>
                <w:caps w:val="0"/>
                <w:color w:val="auto"/>
                <w:spacing w:val="0"/>
                <w:sz w:val="20"/>
                <w:szCs w:val="20"/>
                <w:lang w:eastAsia="zh-CN"/>
              </w:rPr>
              <w:t>。</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F1A78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rPr>
              <w:t>违法行为人具有以上情形</w:t>
            </w:r>
            <w:r>
              <w:rPr>
                <w:rFonts w:hint="default" w:ascii="Times New Roman" w:hAnsi="Times New Roman" w:eastAsia="方正仿宋_GBK" w:cs="Times New Roman"/>
                <w:i w:val="0"/>
                <w:caps w:val="0"/>
                <w:color w:val="auto"/>
                <w:spacing w:val="0"/>
                <w:sz w:val="20"/>
                <w:szCs w:val="20"/>
                <w:lang w:eastAsia="zh-CN"/>
              </w:rPr>
              <w:t>之一</w:t>
            </w:r>
            <w:r>
              <w:rPr>
                <w:rFonts w:hint="default" w:ascii="Times New Roman" w:hAnsi="Times New Roman" w:eastAsia="方正仿宋_GBK" w:cs="Times New Roman"/>
                <w:i w:val="0"/>
                <w:caps w:val="0"/>
                <w:color w:val="auto"/>
                <w:spacing w:val="0"/>
                <w:sz w:val="20"/>
                <w:szCs w:val="20"/>
              </w:rPr>
              <w:t>的，</w:t>
            </w:r>
            <w:r>
              <w:rPr>
                <w:rFonts w:hint="default" w:ascii="Times New Roman" w:hAnsi="Times New Roman" w:eastAsia="方正仿宋_GBK" w:cs="Times New Roman"/>
                <w:i w:val="0"/>
                <w:caps w:val="0"/>
                <w:color w:val="auto"/>
                <w:spacing w:val="0"/>
                <w:sz w:val="20"/>
                <w:szCs w:val="20"/>
                <w:lang w:eastAsia="zh-CN"/>
              </w:rPr>
              <w:t>责令相应车辆停业整顿一个月，</w:t>
            </w:r>
            <w:r>
              <w:rPr>
                <w:rFonts w:hint="default" w:ascii="Times New Roman" w:hAnsi="Times New Roman" w:eastAsia="方正仿宋_GBK" w:cs="Times New Roman"/>
                <w:i w:val="0"/>
                <w:caps w:val="0"/>
                <w:color w:val="auto"/>
                <w:spacing w:val="0"/>
                <w:sz w:val="20"/>
                <w:szCs w:val="20"/>
              </w:rPr>
              <w:t>处</w:t>
            </w:r>
            <w:r>
              <w:rPr>
                <w:rFonts w:hint="default" w:ascii="Times New Roman" w:hAnsi="Times New Roman" w:eastAsia="方正仿宋_GBK" w:cs="Times New Roman"/>
                <w:i w:val="0"/>
                <w:caps w:val="0"/>
                <w:color w:val="auto"/>
                <w:spacing w:val="0"/>
                <w:sz w:val="20"/>
                <w:szCs w:val="20"/>
                <w:lang w:val="en-US" w:eastAsia="zh-CN"/>
              </w:rPr>
              <w:t>50000元</w:t>
            </w:r>
            <w:r>
              <w:rPr>
                <w:rFonts w:hint="default" w:ascii="Times New Roman" w:hAnsi="Times New Roman" w:eastAsia="方正仿宋_GBK" w:cs="Times New Roman"/>
                <w:color w:val="auto"/>
                <w:sz w:val="20"/>
                <w:szCs w:val="20"/>
              </w:rPr>
              <w:t>罚款</w:t>
            </w:r>
          </w:p>
        </w:tc>
      </w:tr>
      <w:tr w14:paraId="1CC486CF">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3085" w:hRule="atLeast"/>
          <w:jc w:val="center"/>
        </w:trPr>
        <w:tc>
          <w:tcPr>
            <w:tcW w:w="251"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D240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8"/>
                <w:szCs w:val="28"/>
                <w:lang w:val="en-US" w:eastAsia="zh-CN"/>
              </w:rPr>
              <w:t>2</w:t>
            </w:r>
          </w:p>
        </w:tc>
        <w:tc>
          <w:tcPr>
            <w:tcW w:w="426"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E07D331">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未取得巡游车道路运输证、网络预约出租汽车运输证，从事客运出租汽车经营活动</w:t>
            </w:r>
          </w:p>
        </w:tc>
        <w:tc>
          <w:tcPr>
            <w:tcW w:w="797"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1931DF3">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七条：从事巡游车经营的，应当依法取得巡游出租汽车经营权、道路运输经营许可证以及道路运输证方可营运。第十条：从事网约车经营的，应当依法取得网络预约出租汽车经营许可证、网络预约出租汽车运输证方可运营。</w:t>
            </w:r>
          </w:p>
        </w:tc>
        <w:tc>
          <w:tcPr>
            <w:tcW w:w="68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CBED6BF">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《乌鲁木齐市客运出租汽车管理条例》第二十六条：  未取得巡游车道路运输证、网络预约出租汽车运输证，从事客运出租汽车经营活动的，由市交通运输主管部门扣押其车辆，处三千元以上一万元以下罚款，有违法所得的，没收违法所得。</w:t>
            </w:r>
          </w:p>
          <w:p w14:paraId="77F9A9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p>
        </w:tc>
        <w:tc>
          <w:tcPr>
            <w:tcW w:w="429"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60CA1D2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从轻</w:t>
            </w:r>
          </w:p>
        </w:tc>
        <w:tc>
          <w:tcPr>
            <w:tcW w:w="156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7154313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第一次违法且具有以下情形之一</w:t>
            </w:r>
          </w:p>
          <w:p w14:paraId="6A0F8A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一</w:t>
            </w:r>
            <w:r>
              <w:rPr>
                <w:rFonts w:hint="default" w:ascii="Times New Roman" w:hAnsi="Times New Roman" w:eastAsia="方正仿宋_GBK" w:cs="Times New Roman"/>
                <w:i w:val="0"/>
                <w:caps w:val="0"/>
                <w:color w:val="auto"/>
                <w:spacing w:val="0"/>
                <w:sz w:val="21"/>
                <w:szCs w:val="21"/>
              </w:rPr>
              <w:t>）主动消除或者减轻违法行为危害后果的；</w:t>
            </w:r>
          </w:p>
          <w:p w14:paraId="22BBD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.没有违法所得或者违法所得不足2万元的；</w:t>
            </w:r>
          </w:p>
          <w:p w14:paraId="1C2687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.积极配合执法并及时纠正违法行为；</w:t>
            </w:r>
          </w:p>
          <w:p w14:paraId="4F25B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3</w:t>
            </w:r>
            <w:r>
              <w:rPr>
                <w:rFonts w:hint="default" w:ascii="Times New Roman" w:hAnsi="Times New Roman" w:eastAsia="方正仿宋_GBK" w:cs="Times New Roman"/>
                <w:i w:val="0"/>
                <w:caps w:val="0"/>
                <w:color w:val="auto"/>
                <w:spacing w:val="0"/>
                <w:sz w:val="21"/>
                <w:szCs w:val="21"/>
              </w:rPr>
              <w:t xml:space="preserve">.未造成安全事故等危害后果的。 </w:t>
            </w:r>
          </w:p>
          <w:p w14:paraId="09375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C9DA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对违法行为人没收非法所得，处</w:t>
            </w:r>
            <w:r>
              <w:rPr>
                <w:rFonts w:hint="default" w:ascii="Times New Roman" w:hAnsi="Times New Roman" w:eastAsia="方正仿宋_GBK" w:cs="Times New Roman"/>
                <w:i w:val="0"/>
                <w:caps w:val="0"/>
                <w:color w:val="auto"/>
                <w:spacing w:val="0"/>
                <w:sz w:val="21"/>
                <w:szCs w:val="21"/>
                <w:lang w:val="en-US" w:eastAsia="zh-CN"/>
              </w:rPr>
              <w:t>3</w:t>
            </w:r>
            <w:r>
              <w:rPr>
                <w:rFonts w:hint="default" w:ascii="Times New Roman" w:hAnsi="Times New Roman" w:eastAsia="方正仿宋_GBK" w:cs="Times New Roman"/>
                <w:i w:val="0"/>
                <w:caps w:val="0"/>
                <w:color w:val="auto"/>
                <w:spacing w:val="0"/>
                <w:sz w:val="21"/>
                <w:szCs w:val="21"/>
              </w:rPr>
              <w:t>000元罚款</w:t>
            </w:r>
          </w:p>
        </w:tc>
      </w:tr>
      <w:tr w14:paraId="31539A3D">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3018CDB">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4D3AD32">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1FA2BD9">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F9BCAC9">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DF9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一般</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09D0F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lang w:eastAsia="zh-CN"/>
              </w:rPr>
              <w:t>第一次违法</w:t>
            </w:r>
            <w:r>
              <w:rPr>
                <w:rFonts w:hint="default" w:ascii="Times New Roman" w:hAnsi="Times New Roman" w:eastAsia="方正仿宋_GBK" w:cs="Times New Roman"/>
                <w:i w:val="0"/>
                <w:caps w:val="0"/>
                <w:color w:val="auto"/>
                <w:spacing w:val="0"/>
                <w:sz w:val="21"/>
                <w:szCs w:val="21"/>
              </w:rPr>
              <w:t>且不具有从轻或从重情节。</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FFF3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0"/>
                <w:szCs w:val="20"/>
              </w:rPr>
              <w:t>违法行为人具有以上情形的，</w:t>
            </w:r>
            <w:r>
              <w:rPr>
                <w:rFonts w:hint="default" w:ascii="Times New Roman" w:hAnsi="Times New Roman" w:eastAsia="方正仿宋_GBK" w:cs="Times New Roman"/>
                <w:i w:val="0"/>
                <w:caps w:val="0"/>
                <w:color w:val="auto"/>
                <w:spacing w:val="0"/>
                <w:sz w:val="21"/>
                <w:szCs w:val="21"/>
              </w:rPr>
              <w:t>对违法行为人没收非法所得，处</w:t>
            </w:r>
            <w:r>
              <w:rPr>
                <w:rFonts w:hint="default" w:ascii="Times New Roman" w:hAnsi="Times New Roman" w:eastAsia="方正仿宋_GBK" w:cs="Times New Roman"/>
                <w:i w:val="0"/>
                <w:caps w:val="0"/>
                <w:color w:val="auto"/>
                <w:spacing w:val="0"/>
                <w:sz w:val="21"/>
                <w:szCs w:val="21"/>
                <w:lang w:val="en-US" w:eastAsia="zh-CN"/>
              </w:rPr>
              <w:t>5</w:t>
            </w:r>
            <w:r>
              <w:rPr>
                <w:rFonts w:hint="default" w:ascii="Times New Roman" w:hAnsi="Times New Roman" w:eastAsia="方正仿宋_GBK" w:cs="Times New Roman"/>
                <w:i w:val="0"/>
                <w:caps w:val="0"/>
                <w:color w:val="auto"/>
                <w:spacing w:val="0"/>
                <w:sz w:val="21"/>
                <w:szCs w:val="21"/>
              </w:rPr>
              <w:t>000元罚款</w:t>
            </w:r>
          </w:p>
        </w:tc>
      </w:tr>
      <w:tr w14:paraId="329C681E">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F5B3565">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7731044">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0EED030">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D8CF925">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DA83B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从重</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B3F1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4B7184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（一）在共同违法行为中起主要作用的；</w:t>
            </w:r>
          </w:p>
          <w:p w14:paraId="782F96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（二）被行政处罚后</w:t>
            </w:r>
            <w:r>
              <w:rPr>
                <w:rFonts w:hint="default" w:ascii="Times New Roman" w:hAnsi="Times New Roman" w:eastAsia="方正仿宋_GBK" w:cs="Times New Roman"/>
                <w:i w:val="0"/>
                <w:caps w:val="0"/>
                <w:color w:val="auto"/>
                <w:spacing w:val="0"/>
                <w:sz w:val="21"/>
                <w:szCs w:val="21"/>
                <w:lang w:eastAsia="zh-CN"/>
              </w:rPr>
              <w:t>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1"/>
                <w:szCs w:val="21"/>
              </w:rPr>
              <w:t>发生同类违法行为的；</w:t>
            </w:r>
          </w:p>
          <w:p w14:paraId="45D49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（三）经行政机关责令停止或者要求纠正违法行为后，仍继续实施违法行为的；</w:t>
            </w:r>
          </w:p>
          <w:p w14:paraId="433C80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（四）严重妨碍执法人员查处违法行为的；</w:t>
            </w:r>
          </w:p>
          <w:p w14:paraId="542C9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（五）胁迫、诱骗或者教唆他人实施违法行为的；</w:t>
            </w:r>
          </w:p>
          <w:p w14:paraId="382E1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（六）对举报人、证人打击报复的；</w:t>
            </w:r>
          </w:p>
          <w:p w14:paraId="7940B2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（七）违法行为具有较大社会危害性；</w:t>
            </w:r>
          </w:p>
          <w:p w14:paraId="1917C1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（八）法律、法规和规章规定从重行政处罚的其他情形。</w:t>
            </w:r>
          </w:p>
          <w:p w14:paraId="2086A1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04E7D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对违法行为人没收非法所得，处</w:t>
            </w:r>
            <w:r>
              <w:rPr>
                <w:rFonts w:hint="default" w:ascii="Times New Roman" w:hAnsi="Times New Roman" w:eastAsia="方正仿宋_GBK" w:cs="Times New Roman"/>
                <w:i w:val="0"/>
                <w:caps w:val="0"/>
                <w:color w:val="auto"/>
                <w:spacing w:val="0"/>
                <w:sz w:val="21"/>
                <w:szCs w:val="21"/>
                <w:lang w:val="en-US" w:eastAsia="zh-CN"/>
              </w:rPr>
              <w:t>10</w:t>
            </w:r>
            <w:r>
              <w:rPr>
                <w:rFonts w:hint="default" w:ascii="Times New Roman" w:hAnsi="Times New Roman" w:eastAsia="方正仿宋_GBK" w:cs="Times New Roman"/>
                <w:i w:val="0"/>
                <w:caps w:val="0"/>
                <w:color w:val="auto"/>
                <w:spacing w:val="0"/>
                <w:sz w:val="21"/>
                <w:szCs w:val="21"/>
              </w:rPr>
              <w:t>000元罚款</w:t>
            </w:r>
          </w:p>
        </w:tc>
      </w:tr>
      <w:tr w14:paraId="24316608">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655" w:hRule="atLeast"/>
          <w:jc w:val="center"/>
        </w:trPr>
        <w:tc>
          <w:tcPr>
            <w:tcW w:w="251"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A9EF9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8"/>
                <w:szCs w:val="28"/>
                <w:lang w:val="en-US" w:eastAsia="zh-CN"/>
              </w:rPr>
              <w:t>3</w:t>
            </w:r>
          </w:p>
        </w:tc>
        <w:tc>
          <w:tcPr>
            <w:tcW w:w="426"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628C2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未按规定安装设备、设置营运标志或未按规定使用</w:t>
            </w:r>
          </w:p>
        </w:tc>
        <w:tc>
          <w:tcPr>
            <w:tcW w:w="797"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585779D">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《乌鲁木齐市客运出租汽车管理条例》第九条  投入运营的巡游车车辆应当具备下列条件：（一）安装客运出租汽车标志灯、消防器材、卫星定位装置、应急报警装置等设施设备，按照规定在醒目位置设置收费标准、企业名称、监督电话、车牌号等监督服务信息；</w:t>
            </w:r>
          </w:p>
          <w:p w14:paraId="3BB410C4">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第十二条  投入运营的网约车车辆应当具备下列条件：（二）安装具有行驶记录功能的车辆卫星定位装置、应急报警装置等设备；</w:t>
            </w:r>
          </w:p>
          <w:p w14:paraId="7998C3D4">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第十七条  客运出租汽车驾驶员应当遵守下列规定：（三）做好车辆安全检查，保持营运设施设备及标识完好、正常使用、车辆内外整洁完好，无异味，不得在车内吸烟；</w:t>
            </w:r>
          </w:p>
        </w:tc>
        <w:tc>
          <w:tcPr>
            <w:tcW w:w="68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0226E42">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《乌鲁木齐市客运出租汽车管理条例》第二十七条：  客运出租汽车经营者未按照本条例规定安装设施设备、设置营运标志，设施设备无法正常使用的；或者驾驶员未按照规定使用设施设备的，由市交通运输主管部门责令改正，处两百元以上五百元以下罚款。</w:t>
            </w:r>
          </w:p>
          <w:p w14:paraId="7EFC84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p>
        </w:tc>
        <w:tc>
          <w:tcPr>
            <w:tcW w:w="429"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072C6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从轻</w:t>
            </w:r>
          </w:p>
        </w:tc>
        <w:tc>
          <w:tcPr>
            <w:tcW w:w="156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D8CD1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第一次违法且具有以下情形之一</w:t>
            </w:r>
          </w:p>
          <w:p w14:paraId="5283F4A2">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主动消除或者减轻违法行为危害后果</w:t>
            </w:r>
            <w:r>
              <w:rPr>
                <w:rFonts w:hint="default" w:ascii="Times New Roman" w:hAnsi="Times New Roman" w:eastAsia="方正仿宋_GBK" w:cs="Times New Roman"/>
                <w:i w:val="0"/>
                <w:caps w:val="0"/>
                <w:color w:val="auto"/>
                <w:spacing w:val="0"/>
                <w:sz w:val="21"/>
                <w:szCs w:val="21"/>
                <w:lang w:eastAsia="zh-CN"/>
              </w:rPr>
              <w:t>的，</w:t>
            </w:r>
          </w:p>
          <w:p w14:paraId="000C4DA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积极配合执法并及时纠正违法行为；</w:t>
            </w:r>
          </w:p>
          <w:p w14:paraId="7820514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.未造成安全事故等危害后果的。</w:t>
            </w:r>
          </w:p>
          <w:p w14:paraId="2EC6B6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A9796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对违法行为人处</w:t>
            </w:r>
            <w:r>
              <w:rPr>
                <w:rFonts w:hint="default" w:ascii="Times New Roman" w:hAnsi="Times New Roman" w:eastAsia="方正仿宋_GBK" w:cs="Times New Roman"/>
                <w:i w:val="0"/>
                <w:caps w:val="0"/>
                <w:color w:val="auto"/>
                <w:spacing w:val="0"/>
                <w:sz w:val="21"/>
                <w:szCs w:val="21"/>
                <w:lang w:val="en-US" w:eastAsia="zh-CN"/>
              </w:rPr>
              <w:t>200</w:t>
            </w:r>
            <w:r>
              <w:rPr>
                <w:rFonts w:hint="default" w:ascii="Times New Roman" w:hAnsi="Times New Roman" w:eastAsia="方正仿宋_GBK" w:cs="Times New Roman"/>
                <w:i w:val="0"/>
                <w:caps w:val="0"/>
                <w:color w:val="auto"/>
                <w:spacing w:val="0"/>
                <w:sz w:val="21"/>
                <w:szCs w:val="21"/>
              </w:rPr>
              <w:t>元罚款</w:t>
            </w:r>
          </w:p>
        </w:tc>
      </w:tr>
      <w:tr w14:paraId="61D9451C">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FD673E7">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1679EA">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7501D20">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13F4DBA">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1DD9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一般</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C80D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第一次违法</w:t>
            </w:r>
            <w:r>
              <w:rPr>
                <w:rFonts w:hint="default" w:ascii="Times New Roman" w:hAnsi="Times New Roman" w:eastAsia="方正仿宋_GBK" w:cs="Times New Roman"/>
                <w:i w:val="0"/>
                <w:caps w:val="0"/>
                <w:color w:val="auto"/>
                <w:spacing w:val="0"/>
                <w:sz w:val="21"/>
                <w:szCs w:val="21"/>
              </w:rPr>
              <w:t>且不具有从轻或从重情节。</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3199F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0"/>
                <w:szCs w:val="20"/>
              </w:rPr>
              <w:t>违法行为人具有以上情形的，</w:t>
            </w:r>
            <w:r>
              <w:rPr>
                <w:rFonts w:hint="default" w:ascii="Times New Roman" w:hAnsi="Times New Roman" w:eastAsia="方正仿宋_GBK" w:cs="Times New Roman"/>
                <w:i w:val="0"/>
                <w:caps w:val="0"/>
                <w:color w:val="auto"/>
                <w:spacing w:val="0"/>
                <w:sz w:val="21"/>
                <w:szCs w:val="21"/>
              </w:rPr>
              <w:t>对违法行为人处</w:t>
            </w:r>
            <w:r>
              <w:rPr>
                <w:rFonts w:hint="default" w:ascii="Times New Roman" w:hAnsi="Times New Roman" w:eastAsia="方正仿宋_GBK" w:cs="Times New Roman"/>
                <w:i w:val="0"/>
                <w:caps w:val="0"/>
                <w:color w:val="auto"/>
                <w:spacing w:val="0"/>
                <w:sz w:val="21"/>
                <w:szCs w:val="21"/>
                <w:lang w:val="en-US" w:eastAsia="zh-CN"/>
              </w:rPr>
              <w:t>300元</w:t>
            </w:r>
            <w:r>
              <w:rPr>
                <w:rFonts w:hint="default" w:ascii="Times New Roman" w:hAnsi="Times New Roman" w:eastAsia="方正仿宋_GBK" w:cs="Times New Roman"/>
                <w:i w:val="0"/>
                <w:caps w:val="0"/>
                <w:color w:val="auto"/>
                <w:spacing w:val="0"/>
                <w:sz w:val="21"/>
                <w:szCs w:val="21"/>
              </w:rPr>
              <w:t>罚款</w:t>
            </w:r>
          </w:p>
          <w:p w14:paraId="5B6789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tc>
      </w:tr>
      <w:tr w14:paraId="1AF8A4DD">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A28205F">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70C5723">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A17CD8B">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0993267">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CB18A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从重</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A6CFD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0DD16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（一）在共同违法行为中起主要作用的；</w:t>
            </w:r>
          </w:p>
          <w:p w14:paraId="0A3ED4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（二）被行政处罚后</w:t>
            </w:r>
            <w:r>
              <w:rPr>
                <w:rFonts w:hint="default" w:ascii="Times New Roman" w:hAnsi="Times New Roman" w:eastAsia="方正仿宋_GBK" w:cs="Times New Roman"/>
                <w:i w:val="0"/>
                <w:caps w:val="0"/>
                <w:color w:val="auto"/>
                <w:spacing w:val="0"/>
                <w:sz w:val="21"/>
                <w:szCs w:val="21"/>
                <w:lang w:eastAsia="zh-CN"/>
              </w:rPr>
              <w:t>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1"/>
                <w:szCs w:val="21"/>
              </w:rPr>
              <w:t>发生同类违法行为的；</w:t>
            </w:r>
          </w:p>
          <w:p w14:paraId="20F07E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（三）经行政机关责令停止或者要求纠正违法行为后，仍继续实施违法行为的；</w:t>
            </w:r>
          </w:p>
          <w:p w14:paraId="78E468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（四）严重妨碍</w:t>
            </w:r>
            <w:r>
              <w:rPr>
                <w:rFonts w:hint="default" w:ascii="Times New Roman" w:hAnsi="Times New Roman" w:eastAsia="方正仿宋_GBK" w:cs="Times New Roman"/>
                <w:color w:val="auto"/>
                <w:sz w:val="21"/>
                <w:szCs w:val="21"/>
              </w:rPr>
              <w:t>执法</w:t>
            </w:r>
            <w:r>
              <w:rPr>
                <w:rFonts w:hint="default" w:ascii="Times New Roman" w:hAnsi="Times New Roman" w:eastAsia="方正仿宋_GBK" w:cs="Times New Roman"/>
                <w:i w:val="0"/>
                <w:caps w:val="0"/>
                <w:color w:val="auto"/>
                <w:spacing w:val="0"/>
                <w:sz w:val="21"/>
                <w:szCs w:val="21"/>
              </w:rPr>
              <w:t>人员查处违法行为的；</w:t>
            </w:r>
          </w:p>
          <w:p w14:paraId="41D723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（五）胁迫、诱骗或者教唆他人实施违法行为的；</w:t>
            </w:r>
          </w:p>
          <w:p w14:paraId="1D1413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（六）对举报人、证人打击报复的；</w:t>
            </w:r>
          </w:p>
          <w:p w14:paraId="7AB27D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（七）违法行为具有较大社会危害性；</w:t>
            </w:r>
          </w:p>
          <w:p w14:paraId="61C2B6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（八）法律、法规和规章规定从重行政处罚的其他情形。</w:t>
            </w:r>
          </w:p>
          <w:p w14:paraId="580FD4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7E1B5A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168CC2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03084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对违法行为人处</w:t>
            </w:r>
            <w:r>
              <w:rPr>
                <w:rFonts w:hint="default" w:ascii="Times New Roman" w:hAnsi="Times New Roman" w:eastAsia="方正仿宋_GBK" w:cs="Times New Roman"/>
                <w:i w:val="0"/>
                <w:caps w:val="0"/>
                <w:color w:val="auto"/>
                <w:spacing w:val="0"/>
                <w:sz w:val="21"/>
                <w:szCs w:val="21"/>
                <w:lang w:val="en-US" w:eastAsia="zh-CN"/>
              </w:rPr>
              <w:t>5</w:t>
            </w:r>
            <w:r>
              <w:rPr>
                <w:rFonts w:hint="default" w:ascii="Times New Roman" w:hAnsi="Times New Roman" w:eastAsia="方正仿宋_GBK" w:cs="Times New Roman"/>
                <w:i w:val="0"/>
                <w:caps w:val="0"/>
                <w:color w:val="auto"/>
                <w:spacing w:val="0"/>
                <w:sz w:val="21"/>
                <w:szCs w:val="21"/>
              </w:rPr>
              <w:t>00元罚款</w:t>
            </w:r>
          </w:p>
        </w:tc>
      </w:tr>
      <w:tr w14:paraId="62FA98BE">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355" w:hRule="atLeast"/>
          <w:jc w:val="center"/>
        </w:trPr>
        <w:tc>
          <w:tcPr>
            <w:tcW w:w="251"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AAFB6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8"/>
                <w:szCs w:val="28"/>
                <w:lang w:val="en-US" w:eastAsia="zh-CN"/>
              </w:rPr>
              <w:t>4</w:t>
            </w:r>
          </w:p>
        </w:tc>
        <w:tc>
          <w:tcPr>
            <w:tcW w:w="426"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E9E91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kern w:val="2"/>
                <w:sz w:val="20"/>
                <w:szCs w:val="20"/>
                <w:lang w:val="en-US" w:eastAsia="zh-CN" w:bidi="ar-SA"/>
              </w:rPr>
              <w:t>接入未取得网约车经营许可的企业</w:t>
            </w:r>
          </w:p>
        </w:tc>
        <w:tc>
          <w:tcPr>
            <w:tcW w:w="797"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5736F55">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《乌鲁木齐市客运出租汽车管理条例》第二十条:依托互联网技术、与网约车经营企业合作、面向乘客并匹配供需信息，共同提供网约车服务的第三方网络聚合平台，应当遵守下列规定：</w:t>
            </w:r>
          </w:p>
          <w:p w14:paraId="58DA9366">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kern w:val="2"/>
                <w:sz w:val="20"/>
                <w:szCs w:val="20"/>
                <w:lang w:val="en-US" w:eastAsia="zh-CN" w:bidi="ar-SA"/>
              </w:rPr>
              <w:t>（一）对接入的网约车经营企业进行核验登记，不得接入未取得网约车经营许可的企业，提供服务的车辆、驾驶员均应当办理相应许可手续；</w:t>
            </w:r>
          </w:p>
        </w:tc>
        <w:tc>
          <w:tcPr>
            <w:tcW w:w="68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414031C">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0"/>
                <w:szCs w:val="20"/>
                <w:lang w:val="en-US" w:eastAsia="zh-CN" w:bidi="ar-SA"/>
              </w:rPr>
              <w:t>《乌鲁木齐市客运出租汽车管理条例》第二十八条：  第三方网络聚合平台违反本条例规定，接入未取得网约车经营许可的企业的，由市交通运输主管部门责令停止违法行为，处一万元以上三万元以下罚款。</w:t>
            </w:r>
          </w:p>
          <w:p w14:paraId="4A56D1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p>
        </w:tc>
        <w:tc>
          <w:tcPr>
            <w:tcW w:w="429"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43C7F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从轻</w:t>
            </w:r>
          </w:p>
        </w:tc>
        <w:tc>
          <w:tcPr>
            <w:tcW w:w="156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427F7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第一次违法且具有以下情形之一</w:t>
            </w:r>
          </w:p>
          <w:p w14:paraId="1C7C5D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（一）主动消除或者减轻违法行为危害后果</w:t>
            </w:r>
            <w:r>
              <w:rPr>
                <w:rFonts w:hint="default" w:ascii="Times New Roman" w:hAnsi="Times New Roman" w:eastAsia="方正仿宋_GBK" w:cs="Times New Roman"/>
                <w:i w:val="0"/>
                <w:caps w:val="0"/>
                <w:color w:val="auto"/>
                <w:spacing w:val="0"/>
                <w:sz w:val="21"/>
                <w:szCs w:val="21"/>
                <w:lang w:eastAsia="zh-CN"/>
              </w:rPr>
              <w:t>的，</w:t>
            </w:r>
          </w:p>
          <w:p w14:paraId="2EEF7EF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积极配合执法并及时纠正违法行为；</w:t>
            </w:r>
          </w:p>
          <w:p w14:paraId="739983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.未造成安全事故等危害后果的。</w:t>
            </w:r>
          </w:p>
          <w:p w14:paraId="29D7E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9D8BF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对违法行为人处</w:t>
            </w:r>
            <w:r>
              <w:rPr>
                <w:rFonts w:hint="default" w:ascii="Times New Roman" w:hAnsi="Times New Roman" w:eastAsia="方正仿宋_GBK" w:cs="Times New Roman"/>
                <w:i w:val="0"/>
                <w:caps w:val="0"/>
                <w:color w:val="auto"/>
                <w:spacing w:val="0"/>
                <w:sz w:val="21"/>
                <w:szCs w:val="21"/>
                <w:lang w:val="en-US" w:eastAsia="zh-CN"/>
              </w:rPr>
              <w:t>10000</w:t>
            </w:r>
            <w:r>
              <w:rPr>
                <w:rFonts w:hint="default" w:ascii="Times New Roman" w:hAnsi="Times New Roman" w:eastAsia="方正仿宋_GBK" w:cs="Times New Roman"/>
                <w:i w:val="0"/>
                <w:caps w:val="0"/>
                <w:color w:val="auto"/>
                <w:spacing w:val="0"/>
                <w:sz w:val="21"/>
                <w:szCs w:val="21"/>
              </w:rPr>
              <w:t>元罚款</w:t>
            </w:r>
          </w:p>
        </w:tc>
      </w:tr>
      <w:tr w14:paraId="50B7662D">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1F3C6B8">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1F246EA">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ACB13AA">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A98318A">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EDA50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一般</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E2605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lang w:eastAsia="zh-CN"/>
              </w:rPr>
              <w:t>第一次违法</w:t>
            </w:r>
            <w:r>
              <w:rPr>
                <w:rFonts w:hint="default" w:ascii="Times New Roman" w:hAnsi="Times New Roman" w:eastAsia="方正仿宋_GBK" w:cs="Times New Roman"/>
                <w:i w:val="0"/>
                <w:caps w:val="0"/>
                <w:color w:val="auto"/>
                <w:spacing w:val="0"/>
                <w:sz w:val="21"/>
                <w:szCs w:val="21"/>
              </w:rPr>
              <w:t>且不具有从轻或从重情节。</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D4C61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0"/>
                <w:szCs w:val="20"/>
              </w:rPr>
              <w:t>违法行为人具有以上情形的，</w:t>
            </w:r>
            <w:r>
              <w:rPr>
                <w:rFonts w:hint="default" w:ascii="Times New Roman" w:hAnsi="Times New Roman" w:eastAsia="方正仿宋_GBK" w:cs="Times New Roman"/>
                <w:i w:val="0"/>
                <w:caps w:val="0"/>
                <w:color w:val="auto"/>
                <w:spacing w:val="0"/>
                <w:sz w:val="21"/>
                <w:szCs w:val="21"/>
              </w:rPr>
              <w:t>对违法行为人处</w:t>
            </w:r>
            <w:r>
              <w:rPr>
                <w:rFonts w:hint="default" w:ascii="Times New Roman" w:hAnsi="Times New Roman" w:eastAsia="方正仿宋_GBK" w:cs="Times New Roman"/>
                <w:i w:val="0"/>
                <w:caps w:val="0"/>
                <w:color w:val="auto"/>
                <w:spacing w:val="0"/>
                <w:sz w:val="21"/>
                <w:szCs w:val="21"/>
                <w:lang w:val="en-US" w:eastAsia="zh-CN"/>
              </w:rPr>
              <w:t>20000</w:t>
            </w:r>
            <w:r>
              <w:rPr>
                <w:rFonts w:hint="default" w:ascii="Times New Roman" w:hAnsi="Times New Roman" w:eastAsia="方正仿宋_GBK" w:cs="Times New Roman"/>
                <w:i w:val="0"/>
                <w:caps w:val="0"/>
                <w:color w:val="auto"/>
                <w:spacing w:val="0"/>
                <w:sz w:val="21"/>
                <w:szCs w:val="21"/>
              </w:rPr>
              <w:t>元罚款</w:t>
            </w:r>
          </w:p>
          <w:p w14:paraId="7ED01B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tc>
      </w:tr>
      <w:tr w14:paraId="495B1C17">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51"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12C143A">
            <w:pPr>
              <w:jc w:val="both"/>
              <w:rPr>
                <w:rFonts w:hint="default" w:ascii="Times New Roman" w:hAnsi="Times New Roman" w:eastAsia="微软雅黑" w:cs="Times New Roman"/>
                <w:i w:val="0"/>
                <w:caps w:val="0"/>
                <w:color w:val="auto"/>
                <w:spacing w:val="0"/>
                <w:sz w:val="20"/>
                <w:szCs w:val="20"/>
              </w:rPr>
            </w:pPr>
          </w:p>
        </w:tc>
        <w:tc>
          <w:tcPr>
            <w:tcW w:w="426"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D4312EA">
            <w:pPr>
              <w:jc w:val="both"/>
              <w:rPr>
                <w:rFonts w:hint="default" w:ascii="Times New Roman" w:hAnsi="Times New Roman" w:eastAsia="方正仿宋_GBK" w:cs="Times New Roman"/>
                <w:i w:val="0"/>
                <w:caps w:val="0"/>
                <w:color w:val="auto"/>
                <w:spacing w:val="0"/>
                <w:sz w:val="21"/>
                <w:szCs w:val="21"/>
              </w:rPr>
            </w:pPr>
          </w:p>
        </w:tc>
        <w:tc>
          <w:tcPr>
            <w:tcW w:w="797"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D9939C2">
            <w:pPr>
              <w:jc w:val="both"/>
              <w:rPr>
                <w:rFonts w:hint="default" w:ascii="Times New Roman" w:hAnsi="Times New Roman" w:eastAsia="方正仿宋_GBK" w:cs="Times New Roman"/>
                <w:i w:val="0"/>
                <w:caps w:val="0"/>
                <w:color w:val="auto"/>
                <w:spacing w:val="0"/>
                <w:sz w:val="21"/>
                <w:szCs w:val="21"/>
              </w:rPr>
            </w:pPr>
          </w:p>
        </w:tc>
        <w:tc>
          <w:tcPr>
            <w:tcW w:w="68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1393711">
            <w:pPr>
              <w:jc w:val="both"/>
              <w:rPr>
                <w:rFonts w:hint="default" w:ascii="Times New Roman" w:hAnsi="Times New Roman" w:eastAsia="方正仿宋_GBK" w:cs="Times New Roman"/>
                <w:i w:val="0"/>
                <w:caps w:val="0"/>
                <w:color w:val="auto"/>
                <w:spacing w:val="0"/>
                <w:sz w:val="21"/>
                <w:szCs w:val="21"/>
              </w:rPr>
            </w:pPr>
          </w:p>
        </w:tc>
        <w:tc>
          <w:tcPr>
            <w:tcW w:w="429"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D6E0C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从重</w:t>
            </w:r>
          </w:p>
        </w:tc>
        <w:tc>
          <w:tcPr>
            <w:tcW w:w="156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54CA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2EC548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（一）在共同违法行为中起主要作用的；</w:t>
            </w:r>
          </w:p>
          <w:p w14:paraId="57ED9B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（二）被行政处罚后</w:t>
            </w:r>
            <w:r>
              <w:rPr>
                <w:rFonts w:hint="default" w:ascii="Times New Roman" w:hAnsi="Times New Roman" w:eastAsia="方正仿宋_GBK" w:cs="Times New Roman"/>
                <w:i w:val="0"/>
                <w:caps w:val="0"/>
                <w:color w:val="auto"/>
                <w:spacing w:val="0"/>
                <w:sz w:val="21"/>
                <w:szCs w:val="21"/>
                <w:lang w:eastAsia="zh-CN"/>
              </w:rPr>
              <w:t>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1"/>
                <w:szCs w:val="21"/>
              </w:rPr>
              <w:t>发生同类违法行为的；</w:t>
            </w:r>
          </w:p>
          <w:p w14:paraId="7C472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（三）经行政机关责令停止或者要求纠正违法行为后，仍继续实施违法行为的；</w:t>
            </w:r>
          </w:p>
          <w:p w14:paraId="6B6EE6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（四）严重妨碍执法人员查处违法行为的；</w:t>
            </w:r>
          </w:p>
          <w:p w14:paraId="670F6C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（五）胁迫、诱骗或者教唆他人实施违法行为的；</w:t>
            </w:r>
          </w:p>
          <w:p w14:paraId="47536D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（六）对举报人、证人打击报复的；</w:t>
            </w:r>
          </w:p>
          <w:p w14:paraId="708CF1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（七）违法行为具有较大社会危害性；</w:t>
            </w:r>
          </w:p>
          <w:p w14:paraId="2AA7DB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（八）法律、法规和规章规定从重行政处罚的其他情形。</w:t>
            </w:r>
          </w:p>
        </w:tc>
        <w:tc>
          <w:tcPr>
            <w:tcW w:w="841"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ED769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对违法行为人处以</w:t>
            </w:r>
            <w:r>
              <w:rPr>
                <w:rFonts w:hint="default" w:ascii="Times New Roman" w:hAnsi="Times New Roman" w:eastAsia="方正仿宋_GBK" w:cs="Times New Roman"/>
                <w:i w:val="0"/>
                <w:caps w:val="0"/>
                <w:color w:val="auto"/>
                <w:spacing w:val="0"/>
                <w:sz w:val="21"/>
                <w:szCs w:val="21"/>
                <w:lang w:val="en-US" w:eastAsia="zh-CN"/>
              </w:rPr>
              <w:t>30000</w:t>
            </w:r>
            <w:r>
              <w:rPr>
                <w:rFonts w:hint="default" w:ascii="Times New Roman" w:hAnsi="Times New Roman" w:eastAsia="方正仿宋_GBK" w:cs="Times New Roman"/>
                <w:i w:val="0"/>
                <w:caps w:val="0"/>
                <w:color w:val="auto"/>
                <w:spacing w:val="0"/>
                <w:sz w:val="21"/>
                <w:szCs w:val="21"/>
              </w:rPr>
              <w:t>元罚款</w:t>
            </w:r>
          </w:p>
        </w:tc>
      </w:tr>
    </w:tbl>
    <w:p w14:paraId="67F8FF11"/>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C82D8"/>
    <w:multiLevelType w:val="singleLevel"/>
    <w:tmpl w:val="F9CC82D8"/>
    <w:lvl w:ilvl="0" w:tentative="0">
      <w:start w:val="1"/>
      <w:numFmt w:val="chineseCounting"/>
      <w:suff w:val="nothing"/>
      <w:lvlText w:val="（%1）"/>
      <w:lvlJc w:val="left"/>
      <w:rPr>
        <w:rFonts w:hint="eastAsia"/>
      </w:rPr>
    </w:lvl>
  </w:abstractNum>
  <w:abstractNum w:abstractNumId="1">
    <w:nsid w:val="4CE12E04"/>
    <w:multiLevelType w:val="singleLevel"/>
    <w:tmpl w:val="4CE12E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E6E26"/>
    <w:rsid w:val="3D0E6E26"/>
    <w:rsid w:val="410F7CF9"/>
    <w:rsid w:val="65E2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spacing w:line="360" w:lineRule="auto"/>
      <w:ind w:left="840" w:firstLine="200"/>
      <w:jc w:val="both"/>
    </w:pPr>
    <w:rPr>
      <w:rFonts w:ascii="Calibri" w:hAnsi="Calibri" w:eastAsia="宋体" w:cs="Arial"/>
      <w:kern w:val="2"/>
      <w:sz w:val="18"/>
      <w:szCs w:val="18"/>
      <w:lang w:val="en-US" w:eastAsia="zh-CN" w:bidi="ar-SA"/>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next w:val="1"/>
    <w:qFormat/>
    <w:uiPriority w:val="0"/>
    <w:pPr>
      <w:widowControl w:val="0"/>
      <w:pBdr>
        <w:top w:val="none" w:color="auto" w:sz="0" w:space="1"/>
        <w:left w:val="none" w:color="auto" w:sz="0" w:space="4"/>
        <w:bottom w:val="none" w:color="auto" w:sz="0" w:space="1"/>
        <w:right w:val="none" w:color="auto" w:sz="0" w:space="4"/>
      </w:pBdr>
      <w:snapToGrid w:val="0"/>
      <w:spacing w:line="240" w:lineRule="auto"/>
      <w:ind w:firstLine="880" w:firstLineChars="200"/>
      <w:jc w:val="both"/>
      <w:outlineLvl w:val="9"/>
    </w:pPr>
    <w:rPr>
      <w:rFonts w:ascii="Times New Roman" w:hAnsi="Times New Roman" w:eastAsia="方正仿宋_GBK" w:cs="Times New Roman"/>
      <w:kern w:val="2"/>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2026-05-18T03:21:00Z</dcterms:created>
  <dc:creator>卢烽火</dc:creator>
  <cp:lastModifiedBy>卢烽火</cp:lastModifiedBy>
  <dcterms:modified xsi:type="dcterms:W3CDTF">2026-05-18T03:21:46Z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26CFF8275A5B4B86B998FA0BD0582A67_11</vt:lpwstr>
  </property>
</Properties>
</file>