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954AF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1B9910E8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A8264EE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66AD480E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1E4E41A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49713666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086664A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B3AE9CF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72E23F2C">
      <w:pPr>
        <w:tabs>
          <w:tab w:val="left" w:pos="8505"/>
        </w:tabs>
        <w:spacing w:line="560" w:lineRule="exact"/>
        <w:ind w:right="179"/>
        <w:jc w:val="center"/>
        <w:rPr>
          <w:rFonts w:ascii="Times New Roman" w:hAnsi="Times New Roman" w:eastAsia="方正仿宋_GBK"/>
          <w:sz w:val="32"/>
          <w:szCs w:val="32"/>
        </w:rPr>
      </w:pPr>
    </w:p>
    <w:p w14:paraId="5D21FFFF">
      <w:pPr>
        <w:tabs>
          <w:tab w:val="left" w:pos="8505"/>
        </w:tabs>
        <w:spacing w:line="560" w:lineRule="exact"/>
        <w:ind w:right="179"/>
        <w:jc w:val="center"/>
        <w:rPr>
          <w:rFonts w:ascii="Times New Roman" w:hAnsi="Times New Roman" w:eastAsia="方正仿宋_GBK"/>
          <w:sz w:val="32"/>
          <w:szCs w:val="32"/>
        </w:rPr>
      </w:pPr>
    </w:p>
    <w:p w14:paraId="4AE4F3AE">
      <w:pPr>
        <w:tabs>
          <w:tab w:val="left" w:pos="8505"/>
        </w:tabs>
        <w:spacing w:line="560" w:lineRule="exact"/>
        <w:ind w:right="179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乌政</w:t>
      </w:r>
      <w:r>
        <w:rPr>
          <w:rFonts w:hint="eastAsia" w:ascii="Times New Roman" w:hAnsi="Times New Roman" w:eastAsia="方正仿宋_GBK"/>
          <w:sz w:val="32"/>
          <w:szCs w:val="32"/>
        </w:rPr>
        <w:t>通规</w:t>
      </w:r>
      <w:r>
        <w:rPr>
          <w:rFonts w:ascii="Times New Roman" w:hAnsi="Times New Roman" w:eastAsia="方正仿宋_GBK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005687EB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7C6655D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96B1D9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关于乌鲁木齐市国四及以下排放标准</w:t>
      </w:r>
    </w:p>
    <w:p w14:paraId="3A57AC40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柴油货车限行措施的通告</w:t>
      </w:r>
    </w:p>
    <w:p w14:paraId="43854189">
      <w:pPr>
        <w:spacing w:line="560" w:lineRule="exact"/>
      </w:pPr>
    </w:p>
    <w:p w14:paraId="20D1665C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为进一步改善环境空气质量，有效控制和减少柴油货车污染，保护人民群众身体健康，根据《中华人民共和国大气污染防治法》《中华人民共和国道路交通安全法》</w:t>
      </w:r>
      <w:r>
        <w:rPr>
          <w:rFonts w:hint="eastAsia" w:ascii="Times New Roman" w:hAnsi="Times New Roman" w:eastAsia="方正仿宋_GBK"/>
          <w:sz w:val="32"/>
          <w:szCs w:val="32"/>
        </w:rPr>
        <w:t>《新疆维吾尔自治区环境保护条例》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《新疆维吾尔自治区大气污染防治条例》《乌鲁木齐市机动车和非道路移动机械排气污染防治条例》等有关规定，现就乌鲁木齐市国四及以下排放标准柴油货车限行措施通告如下。</w:t>
      </w:r>
    </w:p>
    <w:p w14:paraId="645AAB6E">
      <w:pPr>
        <w:spacing w:line="560" w:lineRule="exact"/>
        <w:ind w:firstLine="645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一、限行规定</w:t>
      </w:r>
    </w:p>
    <w:p w14:paraId="5DC2FE31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</w:t>
      </w:r>
      <w:r>
        <w:rPr>
          <w:rFonts w:ascii="Times New Roman" w:hAnsi="Times New Roman" w:eastAsia="方正楷体_GBK"/>
          <w:sz w:val="32"/>
          <w:szCs w:val="32"/>
        </w:rPr>
        <w:t>限行区域</w:t>
      </w:r>
    </w:p>
    <w:p w14:paraId="0E7D1BDC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一类限行区：迎宾路（含）—迎宾北一路（含）—城北大道（含）—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京新</w:t>
      </w:r>
      <w:r>
        <w:rPr>
          <w:rFonts w:ascii="Times New Roman" w:hAnsi="Times New Roman" w:eastAsia="方正仿宋_GBK"/>
          <w:kern w:val="0"/>
          <w:sz w:val="32"/>
          <w:szCs w:val="32"/>
        </w:rPr>
        <w:t>高速路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—米东工业园立交桥—康庄路—米东大道（含）—东山街（含）—小红沟路—石人子沟北路—绕城高速石人沟北路出口—绕城高速—葛家沟西路—清园路（含）—丽园路（含）—博望路（含）—博格达路（含）—红雁路—红雁池南路—燕南立交桥—雅山南路（含）</w:t>
      </w:r>
      <w:r>
        <w:rPr>
          <w:rFonts w:ascii="Times New Roman" w:hAnsi="Times New Roman" w:eastAsia="方正仿宋_GBK"/>
          <w:kern w:val="0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二环快速路</w:t>
      </w:r>
      <w:r>
        <w:rPr>
          <w:rFonts w:ascii="Times New Roman" w:hAnsi="Times New Roman" w:eastAsia="方正仿宋_GBK"/>
          <w:kern w:val="0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连霍高速公路</w:t>
      </w:r>
      <w:r>
        <w:rPr>
          <w:rFonts w:ascii="Times New Roman" w:hAnsi="Times New Roman" w:eastAsia="方正仿宋_GBK"/>
          <w:kern w:val="0"/>
          <w:sz w:val="32"/>
          <w:szCs w:val="32"/>
        </w:rPr>
        <w:t>—万盛大街—科创路—祥云街—头屯河公路—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连霍</w:t>
      </w:r>
      <w:r>
        <w:rPr>
          <w:rFonts w:ascii="Times New Roman" w:hAnsi="Times New Roman" w:eastAsia="方正仿宋_GBK"/>
          <w:kern w:val="0"/>
          <w:sz w:val="32"/>
          <w:szCs w:val="32"/>
        </w:rPr>
        <w:t>高速公路—北站西路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—地窝堡立交桥</w:t>
      </w:r>
      <w:r>
        <w:rPr>
          <w:rFonts w:ascii="Times New Roman" w:hAnsi="Times New Roman" w:eastAsia="方正仿宋_GBK"/>
          <w:kern w:val="0"/>
          <w:sz w:val="32"/>
          <w:szCs w:val="32"/>
        </w:rPr>
        <w:t>围合区域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；甘泉堡路</w:t>
      </w:r>
      <w:r>
        <w:rPr>
          <w:rFonts w:ascii="Times New Roman" w:hAnsi="Times New Roman" w:eastAsia="方正仿宋_GBK"/>
          <w:kern w:val="0"/>
          <w:sz w:val="32"/>
          <w:szCs w:val="32"/>
        </w:rPr>
        <w:t>（含）—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瀚海东街</w:t>
      </w:r>
      <w:r>
        <w:rPr>
          <w:rFonts w:ascii="Times New Roman" w:hAnsi="Times New Roman" w:eastAsia="方正仿宋_GBK"/>
          <w:kern w:val="0"/>
          <w:sz w:val="32"/>
          <w:szCs w:val="32"/>
        </w:rPr>
        <w:t>（含）—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博润路</w:t>
      </w:r>
      <w:r>
        <w:rPr>
          <w:rFonts w:ascii="Times New Roman" w:hAnsi="Times New Roman" w:eastAsia="方正仿宋_GBK"/>
          <w:kern w:val="0"/>
          <w:sz w:val="32"/>
          <w:szCs w:val="32"/>
        </w:rPr>
        <w:t>（含）—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云栖东街</w:t>
      </w:r>
      <w:r>
        <w:rPr>
          <w:rFonts w:ascii="Times New Roman" w:hAnsi="Times New Roman" w:eastAsia="方正仿宋_GBK"/>
          <w:kern w:val="0"/>
          <w:sz w:val="32"/>
          <w:szCs w:val="32"/>
        </w:rPr>
        <w:t>（含）围合区域。</w:t>
      </w:r>
    </w:p>
    <w:p w14:paraId="44969AE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二类限行区：迎宾路（含）—迎宾北一路（含）—城北大道（含）—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京新</w:t>
      </w:r>
      <w:r>
        <w:rPr>
          <w:rFonts w:ascii="Times New Roman" w:hAnsi="Times New Roman" w:eastAsia="方正仿宋_GBK"/>
          <w:kern w:val="0"/>
          <w:sz w:val="32"/>
          <w:szCs w:val="32"/>
        </w:rPr>
        <w:t>高速路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—米东工业园立交桥—康庄路—米东大道（含）—东山街（含）—小红沟路—石人子沟北路—绕城高速石人沟北路出口—绕城高速—葛家沟西路—清园路（含）—丽园路（含）—博望路（含）—博格达路（含）—红雁路—红雁池南路—燕南立交桥—雅山南路（含）—雅山中路（含）—雅山北路（含）—西外环路（含）—西环北路（含）—地窝堡立交桥围合区域。</w:t>
      </w:r>
    </w:p>
    <w:p w14:paraId="2E7C8281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（二）限行措施</w:t>
      </w:r>
      <w:r>
        <w:rPr>
          <w:rFonts w:hint="eastAsia" w:ascii="Times New Roman" w:hAnsi="Times New Roman" w:eastAsia="方正楷体_GBK"/>
          <w:sz w:val="32"/>
          <w:szCs w:val="32"/>
        </w:rPr>
        <w:t>及执行时间</w:t>
      </w:r>
    </w:p>
    <w:p w14:paraId="6BDDEADC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一类限行区：自2025年11月1日起，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全天禁止国三及以下排放标准柴油货车在此区域内通行。</w:t>
      </w:r>
    </w:p>
    <w:p w14:paraId="7CB14923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二类限行区：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自2026年11月1日起，全天禁止国四排放标准柴油货车在此区域内通行。</w:t>
      </w:r>
    </w:p>
    <w:p w14:paraId="5D902B57">
      <w:pPr>
        <w:spacing w:line="560" w:lineRule="exact"/>
        <w:ind w:firstLine="645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二、其他规定</w:t>
      </w:r>
    </w:p>
    <w:p w14:paraId="430F8D5C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执行紧急任务的警车、消防车、救护车、工程救险车以及中国邮政专用车辆不受上述措施限制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 w14:paraId="60F1AC47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（二）遇大型活动、道路建设、重污染天气应急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预案相应级别启动时及其他</w:t>
      </w:r>
      <w:r>
        <w:rPr>
          <w:rFonts w:ascii="Times New Roman" w:hAnsi="Times New Roman" w:eastAsia="方正仿宋_GBK"/>
          <w:kern w:val="0"/>
          <w:sz w:val="32"/>
          <w:szCs w:val="32"/>
        </w:rPr>
        <w:t>情况需调整交通管理措施时，以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公安机关</w:t>
      </w:r>
      <w:r>
        <w:rPr>
          <w:rFonts w:ascii="Times New Roman" w:hAnsi="Times New Roman" w:eastAsia="方正仿宋_GBK"/>
          <w:kern w:val="0"/>
          <w:sz w:val="32"/>
          <w:szCs w:val="32"/>
        </w:rPr>
        <w:t>交通管理部门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发布的相关通告和执勤民警的指挥为准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 w14:paraId="5F7B20DD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（三）违反本通告规定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行驶</w:t>
      </w:r>
      <w:r>
        <w:rPr>
          <w:rFonts w:ascii="Times New Roman" w:hAnsi="Times New Roman" w:eastAsia="方正仿宋_GBK"/>
          <w:kern w:val="0"/>
          <w:sz w:val="32"/>
          <w:szCs w:val="32"/>
        </w:rPr>
        <w:t>的车辆，由公安机关交通管理部门依法处罚。</w:t>
      </w:r>
    </w:p>
    <w:p w14:paraId="630E3989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（四）在本市行政区域内通行的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货车</w:t>
      </w:r>
      <w:r>
        <w:rPr>
          <w:rFonts w:ascii="Times New Roman" w:hAnsi="Times New Roman" w:eastAsia="方正仿宋_GBK"/>
          <w:kern w:val="0"/>
          <w:sz w:val="32"/>
          <w:szCs w:val="32"/>
        </w:rPr>
        <w:t>除遵守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本通告</w:t>
      </w:r>
      <w:r>
        <w:rPr>
          <w:rFonts w:ascii="Times New Roman" w:hAnsi="Times New Roman" w:eastAsia="方正仿宋_GBK"/>
          <w:kern w:val="0"/>
          <w:sz w:val="32"/>
          <w:szCs w:val="32"/>
        </w:rPr>
        <w:t>外，还应遵守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本市</w:t>
      </w:r>
      <w:r>
        <w:rPr>
          <w:rFonts w:ascii="Times New Roman" w:hAnsi="Times New Roman" w:eastAsia="方正仿宋_GBK"/>
          <w:kern w:val="0"/>
          <w:sz w:val="32"/>
          <w:szCs w:val="32"/>
        </w:rPr>
        <w:t>其他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限制货车通行的规定。</w:t>
      </w:r>
    </w:p>
    <w:p w14:paraId="3FAFB72A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（五）</w:t>
      </w:r>
      <w:r>
        <w:rPr>
          <w:rFonts w:ascii="Times New Roman" w:hAnsi="Times New Roman" w:eastAsia="方正仿宋_GBK"/>
          <w:kern w:val="0"/>
          <w:sz w:val="32"/>
          <w:szCs w:val="32"/>
        </w:rPr>
        <w:t>本通告自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2025年11月1日</w:t>
      </w:r>
      <w:r>
        <w:rPr>
          <w:rFonts w:ascii="Times New Roman" w:hAnsi="Times New Roman" w:eastAsia="方正仿宋_GBK"/>
          <w:kern w:val="0"/>
          <w:sz w:val="32"/>
          <w:szCs w:val="32"/>
        </w:rPr>
        <w:t>起实施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，有效期5年。</w:t>
      </w:r>
    </w:p>
    <w:p w14:paraId="5BB11194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5220443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359B456A">
      <w:pPr>
        <w:pStyle w:val="9"/>
        <w:spacing w:line="240" w:lineRule="exact"/>
        <w:ind w:firstLine="640"/>
        <w:rPr>
          <w:rFonts w:eastAsia="方正仿宋_GBK"/>
          <w:color w:val="auto"/>
          <w:spacing w:val="0"/>
          <w:sz w:val="32"/>
          <w:szCs w:val="32"/>
        </w:rPr>
      </w:pPr>
    </w:p>
    <w:p w14:paraId="255AF5BA">
      <w:pPr>
        <w:pStyle w:val="9"/>
        <w:tabs>
          <w:tab w:val="left" w:pos="7655"/>
        </w:tabs>
        <w:spacing w:line="480" w:lineRule="exact"/>
        <w:ind w:firstLine="640"/>
        <w:rPr>
          <w:rFonts w:eastAsia="方正仿宋_GBK"/>
          <w:color w:val="auto"/>
          <w:spacing w:val="0"/>
          <w:sz w:val="32"/>
          <w:szCs w:val="32"/>
        </w:rPr>
      </w:pPr>
      <w:r>
        <w:rPr>
          <w:rFonts w:eastAsia="方正仿宋_GBK"/>
          <w:color w:val="auto"/>
          <w:spacing w:val="0"/>
          <w:sz w:val="32"/>
          <w:szCs w:val="32"/>
        </w:rPr>
        <w:t xml:space="preserve">                   </w:t>
      </w:r>
      <w:r>
        <w:rPr>
          <w:rFonts w:hint="eastAsia" w:eastAsia="方正仿宋_GBK"/>
          <w:color w:val="auto"/>
          <w:spacing w:val="0"/>
          <w:sz w:val="32"/>
          <w:szCs w:val="32"/>
        </w:rPr>
        <w:t xml:space="preserve">     </w:t>
      </w:r>
      <w:r>
        <w:rPr>
          <w:rFonts w:eastAsia="方正仿宋_GBK"/>
          <w:color w:val="auto"/>
          <w:spacing w:val="0"/>
          <w:sz w:val="32"/>
          <w:szCs w:val="32"/>
        </w:rPr>
        <w:t xml:space="preserve"> </w:t>
      </w:r>
      <w:r>
        <w:rPr>
          <w:rFonts w:hint="eastAsia" w:eastAsia="方正仿宋_GBK"/>
          <w:color w:val="auto"/>
          <w:spacing w:val="0"/>
          <w:sz w:val="32"/>
          <w:szCs w:val="32"/>
        </w:rPr>
        <w:t>乌鲁木齐市人民政府</w:t>
      </w:r>
    </w:p>
    <w:p w14:paraId="7F97F5B3">
      <w:pPr>
        <w:tabs>
          <w:tab w:val="left" w:pos="7655"/>
        </w:tabs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szCs w:val="32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sz w:val="32"/>
          <w:szCs w:val="32"/>
        </w:rPr>
        <w:t>年7月2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F041">
    <w:pPr>
      <w:pStyle w:val="3"/>
      <w:jc w:val="right"/>
      <w:rPr>
        <w:rFonts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t xml:space="preserve">— </w:t>
    </w:r>
    <w:r>
      <w:rPr>
        <w:rFonts w:ascii="Times New Roman" w:hAnsi="Times New Roman" w:eastAsia="方正仿宋_GBK"/>
        <w:sz w:val="28"/>
        <w:szCs w:val="28"/>
      </w:rPr>
      <w:fldChar w:fldCharType="begin"/>
    </w:r>
    <w:r>
      <w:rPr>
        <w:rFonts w:ascii="Times New Roman" w:hAnsi="Times New Roman" w:eastAsia="方正仿宋_GBK"/>
        <w:sz w:val="28"/>
        <w:szCs w:val="28"/>
      </w:rPr>
      <w:instrText xml:space="preserve"> PAGE  \* MERGEFORMAT </w:instrText>
    </w:r>
    <w:r>
      <w:rPr>
        <w:rFonts w:ascii="Times New Roman" w:hAnsi="Times New Roman" w:eastAsia="方正仿宋_GBK"/>
        <w:sz w:val="28"/>
        <w:szCs w:val="28"/>
      </w:rPr>
      <w:fldChar w:fldCharType="separate"/>
    </w:r>
    <w:r>
      <w:rPr>
        <w:rFonts w:ascii="Times New Roman" w:hAnsi="Times New Roman" w:eastAsia="方正仿宋_GBK"/>
        <w:sz w:val="28"/>
        <w:szCs w:val="28"/>
      </w:rPr>
      <w:t>1</w:t>
    </w:r>
    <w:r>
      <w:rPr>
        <w:rFonts w:ascii="Times New Roman" w:hAnsi="Times New Roman" w:eastAsia="方正仿宋_GBK"/>
        <w:sz w:val="28"/>
        <w:szCs w:val="28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FD29">
    <w:pPr>
      <w:pStyle w:val="3"/>
      <w:rPr>
        <w:rFonts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t xml:space="preserve">— </w:t>
    </w:r>
    <w:r>
      <w:rPr>
        <w:rFonts w:ascii="Times New Roman" w:hAnsi="Times New Roman" w:eastAsia="方正仿宋_GBK"/>
        <w:sz w:val="28"/>
        <w:szCs w:val="28"/>
      </w:rPr>
      <w:fldChar w:fldCharType="begin"/>
    </w:r>
    <w:r>
      <w:rPr>
        <w:rFonts w:ascii="Times New Roman" w:hAnsi="Times New Roman" w:eastAsia="方正仿宋_GBK"/>
        <w:sz w:val="28"/>
        <w:szCs w:val="28"/>
      </w:rPr>
      <w:instrText xml:space="preserve"> PAGE  \* MERGEFORMAT </w:instrText>
    </w:r>
    <w:r>
      <w:rPr>
        <w:rFonts w:ascii="Times New Roman" w:hAnsi="Times New Roman" w:eastAsia="方正仿宋_GBK"/>
        <w:sz w:val="28"/>
        <w:szCs w:val="28"/>
      </w:rPr>
      <w:fldChar w:fldCharType="separate"/>
    </w:r>
    <w:r>
      <w:rPr>
        <w:rFonts w:ascii="Times New Roman" w:hAnsi="Times New Roman" w:eastAsia="方正仿宋_GBK"/>
        <w:sz w:val="28"/>
        <w:szCs w:val="28"/>
      </w:rPr>
      <w:t>2</w:t>
    </w:r>
    <w:r>
      <w:rPr>
        <w:rFonts w:ascii="Times New Roman" w:hAnsi="Times New Roman" w:eastAsia="方正仿宋_GBK"/>
        <w:sz w:val="28"/>
        <w:szCs w:val="28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CD"/>
    <w:rsid w:val="0007651D"/>
    <w:rsid w:val="00133741"/>
    <w:rsid w:val="002E5A1A"/>
    <w:rsid w:val="00316ACD"/>
    <w:rsid w:val="004D52EC"/>
    <w:rsid w:val="004E0B6B"/>
    <w:rsid w:val="007A7516"/>
    <w:rsid w:val="0092684D"/>
    <w:rsid w:val="00964139"/>
    <w:rsid w:val="009B7168"/>
    <w:rsid w:val="00AE64CC"/>
    <w:rsid w:val="00C54001"/>
    <w:rsid w:val="00D90609"/>
    <w:rsid w:val="00DA374B"/>
    <w:rsid w:val="00DE0A46"/>
    <w:rsid w:val="00E60278"/>
    <w:rsid w:val="554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预案正文新01"/>
    <w:basedOn w:val="1"/>
    <w:qFormat/>
    <w:uiPriority w:val="0"/>
    <w:pPr>
      <w:spacing w:line="600" w:lineRule="exact"/>
      <w:ind w:firstLine="554" w:firstLineChars="200"/>
    </w:pPr>
    <w:rPr>
      <w:rFonts w:ascii="Times New Roman" w:hAnsi="Times New Roman" w:eastAsia="仿宋_GB2312"/>
      <w:color w:val="000000"/>
      <w:spacing w:val="-3"/>
      <w:sz w:val="28"/>
      <w:szCs w:val="2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984</Words>
  <Characters>1007</Characters>
  <Lines>7</Lines>
  <Paragraphs>2</Paragraphs>
  <TotalTime>271</TotalTime>
  <ScaleCrop>false</ScaleCrop>
  <LinksUpToDate>false</LinksUpToDate>
  <CharactersWithSpaces>1069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2025-07-21T04:11:00Z</dcterms:created>
  <dc:creator>秘书三科</dc:creator>
  <cp:lastModifiedBy>Administrator</cp:lastModifiedBy>
  <cp:lastPrinted>2025-07-21T04:38:00Z</cp:lastPrinted>
  <dcterms:modified xsi:type="dcterms:W3CDTF">2025-07-25T12:39:55Z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eyJoZGlkIjoiNjE3OTU1ZmVjNTFmNjQ0ZmNjMjJhZTFkOWZkNzk4NDMifQ==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330B07D986A34839911FF2A0EC27EB09_12</vt:lpwstr>
  </property>
</Properties>
</file>