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val="0"/>
        <w:snapToGrid w:val="0"/>
        <w:spacing w:line="600" w:lineRule="exact"/>
        <w:textAlignment w:val="auto"/>
        <w:outlineLvl w:val="2"/>
        <w:rPr>
          <w:rFonts w:hint="eastAsia" w:ascii="Times New Roman" w:hAnsi="Times New Roman" w:eastAsia="方正黑体_GBK" w:cs="Times New Roman"/>
          <w:kern w:val="2"/>
          <w:sz w:val="32"/>
          <w:szCs w:val="24"/>
          <w:lang w:val="en-US" w:eastAsia="zh-CN"/>
        </w:rPr>
      </w:pPr>
      <w:r>
        <w:rPr>
          <w:rFonts w:hint="default" w:ascii="Times New Roman" w:hAnsi="Times New Roman" w:eastAsia="方正黑体_GBK" w:cs="Times New Roman"/>
          <w:kern w:val="2"/>
          <w:sz w:val="32"/>
          <w:szCs w:val="24"/>
        </w:rPr>
        <w:t>附件</w:t>
      </w:r>
      <w:r>
        <w:rPr>
          <w:rFonts w:hint="eastAsia" w:ascii="Times New Roman" w:hAnsi="Times New Roman" w:eastAsia="方正黑体_GBK" w:cs="Times New Roman"/>
          <w:kern w:val="2"/>
          <w:sz w:val="32"/>
          <w:szCs w:val="24"/>
          <w:lang w:val="en-US" w:eastAsia="zh-CN"/>
        </w:rPr>
        <w:t>2</w:t>
      </w: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hint="default" w:ascii="Times New Roman" w:hAnsi="Times New Roman" w:eastAsia="方正小标宋_GBK" w:cs="Times New Roman"/>
          <w:color w:val="000000"/>
          <w:kern w:val="2"/>
          <w:sz w:val="44"/>
          <w:szCs w:val="44"/>
          <w:lang w:eastAsia="zh-CN"/>
        </w:rPr>
      </w:pP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hint="default" w:ascii="Times New Roman" w:hAnsi="Times New Roman" w:eastAsia="方正小标宋_GBK" w:cs="Times New Roman"/>
          <w:color w:val="000000"/>
          <w:kern w:val="2"/>
          <w:sz w:val="44"/>
          <w:szCs w:val="44"/>
        </w:rPr>
      </w:pPr>
      <w:r>
        <w:rPr>
          <w:rFonts w:hint="default" w:ascii="Times New Roman" w:hAnsi="Times New Roman" w:eastAsia="方正小标宋_GBK" w:cs="Times New Roman"/>
          <w:color w:val="000000"/>
          <w:kern w:val="2"/>
          <w:sz w:val="44"/>
          <w:szCs w:val="44"/>
          <w:lang w:eastAsia="zh-CN"/>
        </w:rPr>
        <w:t>《</w:t>
      </w:r>
      <w:r>
        <w:rPr>
          <w:rFonts w:hint="default" w:ascii="Times New Roman" w:hAnsi="Times New Roman" w:eastAsia="方正小标宋_GBK" w:cs="Times New Roman"/>
          <w:color w:val="000000"/>
          <w:kern w:val="2"/>
          <w:sz w:val="44"/>
          <w:szCs w:val="44"/>
        </w:rPr>
        <w:t>乌鲁木齐市城市房屋安全管理资金管理办法</w:t>
      </w:r>
      <w:r>
        <w:rPr>
          <w:rFonts w:hint="default" w:ascii="Times New Roman" w:hAnsi="Times New Roman" w:eastAsia="方正小标宋_GBK" w:cs="Times New Roman"/>
          <w:color w:val="000000"/>
          <w:kern w:val="2"/>
          <w:sz w:val="44"/>
          <w:szCs w:val="44"/>
          <w:lang w:eastAsia="zh-CN"/>
        </w:rPr>
        <w:t>（征求意见稿）》起草说明</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ascii="Times New Roman" w:hAnsi="Times New Roman" w:eastAsia="方正仿宋_GB2312" w:cs="Times New Roman"/>
          <w:kern w:val="2"/>
          <w:sz w:val="32"/>
          <w:szCs w:val="24"/>
        </w:rPr>
        <w:t>为深入贯彻落实</w:t>
      </w:r>
      <w:r>
        <w:rPr>
          <w:rFonts w:hint="eastAsia" w:ascii="Times New Roman" w:hAnsi="Times New Roman" w:eastAsia="方正仿宋_GB2312" w:cs="Times New Roman"/>
          <w:kern w:val="2"/>
          <w:sz w:val="32"/>
          <w:szCs w:val="24"/>
        </w:rPr>
        <w:t>国家、自治区关于房屋安全管理的部署要求</w:t>
      </w:r>
      <w:r>
        <w:rPr>
          <w:rFonts w:ascii="Times New Roman" w:hAnsi="Times New Roman" w:eastAsia="方正仿宋_GB2312" w:cs="Times New Roman"/>
          <w:kern w:val="2"/>
          <w:sz w:val="32"/>
          <w:szCs w:val="24"/>
        </w:rPr>
        <w:t>，全面加强房屋使用安全全生命周期管理，统筹</w:t>
      </w:r>
      <w:r>
        <w:rPr>
          <w:rFonts w:hint="eastAsia" w:ascii="Times New Roman" w:hAnsi="Times New Roman" w:eastAsia="方正仿宋_GB2312" w:cs="Times New Roman"/>
          <w:kern w:val="2"/>
          <w:sz w:val="32"/>
          <w:szCs w:val="24"/>
          <w:lang w:eastAsia="zh-CN"/>
        </w:rPr>
        <w:t>规范全市</w:t>
      </w:r>
      <w:r>
        <w:rPr>
          <w:rFonts w:hint="eastAsia" w:ascii="Times New Roman" w:hAnsi="Times New Roman" w:eastAsia="方正仿宋_GB2312" w:cs="Times New Roman"/>
          <w:kern w:val="2"/>
          <w:sz w:val="32"/>
          <w:szCs w:val="24"/>
        </w:rPr>
        <w:t>城市</w:t>
      </w:r>
      <w:r>
        <w:rPr>
          <w:rFonts w:ascii="Times New Roman" w:hAnsi="Times New Roman" w:eastAsia="方正仿宋_GB2312" w:cs="Times New Roman"/>
          <w:kern w:val="2"/>
          <w:sz w:val="32"/>
          <w:szCs w:val="24"/>
        </w:rPr>
        <w:t>房屋安全资金</w:t>
      </w:r>
      <w:r>
        <w:rPr>
          <w:rFonts w:hint="eastAsia" w:ascii="Times New Roman" w:hAnsi="Times New Roman" w:eastAsia="方正仿宋_GB2312" w:cs="Times New Roman"/>
          <w:kern w:val="2"/>
          <w:sz w:val="32"/>
          <w:szCs w:val="24"/>
          <w:lang w:eastAsia="zh-CN"/>
        </w:rPr>
        <w:t>管理</w:t>
      </w:r>
      <w:r>
        <w:rPr>
          <w:rFonts w:ascii="Times New Roman" w:hAnsi="Times New Roman" w:eastAsia="方正仿宋_GB2312" w:cs="Times New Roman"/>
          <w:kern w:val="2"/>
          <w:sz w:val="32"/>
          <w:szCs w:val="24"/>
        </w:rPr>
        <w:t>工作，</w:t>
      </w:r>
      <w:r>
        <w:rPr>
          <w:rFonts w:hint="eastAsia" w:ascii="Times New Roman" w:hAnsi="Times New Roman" w:eastAsia="方正仿宋_GB2312" w:cs="Times New Roman"/>
          <w:kern w:val="2"/>
          <w:sz w:val="32"/>
          <w:szCs w:val="24"/>
          <w:lang w:eastAsia="zh-CN"/>
        </w:rPr>
        <w:t>结合我市实际，我局起草了《乌鲁</w:t>
      </w:r>
      <w:bookmarkStart w:id="0" w:name="_GoBack"/>
      <w:bookmarkEnd w:id="0"/>
      <w:r>
        <w:rPr>
          <w:rFonts w:hint="eastAsia" w:ascii="Times New Roman" w:hAnsi="Times New Roman" w:eastAsia="方正仿宋_GB2312" w:cs="Times New Roman"/>
          <w:kern w:val="2"/>
          <w:sz w:val="32"/>
          <w:szCs w:val="24"/>
          <w:lang w:eastAsia="zh-CN"/>
        </w:rPr>
        <w:t>木齐市城市房屋安全管理资金管理办法（征求意见稿）》，现将有关起草情况说明如下：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方正黑体_GBK" w:hAnsi="方正黑体_GBK" w:eastAsia="方正黑体_GBK" w:cs="方正黑体_GBK"/>
          <w:snapToGrid w:val="0"/>
          <w:kern w:val="0"/>
          <w:sz w:val="32"/>
          <w:szCs w:val="40"/>
          <w:lang w:val="en-US" w:eastAsia="zh-CN"/>
        </w:rPr>
      </w:pPr>
      <w:r>
        <w:rPr>
          <w:rFonts w:hint="eastAsia" w:ascii="方正黑体_GBK" w:hAnsi="方正黑体_GBK" w:eastAsia="方正黑体_GBK" w:cs="方正黑体_GBK"/>
          <w:snapToGrid w:val="0"/>
          <w:kern w:val="0"/>
          <w:sz w:val="32"/>
          <w:szCs w:val="40"/>
          <w:lang w:val="en-US" w:eastAsia="zh-CN"/>
        </w:rPr>
        <w:t>一、制定背景</w:t>
      </w:r>
    </w:p>
    <w:p>
      <w:pPr>
        <w:bidi w:val="0"/>
        <w:spacing w:line="560" w:lineRule="exact"/>
        <w:ind w:firstLine="640" w:firstLineChars="200"/>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近年来，</w:t>
      </w:r>
      <w:r>
        <w:rPr>
          <w:rFonts w:hint="eastAsia" w:ascii="方正仿宋_GBK" w:hAnsi="方正仿宋_GBK" w:eastAsia="方正仿宋_GBK" w:cs="方正仿宋_GBK"/>
          <w:sz w:val="32"/>
          <w:szCs w:val="32"/>
          <w:lang w:eastAsia="zh-CN"/>
        </w:rPr>
        <w:t>为应对房屋老龄化、住房安全隐患不断增多的严峻形势，</w:t>
      </w:r>
      <w:r>
        <w:rPr>
          <w:rFonts w:hint="eastAsia" w:ascii="方正仿宋_GBK" w:hAnsi="方正仿宋_GBK" w:eastAsia="方正仿宋_GBK" w:cs="方正仿宋_GBK"/>
          <w:sz w:val="32"/>
          <w:szCs w:val="32"/>
          <w:lang w:val="en-US" w:eastAsia="zh-CN"/>
        </w:rPr>
        <w:t>住建部提出探索建立“三项制度”（房屋体检制度、房屋安全管理资金制度、房屋保险制度），构建房屋全生命周期安全管理长效机制。</w:t>
      </w:r>
      <w:r>
        <w:rPr>
          <w:rFonts w:hint="default" w:ascii="Times New Roman" w:hAnsi="Times New Roman" w:eastAsia="方正仿宋_GBK" w:cs="Times New Roman"/>
          <w:sz w:val="32"/>
          <w:szCs w:val="32"/>
          <w:lang w:val="en-US" w:eastAsia="zh-CN"/>
        </w:rPr>
        <w:t>2025年，</w:t>
      </w:r>
      <w:r>
        <w:rPr>
          <w:rFonts w:hint="eastAsia" w:ascii="Times New Roman" w:hAnsi="Times New Roman" w:eastAsia="方正仿宋_GBK" w:cs="Times New Roman"/>
          <w:sz w:val="32"/>
          <w:szCs w:val="32"/>
          <w:lang w:val="en-US" w:eastAsia="zh-CN"/>
        </w:rPr>
        <w:t>《自治区党委 自治区人民政府关于进一步推动城市高质量发展的实施意见》明确提出“探索建立房屋全生命周期安全管理‘三项制度’”。</w:t>
      </w:r>
    </w:p>
    <w:p>
      <w:pPr>
        <w:bidi w:val="0"/>
        <w:spacing w:line="56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为贯彻落实住</w:t>
      </w:r>
      <w:r>
        <w:rPr>
          <w:rFonts w:hint="eastAsia" w:ascii="方正仿宋_GBK" w:hAnsi="方正仿宋_GBK" w:eastAsia="方正仿宋_GBK" w:cs="方正仿宋_GBK"/>
          <w:sz w:val="32"/>
          <w:szCs w:val="32"/>
          <w:lang w:val="en-US" w:eastAsia="zh-CN"/>
        </w:rPr>
        <w:t>建部</w:t>
      </w:r>
      <w:r>
        <w:rPr>
          <w:rFonts w:hint="eastAsia" w:ascii="Times New Roman" w:hAnsi="Times New Roman" w:eastAsia="方正仿宋_GBK" w:cs="Times New Roman"/>
          <w:sz w:val="32"/>
          <w:szCs w:val="32"/>
          <w:lang w:val="en-US" w:eastAsia="zh-CN"/>
        </w:rPr>
        <w:t>、自治区部署要求，健全房屋全生命周期安全管理长效机制，破解房屋安全管理资金保障渠道单一、现行住宅专项维修资金制度存在覆盖范围有限等痛点难点问题，并且随着乌鲁木齐城市更新行动、城中村改造、危旧房改造等工作的推进，亟需出台政策，从制度上解决问题。</w:t>
      </w:r>
    </w:p>
    <w:p>
      <w:pPr>
        <w:bidi w:val="0"/>
        <w:spacing w:line="56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在市政府及各相关部门的大力支持和协助下，起草了《乌鲁木齐市城市房屋安全管理资金管理办法（试行）》（以下简称《办法》）。《办法》贯彻落实《关于印发《乌鲁木齐市房屋养老金制度试点方案》的通知》《乌鲁木齐市城市房屋安全管理“三项制度”工作方案》的工作要求，吸收借鉴天津、宁波等城市和地区先进做法和经验，以解决当前乌鲁木齐市房屋全生命周期管理中亟需解决的现实问题为导向，制定符合乌鲁木齐实际发展需要的房屋安全管理资金制度具体工作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方正黑体_GBK" w:hAnsi="方正黑体_GBK" w:eastAsia="方正黑体_GBK" w:cs="方正黑体_GBK"/>
          <w:snapToGrid w:val="0"/>
          <w:kern w:val="0"/>
          <w:sz w:val="32"/>
          <w:szCs w:val="40"/>
          <w:lang w:val="en-US" w:eastAsia="zh-CN"/>
        </w:rPr>
      </w:pPr>
      <w:r>
        <w:rPr>
          <w:rFonts w:hint="eastAsia" w:ascii="方正黑体_GBK" w:hAnsi="方正黑体_GBK" w:eastAsia="方正黑体_GBK" w:cs="方正黑体_GBK"/>
          <w:snapToGrid w:val="0"/>
          <w:kern w:val="0"/>
          <w:sz w:val="32"/>
          <w:szCs w:val="40"/>
          <w:lang w:val="en-US" w:eastAsia="zh-CN"/>
        </w:rPr>
        <w:t>二、制定必要性</w:t>
      </w:r>
    </w:p>
    <w:p>
      <w:pPr>
        <w:bidi w:val="0"/>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（一）贯彻落实国家和自治区决策部署的必然要求</w:t>
      </w:r>
    </w:p>
    <w:p>
      <w:pPr>
        <w:bidi w:val="0"/>
        <w:spacing w:line="56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实施城市更新行动、加强房屋安全管理是党中央、国务院作出的重要决策部署。制定本《办法》，是乌鲁木齐市贯彻落实上级工作要求的具体举措，通过建立城镇房屋安全资金管理机制，为城镇房屋体检、房屋保险等工作提供资金保障，推动房屋安全管理工作制度化、常态化。</w:t>
      </w:r>
    </w:p>
    <w:p>
      <w:pPr>
        <w:bidi w:val="0"/>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（二）破解资金保障难题的迫切需要</w:t>
      </w:r>
    </w:p>
    <w:p>
      <w:pPr>
        <w:bidi w:val="0"/>
        <w:spacing w:line="56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当前城镇房屋安全管理资金存在来源单一、统筹力度不足、应急垫付机制不健全等问题，导致房屋体检、安全保险、紧急维修等工作难以高效开展。《办法》明确资金多渠道筹集方式，整合财政预算、土地出让金、公积金增值收益等各类资金，建立公共账户与个人账户相结合的资金体系，可有效破解资金短缺、使用分散的困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方正黑体_GBK" w:hAnsi="方正黑体_GBK" w:eastAsia="方正黑体_GBK" w:cs="方正黑体_GBK"/>
          <w:sz w:val="32"/>
          <w:szCs w:val="40"/>
          <w:lang w:eastAsia="zh-CN"/>
        </w:rPr>
      </w:pPr>
      <w:r>
        <w:rPr>
          <w:rFonts w:hint="eastAsia" w:ascii="方正黑体_GBK" w:hAnsi="方正黑体_GBK" w:eastAsia="方正黑体_GBK" w:cs="方正黑体_GBK"/>
          <w:sz w:val="32"/>
          <w:szCs w:val="40"/>
          <w:lang w:val="en-US" w:eastAsia="zh-CN"/>
        </w:rPr>
        <w:t>三</w:t>
      </w:r>
      <w:r>
        <w:rPr>
          <w:rFonts w:hint="eastAsia" w:ascii="方正黑体_GBK" w:hAnsi="方正黑体_GBK" w:eastAsia="方正黑体_GBK" w:cs="方正黑体_GBK"/>
          <w:sz w:val="32"/>
          <w:szCs w:val="40"/>
          <w:lang w:eastAsia="zh-CN"/>
        </w:rPr>
        <w:t>、制定依据</w:t>
      </w:r>
    </w:p>
    <w:p>
      <w:pPr>
        <w:spacing w:line="580" w:lineRule="exact"/>
        <w:ind w:firstLine="640" w:firstLineChars="200"/>
        <w:rPr>
          <w:rFonts w:ascii="仿宋_GB2312" w:hAnsi="华文中宋" w:eastAsia="仿宋_GB2312" w:cs="仿宋_GB2312"/>
          <w:sz w:val="32"/>
          <w:szCs w:val="32"/>
        </w:rPr>
      </w:pPr>
      <w:r>
        <w:rPr>
          <w:rFonts w:hint="eastAsia" w:ascii="Times New Roman" w:hAnsi="Times New Roman" w:eastAsia="方正仿宋_GBK" w:cs="Times New Roman"/>
          <w:sz w:val="32"/>
          <w:szCs w:val="32"/>
          <w:lang w:val="en-US" w:eastAsia="zh-CN"/>
        </w:rPr>
        <w:t>《办法》依据《中华人民共和国民法典》《住宅专项维修资金管理办法》（2007年建设部、财政部令第165号）、</w:t>
      </w:r>
      <w:r>
        <w:rPr>
          <w:rFonts w:hint="default" w:ascii="Times New Roman" w:hAnsi="Times New Roman" w:eastAsia="方正仿宋_GB2312" w:cs="Times New Roman"/>
          <w:kern w:val="2"/>
          <w:sz w:val="32"/>
          <w:szCs w:val="24"/>
        </w:rPr>
        <w:t>《新疆维吾尔自治区物业管理条例》《新疆维吾尔自治区城镇房屋安全使用管理办法》</w:t>
      </w:r>
      <w:r>
        <w:rPr>
          <w:rFonts w:hint="eastAsia" w:ascii="Times New Roman" w:hAnsi="Times New Roman" w:eastAsia="方正仿宋_GBK" w:cs="Times New Roman"/>
          <w:sz w:val="32"/>
          <w:szCs w:val="32"/>
          <w:lang w:val="en-US" w:eastAsia="zh-CN"/>
        </w:rPr>
        <w:t>《乌鲁木齐市城市房屋安全管理“三项制度”工作方案》《乌鲁木齐市物业专项维修资金管理办法》等法律法规制定。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方正黑体_GBK" w:hAnsi="方正黑体_GBK" w:eastAsia="方正黑体_GBK" w:cs="方正黑体_GBK"/>
          <w:snapToGrid w:val="0"/>
          <w:kern w:val="0"/>
          <w:sz w:val="32"/>
          <w:szCs w:val="40"/>
          <w:lang w:val="en-US" w:eastAsia="zh-CN"/>
        </w:rPr>
      </w:pPr>
      <w:r>
        <w:rPr>
          <w:rFonts w:hint="eastAsia" w:ascii="方正黑体_GBK" w:hAnsi="方正黑体_GBK" w:eastAsia="方正黑体_GBK" w:cs="方正黑体_GBK"/>
          <w:snapToGrid w:val="0"/>
          <w:kern w:val="0"/>
          <w:sz w:val="32"/>
          <w:szCs w:val="40"/>
          <w:lang w:val="en-US" w:eastAsia="zh-CN"/>
        </w:rPr>
        <w:t>四、起草过程</w:t>
      </w:r>
    </w:p>
    <w:p>
      <w:pPr>
        <w:bidi w:val="0"/>
        <w:spacing w:line="56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2026年5月8日，我市印发了《乌鲁木齐市城市房屋安全管理“三项制度”工作方案》，我局在全面梳理试点工作经验、精准查摆突出问题的基础上，充分吸收借鉴国内先行试点城市、先进地区成熟经验与实践做法，结合国家、自治区关于</w:t>
      </w:r>
      <w:r>
        <w:rPr>
          <w:rFonts w:hint="eastAsia" w:ascii="方正仿宋_GBK" w:hAnsi="方正仿宋_GBK" w:eastAsia="方正仿宋_GBK" w:cs="方正仿宋_GBK"/>
          <w:sz w:val="32"/>
          <w:szCs w:val="32"/>
          <w:lang w:val="en-US" w:eastAsia="zh-CN"/>
        </w:rPr>
        <w:t>构建房屋全生命周期安全管理长效机制的部署要求</w:t>
      </w:r>
      <w:r>
        <w:rPr>
          <w:rFonts w:hint="eastAsia" w:ascii="Times New Roman" w:hAnsi="Times New Roman" w:eastAsia="方正仿宋_GBK" w:cs="Times New Roman"/>
          <w:sz w:val="32"/>
          <w:szCs w:val="32"/>
          <w:lang w:val="en-US" w:eastAsia="zh-CN"/>
        </w:rPr>
        <w:t>，起草了《乌鲁木齐市城市</w:t>
      </w:r>
      <w:r>
        <w:rPr>
          <w:rFonts w:hint="eastAsia" w:ascii="Times New Roman" w:hAnsi="Times New Roman" w:eastAsia="方正仿宋_GBK" w:cs="Times New Roman"/>
          <w:snapToGrid w:val="0"/>
          <w:kern w:val="0"/>
          <w:sz w:val="32"/>
          <w:szCs w:val="40"/>
          <w:lang w:val="en-US" w:eastAsia="zh-CN"/>
        </w:rPr>
        <w:t>房屋安全管理资金管理办法（征求意见稿）</w:t>
      </w:r>
      <w:r>
        <w:rPr>
          <w:rFonts w:hint="eastAsia" w:ascii="Times New Roman" w:hAnsi="Times New Roman" w:eastAsia="方正仿宋_GBK" w:cs="Times New Roman"/>
          <w:sz w:val="32"/>
          <w:szCs w:val="32"/>
          <w:lang w:val="en-US" w:eastAsia="zh-CN"/>
        </w:rPr>
        <w:t>》。经征求各</w:t>
      </w:r>
      <w:r>
        <w:rPr>
          <w:rFonts w:hint="eastAsia" w:ascii="Times New Roman" w:hAnsi="Times New Roman" w:eastAsia="方正仿宋_GBK" w:cs="Times New Roman"/>
          <w:color w:val="auto"/>
          <w:kern w:val="2"/>
          <w:sz w:val="32"/>
          <w:szCs w:val="32"/>
          <w:lang w:val="en-US" w:eastAsia="zh-CN" w:bidi="ar-SA"/>
        </w:rPr>
        <w:t>区（县）人民政府及市财政局、市审计局、市委金融办</w:t>
      </w:r>
      <w:r>
        <w:rPr>
          <w:rFonts w:hint="default" w:ascii="Times New Roman" w:hAnsi="Times New Roman" w:eastAsia="方正仿宋_GBK" w:cs="Times New Roman"/>
          <w:color w:val="auto"/>
          <w:kern w:val="2"/>
          <w:sz w:val="32"/>
          <w:szCs w:val="32"/>
          <w:lang w:val="en-US" w:eastAsia="zh-CN" w:bidi="ar-SA"/>
        </w:rPr>
        <w:t>等</w:t>
      </w:r>
      <w:r>
        <w:rPr>
          <w:rFonts w:hint="eastAsia" w:ascii="Times New Roman" w:hAnsi="Times New Roman"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意见</w:t>
      </w:r>
      <w:r>
        <w:rPr>
          <w:rFonts w:hint="eastAsia" w:ascii="Times New Roman" w:hAnsi="Times New Roman" w:eastAsia="方正仿宋_GBK" w:cs="Times New Roman"/>
          <w:color w:val="auto"/>
          <w:kern w:val="2"/>
          <w:sz w:val="32"/>
          <w:szCs w:val="32"/>
          <w:lang w:val="en-US" w:eastAsia="zh-CN" w:bidi="ar-SA"/>
        </w:rPr>
        <w:t>建议，共收到反馈意见6条，逐一与相关单位研究并达成一致，采纳</w:t>
      </w:r>
      <w:r>
        <w:rPr>
          <w:rFonts w:hint="default" w:ascii="Times New Roman" w:hAnsi="Times New Roman" w:eastAsia="方正仿宋_GBK" w:cs="Times New Roman"/>
          <w:color w:val="auto"/>
          <w:kern w:val="2"/>
          <w:sz w:val="32"/>
          <w:szCs w:val="32"/>
          <w:lang w:val="en-US" w:eastAsia="zh-CN" w:bidi="ar-SA"/>
        </w:rPr>
        <w:t>6</w:t>
      </w:r>
      <w:r>
        <w:rPr>
          <w:rFonts w:hint="eastAsia" w:ascii="Times New Roman" w:hAnsi="Times New Roman" w:eastAsia="方正仿宋_GBK" w:cs="Times New Roman"/>
          <w:color w:val="auto"/>
          <w:kern w:val="2"/>
          <w:sz w:val="32"/>
          <w:szCs w:val="32"/>
          <w:lang w:val="en-US" w:eastAsia="zh-CN" w:bidi="ar-SA"/>
        </w:rPr>
        <w:t>条，形成了《办法（试行）》。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方正黑体_GBK" w:hAnsi="方正黑体_GBK" w:eastAsia="方正黑体_GBK" w:cs="方正黑体_GBK"/>
          <w:snapToGrid w:val="0"/>
          <w:kern w:val="0"/>
          <w:sz w:val="32"/>
          <w:szCs w:val="40"/>
          <w:lang w:val="en-US" w:eastAsia="zh-CN"/>
        </w:rPr>
      </w:pPr>
      <w:r>
        <w:rPr>
          <w:rFonts w:hint="eastAsia" w:ascii="方正黑体_GBK" w:hAnsi="方正黑体_GBK" w:eastAsia="方正黑体_GBK" w:cs="方正黑体_GBK"/>
          <w:snapToGrid w:val="0"/>
          <w:kern w:val="0"/>
          <w:sz w:val="32"/>
          <w:szCs w:val="40"/>
          <w:lang w:val="en-US" w:eastAsia="zh-CN"/>
        </w:rPr>
        <w:t>五、主要内容</w:t>
      </w:r>
    </w:p>
    <w:p>
      <w:pPr>
        <w:spacing w:line="580" w:lineRule="exact"/>
        <w:ind w:firstLine="640" w:firstLineChars="200"/>
        <w:jc w:val="lef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办法》共分为五章、十三条，涵盖总则、归集、使用、监督管理及附则，其中第一章总则明确了制定该《办法》的目的依据、适用范围、管理使用原则。第二章归集部分明确了房屋安全管理公共资金和个人资金归集方式、个人账户资金补建续筹及保障措施等内容。第三章使用部分明确公共资金的使用范围、个人资金新增使用用途等内容。其中：公共资金用于房屋安全体检、房屋质量安全保险、房屋应急解危处置费用、房屋安全管理信息化系统建设运维等房屋安全保障相关支出。市级房屋安全管理资金可根据各区（县）实际和项目用途，按流程申请拨付，实行专款专用。个人资金的申请及使用，按照现有住宅专项维修资金有关法律法规、规章和本市相关规定执行。第四章监督管理部分明确房屋安全管理资金审计和财政部门监督，以及相关法律责任。第五章附则针对解释单位、实施时间等作出补充说明。</w:t>
      </w:r>
    </w:p>
    <w:p/>
    <w:sectPr>
      <w:pgSz w:w="11906" w:h="16838"/>
      <w:pgMar w:top="226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2312">
    <w:altName w:val="方正仿宋_GBK"/>
    <w:panose1 w:val="00000000000000000000"/>
    <w:charset w:val="00"/>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92BE6CA"/>
    <w:rsid w:val="992BE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2026-08-13T18:51:00Z</dcterms:created>
  <dc:creator>user</dc:creator>
  <cp:lastModifiedBy>user</cp:lastModifiedBy>
  <dcterms:modified xsi:type="dcterms:W3CDTF">2026-08-13T18:52:11Z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8BB33006861152CAC7A17D6ACD24A36C_41</vt:lpwstr>
  </property>
</Properties>
</file>