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bidi w:val="0"/>
        <w:adjustRightInd w:val="0"/>
        <w:snapToGrid w:val="0"/>
        <w:spacing w:line="600" w:lineRule="exact"/>
        <w:textAlignment w:val="auto"/>
        <w:outlineLvl w:val="2"/>
        <w:rPr>
          <w:rFonts w:hint="default" w:ascii="Times New Roman" w:hAnsi="Times New Roman" w:eastAsia="方正黑体_GBK" w:cs="Times New Roman"/>
          <w:kern w:val="2"/>
          <w:sz w:val="32"/>
          <w:szCs w:val="24"/>
          <w:lang w:val="en-US" w:eastAsia="zh-CN"/>
        </w:rPr>
      </w:pPr>
      <w:r>
        <w:rPr>
          <w:rFonts w:hint="default" w:ascii="Times New Roman" w:hAnsi="Times New Roman" w:eastAsia="方正黑体_GBK" w:cs="Times New Roman"/>
          <w:kern w:val="2"/>
          <w:sz w:val="32"/>
          <w:szCs w:val="24"/>
        </w:rPr>
        <w:t>附件</w:t>
      </w:r>
      <w:r>
        <w:rPr>
          <w:rFonts w:hint="default" w:ascii="Times New Roman" w:hAnsi="Times New Roman" w:eastAsia="方正黑体_GBK" w:cs="Times New Roman"/>
          <w:kern w:val="2"/>
          <w:sz w:val="32"/>
          <w:szCs w:val="24"/>
          <w:lang w:val="en-US" w:eastAsia="zh-CN"/>
        </w:rPr>
        <w:t>4</w:t>
      </w:r>
    </w:p>
    <w:p>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outlineLvl w:val="2"/>
        <w:rPr>
          <w:rFonts w:hint="eastAsia" w:ascii="方正小标宋_GBK" w:hAnsi="方正小标宋_GBK" w:eastAsia="方正小标宋_GBK" w:cs="方正小标宋_GBK"/>
          <w:color w:val="000000"/>
          <w:kern w:val="2"/>
          <w:sz w:val="44"/>
          <w:szCs w:val="44"/>
          <w:lang w:eastAsia="zh-CN"/>
        </w:rPr>
      </w:pPr>
    </w:p>
    <w:p>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outlineLvl w:val="2"/>
        <w:rPr>
          <w:rFonts w:hint="eastAsia" w:ascii="方正小标宋_GBK" w:hAnsi="方正小标宋_GBK" w:eastAsia="方正小标宋_GBK" w:cs="方正小标宋_GBK"/>
          <w:color w:val="000000"/>
          <w:kern w:val="2"/>
          <w:sz w:val="44"/>
          <w:szCs w:val="44"/>
        </w:rPr>
      </w:pPr>
      <w:r>
        <w:rPr>
          <w:rFonts w:hint="eastAsia" w:ascii="方正小标宋_GBK" w:hAnsi="方正小标宋_GBK" w:eastAsia="方正小标宋_GBK" w:cs="方正小标宋_GBK"/>
          <w:color w:val="000000"/>
          <w:kern w:val="2"/>
          <w:sz w:val="44"/>
          <w:szCs w:val="44"/>
          <w:lang w:eastAsia="zh-CN"/>
        </w:rPr>
        <w:t>《</w:t>
      </w:r>
      <w:r>
        <w:rPr>
          <w:rFonts w:hint="eastAsia" w:ascii="方正小标宋_GBK" w:hAnsi="方正小标宋_GBK" w:eastAsia="方正小标宋_GBK" w:cs="方正小标宋_GBK"/>
          <w:color w:val="000000"/>
          <w:kern w:val="2"/>
          <w:sz w:val="44"/>
          <w:szCs w:val="44"/>
        </w:rPr>
        <w:t>乌鲁木齐市城市房屋安全管理资金</w:t>
      </w:r>
      <w:r>
        <w:rPr>
          <w:rFonts w:hint="eastAsia" w:ascii="方正小标宋_GBK" w:hAnsi="方正小标宋_GBK" w:eastAsia="方正小标宋_GBK" w:cs="方正小标宋_GBK"/>
          <w:color w:val="000000"/>
          <w:kern w:val="2"/>
          <w:sz w:val="44"/>
          <w:szCs w:val="44"/>
          <w:lang w:val="en-US" w:eastAsia="zh-CN"/>
        </w:rPr>
        <w:t>制度实施细则</w:t>
      </w:r>
      <w:r>
        <w:rPr>
          <w:rFonts w:hint="eastAsia" w:ascii="方正小标宋_GBK" w:hAnsi="方正小标宋_GBK" w:eastAsia="方正小标宋_GBK" w:cs="方正小标宋_GBK"/>
          <w:color w:val="000000"/>
          <w:kern w:val="2"/>
          <w:sz w:val="44"/>
          <w:szCs w:val="44"/>
          <w:lang w:eastAsia="zh-CN"/>
        </w:rPr>
        <w:t>（征求意见稿）》起草说明</w:t>
      </w:r>
    </w:p>
    <w:p>
      <w:pPr>
        <w:spacing w:line="580" w:lineRule="exact"/>
        <w:jc w:val="center"/>
        <w:rPr>
          <w:rFonts w:hint="eastAsia" w:ascii="方正小标宋简体" w:hAnsi="宋体" w:eastAsia="方正小标宋简体" w:cs="宋体"/>
          <w:bCs/>
          <w:sz w:val="44"/>
          <w:szCs w:val="44"/>
        </w:rPr>
      </w:pP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hint="default" w:ascii="Times New Roman" w:hAnsi="Times New Roman" w:eastAsia="方正仿宋_GBK" w:cs="Times New Roman"/>
          <w:kern w:val="2"/>
          <w:sz w:val="32"/>
          <w:szCs w:val="24"/>
        </w:rPr>
      </w:pPr>
      <w:r>
        <w:rPr>
          <w:rFonts w:hint="default" w:ascii="Times New Roman" w:hAnsi="Times New Roman" w:eastAsia="方正仿宋_GBK" w:cs="Times New Roman"/>
          <w:kern w:val="2"/>
          <w:sz w:val="32"/>
          <w:szCs w:val="24"/>
        </w:rPr>
        <w:t>为推进落实《乌鲁木齐市城市房屋安全管理“三项制度”工作方案》</w:t>
      </w:r>
      <w:r>
        <w:rPr>
          <w:rFonts w:hint="default" w:ascii="Times New Roman" w:hAnsi="Times New Roman" w:eastAsia="方正仿宋_GBK" w:cs="Times New Roman"/>
          <w:kern w:val="2"/>
          <w:sz w:val="32"/>
          <w:szCs w:val="24"/>
          <w:lang w:eastAsia="zh-CN"/>
        </w:rPr>
        <w:t>相关部署</w:t>
      </w:r>
      <w:r>
        <w:rPr>
          <w:rFonts w:hint="default" w:ascii="Times New Roman" w:hAnsi="Times New Roman" w:eastAsia="方正仿宋_GBK" w:cs="Times New Roman"/>
          <w:kern w:val="2"/>
          <w:sz w:val="32"/>
          <w:szCs w:val="24"/>
        </w:rPr>
        <w:t>要求，健全房屋安全管理资金</w:t>
      </w:r>
      <w:r>
        <w:rPr>
          <w:rFonts w:hint="default" w:ascii="Times New Roman" w:hAnsi="Times New Roman" w:eastAsia="方正仿宋_GBK" w:cs="Times New Roman"/>
          <w:kern w:val="2"/>
          <w:sz w:val="32"/>
          <w:szCs w:val="24"/>
          <w:lang w:eastAsia="zh-CN"/>
        </w:rPr>
        <w:t>配套</w:t>
      </w:r>
      <w:r>
        <w:rPr>
          <w:rFonts w:hint="default" w:ascii="Times New Roman" w:hAnsi="Times New Roman" w:eastAsia="方正仿宋_GBK" w:cs="Times New Roman"/>
          <w:kern w:val="2"/>
          <w:sz w:val="32"/>
          <w:szCs w:val="24"/>
        </w:rPr>
        <w:t>制度体系，规范资金归集、使用</w:t>
      </w:r>
      <w:r>
        <w:rPr>
          <w:rFonts w:hint="default" w:ascii="Times New Roman" w:hAnsi="Times New Roman" w:eastAsia="方正仿宋_GBK" w:cs="Times New Roman"/>
          <w:kern w:val="2"/>
          <w:sz w:val="32"/>
          <w:szCs w:val="24"/>
          <w:lang w:eastAsia="zh-CN"/>
        </w:rPr>
        <w:t>、监管</w:t>
      </w:r>
      <w:r>
        <w:rPr>
          <w:rFonts w:hint="default" w:ascii="Times New Roman" w:hAnsi="Times New Roman" w:eastAsia="方正仿宋_GBK" w:cs="Times New Roman"/>
          <w:kern w:val="2"/>
          <w:sz w:val="32"/>
          <w:szCs w:val="24"/>
        </w:rPr>
        <w:t>全</w:t>
      </w:r>
      <w:r>
        <w:rPr>
          <w:rFonts w:hint="default" w:ascii="Times New Roman" w:hAnsi="Times New Roman" w:eastAsia="方正仿宋_GBK" w:cs="Times New Roman"/>
          <w:kern w:val="2"/>
          <w:sz w:val="32"/>
          <w:szCs w:val="24"/>
          <w:lang w:eastAsia="zh-CN"/>
        </w:rPr>
        <w:t>链条运行</w:t>
      </w:r>
      <w:r>
        <w:rPr>
          <w:rFonts w:hint="default" w:ascii="Times New Roman" w:hAnsi="Times New Roman" w:eastAsia="方正仿宋_GBK" w:cs="Times New Roman"/>
          <w:kern w:val="2"/>
          <w:sz w:val="32"/>
          <w:szCs w:val="24"/>
        </w:rPr>
        <w:t>，</w:t>
      </w:r>
      <w:r>
        <w:rPr>
          <w:rFonts w:hint="default" w:ascii="Times New Roman" w:hAnsi="Times New Roman" w:eastAsia="方正仿宋_GBK" w:cs="Times New Roman"/>
          <w:kern w:val="2"/>
          <w:sz w:val="32"/>
          <w:szCs w:val="24"/>
          <w:lang w:eastAsia="zh-CN"/>
        </w:rPr>
        <w:t>持续</w:t>
      </w:r>
      <w:r>
        <w:rPr>
          <w:rFonts w:hint="default" w:ascii="Times New Roman" w:hAnsi="Times New Roman" w:eastAsia="方正仿宋_GBK" w:cs="Times New Roman"/>
          <w:kern w:val="2"/>
          <w:sz w:val="32"/>
          <w:szCs w:val="24"/>
        </w:rPr>
        <w:t>提升房屋安全管理</w:t>
      </w:r>
      <w:r>
        <w:rPr>
          <w:rFonts w:hint="default" w:ascii="Times New Roman" w:hAnsi="Times New Roman" w:eastAsia="方正仿宋_GBK" w:cs="Times New Roman"/>
          <w:kern w:val="2"/>
          <w:sz w:val="32"/>
          <w:szCs w:val="24"/>
          <w:lang w:eastAsia="zh-CN"/>
        </w:rPr>
        <w:t>综合治理能力</w:t>
      </w:r>
      <w:r>
        <w:rPr>
          <w:rFonts w:hint="default" w:ascii="Times New Roman" w:hAnsi="Times New Roman" w:eastAsia="方正仿宋_GBK" w:cs="Times New Roman"/>
          <w:kern w:val="2"/>
          <w:sz w:val="32"/>
          <w:szCs w:val="24"/>
        </w:rPr>
        <w:t>，结合</w:t>
      </w:r>
      <w:r>
        <w:rPr>
          <w:rFonts w:hint="default" w:ascii="Times New Roman" w:hAnsi="Times New Roman" w:eastAsia="方正仿宋_GBK" w:cs="Times New Roman"/>
          <w:kern w:val="2"/>
          <w:sz w:val="32"/>
          <w:szCs w:val="24"/>
          <w:lang w:eastAsia="zh-CN"/>
        </w:rPr>
        <w:t>我</w:t>
      </w:r>
      <w:r>
        <w:rPr>
          <w:rFonts w:hint="default" w:ascii="Times New Roman" w:hAnsi="Times New Roman" w:eastAsia="方正仿宋_GBK" w:cs="Times New Roman"/>
          <w:kern w:val="2"/>
          <w:sz w:val="32"/>
          <w:szCs w:val="24"/>
        </w:rPr>
        <w:t>市</w:t>
      </w:r>
      <w:r>
        <w:rPr>
          <w:rFonts w:hint="default" w:ascii="Times New Roman" w:hAnsi="Times New Roman" w:eastAsia="方正仿宋_GBK" w:cs="Times New Roman"/>
          <w:kern w:val="2"/>
          <w:sz w:val="32"/>
          <w:szCs w:val="24"/>
          <w:lang w:eastAsia="zh-CN"/>
        </w:rPr>
        <w:t>工作</w:t>
      </w:r>
      <w:r>
        <w:rPr>
          <w:rFonts w:hint="default" w:ascii="Times New Roman" w:hAnsi="Times New Roman" w:eastAsia="方正仿宋_GBK" w:cs="Times New Roman"/>
          <w:kern w:val="2"/>
          <w:sz w:val="32"/>
          <w:szCs w:val="24"/>
        </w:rPr>
        <w:t>实际，</w:t>
      </w:r>
      <w:r>
        <w:rPr>
          <w:rFonts w:hint="default" w:ascii="Times New Roman" w:hAnsi="Times New Roman" w:eastAsia="方正仿宋_GBK" w:cs="Times New Roman"/>
          <w:kern w:val="2"/>
          <w:sz w:val="32"/>
          <w:szCs w:val="24"/>
          <w:lang w:eastAsia="zh-CN"/>
        </w:rPr>
        <w:t>我</w:t>
      </w:r>
      <w:r>
        <w:rPr>
          <w:rFonts w:hint="default" w:ascii="Times New Roman" w:hAnsi="Times New Roman" w:eastAsia="方正仿宋_GBK" w:cs="Times New Roman"/>
          <w:kern w:val="2"/>
          <w:sz w:val="32"/>
          <w:szCs w:val="24"/>
          <w:lang w:val="en-US" w:eastAsia="zh-CN"/>
        </w:rPr>
        <w:t>局起草了《乌鲁木</w:t>
      </w:r>
      <w:bookmarkStart w:id="0" w:name="_GoBack"/>
      <w:bookmarkEnd w:id="0"/>
      <w:r>
        <w:rPr>
          <w:rFonts w:hint="default" w:ascii="Times New Roman" w:hAnsi="Times New Roman" w:eastAsia="方正仿宋_GBK" w:cs="Times New Roman"/>
          <w:kern w:val="2"/>
          <w:sz w:val="32"/>
          <w:szCs w:val="24"/>
          <w:lang w:val="en-US" w:eastAsia="zh-CN"/>
        </w:rPr>
        <w:t>齐城市房屋安全管理资金制度实施细则（征求意见稿）》，现将有关起草情况说明如下：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方正黑体_GBK" w:hAnsi="方正黑体_GBK" w:eastAsia="方正黑体_GBK" w:cs="方正黑体_GBK"/>
          <w:snapToGrid w:val="0"/>
          <w:kern w:val="0"/>
          <w:sz w:val="32"/>
          <w:szCs w:val="40"/>
          <w:lang w:val="en-US" w:eastAsia="zh-CN"/>
        </w:rPr>
      </w:pPr>
      <w:r>
        <w:rPr>
          <w:rFonts w:hint="eastAsia" w:ascii="方正黑体_GBK" w:hAnsi="方正黑体_GBK" w:eastAsia="方正黑体_GBK" w:cs="方正黑体_GBK"/>
          <w:snapToGrid w:val="0"/>
          <w:kern w:val="0"/>
          <w:sz w:val="32"/>
          <w:szCs w:val="40"/>
          <w:lang w:val="en-US" w:eastAsia="zh-CN"/>
        </w:rPr>
        <w:t>一、制定背景</w:t>
      </w:r>
    </w:p>
    <w:p>
      <w:pPr>
        <w:bidi w:val="0"/>
        <w:spacing w:line="56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为贯彻落实住建部、自治区部署要求，健全房屋全生命周期安全管理长效机制，我市已印发《乌鲁木齐市房屋养老金制度试点方案》《乌鲁木齐市城市房屋安全管理“三项制度”工作方案》等文件，对房屋安全体检、房屋安全管理资金、房屋质量安全保险制度推进落实作出顶层部署。但现有配套制度缺失专项管理规则，若无专项细则约束，极易出现资金混用、超范围列支、拨付程序不合规、监管缺位等风险。</w:t>
      </w:r>
    </w:p>
    <w:p>
      <w:pPr>
        <w:bidi w:val="0"/>
        <w:spacing w:line="560" w:lineRule="exact"/>
        <w:ind w:firstLine="640" w:firstLineChars="200"/>
        <w:rPr>
          <w:rFonts w:hint="default" w:ascii="Times New Roman" w:hAnsi="Times New Roman" w:eastAsia="方正仿宋_GBK" w:cs="Times New Roman"/>
          <w:lang w:val="en-US" w:eastAsia="zh-CN"/>
        </w:rPr>
      </w:pPr>
      <w:r>
        <w:rPr>
          <w:rFonts w:hint="default" w:ascii="Times New Roman" w:hAnsi="Times New Roman" w:eastAsia="方正仿宋_GBK" w:cs="Times New Roman"/>
          <w:sz w:val="32"/>
          <w:szCs w:val="32"/>
          <w:lang w:val="en-US" w:eastAsia="zh-CN"/>
        </w:rPr>
        <w:t>为打通房屋安全管理“资金保障”关键堵点，实现房屋安全管理资金归集、使用、申报拨付、监督审计全链条标准化管理，补齐“三项制度”配套制度短板，在市政府及各相关部门的大力支持和协助下，起草了《乌鲁木齐市城市房屋安全管理资金制度实施细则（征求意见稿）》（以下简称《细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default" w:ascii="方正黑体_GBK" w:hAnsi="方正黑体_GBK" w:eastAsia="方正黑体_GBK" w:cs="方正黑体_GBK"/>
          <w:snapToGrid w:val="0"/>
          <w:kern w:val="0"/>
          <w:sz w:val="32"/>
          <w:szCs w:val="40"/>
          <w:lang w:val="en-US" w:eastAsia="zh-CN"/>
        </w:rPr>
      </w:pPr>
      <w:r>
        <w:rPr>
          <w:rFonts w:hint="default" w:ascii="方正黑体_GBK" w:hAnsi="方正黑体_GBK" w:eastAsia="方正黑体_GBK" w:cs="方正黑体_GBK"/>
          <w:snapToGrid w:val="0"/>
          <w:kern w:val="0"/>
          <w:sz w:val="32"/>
          <w:szCs w:val="40"/>
          <w:lang w:val="en-US" w:eastAsia="zh-CN"/>
        </w:rPr>
        <w:t>二、制定必要性</w:t>
      </w:r>
    </w:p>
    <w:p>
      <w:pPr>
        <w:bidi w:val="0"/>
        <w:spacing w:line="560" w:lineRule="exact"/>
        <w:ind w:firstLine="640" w:firstLineChars="20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（一）健全房屋安全管理资金制度体系的需要</w:t>
      </w:r>
    </w:p>
    <w:p>
      <w:pPr>
        <w:bidi w:val="0"/>
        <w:spacing w:line="56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《乌鲁木齐市城市房屋安全管理“三项制度”工作方案》等明确要求建立房屋安全管理资金制度。本细则可填补房屋安全管理资金实操层面制度空白，是落实市级工作部署的硬性任务。</w:t>
      </w:r>
    </w:p>
    <w:p>
      <w:pPr>
        <w:bidi w:val="0"/>
        <w:spacing w:line="560" w:lineRule="exact"/>
        <w:ind w:firstLine="640" w:firstLineChars="200"/>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（二）规范多渠道房屋安全资金管理的需要</w:t>
      </w:r>
    </w:p>
    <w:p>
      <w:pPr>
        <w:bidi w:val="0"/>
        <w:spacing w:line="56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房屋安全管理仅靠住宅专项维修资金难以满足日益增长的房屋体检、隐患排查、应急抢险等资金需求。有必要在个人资金（住宅专项维修资金）之外，建立公共资金归集渠道，形成“个人资金+公共资金”相结合的资金保障体系，为房屋安全管理工作提供长效稳定的资金支撑。</w:t>
      </w:r>
    </w:p>
    <w:p>
      <w:pPr>
        <w:bidi w:val="0"/>
        <w:spacing w:line="560" w:lineRule="exact"/>
        <w:ind w:firstLine="640" w:firstLineChars="200"/>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（三）构建房屋安全长效治理体系的需要</w:t>
      </w:r>
    </w:p>
    <w:p>
      <w:pPr>
        <w:bidi w:val="0"/>
        <w:spacing w:line="560" w:lineRule="exact"/>
        <w:ind w:firstLine="640" w:firstLineChars="200"/>
        <w:rPr>
          <w:rFonts w:hint="default" w:ascii="Times New Roman" w:hAnsi="Times New Roman" w:eastAsia="方正仿宋_GBK" w:cs="Times New Roman"/>
          <w:lang w:val="en-US" w:eastAsia="zh-CN"/>
        </w:rPr>
      </w:pPr>
      <w:r>
        <w:rPr>
          <w:rFonts w:hint="default" w:ascii="Times New Roman" w:hAnsi="Times New Roman" w:eastAsia="方正仿宋_GBK" w:cs="Times New Roman"/>
          <w:sz w:val="32"/>
          <w:szCs w:val="32"/>
          <w:lang w:val="en-US" w:eastAsia="zh-CN"/>
        </w:rPr>
        <w:t>房屋安全体检、危险房屋应急抢险、房屋质量安全保险、数字化监管平台运维均需要长期稳定专项资金保障。建立常态化财政预算保障、维修资金补建续筹、小区公共收益补充、公积金支持缴存的多元化筹资机制，将阶段性房屋安全整治转为常态化、制度化资金保障模式，完善我市城市房屋全生命周期管理长效制度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default" w:ascii="方正黑体_GBK" w:hAnsi="方正黑体_GBK" w:eastAsia="方正黑体_GBK" w:cs="方正黑体_GBK"/>
          <w:snapToGrid w:val="0"/>
          <w:kern w:val="0"/>
          <w:sz w:val="32"/>
          <w:szCs w:val="40"/>
          <w:lang w:val="en-US" w:eastAsia="zh-CN"/>
        </w:rPr>
      </w:pPr>
      <w:r>
        <w:rPr>
          <w:rFonts w:hint="default" w:ascii="方正黑体_GBK" w:hAnsi="方正黑体_GBK" w:eastAsia="方正黑体_GBK" w:cs="方正黑体_GBK"/>
          <w:snapToGrid w:val="0"/>
          <w:kern w:val="0"/>
          <w:sz w:val="32"/>
          <w:szCs w:val="40"/>
          <w:lang w:val="en-US" w:eastAsia="zh-CN"/>
        </w:rPr>
        <w:t>三、制定依据</w:t>
      </w:r>
    </w:p>
    <w:p>
      <w:pPr>
        <w:spacing w:line="58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《细则》依据《中华人民共和国民法典》《住宅专项维修资金管理办法》（2007年建设部、财政部令第165号）、</w:t>
      </w:r>
      <w:r>
        <w:rPr>
          <w:rFonts w:hint="default" w:ascii="Times New Roman" w:hAnsi="Times New Roman" w:eastAsia="方正仿宋_GBK" w:cs="Times New Roman"/>
          <w:kern w:val="2"/>
          <w:sz w:val="32"/>
          <w:szCs w:val="24"/>
        </w:rPr>
        <w:t>《新疆维吾尔自治区物业管理条例》《新疆维吾尔自治区城镇房屋安全使用管理办法》</w:t>
      </w:r>
      <w:r>
        <w:rPr>
          <w:rFonts w:hint="default" w:ascii="Times New Roman" w:hAnsi="Times New Roman" w:eastAsia="方正仿宋_GBK" w:cs="Times New Roman"/>
          <w:sz w:val="32"/>
          <w:szCs w:val="32"/>
          <w:lang w:val="en-US" w:eastAsia="zh-CN"/>
        </w:rPr>
        <w:t>《乌鲁木齐市城市房屋安全管理“三项制度”工作方案》《乌鲁木齐市物业专项维修资金管理办法》《关于进一步规范住宅小区共有收益使用管理相关工作的通知（试行）》等法律法规制定。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default" w:ascii="方正黑体_GBK" w:hAnsi="方正黑体_GBK" w:eastAsia="方正黑体_GBK" w:cs="方正黑体_GBK"/>
          <w:snapToGrid w:val="0"/>
          <w:kern w:val="0"/>
          <w:sz w:val="32"/>
          <w:szCs w:val="40"/>
          <w:lang w:val="en-US" w:eastAsia="zh-CN"/>
        </w:rPr>
      </w:pPr>
      <w:r>
        <w:rPr>
          <w:rFonts w:hint="default" w:ascii="方正黑体_GBK" w:hAnsi="方正黑体_GBK" w:eastAsia="方正黑体_GBK" w:cs="方正黑体_GBK"/>
          <w:snapToGrid w:val="0"/>
          <w:kern w:val="0"/>
          <w:sz w:val="32"/>
          <w:szCs w:val="40"/>
          <w:lang w:val="en-US" w:eastAsia="zh-CN"/>
        </w:rPr>
        <w:t>四、起草过程</w:t>
      </w:r>
    </w:p>
    <w:p>
      <w:pPr>
        <w:bidi w:val="0"/>
        <w:spacing w:line="56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2026年5月8日，我市印发了《乌鲁木齐市城市房屋安全管理“三项制度”工作方案》，我局在全面梳理试点工作经验、精准查摆突出问题的基础上，充分吸收借鉴国内先行试点城市、先进地区成熟经验与实践做法，，结合国家、自治区关于构建全生命周期房屋安全管理长效机制的部署要求，起草了《乌鲁木齐市城市</w:t>
      </w:r>
      <w:r>
        <w:rPr>
          <w:rFonts w:hint="default" w:ascii="Times New Roman" w:hAnsi="Times New Roman" w:eastAsia="方正仿宋_GBK" w:cs="Times New Roman"/>
          <w:snapToGrid w:val="0"/>
          <w:kern w:val="0"/>
          <w:sz w:val="32"/>
          <w:szCs w:val="40"/>
          <w:lang w:val="en-US" w:eastAsia="zh-CN"/>
        </w:rPr>
        <w:t>房屋安全管理资金制度实施细则（征求意见稿）</w:t>
      </w:r>
      <w:r>
        <w:rPr>
          <w:rFonts w:hint="default" w:ascii="Times New Roman" w:hAnsi="Times New Roman" w:eastAsia="方正仿宋_GBK" w:cs="Times New Roman"/>
          <w:sz w:val="32"/>
          <w:szCs w:val="32"/>
          <w:lang w:val="en-US" w:eastAsia="zh-CN"/>
        </w:rPr>
        <w:t>》。经征求各</w:t>
      </w:r>
      <w:r>
        <w:rPr>
          <w:rFonts w:hint="default" w:ascii="Times New Roman" w:hAnsi="Times New Roman" w:eastAsia="方正仿宋_GBK" w:cs="Times New Roman"/>
          <w:color w:val="auto"/>
          <w:kern w:val="2"/>
          <w:sz w:val="32"/>
          <w:szCs w:val="32"/>
          <w:lang w:val="en-US" w:eastAsia="zh-CN" w:bidi="ar-SA"/>
        </w:rPr>
        <w:t>区（县）人民政府及市财政局、市审计局、市委金融办等单位意见建议，共收到反馈意见6条，逐一与相关单位研究并达成一致，采纳6条，形成了《细则（征求意见稿）》。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default" w:ascii="方正黑体_GBK" w:hAnsi="方正黑体_GBK" w:eastAsia="方正黑体_GBK" w:cs="方正黑体_GBK"/>
          <w:snapToGrid w:val="0"/>
          <w:kern w:val="0"/>
          <w:sz w:val="32"/>
          <w:szCs w:val="40"/>
          <w:lang w:val="en-US" w:eastAsia="zh-CN"/>
        </w:rPr>
      </w:pPr>
      <w:r>
        <w:rPr>
          <w:rFonts w:hint="default" w:ascii="方正黑体_GBK" w:hAnsi="方正黑体_GBK" w:eastAsia="方正黑体_GBK" w:cs="方正黑体_GBK"/>
          <w:snapToGrid w:val="0"/>
          <w:kern w:val="0"/>
          <w:sz w:val="32"/>
          <w:szCs w:val="40"/>
          <w:lang w:val="en-US" w:eastAsia="zh-CN"/>
        </w:rPr>
        <w:t>五、主要内容</w:t>
      </w:r>
    </w:p>
    <w:p>
      <w:pPr>
        <w:bidi w:val="0"/>
        <w:spacing w:line="560" w:lineRule="exact"/>
        <w:ind w:firstLine="640" w:firstLineChars="200"/>
        <w:rPr>
          <w:rFonts w:hint="default"/>
        </w:rPr>
      </w:pPr>
      <w:r>
        <w:rPr>
          <w:rFonts w:hint="default" w:ascii="Times New Roman" w:hAnsi="Times New Roman" w:eastAsia="方正仿宋_GBK" w:cs="Times New Roman"/>
          <w:sz w:val="32"/>
          <w:szCs w:val="32"/>
          <w:lang w:val="en-US" w:eastAsia="zh-CN"/>
        </w:rPr>
        <w:t>《细则》共分为三个部分，涵盖工作内容、责任分工、保障措施，其中第一部分工作内容明确了资金归集、使用范围和申报与拨付三部分内容。资金归集方面，区分公共资金和个人资金两条渠道：公共资金以财政资金为主，统筹整合各类涉房专项资金；个人资金依托现有住宅专项维修资金账户，建立补建续筹机制，支持提取公积金和利用小区公共收益补充维修资金。资金使用范围方面，公共资金主要用于房屋安全体检、房屋质量安全保险、应急抢险处置、信息化平台建设等；个人资金按照住宅专项维修资金相关规定执行。申报与拨付方面，分别规定了使用公共资金支付房屋安全体检费用和房屋保险补助资金的申报拨付流程。第二部分责任分工明确了各区（县）人民政府、市财政局、市住建局、市审计局、市委金融办、住房公积金管理中心等部门的职责分工，构建了各司其职、协同配合的工作格局。第三部分保障措施，从健全统筹推进机制、夯实资金支撑保障、从严强化监督管控三个方面提出保障要求，确保制度落地见效</w:t>
      </w:r>
      <w:r>
        <w:rPr>
          <w:rFonts w:hint="eastAsia" w:ascii="Times New Roman" w:hAnsi="Times New Roman" w:eastAsia="方正仿宋_GBK" w:cs="Times New Roman"/>
          <w:sz w:val="32"/>
          <w:szCs w:val="32"/>
          <w:lang w:val="en-US" w:eastAsia="zh-CN"/>
        </w:rPr>
        <w:t>。</w:t>
      </w:r>
    </w:p>
    <w:p/>
    <w:sectPr>
      <w:footerReference r:id="rId3" w:type="default"/>
      <w:pgSz w:w="11905" w:h="16838"/>
      <w:pgMar w:top="2098" w:right="1531" w:bottom="1984" w:left="1531" w:header="850" w:footer="992"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adjustRightInd w:val="0"/>
      <w:snapToGrid w:val="0"/>
      <w:ind w:firstLine="360" w:firstLineChars="200"/>
      <w:jc w:val="center"/>
      <w:rPr>
        <w:rFonts w:ascii="Times New Roman" w:hAnsi="Times New Roman" w:eastAsia="仿宋_GB2312" w:cs="Times New Roman"/>
        <w:kern w:val="2"/>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7" name="文本框 2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WAAAAZHJzL1BLAQIUABQAAAAIAIdO4kCzSVju0AAAAAUBAAAPAAAAAAAAAAEAIAAAADgA&#10;AABkcnMvZG93bnJldi54bWxQSwECFAAUAAAACACHTuJAnvPP+zQCAABnBAAADgAAAAAAAAABACAA&#10;AAA1AQAAZHJzL2Uyb0RvYy54bWxQSwUGAAAAAAYABgBZAQAA2wUAAAAA&#10;">
              <v:path/>
              <v:fill on="f" focussize="0,0"/>
              <v:stroke on="f" weight="0.5pt"/>
              <v:imagedata o:title=""/>
              <o:lock v:ext="edit" aspectratio="f"/>
              <v:textbox inset="0mm,0mm,0mm,0mm" style="mso-fit-shape-to-text:t;">
                <w:txbxContent>
                  <w:p>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BE468B"/>
    <w:rsid w:val="7FBE4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仿宋" w:hAnsi="仿宋" w:eastAsia="仿宋" w:cs="仿宋"/>
      <w:sz w:val="31"/>
      <w:szCs w:val="31"/>
    </w:rPr>
  </w:style>
  <w:style w:type="paragraph" w:styleId="3">
    <w:name w:val="Body Text First Indent"/>
    <w:basedOn w:val="2"/>
    <w:next w:val="2"/>
    <w:qFormat/>
    <w:uiPriority w:val="0"/>
    <w:pPr>
      <w:spacing w:line="560" w:lineRule="exact"/>
      <w:ind w:firstLine="0" w:firstLineChars="0"/>
    </w:pPr>
  </w:style>
  <w:style w:type="paragraph" w:styleId="4">
    <w:name w:val="footer"/>
    <w:basedOn w:val="1"/>
    <w:unhideWhenUsed/>
    <w:qFormat/>
    <w:uiPriority w:val="99"/>
    <w:pPr>
      <w:tabs>
        <w:tab w:val="center" w:pos="4153"/>
        <w:tab w:val="right" w:pos="8306"/>
      </w:tabs>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Office_12.8.2.17008_F1E327BC-269C-435d-A152-05C5408002CA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2026-08-13T18:53:00Z</dcterms:created>
  <dc:creator>user</dc:creator>
  <cp:lastModifiedBy>user</cp:lastModifiedBy>
  <dcterms:modified xsi:type="dcterms:W3CDTF">2026-08-13T18:53:26Z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2052-12.8.2.17008</vt:lpwstr>
  </property>
  <property fmtid="{D5CDD505-2E9C-101B-9397-08002B2CF9AE}" pid="3" name="ICV">
    <vt:lpwstr>F022C61F90750FCA13A27D6A44FE3F86_41</vt:lpwstr>
  </property>
</Properties>
</file>