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eastAsia="zh-CN"/>
        </w:rPr>
        <w:t>附件</w:t>
      </w:r>
      <w:r>
        <w:rPr>
          <w:rFonts w:hint="eastAsia" w:ascii="方正黑体_GBK" w:hAnsi="方正黑体_GBK" w:eastAsia="方正黑体_GBK" w:cs="方正黑体_GBK"/>
          <w:color w:val="auto"/>
          <w:sz w:val="32"/>
          <w:szCs w:val="32"/>
          <w:highlight w:val="none"/>
          <w:lang w:val="en-US" w:eastAsia="zh-CN"/>
        </w:rPr>
        <w:t>2</w:t>
      </w:r>
      <w:bookmarkStart w:id="2" w:name="_GoBack"/>
      <w:bookmarkEnd w:id="2"/>
    </w:p>
    <w:p>
      <w:pPr>
        <w:spacing w:line="560" w:lineRule="exact"/>
        <w:jc w:val="center"/>
        <w:rPr>
          <w:rFonts w:ascii="Times New Roman" w:hAnsi="Times New Roman" w:eastAsia="方正小标宋_GBK" w:cs="Times New Roman"/>
          <w:color w:val="auto"/>
          <w:sz w:val="44"/>
          <w:szCs w:val="44"/>
          <w:highlight w:val="none"/>
        </w:rPr>
      </w:pPr>
      <w:r>
        <w:rPr>
          <w:rFonts w:hint="eastAsia" w:ascii="Times New Roman" w:hAnsi="Times New Roman" w:eastAsia="方正小标宋_GBK" w:cs="Times New Roman"/>
          <w:color w:val="auto"/>
          <w:sz w:val="44"/>
          <w:szCs w:val="44"/>
          <w:highlight w:val="none"/>
        </w:rPr>
        <w:t>关于</w:t>
      </w:r>
      <w:r>
        <w:rPr>
          <w:rFonts w:ascii="Times New Roman" w:hAnsi="Times New Roman" w:eastAsia="方正小标宋_GBK" w:cs="Times New Roman"/>
          <w:color w:val="auto"/>
          <w:sz w:val="44"/>
          <w:szCs w:val="44"/>
          <w:highlight w:val="none"/>
        </w:rPr>
        <w:t>加快</w:t>
      </w:r>
      <w:r>
        <w:rPr>
          <w:rFonts w:hint="eastAsia" w:ascii="Times New Roman" w:hAnsi="Times New Roman" w:eastAsia="方正小标宋_GBK" w:cs="Times New Roman"/>
          <w:color w:val="auto"/>
          <w:sz w:val="44"/>
          <w:szCs w:val="44"/>
          <w:highlight w:val="none"/>
        </w:rPr>
        <w:t>推进</w:t>
      </w:r>
      <w:r>
        <w:rPr>
          <w:rFonts w:ascii="Times New Roman" w:hAnsi="Times New Roman" w:eastAsia="方正小标宋_GBK" w:cs="Times New Roman"/>
          <w:color w:val="auto"/>
          <w:sz w:val="44"/>
          <w:szCs w:val="44"/>
          <w:highlight w:val="none"/>
        </w:rPr>
        <w:t>乌鲁木齐市装配式建筑</w:t>
      </w:r>
    </w:p>
    <w:p>
      <w:pPr>
        <w:spacing w:line="560" w:lineRule="exact"/>
        <w:jc w:val="center"/>
        <w:rPr>
          <w:rFonts w:hint="eastAsia" w:ascii="Times New Roman" w:hAnsi="Times New Roman" w:eastAsia="方正小标宋_GBK" w:cs="Times New Roman"/>
          <w:color w:val="auto"/>
          <w:sz w:val="44"/>
          <w:szCs w:val="44"/>
          <w:highlight w:val="none"/>
          <w:lang w:eastAsia="zh-CN"/>
        </w:rPr>
      </w:pPr>
      <w:r>
        <w:rPr>
          <w:rFonts w:ascii="Times New Roman" w:hAnsi="Times New Roman" w:eastAsia="方正小标宋_GBK" w:cs="Times New Roman"/>
          <w:color w:val="auto"/>
          <w:sz w:val="44"/>
          <w:szCs w:val="44"/>
          <w:highlight w:val="none"/>
        </w:rPr>
        <w:t>发展的通知</w:t>
      </w:r>
      <w:r>
        <w:rPr>
          <w:rFonts w:hint="eastAsia" w:ascii="Times New Roman" w:hAnsi="Times New Roman" w:eastAsia="方正小标宋_GBK" w:cs="Times New Roman"/>
          <w:color w:val="auto"/>
          <w:sz w:val="44"/>
          <w:szCs w:val="44"/>
          <w:highlight w:val="none"/>
          <w:lang w:eastAsia="zh-CN"/>
        </w:rPr>
        <w:t>（原文及修订说明）</w:t>
      </w:r>
    </w:p>
    <w:p>
      <w:pPr>
        <w:spacing w:line="560" w:lineRule="exact"/>
        <w:rPr>
          <w:rFonts w:ascii="Times New Roman" w:hAnsi="Times New Roman" w:eastAsia="方正仿宋_GBK" w:cs="Times New Roman"/>
          <w:color w:val="auto"/>
          <w:sz w:val="32"/>
          <w:szCs w:val="32"/>
          <w:highlight w:val="none"/>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为贯彻落实《关于加快推进自治区装配式建筑发展的通知》（新政办明电</w:t>
      </w:r>
      <w:r>
        <w:rPr>
          <w:rFonts w:hint="eastAsia" w:ascii="方正仿宋_GBK" w:hAnsi="方正仿宋_GBK" w:eastAsia="方正仿宋_GBK" w:cs="方正仿宋_GBK"/>
          <w:color w:val="auto"/>
          <w:sz w:val="32"/>
          <w:szCs w:val="32"/>
          <w:highlight w:val="none"/>
        </w:rPr>
        <w:t>﹝</w:t>
      </w:r>
      <w:r>
        <w:rPr>
          <w:rFonts w:ascii="Times New Roman" w:hAnsi="Times New Roman" w:eastAsia="方正仿宋_GBK" w:cs="Times New Roman"/>
          <w:color w:val="auto"/>
          <w:sz w:val="32"/>
          <w:szCs w:val="32"/>
          <w:highlight w:val="none"/>
        </w:rPr>
        <w:t>2019</w:t>
      </w:r>
      <w:r>
        <w:rPr>
          <w:rFonts w:hint="eastAsia" w:ascii="方正仿宋_GBK" w:hAnsi="方正仿宋_GBK" w:eastAsia="方正仿宋_GBK" w:cs="方正仿宋_GBK"/>
          <w:color w:val="auto"/>
          <w:sz w:val="32"/>
          <w:szCs w:val="32"/>
          <w:highlight w:val="none"/>
        </w:rPr>
        <w:t>﹞</w:t>
      </w:r>
      <w:r>
        <w:rPr>
          <w:rFonts w:ascii="Times New Roman" w:hAnsi="Times New Roman" w:eastAsia="方正仿宋_GBK" w:cs="Times New Roman"/>
          <w:color w:val="auto"/>
          <w:sz w:val="32"/>
          <w:szCs w:val="32"/>
          <w:highlight w:val="none"/>
        </w:rPr>
        <w:t>243号）相关要求，进一步推进</w:t>
      </w:r>
      <w:r>
        <w:rPr>
          <w:rFonts w:hint="eastAsia" w:ascii="Times New Roman" w:hAnsi="Times New Roman" w:eastAsia="方正仿宋_GBK" w:cs="Times New Roman"/>
          <w:color w:val="auto"/>
          <w:sz w:val="32"/>
          <w:szCs w:val="32"/>
          <w:highlight w:val="none"/>
        </w:rPr>
        <w:t>我市</w:t>
      </w:r>
      <w:r>
        <w:rPr>
          <w:rFonts w:ascii="Times New Roman" w:hAnsi="Times New Roman" w:eastAsia="方正仿宋_GBK" w:cs="Times New Roman"/>
          <w:color w:val="auto"/>
          <w:sz w:val="32"/>
          <w:szCs w:val="32"/>
          <w:highlight w:val="none"/>
        </w:rPr>
        <w:t>装配式建筑</w:t>
      </w:r>
      <w:r>
        <w:rPr>
          <w:rFonts w:hint="eastAsia" w:ascii="Times New Roman" w:hAnsi="Times New Roman" w:eastAsia="方正仿宋_GBK" w:cs="Times New Roman"/>
          <w:color w:val="auto"/>
          <w:sz w:val="32"/>
          <w:szCs w:val="32"/>
          <w:highlight w:val="none"/>
        </w:rPr>
        <w:t>健康</w:t>
      </w:r>
      <w:r>
        <w:rPr>
          <w:rFonts w:ascii="Times New Roman" w:hAnsi="Times New Roman" w:eastAsia="方正仿宋_GBK" w:cs="Times New Roman"/>
          <w:color w:val="auto"/>
          <w:sz w:val="32"/>
          <w:szCs w:val="32"/>
          <w:highlight w:val="none"/>
        </w:rPr>
        <w:t>快速发展，现将有关事项通知如下：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rPr>
        <w:t>一</w:t>
      </w:r>
      <w:r>
        <w:rPr>
          <w:rFonts w:ascii="Times New Roman" w:hAnsi="Times New Roman" w:eastAsia="方正黑体_GBK" w:cs="Times New Roman"/>
          <w:color w:val="auto"/>
          <w:sz w:val="32"/>
          <w:szCs w:val="32"/>
          <w:highlight w:val="none"/>
        </w:rPr>
        <w:t>、装配式建筑</w:t>
      </w:r>
      <w:r>
        <w:rPr>
          <w:rFonts w:hint="eastAsia" w:ascii="Times New Roman" w:hAnsi="Times New Roman" w:eastAsia="方正黑体_GBK" w:cs="Times New Roman"/>
          <w:color w:val="auto"/>
          <w:sz w:val="32"/>
          <w:szCs w:val="32"/>
          <w:highlight w:val="none"/>
        </w:rPr>
        <w:t>实施</w:t>
      </w:r>
      <w:r>
        <w:rPr>
          <w:rFonts w:ascii="Times New Roman" w:hAnsi="Times New Roman" w:eastAsia="方正黑体_GBK" w:cs="Times New Roman"/>
          <w:color w:val="auto"/>
          <w:sz w:val="32"/>
          <w:szCs w:val="32"/>
          <w:highlight w:val="none"/>
        </w:rPr>
        <w:t>范围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strike/>
          <w:dstrike w:val="0"/>
          <w:color w:val="auto"/>
          <w:sz w:val="32"/>
          <w:szCs w:val="32"/>
          <w:highlight w:val="none"/>
        </w:rPr>
      </w:pPr>
      <w:r>
        <w:rPr>
          <w:rFonts w:ascii="Times New Roman" w:hAnsi="Times New Roman" w:eastAsia="方正仿宋_GBK" w:cs="Times New Roman"/>
          <w:color w:val="auto"/>
          <w:sz w:val="32"/>
          <w:szCs w:val="32"/>
          <w:highlight w:val="none"/>
        </w:rPr>
        <w:t>（一）装配式建筑是指用预制部品部件在工地装配而成的建筑，包括装配式混凝土结构、钢结构、现代木结构，以及其他符合装配式建筑技术要求的结构体系，</w:t>
      </w:r>
      <w:r>
        <w:rPr>
          <w:rFonts w:hint="eastAsia" w:ascii="Times New Roman" w:hAnsi="Times New Roman" w:eastAsia="方正仿宋_GBK" w:cs="Times New Roman"/>
          <w:color w:val="auto"/>
          <w:sz w:val="32"/>
          <w:szCs w:val="32"/>
          <w:highlight w:val="none"/>
        </w:rPr>
        <w:t>且</w:t>
      </w:r>
      <w:r>
        <w:rPr>
          <w:rFonts w:ascii="Times New Roman" w:hAnsi="Times New Roman" w:eastAsia="方正仿宋_GBK" w:cs="Times New Roman"/>
          <w:color w:val="auto"/>
          <w:sz w:val="32"/>
          <w:szCs w:val="32"/>
          <w:highlight w:val="none"/>
        </w:rPr>
        <w:t>装配率不低于50%</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室内采用全装修</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strike/>
          <w:dstrike w:val="0"/>
          <w:color w:val="auto"/>
          <w:sz w:val="32"/>
          <w:szCs w:val="32"/>
          <w:highlight w:val="none"/>
        </w:rPr>
        <w:t>（</w:t>
      </w:r>
      <w:r>
        <w:rPr>
          <w:rFonts w:ascii="Times New Roman" w:hAnsi="Times New Roman" w:eastAsia="方正仿宋_GBK" w:cs="Times New Roman"/>
          <w:strike/>
          <w:dstrike w:val="0"/>
          <w:color w:val="auto"/>
          <w:sz w:val="32"/>
          <w:szCs w:val="32"/>
          <w:highlight w:val="none"/>
        </w:rPr>
        <w:t>装配式建筑装配率计算说明</w:t>
      </w:r>
      <w:r>
        <w:rPr>
          <w:rFonts w:hint="eastAsia" w:ascii="Times New Roman" w:hAnsi="Times New Roman" w:eastAsia="方正仿宋_GBK" w:cs="Times New Roman"/>
          <w:strike/>
          <w:dstrike w:val="0"/>
          <w:color w:val="auto"/>
          <w:sz w:val="32"/>
          <w:szCs w:val="32"/>
          <w:highlight w:val="none"/>
        </w:rPr>
        <w:t>及评价等级划分</w:t>
      </w:r>
      <w:r>
        <w:rPr>
          <w:rFonts w:ascii="Times New Roman" w:hAnsi="Times New Roman" w:eastAsia="方正仿宋_GBK" w:cs="Times New Roman"/>
          <w:strike/>
          <w:dstrike w:val="0"/>
          <w:color w:val="auto"/>
          <w:sz w:val="32"/>
          <w:szCs w:val="32"/>
          <w:highlight w:val="none"/>
        </w:rPr>
        <w:t>详见附件</w:t>
      </w:r>
      <w:r>
        <w:rPr>
          <w:rFonts w:hint="eastAsia" w:ascii="Times New Roman" w:hAnsi="Times New Roman" w:eastAsia="方正仿宋_GBK" w:cs="Times New Roman"/>
          <w:strike/>
          <w:dstrike w:val="0"/>
          <w:color w:val="auto"/>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修订说明：此条来源为</w:t>
      </w:r>
      <w:r>
        <w:rPr>
          <w:rFonts w:hint="eastAsia" w:ascii="Times New Roman" w:hAnsi="Times New Roman" w:eastAsia="方正仿宋_GBK" w:cs="Times New Roman"/>
          <w:b/>
          <w:bCs/>
          <w:color w:val="auto"/>
          <w:sz w:val="32"/>
          <w:szCs w:val="32"/>
          <w:highlight w:val="none"/>
        </w:rPr>
        <w:t>《装配式建筑评价标准》（XJJ116—2019）</w:t>
      </w:r>
      <w:r>
        <w:rPr>
          <w:rFonts w:hint="eastAsia" w:ascii="Times New Roman" w:hAnsi="Times New Roman" w:eastAsia="方正仿宋_GBK" w:cs="Times New Roman"/>
          <w:b/>
          <w:bCs/>
          <w:color w:val="auto"/>
          <w:sz w:val="32"/>
          <w:szCs w:val="32"/>
          <w:highlight w:val="none"/>
          <w:lang w:eastAsia="zh-CN"/>
        </w:rPr>
        <w:t>，因标准中已有建筑装配率计算说明及评价等级划分，故本次修订删除此内容。</w:t>
      </w:r>
    </w:p>
    <w:p>
      <w:pPr>
        <w:keepNext w:val="0"/>
        <w:keepLines w:val="0"/>
        <w:pageBreakBefore w:val="0"/>
        <w:widowControl w:val="0"/>
        <w:numPr>
          <w:ilvl w:val="0"/>
          <w:numId w:val="1"/>
        </w:numPr>
        <w:kinsoku/>
        <w:wordWrap/>
        <w:overflowPunct/>
        <w:topLinePunct w:val="0"/>
        <w:autoSpaceDE/>
        <w:autoSpaceDN/>
        <w:bidi w:val="0"/>
        <w:spacing w:line="560" w:lineRule="exact"/>
        <w:ind w:left="-10" w:leftChars="0" w:firstLine="640" w:firstLineChars="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政府投资的保障性安居工程、办公楼、医院、学校、幼儿园、文化体育场馆、市政综合管廊、工业园区标准厂房、公交站台等新建项目应100%按照装配式建筑建造。</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此条依据为</w:t>
      </w:r>
      <w:r>
        <w:rPr>
          <w:rFonts w:hint="eastAsia" w:ascii="Times New Roman" w:hAnsi="Times New Roman" w:eastAsia="方正仿宋_GBK" w:cs="Times New Roman"/>
          <w:b/>
          <w:bCs/>
          <w:color w:val="auto"/>
          <w:sz w:val="32"/>
          <w:szCs w:val="32"/>
          <w:highlight w:val="none"/>
          <w:lang w:eastAsia="zh-CN"/>
        </w:rPr>
        <w:t>《关于加快推进自治区装配式建筑发展的通知》（新政办明电﹝2019﹞243号）。</w:t>
      </w:r>
    </w:p>
    <w:p>
      <w:pPr>
        <w:keepNext w:val="0"/>
        <w:keepLines w:val="0"/>
        <w:pageBreakBefore w:val="0"/>
        <w:widowControl w:val="0"/>
        <w:numPr>
          <w:ilvl w:val="0"/>
          <w:numId w:val="1"/>
        </w:numPr>
        <w:kinsoku/>
        <w:wordWrap/>
        <w:overflowPunct/>
        <w:topLinePunct w:val="0"/>
        <w:autoSpaceDE/>
        <w:autoSpaceDN/>
        <w:bidi w:val="0"/>
        <w:spacing w:line="560" w:lineRule="exact"/>
        <w:ind w:left="-10" w:leftChars="0" w:firstLine="640" w:firstLineChars="0"/>
        <w:textAlignment w:val="auto"/>
        <w:rPr>
          <w:rFonts w:ascii="Times New Roman" w:hAnsi="Times New Roman" w:eastAsia="方正仿宋_GBK" w:cs="Times New Roman"/>
          <w:strike/>
          <w:dstrike w:val="0"/>
          <w:color w:val="auto"/>
          <w:sz w:val="32"/>
          <w:szCs w:val="32"/>
          <w:highlight w:val="none"/>
        </w:rPr>
      </w:pPr>
      <w:r>
        <w:rPr>
          <w:rFonts w:ascii="Times New Roman" w:hAnsi="Times New Roman" w:eastAsia="方正仿宋_GBK" w:cs="Times New Roman"/>
          <w:strike/>
          <w:dstrike w:val="0"/>
          <w:color w:val="auto"/>
          <w:sz w:val="32"/>
          <w:szCs w:val="32"/>
          <w:highlight w:val="none"/>
        </w:rPr>
        <w:t>甘泉堡经济技术开发区、</w:t>
      </w:r>
      <w:r>
        <w:rPr>
          <w:rFonts w:hint="eastAsia" w:ascii="Times New Roman" w:hAnsi="Times New Roman" w:eastAsia="方正仿宋_GBK" w:cs="Times New Roman"/>
          <w:strike/>
          <w:dstrike w:val="0"/>
          <w:color w:val="auto"/>
          <w:sz w:val="32"/>
          <w:szCs w:val="32"/>
          <w:highlight w:val="none"/>
        </w:rPr>
        <w:t>水磨沟区</w:t>
      </w:r>
      <w:r>
        <w:rPr>
          <w:rFonts w:ascii="Times New Roman" w:hAnsi="Times New Roman" w:eastAsia="方正仿宋_GBK" w:cs="Times New Roman"/>
          <w:strike/>
          <w:dstrike w:val="0"/>
          <w:color w:val="auto"/>
          <w:sz w:val="32"/>
          <w:szCs w:val="32"/>
          <w:highlight w:val="none"/>
        </w:rPr>
        <w:t>红光山会展片区</w:t>
      </w:r>
      <w:r>
        <w:rPr>
          <w:rFonts w:hint="eastAsia" w:ascii="Times New Roman" w:hAnsi="Times New Roman" w:eastAsia="方正仿宋_GBK" w:cs="Times New Roman"/>
          <w:strike/>
          <w:dstrike w:val="0"/>
          <w:color w:val="auto"/>
          <w:sz w:val="32"/>
          <w:szCs w:val="32"/>
          <w:highlight w:val="none"/>
        </w:rPr>
        <w:t>、</w:t>
      </w:r>
      <w:r>
        <w:rPr>
          <w:rFonts w:ascii="Times New Roman" w:hAnsi="Times New Roman" w:eastAsia="方正仿宋_GBK" w:cs="Times New Roman"/>
          <w:strike/>
          <w:dstrike w:val="0"/>
          <w:color w:val="auto"/>
          <w:sz w:val="32"/>
          <w:szCs w:val="32"/>
          <w:highlight w:val="none"/>
        </w:rPr>
        <w:t>达坂城区新型建筑产业园和建筑新材料产业园</w:t>
      </w:r>
      <w:r>
        <w:rPr>
          <w:rFonts w:hint="eastAsia" w:ascii="Times New Roman" w:hAnsi="Times New Roman" w:eastAsia="方正仿宋_GBK" w:cs="Times New Roman"/>
          <w:strike/>
          <w:dstrike w:val="0"/>
          <w:color w:val="auto"/>
          <w:sz w:val="32"/>
          <w:szCs w:val="32"/>
          <w:highlight w:val="none"/>
        </w:rPr>
        <w:t>作为我市装配式建筑应用示范区，</w:t>
      </w:r>
      <w:r>
        <w:rPr>
          <w:rFonts w:ascii="Times New Roman" w:hAnsi="Times New Roman" w:eastAsia="方正仿宋_GBK" w:cs="Times New Roman"/>
          <w:strike/>
          <w:dstrike w:val="0"/>
          <w:color w:val="auto"/>
          <w:sz w:val="32"/>
          <w:szCs w:val="32"/>
          <w:highlight w:val="none"/>
        </w:rPr>
        <w:t>新建建筑应100%按照装配式建筑建造。</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strike w:val="0"/>
          <w:dstrike w:val="0"/>
          <w:color w:val="auto"/>
          <w:sz w:val="32"/>
          <w:szCs w:val="32"/>
          <w:highlight w:val="none"/>
          <w:lang w:val="en-US" w:eastAsia="zh-CN"/>
        </w:rPr>
      </w:pPr>
      <w:r>
        <w:rPr>
          <w:rFonts w:hint="eastAsia" w:ascii="Times New Roman" w:hAnsi="Times New Roman" w:eastAsia="方正仿宋_GBK" w:cs="Times New Roman"/>
          <w:strike w:val="0"/>
          <w:dstrike w:val="0"/>
          <w:color w:val="auto"/>
          <w:sz w:val="32"/>
          <w:szCs w:val="32"/>
          <w:highlight w:val="none"/>
          <w:lang w:val="en-US" w:eastAsia="zh-CN"/>
        </w:rPr>
        <w:t xml:space="preserve"> </w:t>
      </w:r>
      <w:r>
        <w:rPr>
          <w:rFonts w:hint="eastAsia" w:ascii="Times New Roman" w:hAnsi="Times New Roman" w:eastAsia="方正仿宋_GBK" w:cs="Times New Roman"/>
          <w:b/>
          <w:bCs/>
          <w:color w:val="auto"/>
          <w:sz w:val="32"/>
          <w:szCs w:val="32"/>
          <w:highlight w:val="none"/>
          <w:lang w:eastAsia="zh-CN"/>
        </w:rPr>
        <w:t>修订说明：</w:t>
      </w:r>
      <w:r>
        <w:rPr>
          <w:rFonts w:hint="default" w:ascii="Times New Roman" w:hAnsi="Times New Roman" w:eastAsia="方正仿宋_GBK" w:cs="Times New Roman"/>
          <w:b/>
          <w:bCs/>
          <w:color w:val="auto"/>
          <w:kern w:val="0"/>
          <w:sz w:val="32"/>
          <w:szCs w:val="32"/>
          <w:highlight w:val="none"/>
          <w:lang w:val="en-US" w:eastAsia="zh-CN" w:bidi="ar"/>
        </w:rPr>
        <w:t>划定甘泉堡经济技术开发区、水磨沟区红光山会展片区、达坂城区新型建材产业园为装配式建筑100%应用示范区，系基于早期片区连片开发、规模化建设的预判。目前，红光山会展片区可连片开发土地基本枯竭，2023</w:t>
      </w:r>
      <w:r>
        <w:rPr>
          <w:rFonts w:hint="eastAsia" w:ascii="宋体" w:hAnsi="宋体" w:eastAsia="宋体" w:cs="宋体"/>
          <w:b/>
          <w:bCs/>
          <w:color w:val="auto"/>
          <w:kern w:val="0"/>
          <w:sz w:val="32"/>
          <w:szCs w:val="32"/>
          <w:highlight w:val="none"/>
          <w:lang w:val="en-US" w:eastAsia="zh-CN" w:bidi="ar"/>
        </w:rPr>
        <w:t>—</w:t>
      </w:r>
      <w:r>
        <w:rPr>
          <w:rFonts w:hint="default" w:ascii="Times New Roman" w:hAnsi="Times New Roman" w:eastAsia="方正仿宋_GBK" w:cs="Times New Roman"/>
          <w:b/>
          <w:bCs/>
          <w:color w:val="auto"/>
          <w:kern w:val="0"/>
          <w:sz w:val="32"/>
          <w:szCs w:val="32"/>
          <w:highlight w:val="none"/>
          <w:lang w:val="en-US" w:eastAsia="zh-CN" w:bidi="ar"/>
        </w:rPr>
        <w:t>2025年年均新建建筑面积不足10万平方米，已不具备规模化连片建设条件；甘泉堡经开区、达坂城区新型建材产业园以工业建筑为主，住宅、商业开发项目极少，原全域100%装配式建设的要求已无实际意义</w:t>
      </w:r>
      <w:r>
        <w:rPr>
          <w:rFonts w:hint="eastAsia" w:ascii="Times New Roman" w:hAnsi="Times New Roman" w:eastAsia="方正仿宋_GBK" w:cs="Times New Roman"/>
          <w:b/>
          <w:bCs/>
          <w:color w:val="auto"/>
          <w:kern w:val="0"/>
          <w:sz w:val="32"/>
          <w:szCs w:val="32"/>
          <w:highlight w:val="none"/>
          <w:lang w:val="en-US" w:eastAsia="zh-CN" w:bidi="ar"/>
        </w:rPr>
        <w:t>，该条删除。</w:t>
      </w:r>
    </w:p>
    <w:p>
      <w:pPr>
        <w:keepNext w:val="0"/>
        <w:keepLines w:val="0"/>
        <w:pageBreakBefore w:val="0"/>
        <w:widowControl w:val="0"/>
        <w:numPr>
          <w:ilvl w:val="0"/>
          <w:numId w:val="1"/>
        </w:numPr>
        <w:kinsoku/>
        <w:wordWrap/>
        <w:overflowPunct/>
        <w:topLinePunct w:val="0"/>
        <w:autoSpaceDE/>
        <w:autoSpaceDN/>
        <w:bidi w:val="0"/>
        <w:spacing w:line="560" w:lineRule="exact"/>
        <w:ind w:left="-10" w:leftChars="0" w:firstLine="640" w:firstLineChars="0"/>
        <w:textAlignment w:val="auto"/>
        <w:rPr>
          <w:rFonts w:hint="eastAsia" w:ascii="Times New Roman" w:hAnsi="Times New Roman" w:eastAsia="方正仿宋_GBK" w:cs="Times New Roman"/>
          <w:strike/>
          <w:dstrike w:val="0"/>
          <w:color w:val="auto"/>
          <w:sz w:val="32"/>
          <w:szCs w:val="32"/>
          <w:highlight w:val="none"/>
        </w:rPr>
      </w:pPr>
      <w:r>
        <w:rPr>
          <w:rFonts w:ascii="Times New Roman" w:hAnsi="Times New Roman" w:eastAsia="方正仿宋_GBK" w:cs="Times New Roman"/>
          <w:strike/>
          <w:dstrike w:val="0"/>
          <w:color w:val="auto"/>
          <w:sz w:val="32"/>
          <w:szCs w:val="32"/>
          <w:highlight w:val="none"/>
        </w:rPr>
        <w:t>鼓励引导社会投资项目建设装配式建筑，建筑面积在10万</w:t>
      </w:r>
      <w:r>
        <w:rPr>
          <w:rFonts w:hint="eastAsia" w:ascii="Times New Roman" w:hAnsi="Times New Roman" w:eastAsia="方正仿宋_GBK" w:cs="Times New Roman"/>
          <w:strike/>
          <w:dstrike w:val="0"/>
          <w:color w:val="auto"/>
          <w:sz w:val="32"/>
          <w:szCs w:val="32"/>
          <w:highlight w:val="none"/>
        </w:rPr>
        <w:t>平方米—</w:t>
      </w:r>
      <w:r>
        <w:rPr>
          <w:rFonts w:ascii="Times New Roman" w:hAnsi="Times New Roman" w:eastAsia="方正仿宋_GBK" w:cs="Times New Roman"/>
          <w:strike/>
          <w:dstrike w:val="0"/>
          <w:color w:val="auto"/>
          <w:sz w:val="32"/>
          <w:szCs w:val="32"/>
          <w:highlight w:val="none"/>
        </w:rPr>
        <w:t>20万</w:t>
      </w:r>
      <w:r>
        <w:rPr>
          <w:rFonts w:hint="eastAsia" w:ascii="Times New Roman" w:hAnsi="Times New Roman" w:eastAsia="方正仿宋_GBK" w:cs="Times New Roman"/>
          <w:strike/>
          <w:dstrike w:val="0"/>
          <w:color w:val="auto"/>
          <w:sz w:val="32"/>
          <w:szCs w:val="32"/>
          <w:highlight w:val="none"/>
        </w:rPr>
        <w:t>平方米</w:t>
      </w:r>
      <w:r>
        <w:rPr>
          <w:rFonts w:ascii="Times New Roman" w:hAnsi="Times New Roman" w:eastAsia="方正仿宋_GBK" w:cs="Times New Roman"/>
          <w:strike/>
          <w:dstrike w:val="0"/>
          <w:color w:val="auto"/>
          <w:sz w:val="32"/>
          <w:szCs w:val="32"/>
          <w:highlight w:val="none"/>
        </w:rPr>
        <w:t>的项目，装配式建筑建设比例不低于10%</w:t>
      </w:r>
      <w:r>
        <w:rPr>
          <w:rFonts w:hint="eastAsia" w:ascii="Times New Roman" w:hAnsi="Times New Roman" w:eastAsia="方正仿宋_GBK" w:cs="Times New Roman"/>
          <w:strike/>
          <w:dstrike w:val="0"/>
          <w:color w:val="auto"/>
          <w:sz w:val="32"/>
          <w:szCs w:val="32"/>
          <w:highlight w:val="none"/>
        </w:rPr>
        <w:t>，</w:t>
      </w:r>
      <w:r>
        <w:rPr>
          <w:rFonts w:ascii="Times New Roman" w:hAnsi="Times New Roman" w:eastAsia="方正仿宋_GBK" w:cs="Times New Roman"/>
          <w:strike/>
          <w:dstrike w:val="0"/>
          <w:color w:val="auto"/>
          <w:sz w:val="32"/>
          <w:szCs w:val="32"/>
          <w:highlight w:val="none"/>
        </w:rPr>
        <w:t>建筑面积在20万</w:t>
      </w:r>
      <w:r>
        <w:rPr>
          <w:rFonts w:hint="eastAsia" w:ascii="Times New Roman" w:hAnsi="Times New Roman" w:eastAsia="方正仿宋_GBK" w:cs="Times New Roman"/>
          <w:strike/>
          <w:dstrike w:val="0"/>
          <w:color w:val="auto"/>
          <w:sz w:val="32"/>
          <w:szCs w:val="32"/>
          <w:highlight w:val="none"/>
        </w:rPr>
        <w:t>平方米</w:t>
      </w:r>
      <w:r>
        <w:rPr>
          <w:rFonts w:ascii="Times New Roman" w:hAnsi="Times New Roman" w:eastAsia="方正仿宋_GBK" w:cs="Times New Roman"/>
          <w:strike/>
          <w:dstrike w:val="0"/>
          <w:color w:val="auto"/>
          <w:sz w:val="32"/>
          <w:szCs w:val="32"/>
          <w:highlight w:val="none"/>
        </w:rPr>
        <w:t>以上的项目，装配式建筑建设比例不低于15%</w:t>
      </w:r>
      <w:r>
        <w:rPr>
          <w:rFonts w:hint="eastAsia" w:ascii="Times New Roman" w:hAnsi="Times New Roman" w:eastAsia="方正仿宋_GBK" w:cs="Times New Roman"/>
          <w:strike/>
          <w:dstrike w:val="0"/>
          <w:color w:val="auto"/>
          <w:sz w:val="32"/>
          <w:szCs w:val="32"/>
          <w:highlight w:val="none"/>
        </w:rPr>
        <w:t>，</w:t>
      </w:r>
      <w:r>
        <w:rPr>
          <w:rFonts w:ascii="Times New Roman" w:hAnsi="Times New Roman" w:eastAsia="方正仿宋_GBK" w:cs="Times New Roman"/>
          <w:strike/>
          <w:dstrike w:val="0"/>
          <w:color w:val="auto"/>
          <w:sz w:val="32"/>
          <w:szCs w:val="32"/>
          <w:highlight w:val="none"/>
        </w:rPr>
        <w:t>积极扩大装配式桥梁的应用规模</w:t>
      </w:r>
      <w:r>
        <w:rPr>
          <w:rFonts w:hint="eastAsia" w:ascii="Times New Roman" w:hAnsi="Times New Roman" w:eastAsia="方正仿宋_GBK" w:cs="Times New Roman"/>
          <w:strike/>
          <w:dstrike w:val="0"/>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rPr>
          <w:rFonts w:hint="default" w:ascii="Times New Roman" w:hAnsi="Times New Roman" w:eastAsia="方正仿宋_GBK" w:cs="Times New Roman"/>
          <w:b/>
          <w:bCs/>
          <w:strike/>
          <w:dstrike w:val="0"/>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eastAsia="zh-CN"/>
        </w:rPr>
        <w:t>修订说明：</w:t>
      </w:r>
      <w:r>
        <w:rPr>
          <w:rFonts w:hint="default" w:ascii="Times New Roman" w:hAnsi="Times New Roman" w:eastAsia="方正仿宋_GBK" w:cs="Times New Roman"/>
          <w:b/>
          <w:bCs/>
          <w:color w:val="auto"/>
          <w:kern w:val="0"/>
          <w:sz w:val="32"/>
          <w:szCs w:val="32"/>
          <w:highlight w:val="none"/>
          <w:lang w:val="en-US" w:eastAsia="zh-CN" w:bidi="ar"/>
        </w:rPr>
        <w:t>2023年12月市住建局联合发改等部门出台《关于进一步推进我市装配式建筑、绿色建筑和超低能耗建筑高质量发展的实施意见》（乌建规〔2023〕2号），明确地上建筑面积10万平方米以上房地产开发项目和工业仓储项目按照装配式建设的要求</w:t>
      </w:r>
      <w:r>
        <w:rPr>
          <w:rFonts w:hint="eastAsia" w:ascii="Times New Roman" w:hAnsi="Times New Roman" w:eastAsia="方正仿宋_GBK" w:cs="Times New Roman"/>
          <w:b/>
          <w:bCs/>
          <w:color w:val="auto"/>
          <w:kern w:val="0"/>
          <w:sz w:val="32"/>
          <w:szCs w:val="32"/>
          <w:highlight w:val="none"/>
          <w:lang w:val="en-US" w:eastAsia="zh-CN" w:bidi="ar"/>
        </w:rPr>
        <w:t>，该条删除。</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rPr>
        <w:t>二</w:t>
      </w:r>
      <w:r>
        <w:rPr>
          <w:rFonts w:ascii="Times New Roman" w:hAnsi="Times New Roman" w:eastAsia="方正黑体_GBK" w:cs="Times New Roman"/>
          <w:color w:val="auto"/>
          <w:sz w:val="32"/>
          <w:szCs w:val="32"/>
          <w:highlight w:val="none"/>
        </w:rPr>
        <w:t>、</w:t>
      </w:r>
      <w:r>
        <w:rPr>
          <w:rFonts w:hint="eastAsia" w:ascii="Times New Roman" w:hAnsi="Times New Roman" w:eastAsia="方正黑体_GBK" w:cs="Times New Roman"/>
          <w:color w:val="auto"/>
          <w:sz w:val="32"/>
          <w:szCs w:val="32"/>
          <w:highlight w:val="none"/>
        </w:rPr>
        <w:t>推行工程</w:t>
      </w:r>
      <w:r>
        <w:rPr>
          <w:rFonts w:ascii="Times New Roman" w:hAnsi="Times New Roman" w:eastAsia="方正黑体_GBK" w:cs="Times New Roman"/>
          <w:color w:val="auto"/>
          <w:sz w:val="32"/>
          <w:szCs w:val="32"/>
          <w:highlight w:val="none"/>
        </w:rPr>
        <w:t>建设新模式新技术</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strike/>
          <w:dstrike w:val="0"/>
          <w:color w:val="auto"/>
          <w:sz w:val="32"/>
          <w:szCs w:val="32"/>
          <w:highlight w:val="none"/>
        </w:rPr>
      </w:pPr>
      <w:r>
        <w:rPr>
          <w:rFonts w:hint="eastAsia" w:ascii="Times New Roman" w:hAnsi="Times New Roman" w:eastAsia="方正仿宋_GBK" w:cs="Times New Roman"/>
          <w:color w:val="auto"/>
          <w:sz w:val="32"/>
          <w:szCs w:val="32"/>
          <w:highlight w:val="none"/>
        </w:rPr>
        <w:t>（一）</w:t>
      </w:r>
      <w:r>
        <w:rPr>
          <w:rFonts w:hint="eastAsia" w:ascii="Times New Roman" w:hAnsi="Times New Roman" w:eastAsia="方正仿宋_GBK" w:cs="Times New Roman"/>
          <w:strike/>
          <w:dstrike w:val="0"/>
          <w:color w:val="auto"/>
          <w:sz w:val="32"/>
          <w:szCs w:val="32"/>
          <w:highlight w:val="none"/>
        </w:rPr>
        <w:t>在装配式建筑项目中大力推广工程总承包EPC模式，可采用公开招标资格预审方式。对评价为A级及以上的装配式建筑，可按照技术复杂类工程项目采用邀请招标方式。</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strike w:val="0"/>
          <w:dstrike w:val="0"/>
          <w:color w:val="auto"/>
          <w:sz w:val="32"/>
          <w:szCs w:val="32"/>
          <w:highlight w:val="none"/>
          <w:u w:val="none"/>
          <w:lang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strike w:val="0"/>
          <w:dstrike w:val="0"/>
          <w:color w:val="auto"/>
          <w:sz w:val="32"/>
          <w:szCs w:val="32"/>
          <w:highlight w:val="none"/>
          <w:u w:val="none"/>
          <w:lang w:eastAsia="zh-CN"/>
        </w:rPr>
        <w:t>根据招投标相关规定，该条删除。</w:t>
      </w:r>
    </w:p>
    <w:p>
      <w:pPr>
        <w:keepNext w:val="0"/>
        <w:keepLines w:val="0"/>
        <w:pageBreakBefore w:val="0"/>
        <w:widowControl w:val="0"/>
        <w:numPr>
          <w:ilvl w:val="0"/>
          <w:numId w:val="2"/>
        </w:numPr>
        <w:kinsoku/>
        <w:wordWrap/>
        <w:overflowPunct/>
        <w:topLinePunct w:val="0"/>
        <w:autoSpaceDE/>
        <w:autoSpaceDN/>
        <w:bidi w:val="0"/>
        <w:spacing w:line="560" w:lineRule="exact"/>
        <w:ind w:left="150" w:leftChars="0" w:firstLine="640" w:firstLineChars="200"/>
        <w:textAlignment w:val="auto"/>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装配式建筑项目应在设计、生产、施工、运营管理等阶段应用建筑信息模型技术（BIM技术），优化装配式建筑的整体方案和资源配置，建立装配式建筑项目数据库，为实现装配式建筑全过程质量管控和责任追溯提供信息技术支撑。</w:t>
      </w:r>
    </w:p>
    <w:p>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rPr>
          <w:rFonts w:hint="default"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此条要求为结合我市情况提出的装配式建筑要求，继续保留</w:t>
      </w:r>
    </w:p>
    <w:p>
      <w:pPr>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150" w:leftChars="0" w:firstLine="640" w:firstLineChars="200"/>
        <w:textAlignment w:val="auto"/>
        <w:rPr>
          <w:rFonts w:ascii="Times New Roman" w:hAnsi="Times New Roman" w:eastAsia="方正仿宋_GBK" w:cs="Times New Roman"/>
          <w:strike w:val="0"/>
          <w:color w:val="auto"/>
          <w:sz w:val="32"/>
          <w:szCs w:val="32"/>
          <w:highlight w:val="none"/>
        </w:rPr>
      </w:pPr>
      <w:r>
        <w:rPr>
          <w:rFonts w:ascii="Times New Roman" w:hAnsi="Times New Roman" w:eastAsia="方正仿宋_GBK" w:cs="Times New Roman"/>
          <w:color w:val="auto"/>
          <w:sz w:val="32"/>
          <w:szCs w:val="32"/>
          <w:highlight w:val="none"/>
        </w:rPr>
        <w:t>装配式建</w:t>
      </w:r>
      <w:r>
        <w:rPr>
          <w:rFonts w:ascii="Times New Roman" w:hAnsi="Times New Roman" w:eastAsia="方正仿宋_GBK" w:cs="Times New Roman"/>
          <w:strike w:val="0"/>
          <w:dstrike w:val="0"/>
          <w:color w:val="auto"/>
          <w:sz w:val="32"/>
          <w:szCs w:val="32"/>
          <w:highlight w:val="none"/>
        </w:rPr>
        <w:t>筑</w:t>
      </w:r>
      <w:r>
        <w:rPr>
          <w:rFonts w:ascii="Times New Roman" w:hAnsi="Times New Roman" w:eastAsia="方正仿宋_GBK" w:cs="Times New Roman"/>
          <w:strike w:val="0"/>
          <w:dstrike w:val="0"/>
          <w:color w:val="auto"/>
          <w:sz w:val="32"/>
          <w:szCs w:val="32"/>
          <w:highlight w:val="none"/>
          <w:u w:val="none"/>
        </w:rPr>
        <w:t>全部</w:t>
      </w:r>
      <w:r>
        <w:rPr>
          <w:rFonts w:ascii="Times New Roman" w:hAnsi="Times New Roman" w:eastAsia="方正仿宋_GBK" w:cs="Times New Roman"/>
          <w:strike w:val="0"/>
          <w:dstrike w:val="0"/>
          <w:color w:val="auto"/>
          <w:sz w:val="32"/>
          <w:szCs w:val="32"/>
          <w:highlight w:val="none"/>
        </w:rPr>
        <w:t>实</w:t>
      </w:r>
      <w:r>
        <w:rPr>
          <w:rFonts w:ascii="Times New Roman" w:hAnsi="Times New Roman" w:eastAsia="方正仿宋_GBK" w:cs="Times New Roman"/>
          <w:color w:val="auto"/>
          <w:sz w:val="32"/>
          <w:szCs w:val="32"/>
          <w:highlight w:val="none"/>
        </w:rPr>
        <w:t>行室内全装修，室内全装修应与主体结构、机电设备一体化设计和协同施工。鼓励装配式装修，提倡干法施工，减少现场湿作业。积极推广整体厨卫、同层排水、轻质隔墙板等材料、产品和设备管线集成化技术</w:t>
      </w:r>
      <w:r>
        <w:rPr>
          <w:rFonts w:ascii="Times New Roman" w:hAnsi="Times New Roman" w:eastAsia="方正仿宋_GBK" w:cs="Times New Roman"/>
          <w:strike w:val="0"/>
          <w:dstrike w:val="0"/>
          <w:color w:val="auto"/>
          <w:sz w:val="32"/>
          <w:szCs w:val="32"/>
          <w:highlight w:val="none"/>
        </w:rPr>
        <w:t>，加快智能产品和智慧家居的应用</w:t>
      </w:r>
      <w:r>
        <w:rPr>
          <w:rFonts w:ascii="Times New Roman" w:hAnsi="Times New Roman" w:eastAsia="方正仿宋_GBK" w:cs="Times New Roman"/>
          <w:strike w:val="0"/>
          <w:color w:val="auto"/>
          <w:sz w:val="32"/>
          <w:szCs w:val="32"/>
          <w:highlight w:val="none"/>
        </w:rPr>
        <w:t>。</w:t>
      </w:r>
    </w:p>
    <w:p>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此条要求为结合我市情况提出的装配式建筑要求，继续保留。</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三、</w:t>
      </w:r>
      <w:r>
        <w:rPr>
          <w:rFonts w:ascii="Times New Roman" w:hAnsi="Times New Roman" w:eastAsia="方正黑体_GBK" w:cs="Times New Roman"/>
          <w:color w:val="auto"/>
          <w:sz w:val="32"/>
          <w:szCs w:val="32"/>
          <w:highlight w:val="none"/>
        </w:rPr>
        <w:t>强</w:t>
      </w:r>
      <w:r>
        <w:rPr>
          <w:rFonts w:hint="eastAsia" w:ascii="Times New Roman" w:hAnsi="Times New Roman" w:eastAsia="方正黑体_GBK" w:cs="Times New Roman"/>
          <w:color w:val="auto"/>
          <w:sz w:val="32"/>
          <w:szCs w:val="32"/>
          <w:highlight w:val="none"/>
        </w:rPr>
        <w:t>化</w:t>
      </w:r>
      <w:r>
        <w:rPr>
          <w:rFonts w:ascii="Times New Roman" w:hAnsi="Times New Roman" w:eastAsia="方正黑体_GBK" w:cs="Times New Roman"/>
          <w:color w:val="auto"/>
          <w:sz w:val="32"/>
          <w:szCs w:val="32"/>
          <w:highlight w:val="none"/>
        </w:rPr>
        <w:t>行业</w:t>
      </w:r>
      <w:r>
        <w:rPr>
          <w:rFonts w:hint="eastAsia" w:ascii="Times New Roman" w:hAnsi="Times New Roman" w:eastAsia="方正黑体_GBK" w:cs="Times New Roman"/>
          <w:color w:val="auto"/>
          <w:sz w:val="32"/>
          <w:szCs w:val="32"/>
          <w:highlight w:val="none"/>
        </w:rPr>
        <w:t>监管工作</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Calibri" w:hAnsi="Calibri" w:eastAsia="方正仿宋_GBK" w:cs="Times New Roman"/>
          <w:snapToGrid w:val="0"/>
          <w:color w:val="auto"/>
          <w:kern w:val="0"/>
          <w:sz w:val="32"/>
          <w:szCs w:val="32"/>
          <w:highlight w:val="none"/>
        </w:rPr>
      </w:pPr>
      <w:r>
        <w:rPr>
          <w:rFonts w:hint="eastAsia" w:ascii="Times New Roman" w:hAnsi="Times New Roman" w:eastAsia="方正仿宋_GBK" w:cs="Times New Roman"/>
          <w:color w:val="auto"/>
          <w:sz w:val="32"/>
          <w:szCs w:val="32"/>
          <w:highlight w:val="none"/>
          <w:lang w:eastAsia="zh-CN"/>
        </w:rPr>
        <w:t>（一）</w:t>
      </w:r>
      <w:r>
        <w:rPr>
          <w:rFonts w:ascii="Times New Roman" w:hAnsi="Times New Roman" w:eastAsia="方正仿宋_GBK" w:cs="Times New Roman"/>
          <w:color w:val="auto"/>
          <w:sz w:val="32"/>
          <w:szCs w:val="32"/>
          <w:highlight w:val="none"/>
        </w:rPr>
        <w:t>做好项目源头管理。市、区</w:t>
      </w:r>
      <w:r>
        <w:rPr>
          <w:rFonts w:hint="eastAsia" w:ascii="Times New Roman" w:hAnsi="Times New Roman" w:eastAsia="方正仿宋_GBK" w:cs="Times New Roman"/>
          <w:color w:val="auto"/>
          <w:sz w:val="32"/>
          <w:szCs w:val="32"/>
          <w:highlight w:val="none"/>
        </w:rPr>
        <w:t>（县）</w:t>
      </w:r>
      <w:r>
        <w:rPr>
          <w:rFonts w:ascii="Times New Roman" w:hAnsi="Times New Roman" w:eastAsia="方正仿宋_GBK" w:cs="Times New Roman"/>
          <w:color w:val="auto"/>
          <w:sz w:val="32"/>
          <w:szCs w:val="32"/>
          <w:highlight w:val="none"/>
        </w:rPr>
        <w:t>教育、工信、住房保障、</w:t>
      </w:r>
      <w:r>
        <w:rPr>
          <w:rFonts w:hint="eastAsia" w:ascii="Times New Roman" w:hAnsi="Times New Roman" w:eastAsia="方正仿宋_GBK" w:cs="Times New Roman"/>
          <w:color w:val="auto"/>
          <w:sz w:val="32"/>
          <w:szCs w:val="32"/>
          <w:highlight w:val="none"/>
        </w:rPr>
        <w:t>城市管理、交通、</w:t>
      </w:r>
      <w:r>
        <w:rPr>
          <w:rFonts w:ascii="Times New Roman" w:hAnsi="Times New Roman" w:eastAsia="方正仿宋_GBK" w:cs="Times New Roman"/>
          <w:color w:val="auto"/>
          <w:sz w:val="32"/>
          <w:szCs w:val="32"/>
          <w:highlight w:val="none"/>
        </w:rPr>
        <w:t>文化、卫生</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机关事务管理、</w:t>
      </w:r>
      <w:r>
        <w:rPr>
          <w:rFonts w:hint="eastAsia" w:ascii="Times New Roman" w:hAnsi="Times New Roman" w:eastAsia="方正仿宋_GBK" w:cs="Times New Roman"/>
          <w:color w:val="auto"/>
          <w:sz w:val="32"/>
          <w:szCs w:val="32"/>
          <w:highlight w:val="none"/>
        </w:rPr>
        <w:t>体育</w:t>
      </w:r>
      <w:r>
        <w:rPr>
          <w:rFonts w:ascii="Times New Roman" w:hAnsi="Times New Roman" w:eastAsia="方正仿宋_GBK" w:cs="Times New Roman"/>
          <w:color w:val="auto"/>
          <w:sz w:val="32"/>
          <w:szCs w:val="32"/>
          <w:highlight w:val="none"/>
        </w:rPr>
        <w:t>等主管部门应按照本通知</w:t>
      </w:r>
      <w:r>
        <w:rPr>
          <w:rFonts w:hint="eastAsia" w:ascii="Times New Roman" w:hAnsi="Times New Roman" w:eastAsia="方正仿宋_GBK" w:cs="Times New Roman"/>
          <w:color w:val="auto"/>
          <w:sz w:val="32"/>
          <w:szCs w:val="32"/>
          <w:highlight w:val="none"/>
        </w:rPr>
        <w:t>中装配式建筑实施范围</w:t>
      </w:r>
      <w:r>
        <w:rPr>
          <w:rFonts w:ascii="Times New Roman" w:hAnsi="Times New Roman" w:eastAsia="方正仿宋_GBK" w:cs="Times New Roman"/>
          <w:color w:val="auto"/>
          <w:sz w:val="32"/>
          <w:szCs w:val="32"/>
          <w:highlight w:val="none"/>
        </w:rPr>
        <w:t>要求，严格落实政府投资的新建项目按照装配式建筑建造，增量成本计入项目建设成本。</w:t>
      </w:r>
      <w:r>
        <w:rPr>
          <w:rFonts w:ascii="Calibri" w:hAnsi="Calibri" w:eastAsia="方正仿宋_GBK" w:cs="Times New Roman"/>
          <w:snapToGrid w:val="0"/>
          <w:color w:val="auto"/>
          <w:kern w:val="0"/>
          <w:sz w:val="32"/>
          <w:szCs w:val="32"/>
          <w:highlight w:val="none"/>
        </w:rPr>
        <w:t>〔</w:t>
      </w:r>
      <w:r>
        <w:rPr>
          <w:rFonts w:hint="eastAsia" w:ascii="Calibri" w:hAnsi="Calibri" w:eastAsia="方正仿宋_GBK" w:cs="Times New Roman"/>
          <w:snapToGrid w:val="0"/>
          <w:color w:val="auto"/>
          <w:kern w:val="0"/>
          <w:sz w:val="32"/>
          <w:szCs w:val="32"/>
          <w:highlight w:val="none"/>
        </w:rPr>
        <w:t>责任单位：</w:t>
      </w:r>
      <w:r>
        <w:rPr>
          <w:rFonts w:ascii="Times New Roman" w:hAnsi="Times New Roman" w:eastAsia="方正仿宋_GBK" w:cs="Times New Roman"/>
          <w:color w:val="auto"/>
          <w:sz w:val="32"/>
          <w:szCs w:val="32"/>
          <w:highlight w:val="none"/>
        </w:rPr>
        <w:t>各区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县</w:t>
      </w:r>
      <w:r>
        <w:rPr>
          <w:rFonts w:hint="eastAsia" w:ascii="Times New Roman" w:hAnsi="Times New Roman" w:eastAsia="方正仿宋_GBK" w:cs="Times New Roman"/>
          <w:color w:val="auto"/>
          <w:sz w:val="32"/>
          <w:szCs w:val="32"/>
          <w:highlight w:val="none"/>
        </w:rPr>
        <w:t>）人民</w:t>
      </w:r>
      <w:r>
        <w:rPr>
          <w:rFonts w:ascii="Times New Roman" w:hAnsi="Times New Roman" w:eastAsia="方正仿宋_GBK" w:cs="Times New Roman"/>
          <w:color w:val="auto"/>
          <w:sz w:val="32"/>
          <w:szCs w:val="32"/>
          <w:highlight w:val="none"/>
        </w:rPr>
        <w:t>政府</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市教育局、市</w:t>
      </w:r>
      <w:r>
        <w:rPr>
          <w:rFonts w:hint="eastAsia" w:ascii="Times New Roman" w:hAnsi="Times New Roman" w:eastAsia="方正仿宋_GBK" w:cs="Times New Roman"/>
          <w:color w:val="auto"/>
          <w:sz w:val="32"/>
          <w:szCs w:val="32"/>
          <w:highlight w:val="none"/>
        </w:rPr>
        <w:t>工业和信息化局</w:t>
      </w:r>
      <w:r>
        <w:rPr>
          <w:rFonts w:ascii="Times New Roman" w:hAnsi="Times New Roman" w:eastAsia="方正仿宋_GBK" w:cs="Times New Roman"/>
          <w:color w:val="auto"/>
          <w:sz w:val="32"/>
          <w:szCs w:val="32"/>
          <w:highlight w:val="none"/>
        </w:rPr>
        <w:t>、市财政局、市住</w:t>
      </w:r>
      <w:r>
        <w:rPr>
          <w:rFonts w:hint="eastAsia" w:ascii="Times New Roman" w:hAnsi="Times New Roman" w:eastAsia="方正仿宋_GBK" w:cs="Times New Roman"/>
          <w:color w:val="auto"/>
          <w:sz w:val="32"/>
          <w:szCs w:val="32"/>
          <w:highlight w:val="none"/>
          <w:lang w:eastAsia="zh-CN"/>
        </w:rPr>
        <w:t>建</w:t>
      </w:r>
      <w:r>
        <w:rPr>
          <w:rFonts w:ascii="Times New Roman" w:hAnsi="Times New Roman" w:eastAsia="方正仿宋_GBK" w:cs="Times New Roman"/>
          <w:color w:val="auto"/>
          <w:sz w:val="32"/>
          <w:szCs w:val="32"/>
          <w:highlight w:val="none"/>
        </w:rPr>
        <w:t>局、</w:t>
      </w:r>
      <w:r>
        <w:rPr>
          <w:rFonts w:hint="eastAsia" w:ascii="Times New Roman" w:hAnsi="Times New Roman" w:eastAsia="方正仿宋_GBK" w:cs="Times New Roman"/>
          <w:color w:val="auto"/>
          <w:sz w:val="32"/>
          <w:szCs w:val="32"/>
          <w:highlight w:val="none"/>
        </w:rPr>
        <w:t>市城市管理局、</w:t>
      </w:r>
      <w:r>
        <w:rPr>
          <w:rFonts w:ascii="Times New Roman" w:hAnsi="Times New Roman" w:eastAsia="方正仿宋_GBK" w:cs="Times New Roman"/>
          <w:color w:val="auto"/>
          <w:sz w:val="32"/>
          <w:szCs w:val="32"/>
          <w:highlight w:val="none"/>
        </w:rPr>
        <w:t>市交通运输局、市文化和旅游局、市</w:t>
      </w:r>
      <w:r>
        <w:rPr>
          <w:rFonts w:hint="eastAsia" w:ascii="Times New Roman" w:hAnsi="Times New Roman" w:eastAsia="方正仿宋_GBK" w:cs="Times New Roman"/>
          <w:color w:val="auto"/>
          <w:sz w:val="32"/>
          <w:szCs w:val="32"/>
          <w:highlight w:val="none"/>
        </w:rPr>
        <w:t>卫生健康委员会</w:t>
      </w:r>
      <w:r>
        <w:rPr>
          <w:rFonts w:ascii="Times New Roman" w:hAnsi="Times New Roman" w:eastAsia="方正仿宋_GBK" w:cs="Times New Roman"/>
          <w:color w:val="auto"/>
          <w:sz w:val="32"/>
          <w:szCs w:val="32"/>
          <w:highlight w:val="none"/>
        </w:rPr>
        <w:t>、市机关事务管理局</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市体育局</w:t>
      </w:r>
      <w:r>
        <w:rPr>
          <w:rFonts w:hint="eastAsia" w:ascii="Times New Roman" w:hAnsi="Times New Roman" w:eastAsia="方正仿宋_GBK" w:cs="Times New Roman"/>
          <w:color w:val="auto"/>
          <w:sz w:val="32"/>
          <w:szCs w:val="32"/>
          <w:highlight w:val="none"/>
          <w:lang w:eastAsia="zh-CN"/>
        </w:rPr>
        <w:t>、加市国资委</w:t>
      </w:r>
      <w:r>
        <w:rPr>
          <w:rFonts w:ascii="Calibri" w:hAnsi="Calibri" w:eastAsia="方正仿宋_GBK" w:cs="Times New Roman"/>
          <w:snapToGrid w:val="0"/>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明确各政府投资项目中，各单位应严格做好装配式建筑发展工作，同时为要求市属国有企业做好装配式建筑，责任单位中增加市国资委。</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strike w:val="0"/>
          <w:dstrike w:val="0"/>
          <w:color w:val="auto"/>
          <w:sz w:val="32"/>
          <w:szCs w:val="32"/>
          <w:highlight w:val="none"/>
        </w:rPr>
      </w:pPr>
      <w:r>
        <w:rPr>
          <w:rFonts w:hint="eastAsia" w:ascii="Times New Roman" w:hAnsi="Times New Roman" w:eastAsia="方正仿宋_GBK" w:cs="Times New Roman"/>
          <w:strike w:val="0"/>
          <w:dstrike w:val="0"/>
          <w:color w:val="auto"/>
          <w:sz w:val="32"/>
          <w:szCs w:val="32"/>
          <w:highlight w:val="none"/>
          <w:lang w:eastAsia="zh-CN"/>
        </w:rPr>
        <w:t>（二）</w:t>
      </w:r>
      <w:r>
        <w:rPr>
          <w:rFonts w:ascii="Times New Roman" w:hAnsi="Times New Roman" w:eastAsia="方正仿宋_GBK" w:cs="Times New Roman"/>
          <w:strike w:val="0"/>
          <w:dstrike w:val="0"/>
          <w:color w:val="auto"/>
          <w:sz w:val="32"/>
          <w:szCs w:val="32"/>
          <w:highlight w:val="none"/>
        </w:rPr>
        <w:t>做好立项审批工作。对</w:t>
      </w:r>
      <w:r>
        <w:rPr>
          <w:rFonts w:hint="eastAsia" w:ascii="Times New Roman" w:hAnsi="Times New Roman" w:eastAsia="方正仿宋_GBK" w:cs="Times New Roman"/>
          <w:strike w:val="0"/>
          <w:dstrike w:val="0"/>
          <w:color w:val="auto"/>
          <w:sz w:val="32"/>
          <w:szCs w:val="32"/>
          <w:highlight w:val="none"/>
        </w:rPr>
        <w:t>本通知中要求</w:t>
      </w:r>
      <w:r>
        <w:rPr>
          <w:rFonts w:ascii="Times New Roman" w:hAnsi="Times New Roman" w:eastAsia="方正仿宋_GBK" w:cs="Times New Roman"/>
          <w:strike w:val="0"/>
          <w:dstrike w:val="0"/>
          <w:color w:val="auto"/>
          <w:sz w:val="32"/>
          <w:szCs w:val="32"/>
          <w:highlight w:val="none"/>
        </w:rPr>
        <w:t>实施装配式建筑的建设项目，发改部门在立项阶段应</w:t>
      </w:r>
      <w:r>
        <w:rPr>
          <w:rFonts w:hint="eastAsia" w:ascii="Times New Roman" w:hAnsi="Times New Roman" w:eastAsia="方正仿宋_GBK" w:cs="Times New Roman"/>
          <w:strike w:val="0"/>
          <w:dstrike w:val="0"/>
          <w:color w:val="auto"/>
          <w:sz w:val="32"/>
          <w:szCs w:val="32"/>
          <w:highlight w:val="none"/>
        </w:rPr>
        <w:t>对</w:t>
      </w:r>
      <w:r>
        <w:rPr>
          <w:rFonts w:ascii="Times New Roman" w:hAnsi="Times New Roman" w:eastAsia="方正仿宋_GBK" w:cs="Times New Roman"/>
          <w:strike w:val="0"/>
          <w:dstrike w:val="0"/>
          <w:color w:val="auto"/>
          <w:sz w:val="32"/>
          <w:szCs w:val="32"/>
          <w:highlight w:val="none"/>
        </w:rPr>
        <w:t>申请报告（或可行性研究</w:t>
      </w:r>
      <w:r>
        <w:rPr>
          <w:rFonts w:hint="eastAsia" w:ascii="Times New Roman" w:hAnsi="Times New Roman" w:eastAsia="方正仿宋_GBK" w:cs="Times New Roman"/>
          <w:strike w:val="0"/>
          <w:dstrike w:val="0"/>
          <w:color w:val="auto"/>
          <w:sz w:val="32"/>
          <w:szCs w:val="32"/>
          <w:highlight w:val="none"/>
        </w:rPr>
        <w:t>申请</w:t>
      </w:r>
      <w:r>
        <w:rPr>
          <w:rFonts w:ascii="Times New Roman" w:hAnsi="Times New Roman" w:eastAsia="方正仿宋_GBK" w:cs="Times New Roman"/>
          <w:strike w:val="0"/>
          <w:dstrike w:val="0"/>
          <w:color w:val="auto"/>
          <w:sz w:val="32"/>
          <w:szCs w:val="32"/>
          <w:highlight w:val="none"/>
        </w:rPr>
        <w:t>报告）落实装配式建筑的有关内容进行审核和明确</w:t>
      </w:r>
      <w:r>
        <w:rPr>
          <w:rFonts w:hint="eastAsia" w:ascii="Times New Roman" w:hAnsi="Times New Roman" w:eastAsia="方正仿宋_GBK" w:cs="Times New Roman"/>
          <w:strike w:val="0"/>
          <w:dstrike w:val="0"/>
          <w:color w:val="auto"/>
          <w:sz w:val="32"/>
          <w:szCs w:val="32"/>
          <w:highlight w:val="none"/>
        </w:rPr>
        <w:t>，严把项目审批关</w:t>
      </w:r>
      <w:r>
        <w:rPr>
          <w:rFonts w:ascii="Times New Roman" w:hAnsi="Times New Roman" w:eastAsia="方正仿宋_GBK" w:cs="Times New Roman"/>
          <w:strike w:val="0"/>
          <w:dstrike w:val="0"/>
          <w:color w:val="auto"/>
          <w:sz w:val="32"/>
          <w:szCs w:val="32"/>
          <w:highlight w:val="none"/>
        </w:rPr>
        <w:t>。</w:t>
      </w:r>
      <w:r>
        <w:rPr>
          <w:rFonts w:ascii="Calibri" w:hAnsi="Calibri" w:eastAsia="方正仿宋_GBK" w:cs="Times New Roman"/>
          <w:strike w:val="0"/>
          <w:dstrike w:val="0"/>
          <w:snapToGrid w:val="0"/>
          <w:color w:val="auto"/>
          <w:kern w:val="0"/>
          <w:sz w:val="32"/>
          <w:szCs w:val="32"/>
          <w:highlight w:val="none"/>
        </w:rPr>
        <w:t>〔</w:t>
      </w:r>
      <w:r>
        <w:rPr>
          <w:rFonts w:hint="eastAsia" w:ascii="Times New Roman" w:hAnsi="Times New Roman" w:eastAsia="方正仿宋_GBK" w:cs="Times New Roman"/>
          <w:strike w:val="0"/>
          <w:dstrike w:val="0"/>
          <w:color w:val="auto"/>
          <w:sz w:val="32"/>
          <w:szCs w:val="32"/>
          <w:highlight w:val="none"/>
        </w:rPr>
        <w:t>责任单位：</w:t>
      </w:r>
      <w:r>
        <w:rPr>
          <w:rFonts w:ascii="Times New Roman" w:hAnsi="Times New Roman" w:eastAsia="方正仿宋_GBK" w:cs="Times New Roman"/>
          <w:strike w:val="0"/>
          <w:dstrike w:val="0"/>
          <w:color w:val="auto"/>
          <w:sz w:val="32"/>
          <w:szCs w:val="32"/>
          <w:highlight w:val="none"/>
        </w:rPr>
        <w:t>各区</w:t>
      </w:r>
      <w:r>
        <w:rPr>
          <w:rFonts w:hint="eastAsia" w:ascii="Times New Roman" w:hAnsi="Times New Roman" w:eastAsia="方正仿宋_GBK" w:cs="Times New Roman"/>
          <w:strike w:val="0"/>
          <w:dstrike w:val="0"/>
          <w:color w:val="auto"/>
          <w:sz w:val="32"/>
          <w:szCs w:val="32"/>
          <w:highlight w:val="none"/>
        </w:rPr>
        <w:t>（</w:t>
      </w:r>
      <w:r>
        <w:rPr>
          <w:rFonts w:ascii="Times New Roman" w:hAnsi="Times New Roman" w:eastAsia="方正仿宋_GBK" w:cs="Times New Roman"/>
          <w:strike w:val="0"/>
          <w:dstrike w:val="0"/>
          <w:color w:val="auto"/>
          <w:sz w:val="32"/>
          <w:szCs w:val="32"/>
          <w:highlight w:val="none"/>
        </w:rPr>
        <w:t>县</w:t>
      </w:r>
      <w:r>
        <w:rPr>
          <w:rFonts w:hint="eastAsia" w:ascii="Times New Roman" w:hAnsi="Times New Roman" w:eastAsia="方正仿宋_GBK" w:cs="Times New Roman"/>
          <w:strike w:val="0"/>
          <w:dstrike w:val="0"/>
          <w:color w:val="auto"/>
          <w:sz w:val="32"/>
          <w:szCs w:val="32"/>
          <w:highlight w:val="none"/>
        </w:rPr>
        <w:t>）人民</w:t>
      </w:r>
      <w:r>
        <w:rPr>
          <w:rFonts w:ascii="Times New Roman" w:hAnsi="Times New Roman" w:eastAsia="方正仿宋_GBK" w:cs="Times New Roman"/>
          <w:strike w:val="0"/>
          <w:dstrike w:val="0"/>
          <w:color w:val="auto"/>
          <w:sz w:val="32"/>
          <w:szCs w:val="32"/>
          <w:highlight w:val="none"/>
        </w:rPr>
        <w:t>政府</w:t>
      </w:r>
      <w:r>
        <w:rPr>
          <w:rFonts w:hint="eastAsia" w:ascii="Times New Roman" w:hAnsi="Times New Roman" w:eastAsia="方正仿宋_GBK" w:cs="Times New Roman"/>
          <w:strike w:val="0"/>
          <w:dstrike w:val="0"/>
          <w:color w:val="auto"/>
          <w:sz w:val="32"/>
          <w:szCs w:val="32"/>
          <w:highlight w:val="none"/>
        </w:rPr>
        <w:t>、</w:t>
      </w:r>
      <w:r>
        <w:rPr>
          <w:rFonts w:ascii="Times New Roman" w:hAnsi="Times New Roman" w:eastAsia="方正仿宋_GBK" w:cs="Times New Roman"/>
          <w:strike w:val="0"/>
          <w:dstrike w:val="0"/>
          <w:color w:val="auto"/>
          <w:sz w:val="32"/>
          <w:szCs w:val="32"/>
          <w:highlight w:val="none"/>
        </w:rPr>
        <w:t>市发改委</w:t>
      </w:r>
      <w:r>
        <w:rPr>
          <w:rFonts w:ascii="Calibri" w:hAnsi="Calibri" w:eastAsia="方正仿宋_GBK" w:cs="Times New Roman"/>
          <w:strike w:val="0"/>
          <w:dstrike w:val="0"/>
          <w:snapToGrid w:val="0"/>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Calibri" w:hAnsi="Calibri" w:eastAsia="方正仿宋_GBK" w:cs="Times New Roman"/>
          <w:strike w:val="0"/>
          <w:dstrike w:val="0"/>
          <w:snapToGrid w:val="0"/>
          <w:color w:val="auto"/>
          <w:kern w:val="0"/>
          <w:sz w:val="32"/>
          <w:szCs w:val="32"/>
          <w:highlight w:val="none"/>
        </w:rPr>
      </w:pPr>
      <w:r>
        <w:rPr>
          <w:rFonts w:hint="eastAsia" w:ascii="Times New Roman" w:hAnsi="Times New Roman" w:eastAsia="方正仿宋_GBK" w:cs="Times New Roman"/>
          <w:strike w:val="0"/>
          <w:dstrike w:val="0"/>
          <w:color w:val="auto"/>
          <w:sz w:val="32"/>
          <w:szCs w:val="32"/>
          <w:highlight w:val="none"/>
          <w:lang w:eastAsia="zh-CN"/>
        </w:rPr>
        <w:t>（三）</w:t>
      </w:r>
      <w:r>
        <w:rPr>
          <w:rFonts w:ascii="Times New Roman" w:hAnsi="Times New Roman" w:eastAsia="方正仿宋_GBK" w:cs="Times New Roman"/>
          <w:strike w:val="0"/>
          <w:dstrike w:val="0"/>
          <w:color w:val="auto"/>
          <w:sz w:val="32"/>
          <w:szCs w:val="32"/>
          <w:highlight w:val="none"/>
        </w:rPr>
        <w:t>强化规划</w:t>
      </w:r>
      <w:r>
        <w:rPr>
          <w:rFonts w:hint="eastAsia" w:ascii="Times New Roman" w:hAnsi="Times New Roman" w:eastAsia="方正仿宋_GBK" w:cs="Times New Roman"/>
          <w:strike w:val="0"/>
          <w:dstrike w:val="0"/>
          <w:color w:val="auto"/>
          <w:sz w:val="32"/>
          <w:szCs w:val="32"/>
          <w:highlight w:val="none"/>
        </w:rPr>
        <w:t>审批和土地</w:t>
      </w:r>
      <w:r>
        <w:rPr>
          <w:rFonts w:ascii="Times New Roman" w:hAnsi="Times New Roman" w:eastAsia="方正仿宋_GBK" w:cs="Times New Roman"/>
          <w:strike w:val="0"/>
          <w:dstrike w:val="0"/>
          <w:color w:val="auto"/>
          <w:sz w:val="32"/>
          <w:szCs w:val="32"/>
          <w:highlight w:val="none"/>
        </w:rPr>
        <w:t>管理。</w:t>
      </w:r>
      <w:r>
        <w:rPr>
          <w:rFonts w:hint="eastAsia" w:ascii="Times New Roman" w:hAnsi="Times New Roman" w:eastAsia="方正仿宋_GBK" w:cs="Times New Roman"/>
          <w:strike w:val="0"/>
          <w:dstrike w:val="0"/>
          <w:color w:val="auto"/>
          <w:sz w:val="32"/>
          <w:szCs w:val="32"/>
          <w:highlight w:val="none"/>
        </w:rPr>
        <w:t>对应</w:t>
      </w:r>
      <w:r>
        <w:rPr>
          <w:rFonts w:ascii="Times New Roman" w:hAnsi="Times New Roman" w:eastAsia="方正仿宋_GBK" w:cs="Times New Roman"/>
          <w:strike w:val="0"/>
          <w:dstrike w:val="0"/>
          <w:color w:val="auto"/>
          <w:sz w:val="32"/>
          <w:szCs w:val="32"/>
          <w:highlight w:val="none"/>
        </w:rPr>
        <w:t>实施装配式建筑的建设项目，</w:t>
      </w:r>
      <w:r>
        <w:rPr>
          <w:rFonts w:hint="eastAsia" w:ascii="Times New Roman" w:hAnsi="Times New Roman" w:eastAsia="方正仿宋_GBK" w:cs="Times New Roman"/>
          <w:strike w:val="0"/>
          <w:dstrike w:val="0"/>
          <w:color w:val="auto"/>
          <w:sz w:val="32"/>
          <w:szCs w:val="32"/>
          <w:highlight w:val="none"/>
        </w:rPr>
        <w:t>规划部门在</w:t>
      </w:r>
      <w:r>
        <w:rPr>
          <w:rFonts w:ascii="Times New Roman" w:hAnsi="Times New Roman" w:eastAsia="方正仿宋_GBK" w:cs="Times New Roman"/>
          <w:strike w:val="0"/>
          <w:dstrike w:val="0"/>
          <w:color w:val="auto"/>
          <w:sz w:val="32"/>
          <w:szCs w:val="32"/>
          <w:highlight w:val="none"/>
        </w:rPr>
        <w:t>规划条件或选址意见书中提出装配式建筑的</w:t>
      </w:r>
      <w:r>
        <w:rPr>
          <w:rFonts w:hint="eastAsia" w:ascii="Times New Roman" w:hAnsi="Times New Roman" w:eastAsia="方正仿宋_GBK" w:cs="Times New Roman"/>
          <w:strike w:val="0"/>
          <w:dstrike w:val="0"/>
          <w:color w:val="auto"/>
          <w:sz w:val="32"/>
          <w:szCs w:val="32"/>
          <w:highlight w:val="none"/>
        </w:rPr>
        <w:t>建设比例</w:t>
      </w:r>
      <w:r>
        <w:rPr>
          <w:rFonts w:hint="eastAsia" w:ascii="Times New Roman" w:hAnsi="Times New Roman" w:eastAsia="方正仿宋_GBK" w:cs="Times New Roman"/>
          <w:strike w:val="0"/>
          <w:dstrike w:val="0"/>
          <w:color w:val="auto"/>
          <w:sz w:val="32"/>
          <w:szCs w:val="32"/>
          <w:highlight w:val="none"/>
          <w:lang w:eastAsia="zh-CN"/>
        </w:rPr>
        <w:t>，</w:t>
      </w:r>
      <w:r>
        <w:rPr>
          <w:rFonts w:hint="eastAsia" w:ascii="Times New Roman" w:hAnsi="Times New Roman" w:eastAsia="方正仿宋_GBK" w:cs="Times New Roman"/>
          <w:strike w:val="0"/>
          <w:dstrike w:val="0"/>
          <w:color w:val="auto"/>
          <w:sz w:val="32"/>
          <w:szCs w:val="32"/>
          <w:highlight w:val="none"/>
          <w:lang w:val="en-US" w:eastAsia="zh-CN"/>
        </w:rPr>
        <w:t>并</w:t>
      </w:r>
      <w:r>
        <w:rPr>
          <w:rFonts w:hint="eastAsia" w:ascii="Times New Roman" w:hAnsi="Times New Roman" w:eastAsia="方正仿宋_GBK" w:cs="Times New Roman"/>
          <w:strike w:val="0"/>
          <w:dstrike w:val="0"/>
          <w:color w:val="auto"/>
          <w:sz w:val="32"/>
          <w:szCs w:val="32"/>
          <w:highlight w:val="none"/>
        </w:rPr>
        <w:t>对规划设计方案中落实</w:t>
      </w:r>
      <w:r>
        <w:rPr>
          <w:rFonts w:ascii="Times New Roman" w:hAnsi="Times New Roman" w:eastAsia="方正仿宋_GBK" w:cs="Times New Roman"/>
          <w:strike w:val="0"/>
          <w:dstrike w:val="0"/>
          <w:color w:val="auto"/>
          <w:sz w:val="32"/>
          <w:szCs w:val="32"/>
          <w:highlight w:val="none"/>
        </w:rPr>
        <w:t>装配式建筑指标</w:t>
      </w:r>
      <w:r>
        <w:rPr>
          <w:rFonts w:hint="eastAsia" w:ascii="Times New Roman" w:hAnsi="Times New Roman" w:eastAsia="方正仿宋_GBK" w:cs="Times New Roman"/>
          <w:strike w:val="0"/>
          <w:dstrike w:val="0"/>
          <w:color w:val="auto"/>
          <w:sz w:val="32"/>
          <w:szCs w:val="32"/>
          <w:highlight w:val="none"/>
        </w:rPr>
        <w:t>进行审查</w:t>
      </w:r>
      <w:r>
        <w:rPr>
          <w:rFonts w:hint="eastAsia" w:ascii="Times New Roman" w:hAnsi="Times New Roman" w:eastAsia="方正仿宋_GBK" w:cs="Times New Roman"/>
          <w:strike w:val="0"/>
          <w:dstrike w:val="0"/>
          <w:color w:val="auto"/>
          <w:sz w:val="32"/>
          <w:szCs w:val="32"/>
          <w:highlight w:val="none"/>
          <w:lang w:eastAsia="zh-CN"/>
        </w:rPr>
        <w:t>；</w:t>
      </w:r>
      <w:r>
        <w:rPr>
          <w:rFonts w:hint="eastAsia" w:ascii="Times New Roman" w:hAnsi="Times New Roman" w:eastAsia="方正仿宋_GBK" w:cs="Times New Roman"/>
          <w:strike w:val="0"/>
          <w:dstrike w:val="0"/>
          <w:color w:val="auto"/>
          <w:sz w:val="32"/>
          <w:szCs w:val="32"/>
          <w:highlight w:val="none"/>
        </w:rPr>
        <w:t>自然资源管理部门按照规划条件或规划选址意见，依法依规确定土地供应方式，并将装配式建筑建设指标纳入土地使用合同</w:t>
      </w:r>
      <w:r>
        <w:rPr>
          <w:rFonts w:hint="eastAsia" w:ascii="Times New Roman" w:hAnsi="Times New Roman" w:eastAsia="方正仿宋_GBK" w:cs="Times New Roman"/>
          <w:strike w:val="0"/>
          <w:dstrike w:val="0"/>
          <w:color w:val="auto"/>
          <w:sz w:val="32"/>
          <w:szCs w:val="32"/>
          <w:highlight w:val="none"/>
          <w:lang w:eastAsia="zh-CN"/>
        </w:rPr>
        <w:t>。</w:t>
      </w:r>
      <w:r>
        <w:rPr>
          <w:rFonts w:ascii="Calibri" w:hAnsi="Calibri" w:eastAsia="方正仿宋_GBK" w:cs="Times New Roman"/>
          <w:strike w:val="0"/>
          <w:dstrike w:val="0"/>
          <w:snapToGrid w:val="0"/>
          <w:color w:val="auto"/>
          <w:kern w:val="0"/>
          <w:sz w:val="32"/>
          <w:szCs w:val="32"/>
          <w:highlight w:val="none"/>
        </w:rPr>
        <w:t>〔</w:t>
      </w:r>
      <w:r>
        <w:rPr>
          <w:rFonts w:hint="eastAsia" w:ascii="Times New Roman" w:hAnsi="Times New Roman" w:eastAsia="方正仿宋_GBK" w:cs="Times New Roman"/>
          <w:strike w:val="0"/>
          <w:dstrike w:val="0"/>
          <w:color w:val="auto"/>
          <w:sz w:val="32"/>
          <w:szCs w:val="32"/>
          <w:highlight w:val="none"/>
        </w:rPr>
        <w:t>责任单位：</w:t>
      </w:r>
      <w:r>
        <w:rPr>
          <w:rFonts w:ascii="Times New Roman" w:hAnsi="Times New Roman" w:eastAsia="方正仿宋_GBK" w:cs="Times New Roman"/>
          <w:strike w:val="0"/>
          <w:dstrike w:val="0"/>
          <w:color w:val="auto"/>
          <w:sz w:val="32"/>
          <w:szCs w:val="32"/>
          <w:highlight w:val="none"/>
        </w:rPr>
        <w:t>各区</w:t>
      </w:r>
      <w:r>
        <w:rPr>
          <w:rFonts w:hint="eastAsia" w:ascii="Times New Roman" w:hAnsi="Times New Roman" w:eastAsia="方正仿宋_GBK" w:cs="Times New Roman"/>
          <w:strike w:val="0"/>
          <w:dstrike w:val="0"/>
          <w:color w:val="auto"/>
          <w:sz w:val="32"/>
          <w:szCs w:val="32"/>
          <w:highlight w:val="none"/>
        </w:rPr>
        <w:t>（</w:t>
      </w:r>
      <w:r>
        <w:rPr>
          <w:rFonts w:ascii="Times New Roman" w:hAnsi="Times New Roman" w:eastAsia="方正仿宋_GBK" w:cs="Times New Roman"/>
          <w:strike w:val="0"/>
          <w:dstrike w:val="0"/>
          <w:color w:val="auto"/>
          <w:sz w:val="32"/>
          <w:szCs w:val="32"/>
          <w:highlight w:val="none"/>
        </w:rPr>
        <w:t>县</w:t>
      </w:r>
      <w:r>
        <w:rPr>
          <w:rFonts w:hint="eastAsia" w:ascii="Times New Roman" w:hAnsi="Times New Roman" w:eastAsia="方正仿宋_GBK" w:cs="Times New Roman"/>
          <w:strike w:val="0"/>
          <w:dstrike w:val="0"/>
          <w:color w:val="auto"/>
          <w:sz w:val="32"/>
          <w:szCs w:val="32"/>
          <w:highlight w:val="none"/>
        </w:rPr>
        <w:t>）人民</w:t>
      </w:r>
      <w:r>
        <w:rPr>
          <w:rFonts w:ascii="Times New Roman" w:hAnsi="Times New Roman" w:eastAsia="方正仿宋_GBK" w:cs="Times New Roman"/>
          <w:strike w:val="0"/>
          <w:dstrike w:val="0"/>
          <w:color w:val="auto"/>
          <w:sz w:val="32"/>
          <w:szCs w:val="32"/>
          <w:highlight w:val="none"/>
        </w:rPr>
        <w:t>政府</w:t>
      </w:r>
      <w:r>
        <w:rPr>
          <w:rFonts w:hint="eastAsia" w:ascii="Times New Roman" w:hAnsi="Times New Roman" w:eastAsia="方正仿宋_GBK" w:cs="Times New Roman"/>
          <w:strike w:val="0"/>
          <w:dstrike w:val="0"/>
          <w:color w:val="auto"/>
          <w:sz w:val="32"/>
          <w:szCs w:val="32"/>
          <w:highlight w:val="none"/>
        </w:rPr>
        <w:t>、市自然资源局</w:t>
      </w:r>
      <w:r>
        <w:rPr>
          <w:rFonts w:hint="eastAsia" w:ascii="Times New Roman" w:hAnsi="Times New Roman" w:eastAsia="方正仿宋_GBK" w:cs="Times New Roman"/>
          <w:i w:val="0"/>
          <w:iCs w:val="0"/>
          <w:strike/>
          <w:dstrike w:val="0"/>
          <w:color w:val="auto"/>
          <w:sz w:val="32"/>
          <w:szCs w:val="32"/>
          <w:highlight w:val="none"/>
        </w:rPr>
        <w:t>、</w:t>
      </w:r>
      <w:r>
        <w:rPr>
          <w:rFonts w:ascii="Times New Roman" w:hAnsi="Times New Roman" w:eastAsia="方正仿宋_GBK" w:cs="Times New Roman"/>
          <w:i w:val="0"/>
          <w:iCs w:val="0"/>
          <w:strike/>
          <w:dstrike w:val="0"/>
          <w:color w:val="auto"/>
          <w:sz w:val="32"/>
          <w:szCs w:val="32"/>
          <w:highlight w:val="none"/>
        </w:rPr>
        <w:t>市</w:t>
      </w:r>
      <w:r>
        <w:rPr>
          <w:rFonts w:hint="eastAsia" w:ascii="Times New Roman" w:hAnsi="Times New Roman" w:eastAsia="方正仿宋_GBK" w:cs="Times New Roman"/>
          <w:i w:val="0"/>
          <w:iCs w:val="0"/>
          <w:strike/>
          <w:dstrike w:val="0"/>
          <w:color w:val="auto"/>
          <w:sz w:val="32"/>
          <w:szCs w:val="32"/>
          <w:highlight w:val="none"/>
        </w:rPr>
        <w:t>城乡</w:t>
      </w:r>
      <w:r>
        <w:rPr>
          <w:rFonts w:ascii="Times New Roman" w:hAnsi="Times New Roman" w:eastAsia="方正仿宋_GBK" w:cs="Times New Roman"/>
          <w:i w:val="0"/>
          <w:iCs w:val="0"/>
          <w:strike/>
          <w:dstrike w:val="0"/>
          <w:color w:val="auto"/>
          <w:sz w:val="32"/>
          <w:szCs w:val="32"/>
          <w:highlight w:val="none"/>
        </w:rPr>
        <w:t>规划</w:t>
      </w:r>
      <w:r>
        <w:rPr>
          <w:rFonts w:hint="eastAsia" w:ascii="Times New Roman" w:hAnsi="Times New Roman" w:eastAsia="方正仿宋_GBK" w:cs="Times New Roman"/>
          <w:i w:val="0"/>
          <w:iCs w:val="0"/>
          <w:strike/>
          <w:dstrike w:val="0"/>
          <w:color w:val="auto"/>
          <w:sz w:val="32"/>
          <w:szCs w:val="32"/>
          <w:highlight w:val="none"/>
        </w:rPr>
        <w:t>管理</w:t>
      </w:r>
      <w:r>
        <w:rPr>
          <w:rFonts w:ascii="Times New Roman" w:hAnsi="Times New Roman" w:eastAsia="方正仿宋_GBK" w:cs="Times New Roman"/>
          <w:i w:val="0"/>
          <w:iCs w:val="0"/>
          <w:strike/>
          <w:dstrike w:val="0"/>
          <w:color w:val="auto"/>
          <w:sz w:val="32"/>
          <w:szCs w:val="32"/>
          <w:highlight w:val="none"/>
        </w:rPr>
        <w:t>局</w:t>
      </w:r>
      <w:r>
        <w:rPr>
          <w:rFonts w:ascii="Calibri" w:hAnsi="Calibri" w:eastAsia="方正仿宋_GBK" w:cs="Times New Roman"/>
          <w:strike w:val="0"/>
          <w:dstrike w:val="0"/>
          <w:snapToGrid w:val="0"/>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strike w:val="0"/>
          <w:dstrike w:val="0"/>
          <w:color w:val="auto"/>
          <w:sz w:val="32"/>
          <w:szCs w:val="32"/>
          <w:highlight w:val="none"/>
        </w:rPr>
      </w:pPr>
      <w:r>
        <w:rPr>
          <w:rFonts w:hint="eastAsia" w:ascii="Times New Roman" w:hAnsi="Times New Roman" w:eastAsia="方正仿宋_GBK" w:cs="Times New Roman"/>
          <w:strike w:val="0"/>
          <w:dstrike w:val="0"/>
          <w:color w:val="auto"/>
          <w:sz w:val="32"/>
          <w:szCs w:val="32"/>
          <w:highlight w:val="none"/>
          <w:lang w:eastAsia="zh-CN"/>
        </w:rPr>
        <w:t>（四）</w:t>
      </w:r>
      <w:r>
        <w:rPr>
          <w:rFonts w:hint="eastAsia" w:ascii="Times New Roman" w:hAnsi="Times New Roman" w:eastAsia="方正仿宋_GBK" w:cs="Times New Roman"/>
          <w:strike w:val="0"/>
          <w:dstrike w:val="0"/>
          <w:color w:val="auto"/>
          <w:sz w:val="32"/>
          <w:szCs w:val="32"/>
          <w:highlight w:val="none"/>
        </w:rPr>
        <w:t>加快项目审批手续办理。对应实施装配式建筑的建设项目，纳入工程建设项目并联审批范围，采取“一表式”“一单式”和一次性告知办理机制，做好施工许可、招投标等政务服务工作。〔责任单位：各区（县）人民政府、</w:t>
      </w:r>
      <w:r>
        <w:rPr>
          <w:rFonts w:hint="eastAsia" w:ascii="Times New Roman" w:hAnsi="Times New Roman" w:eastAsia="方正仿宋_GBK" w:cs="Times New Roman"/>
          <w:strike/>
          <w:dstrike w:val="0"/>
          <w:color w:val="auto"/>
          <w:sz w:val="32"/>
          <w:szCs w:val="32"/>
          <w:highlight w:val="none"/>
        </w:rPr>
        <w:t>市政务服务管理局</w:t>
      </w:r>
      <w:r>
        <w:rPr>
          <w:rFonts w:hint="eastAsia" w:ascii="Times New Roman" w:hAnsi="Times New Roman" w:eastAsia="方正仿宋_GBK" w:cs="Times New Roman"/>
          <w:strike w:val="0"/>
          <w:dstrike w:val="0"/>
          <w:color w:val="auto"/>
          <w:sz w:val="32"/>
          <w:szCs w:val="32"/>
          <w:highlight w:val="none"/>
          <w:lang w:eastAsia="zh-CN"/>
        </w:rPr>
        <w:t>（改为市数发局）</w:t>
      </w:r>
      <w:r>
        <w:rPr>
          <w:rFonts w:hint="eastAsia" w:ascii="Times New Roman" w:hAnsi="Times New Roman" w:eastAsia="方正仿宋_GBK" w:cs="Times New Roman"/>
          <w:strike w:val="0"/>
          <w:dstrike w:val="0"/>
          <w:color w:val="auto"/>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Calibri" w:hAnsi="Calibri" w:eastAsia="方正仿宋_GBK" w:cs="Times New Roman"/>
          <w:snapToGrid w:val="0"/>
          <w:color w:val="auto"/>
          <w:kern w:val="0"/>
          <w:sz w:val="32"/>
          <w:szCs w:val="32"/>
          <w:highlight w:val="none"/>
        </w:rPr>
      </w:pPr>
      <w:r>
        <w:rPr>
          <w:rFonts w:hint="eastAsia" w:ascii="Times New Roman" w:hAnsi="Times New Roman" w:eastAsia="方正仿宋_GBK" w:cs="Times New Roman"/>
          <w:strike w:val="0"/>
          <w:dstrike w:val="0"/>
          <w:color w:val="auto"/>
          <w:sz w:val="32"/>
          <w:szCs w:val="32"/>
          <w:highlight w:val="none"/>
          <w:lang w:val="en-US" w:eastAsia="zh-CN"/>
        </w:rPr>
        <w:t>（五）</w:t>
      </w:r>
      <w:r>
        <w:rPr>
          <w:rFonts w:ascii="Times New Roman" w:hAnsi="Times New Roman" w:eastAsia="方正仿宋_GBK" w:cs="Times New Roman"/>
          <w:color w:val="auto"/>
          <w:sz w:val="32"/>
          <w:szCs w:val="32"/>
          <w:highlight w:val="none"/>
        </w:rPr>
        <w:t>加强工程建设管理。建设</w:t>
      </w:r>
      <w:r>
        <w:rPr>
          <w:rFonts w:hint="eastAsia" w:ascii="Times New Roman" w:hAnsi="Times New Roman" w:eastAsia="方正仿宋_GBK" w:cs="Times New Roman"/>
          <w:color w:val="auto"/>
          <w:sz w:val="32"/>
          <w:szCs w:val="32"/>
          <w:highlight w:val="none"/>
        </w:rPr>
        <w:t>行政主管</w:t>
      </w:r>
      <w:r>
        <w:rPr>
          <w:rFonts w:ascii="Times New Roman" w:hAnsi="Times New Roman" w:eastAsia="方正仿宋_GBK" w:cs="Times New Roman"/>
          <w:color w:val="auto"/>
          <w:sz w:val="32"/>
          <w:szCs w:val="32"/>
          <w:highlight w:val="none"/>
        </w:rPr>
        <w:t>部门</w:t>
      </w:r>
      <w:r>
        <w:rPr>
          <w:rFonts w:hint="eastAsia" w:ascii="Times New Roman" w:hAnsi="Times New Roman" w:eastAsia="方正仿宋_GBK" w:cs="Times New Roman"/>
          <w:color w:val="auto"/>
          <w:sz w:val="32"/>
          <w:szCs w:val="32"/>
          <w:highlight w:val="none"/>
        </w:rPr>
        <w:t>要按照</w:t>
      </w:r>
      <w:r>
        <w:rPr>
          <w:rFonts w:hint="eastAsia" w:ascii="Times New Roman" w:hAnsi="Times New Roman" w:eastAsia="方正仿宋_GBK" w:cs="Times New Roman"/>
          <w:strike/>
          <w:dstrike w:val="0"/>
          <w:color w:val="auto"/>
          <w:sz w:val="32"/>
          <w:szCs w:val="32"/>
          <w:highlight w:val="none"/>
        </w:rPr>
        <w:t>《新疆维吾尔自治区装配式混凝土建筑工程质量监管要点》（新建质</w:t>
      </w:r>
      <w:r>
        <w:rPr>
          <w:rFonts w:hint="eastAsia" w:ascii="方正仿宋_GBK" w:hAnsi="方正仿宋_GBK" w:eastAsia="方正仿宋_GBK" w:cs="方正仿宋_GBK"/>
          <w:strike/>
          <w:dstrike w:val="0"/>
          <w:color w:val="auto"/>
          <w:sz w:val="32"/>
          <w:szCs w:val="32"/>
          <w:highlight w:val="none"/>
        </w:rPr>
        <w:t>﹝</w:t>
      </w:r>
      <w:r>
        <w:rPr>
          <w:rFonts w:ascii="Times New Roman" w:hAnsi="Times New Roman" w:eastAsia="方正仿宋_GBK" w:cs="Times New Roman"/>
          <w:strike/>
          <w:dstrike w:val="0"/>
          <w:color w:val="auto"/>
          <w:sz w:val="32"/>
          <w:szCs w:val="32"/>
          <w:highlight w:val="none"/>
        </w:rPr>
        <w:t>201</w:t>
      </w:r>
      <w:r>
        <w:rPr>
          <w:rFonts w:hint="eastAsia" w:ascii="Times New Roman" w:hAnsi="Times New Roman" w:eastAsia="方正仿宋_GBK" w:cs="Times New Roman"/>
          <w:strike/>
          <w:dstrike w:val="0"/>
          <w:color w:val="auto"/>
          <w:sz w:val="32"/>
          <w:szCs w:val="32"/>
          <w:highlight w:val="none"/>
        </w:rPr>
        <w:t>7</w:t>
      </w:r>
      <w:r>
        <w:rPr>
          <w:rFonts w:hint="eastAsia" w:ascii="方正仿宋_GBK" w:hAnsi="方正仿宋_GBK" w:eastAsia="方正仿宋_GBK" w:cs="方正仿宋_GBK"/>
          <w:strike/>
          <w:dstrike w:val="0"/>
          <w:color w:val="auto"/>
          <w:sz w:val="32"/>
          <w:szCs w:val="32"/>
          <w:highlight w:val="none"/>
        </w:rPr>
        <w:t>﹞</w:t>
      </w:r>
      <w:r>
        <w:rPr>
          <w:rFonts w:hint="eastAsia" w:ascii="Times New Roman" w:hAnsi="Times New Roman" w:eastAsia="方正仿宋_GBK" w:cs="Times New Roman"/>
          <w:strike/>
          <w:dstrike w:val="0"/>
          <w:color w:val="auto"/>
          <w:sz w:val="32"/>
          <w:szCs w:val="32"/>
          <w:highlight w:val="none"/>
        </w:rPr>
        <w:t>8号）和</w:t>
      </w:r>
      <w:r>
        <w:rPr>
          <w:rFonts w:hint="eastAsia" w:ascii="Times New Roman" w:hAnsi="Times New Roman" w:eastAsia="方正仿宋_GBK" w:cs="Times New Roman"/>
          <w:color w:val="auto"/>
          <w:sz w:val="32"/>
          <w:szCs w:val="32"/>
          <w:highlight w:val="none"/>
        </w:rPr>
        <w:t>相关</w:t>
      </w:r>
      <w:r>
        <w:rPr>
          <w:rFonts w:hint="eastAsia" w:ascii="Times New Roman" w:hAnsi="Times New Roman" w:eastAsia="方正仿宋_GBK" w:cs="Times New Roman"/>
          <w:strike/>
          <w:dstrike w:val="0"/>
          <w:color w:val="auto"/>
          <w:sz w:val="32"/>
          <w:szCs w:val="32"/>
          <w:highlight w:val="none"/>
        </w:rPr>
        <w:t>标准规范</w:t>
      </w:r>
      <w:r>
        <w:rPr>
          <w:rFonts w:hint="eastAsia" w:ascii="Times New Roman" w:hAnsi="Times New Roman" w:eastAsia="方正仿宋_GBK" w:cs="Times New Roman"/>
          <w:color w:val="auto"/>
          <w:sz w:val="32"/>
          <w:szCs w:val="32"/>
          <w:highlight w:val="none"/>
        </w:rPr>
        <w:t>要求做好</w:t>
      </w:r>
      <w:r>
        <w:rPr>
          <w:rFonts w:ascii="Times New Roman" w:hAnsi="Times New Roman" w:eastAsia="方正仿宋_GBK" w:cs="Times New Roman"/>
          <w:color w:val="auto"/>
          <w:sz w:val="32"/>
          <w:szCs w:val="32"/>
          <w:highlight w:val="none"/>
        </w:rPr>
        <w:t>工程设计、审图、施工、</w:t>
      </w:r>
      <w:r>
        <w:rPr>
          <w:rFonts w:hint="eastAsia" w:ascii="Times New Roman" w:hAnsi="Times New Roman" w:eastAsia="方正仿宋_GBK" w:cs="Times New Roman"/>
          <w:color w:val="auto"/>
          <w:sz w:val="32"/>
          <w:szCs w:val="32"/>
          <w:highlight w:val="none"/>
        </w:rPr>
        <w:t>监理、</w:t>
      </w:r>
      <w:r>
        <w:rPr>
          <w:rFonts w:ascii="Times New Roman" w:hAnsi="Times New Roman" w:eastAsia="方正仿宋_GBK" w:cs="Times New Roman"/>
          <w:color w:val="auto"/>
          <w:sz w:val="32"/>
          <w:szCs w:val="32"/>
          <w:highlight w:val="none"/>
        </w:rPr>
        <w:t>验收等环节</w:t>
      </w:r>
      <w:r>
        <w:rPr>
          <w:rFonts w:hint="eastAsia" w:ascii="Times New Roman" w:hAnsi="Times New Roman" w:eastAsia="方正仿宋_GBK" w:cs="Times New Roman"/>
          <w:color w:val="auto"/>
          <w:sz w:val="32"/>
          <w:szCs w:val="32"/>
          <w:highlight w:val="none"/>
        </w:rPr>
        <w:t>的监管工作，</w:t>
      </w:r>
      <w:r>
        <w:rPr>
          <w:rFonts w:hint="eastAsia" w:ascii="Times New Roman" w:hAnsi="Times New Roman" w:eastAsia="方正仿宋_GBK" w:cs="Times New Roman"/>
          <w:strike w:val="0"/>
          <w:dstrike w:val="0"/>
          <w:color w:val="auto"/>
          <w:sz w:val="32"/>
          <w:szCs w:val="32"/>
          <w:highlight w:val="none"/>
        </w:rPr>
        <w:t>不断完善标准体系建设，</w:t>
      </w:r>
      <w:r>
        <w:rPr>
          <w:rFonts w:hint="eastAsia" w:ascii="Times New Roman" w:hAnsi="Times New Roman" w:eastAsia="方正仿宋_GBK" w:cs="Times New Roman"/>
          <w:color w:val="auto"/>
          <w:sz w:val="32"/>
          <w:szCs w:val="32"/>
          <w:highlight w:val="none"/>
        </w:rPr>
        <w:t>提升装配式建筑工程质量</w:t>
      </w:r>
      <w:r>
        <w:rPr>
          <w:rFonts w:ascii="Times New Roman" w:hAnsi="Times New Roman" w:eastAsia="方正仿宋_GBK" w:cs="Times New Roman"/>
          <w:color w:val="auto"/>
          <w:sz w:val="32"/>
          <w:szCs w:val="32"/>
          <w:highlight w:val="none"/>
        </w:rPr>
        <w:t>。</w:t>
      </w:r>
      <w:r>
        <w:rPr>
          <w:rFonts w:ascii="Calibri" w:hAnsi="Calibri" w:eastAsia="方正仿宋_GBK" w:cs="Times New Roman"/>
          <w:snapToGrid w:val="0"/>
          <w:color w:val="auto"/>
          <w:kern w:val="0"/>
          <w:sz w:val="32"/>
          <w:szCs w:val="32"/>
          <w:highlight w:val="none"/>
        </w:rPr>
        <w:t>〔</w:t>
      </w:r>
      <w:r>
        <w:rPr>
          <w:rFonts w:hint="eastAsia" w:ascii="Times New Roman" w:hAnsi="Times New Roman" w:eastAsia="方正仿宋_GBK" w:cs="Times New Roman"/>
          <w:color w:val="auto"/>
          <w:sz w:val="32"/>
          <w:szCs w:val="32"/>
          <w:highlight w:val="none"/>
        </w:rPr>
        <w:t>责任单位：</w:t>
      </w:r>
      <w:r>
        <w:rPr>
          <w:rFonts w:ascii="Times New Roman" w:hAnsi="Times New Roman" w:eastAsia="方正仿宋_GBK" w:cs="Times New Roman"/>
          <w:color w:val="auto"/>
          <w:sz w:val="32"/>
          <w:szCs w:val="32"/>
          <w:highlight w:val="none"/>
        </w:rPr>
        <w:t>各区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县</w:t>
      </w:r>
      <w:r>
        <w:rPr>
          <w:rFonts w:hint="eastAsia" w:ascii="Times New Roman" w:hAnsi="Times New Roman" w:eastAsia="方正仿宋_GBK" w:cs="Times New Roman"/>
          <w:color w:val="auto"/>
          <w:sz w:val="32"/>
          <w:szCs w:val="32"/>
          <w:highlight w:val="none"/>
        </w:rPr>
        <w:t>）人民</w:t>
      </w:r>
      <w:r>
        <w:rPr>
          <w:rFonts w:ascii="Times New Roman" w:hAnsi="Times New Roman" w:eastAsia="方正仿宋_GBK" w:cs="Times New Roman"/>
          <w:color w:val="auto"/>
          <w:sz w:val="32"/>
          <w:szCs w:val="32"/>
          <w:highlight w:val="none"/>
        </w:rPr>
        <w:t>政府</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市住建局</w:t>
      </w:r>
      <w:r>
        <w:rPr>
          <w:rFonts w:ascii="Calibri" w:hAnsi="Calibri" w:eastAsia="方正仿宋_GBK" w:cs="Times New Roman"/>
          <w:snapToGrid w:val="0"/>
          <w:color w:val="auto"/>
          <w:kern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rPr>
          <w:rFonts w:hint="default"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表述过于细致，建议删除</w:t>
      </w:r>
      <w:r>
        <w:rPr>
          <w:rFonts w:hint="default" w:ascii="Times New Roman" w:hAnsi="Times New Roman" w:eastAsia="方正仿宋_GBK" w:cs="Times New Roman"/>
          <w:b/>
          <w:bCs/>
          <w:color w:val="auto"/>
          <w:sz w:val="32"/>
          <w:szCs w:val="32"/>
          <w:highlight w:val="none"/>
          <w:lang w:val="en-US" w:eastAsia="zh-CN"/>
        </w:rPr>
        <w:t>《新疆维吾尔自治区装配式混凝土建筑工程质量监管要点》（新建质﹝2017﹞8号）具体标准文件。</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Calibri" w:hAnsi="Calibri" w:eastAsia="方正仿宋_GBK" w:cs="Times New Roman"/>
          <w:snapToGrid w:val="0"/>
          <w:color w:val="auto"/>
          <w:kern w:val="0"/>
          <w:sz w:val="32"/>
          <w:szCs w:val="32"/>
          <w:highlight w:val="none"/>
        </w:rPr>
      </w:pPr>
      <w:r>
        <w:rPr>
          <w:rFonts w:hint="eastAsia" w:ascii="Times New Roman" w:hAnsi="Times New Roman" w:eastAsia="方正仿宋_GBK" w:cs="Times New Roman"/>
          <w:color w:val="auto"/>
          <w:sz w:val="32"/>
          <w:szCs w:val="32"/>
          <w:highlight w:val="none"/>
          <w:lang w:eastAsia="zh-CN"/>
        </w:rPr>
        <w:t>（六）</w:t>
      </w:r>
      <w:r>
        <w:rPr>
          <w:rFonts w:ascii="Times New Roman" w:hAnsi="Times New Roman" w:eastAsia="方正仿宋_GBK" w:cs="Times New Roman"/>
          <w:color w:val="auto"/>
          <w:sz w:val="32"/>
          <w:szCs w:val="32"/>
          <w:highlight w:val="none"/>
        </w:rPr>
        <w:t>加强预制部品部件的监管。市场监督管理部门依据相关法律法规和国家标准、行业标准对</w:t>
      </w:r>
      <w:r>
        <w:rPr>
          <w:rFonts w:hint="eastAsia" w:ascii="Times New Roman" w:hAnsi="Times New Roman" w:eastAsia="方正仿宋_GBK" w:cs="Times New Roman"/>
          <w:color w:val="auto"/>
          <w:sz w:val="32"/>
          <w:szCs w:val="32"/>
          <w:highlight w:val="none"/>
        </w:rPr>
        <w:t>我市</w:t>
      </w:r>
      <w:r>
        <w:rPr>
          <w:rFonts w:ascii="Times New Roman" w:hAnsi="Times New Roman" w:eastAsia="方正仿宋_GBK" w:cs="Times New Roman"/>
          <w:color w:val="auto"/>
          <w:sz w:val="32"/>
          <w:szCs w:val="32"/>
          <w:highlight w:val="none"/>
        </w:rPr>
        <w:t>建筑材料、建筑预制部品部件生产企业开展产品质量监督</w:t>
      </w:r>
      <w:r>
        <w:rPr>
          <w:rFonts w:hint="eastAsia" w:ascii="Times New Roman" w:hAnsi="Times New Roman" w:eastAsia="方正仿宋_GBK" w:cs="Times New Roman"/>
          <w:color w:val="auto"/>
          <w:sz w:val="32"/>
          <w:szCs w:val="32"/>
          <w:highlight w:val="none"/>
        </w:rPr>
        <w:t>检查，确保预制建材产品质量安全可靠</w:t>
      </w:r>
      <w:r>
        <w:rPr>
          <w:rFonts w:ascii="Times New Roman" w:hAnsi="Times New Roman" w:eastAsia="方正仿宋_GBK" w:cs="Times New Roman"/>
          <w:color w:val="auto"/>
          <w:sz w:val="32"/>
          <w:szCs w:val="32"/>
          <w:highlight w:val="none"/>
        </w:rPr>
        <w:t>。</w:t>
      </w:r>
      <w:r>
        <w:rPr>
          <w:rFonts w:ascii="Calibri" w:hAnsi="Calibri" w:eastAsia="方正仿宋_GBK" w:cs="Times New Roman"/>
          <w:snapToGrid w:val="0"/>
          <w:color w:val="auto"/>
          <w:kern w:val="0"/>
          <w:sz w:val="32"/>
          <w:szCs w:val="32"/>
          <w:highlight w:val="none"/>
        </w:rPr>
        <w:t>〔</w:t>
      </w:r>
      <w:r>
        <w:rPr>
          <w:rFonts w:hint="eastAsia" w:ascii="Times New Roman" w:hAnsi="Times New Roman" w:eastAsia="方正仿宋_GBK" w:cs="Times New Roman"/>
          <w:color w:val="auto"/>
          <w:sz w:val="32"/>
          <w:szCs w:val="32"/>
          <w:highlight w:val="none"/>
        </w:rPr>
        <w:t>责任单位：</w:t>
      </w:r>
      <w:r>
        <w:rPr>
          <w:rFonts w:ascii="Times New Roman" w:hAnsi="Times New Roman" w:eastAsia="方正仿宋_GBK" w:cs="Times New Roman"/>
          <w:color w:val="auto"/>
          <w:sz w:val="32"/>
          <w:szCs w:val="32"/>
          <w:highlight w:val="none"/>
        </w:rPr>
        <w:t>各区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县</w:t>
      </w:r>
      <w:r>
        <w:rPr>
          <w:rFonts w:hint="eastAsia" w:ascii="Times New Roman" w:hAnsi="Times New Roman" w:eastAsia="方正仿宋_GBK" w:cs="Times New Roman"/>
          <w:color w:val="auto"/>
          <w:sz w:val="32"/>
          <w:szCs w:val="32"/>
          <w:highlight w:val="none"/>
        </w:rPr>
        <w:t>）人民</w:t>
      </w:r>
      <w:r>
        <w:rPr>
          <w:rFonts w:ascii="Times New Roman" w:hAnsi="Times New Roman" w:eastAsia="方正仿宋_GBK" w:cs="Times New Roman"/>
          <w:color w:val="auto"/>
          <w:sz w:val="32"/>
          <w:szCs w:val="32"/>
          <w:highlight w:val="none"/>
        </w:rPr>
        <w:t>政府</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市市场监督管理局</w:t>
      </w:r>
      <w:r>
        <w:rPr>
          <w:rFonts w:ascii="Calibri" w:hAnsi="Calibri" w:eastAsia="方正仿宋_GBK" w:cs="Times New Roman"/>
          <w:snapToGrid w:val="0"/>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Calibri" w:hAnsi="Calibri" w:eastAsia="方正仿宋_GBK" w:cs="Times New Roman"/>
          <w:snapToGrid w:val="0"/>
          <w:color w:val="auto"/>
          <w:kern w:val="0"/>
          <w:sz w:val="32"/>
          <w:szCs w:val="32"/>
          <w:highlight w:val="none"/>
        </w:rPr>
      </w:pPr>
      <w:r>
        <w:rPr>
          <w:rFonts w:hint="eastAsia" w:ascii="Times New Roman" w:hAnsi="Times New Roman" w:eastAsia="方正仿宋_GBK" w:cs="Times New Roman"/>
          <w:color w:val="auto"/>
          <w:sz w:val="32"/>
          <w:szCs w:val="32"/>
          <w:highlight w:val="none"/>
        </w:rPr>
        <w:t>（七）</w:t>
      </w:r>
      <w:r>
        <w:rPr>
          <w:rFonts w:ascii="Times New Roman" w:hAnsi="Times New Roman" w:eastAsia="方正仿宋_GBK" w:cs="Times New Roman"/>
          <w:color w:val="auto"/>
          <w:sz w:val="32"/>
          <w:szCs w:val="32"/>
          <w:highlight w:val="none"/>
        </w:rPr>
        <w:t>加快</w:t>
      </w:r>
      <w:r>
        <w:rPr>
          <w:rFonts w:ascii="Times New Roman" w:hAnsi="Times New Roman" w:eastAsia="方正仿宋_GBK" w:cs="Times New Roman"/>
          <w:strike/>
          <w:dstrike w:val="0"/>
          <w:color w:val="auto"/>
          <w:sz w:val="32"/>
          <w:szCs w:val="32"/>
          <w:highlight w:val="none"/>
          <w:u w:val="none"/>
        </w:rPr>
        <w:t>建材</w:t>
      </w:r>
      <w:r>
        <w:rPr>
          <w:rFonts w:hint="eastAsia" w:ascii="Times New Roman" w:hAnsi="Times New Roman" w:eastAsia="方正仿宋_GBK" w:cs="Times New Roman"/>
          <w:color w:val="auto"/>
          <w:sz w:val="32"/>
          <w:szCs w:val="32"/>
          <w:highlight w:val="none"/>
          <w:lang w:eastAsia="zh-CN"/>
        </w:rPr>
        <w:t>（改为装配式构件）</w:t>
      </w:r>
      <w:r>
        <w:rPr>
          <w:rFonts w:ascii="Times New Roman" w:hAnsi="Times New Roman" w:eastAsia="方正仿宋_GBK" w:cs="Times New Roman"/>
          <w:color w:val="auto"/>
          <w:sz w:val="32"/>
          <w:szCs w:val="32"/>
          <w:highlight w:val="none"/>
        </w:rPr>
        <w:t>产业布局。依托行业龙头企业，合理布局混凝土预制构件</w:t>
      </w:r>
      <w:r>
        <w:rPr>
          <w:rFonts w:ascii="Times New Roman" w:hAnsi="Times New Roman" w:eastAsia="方正仿宋_GBK" w:cs="Times New Roman"/>
          <w:strike w:val="0"/>
          <w:dstrike w:val="0"/>
          <w:color w:val="auto"/>
          <w:sz w:val="32"/>
          <w:szCs w:val="32"/>
          <w:highlight w:val="none"/>
        </w:rPr>
        <w:t>生产能力，打造钢结构建筑研发、生产示范基地，</w:t>
      </w:r>
      <w:r>
        <w:rPr>
          <w:rFonts w:hint="eastAsia" w:ascii="Times New Roman" w:hAnsi="Times New Roman" w:eastAsia="方正仿宋_GBK" w:cs="Times New Roman"/>
          <w:strike w:val="0"/>
          <w:dstrike w:val="0"/>
          <w:color w:val="auto"/>
          <w:sz w:val="32"/>
          <w:szCs w:val="32"/>
          <w:highlight w:val="none"/>
          <w:lang w:eastAsia="zh-CN"/>
        </w:rPr>
        <w:t>规划</w:t>
      </w:r>
      <w:r>
        <w:rPr>
          <w:rFonts w:ascii="Times New Roman" w:hAnsi="Times New Roman" w:eastAsia="方正仿宋_GBK" w:cs="Times New Roman"/>
          <w:strike w:val="0"/>
          <w:dstrike w:val="0"/>
          <w:color w:val="auto"/>
          <w:sz w:val="32"/>
          <w:szCs w:val="32"/>
          <w:highlight w:val="none"/>
        </w:rPr>
        <w:t>整合钢构件</w:t>
      </w:r>
      <w:r>
        <w:rPr>
          <w:rFonts w:ascii="Times New Roman" w:hAnsi="Times New Roman" w:eastAsia="方正仿宋_GBK" w:cs="Times New Roman"/>
          <w:color w:val="auto"/>
          <w:sz w:val="32"/>
          <w:szCs w:val="32"/>
          <w:highlight w:val="none"/>
        </w:rPr>
        <w:t>、内外墙板、楼板、一体化装修材料等上下游部品部件生产。</w:t>
      </w:r>
      <w:r>
        <w:rPr>
          <w:rFonts w:ascii="Calibri" w:hAnsi="Calibri" w:eastAsia="方正仿宋_GBK" w:cs="Times New Roman"/>
          <w:snapToGrid w:val="0"/>
          <w:color w:val="auto"/>
          <w:kern w:val="0"/>
          <w:sz w:val="32"/>
          <w:szCs w:val="32"/>
          <w:highlight w:val="none"/>
        </w:rPr>
        <w:t>〔</w:t>
      </w:r>
      <w:r>
        <w:rPr>
          <w:rFonts w:hint="eastAsia" w:ascii="Times New Roman" w:hAnsi="Times New Roman" w:eastAsia="方正仿宋_GBK" w:cs="Times New Roman"/>
          <w:color w:val="auto"/>
          <w:sz w:val="32"/>
          <w:szCs w:val="32"/>
          <w:highlight w:val="none"/>
        </w:rPr>
        <w:t>责任单位：</w:t>
      </w:r>
      <w:r>
        <w:rPr>
          <w:rFonts w:ascii="Times New Roman" w:hAnsi="Times New Roman" w:eastAsia="方正仿宋_GBK" w:cs="Times New Roman"/>
          <w:color w:val="auto"/>
          <w:sz w:val="32"/>
          <w:szCs w:val="32"/>
          <w:highlight w:val="none"/>
        </w:rPr>
        <w:t>各区</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县</w:t>
      </w:r>
      <w:r>
        <w:rPr>
          <w:rFonts w:hint="eastAsia" w:ascii="Times New Roman" w:hAnsi="Times New Roman" w:eastAsia="方正仿宋_GBK" w:cs="Times New Roman"/>
          <w:color w:val="auto"/>
          <w:sz w:val="32"/>
          <w:szCs w:val="32"/>
          <w:highlight w:val="none"/>
        </w:rPr>
        <w:t>）人民政府、</w:t>
      </w:r>
      <w:r>
        <w:rPr>
          <w:rFonts w:ascii="Times New Roman" w:hAnsi="Times New Roman" w:eastAsia="方正仿宋_GBK" w:cs="Times New Roman"/>
          <w:color w:val="auto"/>
          <w:sz w:val="32"/>
          <w:szCs w:val="32"/>
          <w:highlight w:val="none"/>
        </w:rPr>
        <w:t>市</w:t>
      </w:r>
      <w:r>
        <w:rPr>
          <w:rFonts w:hint="eastAsia" w:ascii="Times New Roman" w:hAnsi="Times New Roman" w:eastAsia="方正仿宋_GBK" w:cs="Times New Roman"/>
          <w:color w:val="auto"/>
          <w:sz w:val="32"/>
          <w:szCs w:val="32"/>
          <w:highlight w:val="none"/>
        </w:rPr>
        <w:t>工业和信息化</w:t>
      </w:r>
      <w:r>
        <w:rPr>
          <w:rFonts w:ascii="Times New Roman" w:hAnsi="Times New Roman" w:eastAsia="方正仿宋_GBK" w:cs="Times New Roman"/>
          <w:color w:val="auto"/>
          <w:sz w:val="32"/>
          <w:szCs w:val="32"/>
          <w:highlight w:val="none"/>
        </w:rPr>
        <w:t>局、</w:t>
      </w:r>
      <w:r>
        <w:rPr>
          <w:rFonts w:hint="eastAsia" w:ascii="Times New Roman" w:hAnsi="Times New Roman" w:eastAsia="方正仿宋_GBK" w:cs="Times New Roman"/>
          <w:color w:val="auto"/>
          <w:sz w:val="32"/>
          <w:szCs w:val="32"/>
          <w:highlight w:val="none"/>
          <w:lang w:eastAsia="zh-CN"/>
        </w:rPr>
        <w:t>市住建局</w:t>
      </w:r>
      <w:r>
        <w:rPr>
          <w:rFonts w:ascii="Calibri" w:hAnsi="Calibri" w:eastAsia="方正仿宋_GBK" w:cs="Times New Roman"/>
          <w:snapToGrid w:val="0"/>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修订说明：表述中建材过于宽泛，改为装配式构件。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rPr>
        <w:t>四</w:t>
      </w:r>
      <w:r>
        <w:rPr>
          <w:rFonts w:ascii="Times New Roman" w:hAnsi="Times New Roman" w:eastAsia="方正黑体_GBK" w:cs="Times New Roman"/>
          <w:color w:val="auto"/>
          <w:sz w:val="32"/>
          <w:szCs w:val="32"/>
          <w:highlight w:val="none"/>
        </w:rPr>
        <w:t>、强化工程</w:t>
      </w:r>
      <w:r>
        <w:rPr>
          <w:rFonts w:hint="eastAsia" w:ascii="Times New Roman" w:hAnsi="Times New Roman" w:eastAsia="方正黑体_GBK" w:cs="Times New Roman"/>
          <w:color w:val="auto"/>
          <w:sz w:val="32"/>
          <w:szCs w:val="32"/>
          <w:highlight w:val="none"/>
        </w:rPr>
        <w:t>各方</w:t>
      </w:r>
      <w:r>
        <w:rPr>
          <w:rFonts w:ascii="Times New Roman" w:hAnsi="Times New Roman" w:eastAsia="方正黑体_GBK" w:cs="Times New Roman"/>
          <w:color w:val="auto"/>
          <w:sz w:val="32"/>
          <w:szCs w:val="32"/>
          <w:highlight w:val="none"/>
        </w:rPr>
        <w:t>主体责任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（一）建设单位应严格按照装配式建筑实施要求，组织开展设计、施工、监理和采购等工程建设活动。若施工图设计文件变更涉及预制装配率变化的，</w:t>
      </w:r>
      <w:r>
        <w:rPr>
          <w:rFonts w:hint="eastAsia" w:ascii="Times New Roman" w:hAnsi="Times New Roman" w:eastAsia="方正仿宋_GBK" w:cs="Times New Roman"/>
          <w:strike w:val="0"/>
          <w:dstrike w:val="0"/>
          <w:color w:val="auto"/>
          <w:sz w:val="32"/>
          <w:szCs w:val="32"/>
          <w:highlight w:val="none"/>
          <w:u w:val="none"/>
        </w:rPr>
        <w:t>需送原审查机构</w:t>
      </w:r>
      <w:r>
        <w:rPr>
          <w:rFonts w:hint="eastAsia" w:ascii="Times New Roman" w:hAnsi="Times New Roman" w:eastAsia="方正仿宋_GBK" w:cs="Times New Roman"/>
          <w:color w:val="auto"/>
          <w:sz w:val="32"/>
          <w:szCs w:val="32"/>
          <w:highlight w:val="none"/>
        </w:rPr>
        <w:t>重新审图。在工程竣工阶段，组织对装配式建筑的装配率进行核验，达不到标准要求的不得组织竣工验收。鼓励建设单位建造A级以上装配式建筑。</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strike w:val="0"/>
          <w:dstrike w:val="0"/>
          <w:color w:val="auto"/>
          <w:sz w:val="32"/>
          <w:szCs w:val="32"/>
          <w:highlight w:val="none"/>
          <w:lang w:eastAsia="zh-CN"/>
        </w:rPr>
        <w:t>（二）</w:t>
      </w:r>
      <w:r>
        <w:rPr>
          <w:rFonts w:ascii="Times New Roman" w:hAnsi="Times New Roman" w:eastAsia="方正仿宋_GBK" w:cs="Times New Roman"/>
          <w:strike/>
          <w:dstrike w:val="0"/>
          <w:color w:val="auto"/>
          <w:sz w:val="32"/>
          <w:szCs w:val="32"/>
          <w:highlight w:val="none"/>
        </w:rPr>
        <w:t>推行装配式建筑一体化集成设计，</w:t>
      </w:r>
      <w:r>
        <w:rPr>
          <w:rFonts w:ascii="Times New Roman" w:hAnsi="Times New Roman" w:eastAsia="方正仿宋_GBK" w:cs="Times New Roman"/>
          <w:color w:val="auto"/>
          <w:sz w:val="32"/>
          <w:szCs w:val="32"/>
          <w:highlight w:val="none"/>
        </w:rPr>
        <w:t>设计单位应按照</w:t>
      </w:r>
      <w:r>
        <w:rPr>
          <w:rFonts w:ascii="Times New Roman" w:hAnsi="Times New Roman" w:eastAsia="方正仿宋_GBK" w:cs="Times New Roman"/>
          <w:strike/>
          <w:dstrike w:val="0"/>
          <w:color w:val="auto"/>
          <w:sz w:val="32"/>
          <w:szCs w:val="32"/>
          <w:highlight w:val="none"/>
        </w:rPr>
        <w:t>《装配式混凝土建筑技术标准》（GB/T51231</w:t>
      </w:r>
      <w:r>
        <w:rPr>
          <w:rFonts w:hint="eastAsia" w:ascii="Times New Roman" w:hAnsi="Times New Roman" w:eastAsia="方正仿宋_GBK" w:cs="Times New Roman"/>
          <w:strike/>
          <w:dstrike w:val="0"/>
          <w:color w:val="auto"/>
          <w:sz w:val="32"/>
          <w:szCs w:val="32"/>
          <w:highlight w:val="none"/>
        </w:rPr>
        <w:t>—</w:t>
      </w:r>
      <w:r>
        <w:rPr>
          <w:rFonts w:ascii="Times New Roman" w:hAnsi="Times New Roman" w:eastAsia="方正仿宋_GBK" w:cs="Times New Roman"/>
          <w:strike/>
          <w:dstrike w:val="0"/>
          <w:color w:val="auto"/>
          <w:sz w:val="32"/>
          <w:szCs w:val="32"/>
          <w:highlight w:val="none"/>
        </w:rPr>
        <w:t>2016）</w:t>
      </w:r>
      <w:r>
        <w:rPr>
          <w:rFonts w:hint="eastAsia" w:ascii="Times New Roman" w:hAnsi="Times New Roman" w:eastAsia="方正仿宋_GBK" w:cs="Times New Roman"/>
          <w:strike/>
          <w:dstrike w:val="0"/>
          <w:color w:val="auto"/>
          <w:sz w:val="32"/>
          <w:szCs w:val="32"/>
          <w:highlight w:val="none"/>
        </w:rPr>
        <w:t>、</w:t>
      </w:r>
      <w:r>
        <w:rPr>
          <w:rFonts w:ascii="Times New Roman" w:hAnsi="Times New Roman" w:eastAsia="方正仿宋_GBK" w:cs="Times New Roman"/>
          <w:strike/>
          <w:dstrike w:val="0"/>
          <w:color w:val="auto"/>
          <w:sz w:val="32"/>
          <w:szCs w:val="32"/>
          <w:highlight w:val="none"/>
        </w:rPr>
        <w:t>《装配式钢结构建筑技术标准》（GB/T51232</w:t>
      </w:r>
      <w:r>
        <w:rPr>
          <w:rFonts w:hint="eastAsia" w:ascii="Times New Roman" w:hAnsi="Times New Roman" w:eastAsia="方正仿宋_GBK" w:cs="Times New Roman"/>
          <w:strike/>
          <w:dstrike w:val="0"/>
          <w:color w:val="auto"/>
          <w:sz w:val="32"/>
          <w:szCs w:val="32"/>
          <w:highlight w:val="none"/>
        </w:rPr>
        <w:t>—</w:t>
      </w:r>
      <w:r>
        <w:rPr>
          <w:rFonts w:ascii="Times New Roman" w:hAnsi="Times New Roman" w:eastAsia="方正仿宋_GBK" w:cs="Times New Roman"/>
          <w:strike/>
          <w:dstrike w:val="0"/>
          <w:color w:val="auto"/>
          <w:sz w:val="32"/>
          <w:szCs w:val="32"/>
          <w:highlight w:val="none"/>
        </w:rPr>
        <w:t>2016）</w:t>
      </w:r>
      <w:r>
        <w:rPr>
          <w:rFonts w:hint="eastAsia" w:ascii="Times New Roman" w:hAnsi="Times New Roman" w:eastAsia="方正仿宋_GBK" w:cs="Times New Roman"/>
          <w:strike/>
          <w:dstrike w:val="0"/>
          <w:color w:val="auto"/>
          <w:sz w:val="32"/>
          <w:szCs w:val="32"/>
          <w:highlight w:val="none"/>
        </w:rPr>
        <w:t>、</w:t>
      </w:r>
      <w:r>
        <w:rPr>
          <w:rFonts w:ascii="Times New Roman" w:hAnsi="Times New Roman" w:eastAsia="方正仿宋_GBK" w:cs="Times New Roman"/>
          <w:strike/>
          <w:dstrike w:val="0"/>
          <w:color w:val="auto"/>
          <w:sz w:val="32"/>
          <w:szCs w:val="32"/>
          <w:highlight w:val="none"/>
        </w:rPr>
        <w:t>《装配式混凝土建筑设计规程》（XJJ085</w:t>
      </w:r>
      <w:r>
        <w:rPr>
          <w:rFonts w:hint="eastAsia" w:ascii="Times New Roman" w:hAnsi="Times New Roman" w:eastAsia="方正仿宋_GBK" w:cs="Times New Roman"/>
          <w:strike/>
          <w:dstrike w:val="0"/>
          <w:color w:val="auto"/>
          <w:sz w:val="32"/>
          <w:szCs w:val="32"/>
          <w:highlight w:val="none"/>
        </w:rPr>
        <w:t>—</w:t>
      </w:r>
      <w:r>
        <w:rPr>
          <w:rFonts w:ascii="Times New Roman" w:hAnsi="Times New Roman" w:eastAsia="方正仿宋_GBK" w:cs="Times New Roman"/>
          <w:strike/>
          <w:dstrike w:val="0"/>
          <w:color w:val="auto"/>
          <w:sz w:val="32"/>
          <w:szCs w:val="32"/>
          <w:highlight w:val="none"/>
        </w:rPr>
        <w:t>2017）</w:t>
      </w:r>
      <w:r>
        <w:rPr>
          <w:rFonts w:hint="eastAsia" w:ascii="Times New Roman" w:hAnsi="Times New Roman" w:eastAsia="方正仿宋_GBK" w:cs="Times New Roman"/>
          <w:strike/>
          <w:dstrike w:val="0"/>
          <w:color w:val="auto"/>
          <w:sz w:val="32"/>
          <w:szCs w:val="32"/>
          <w:highlight w:val="none"/>
        </w:rPr>
        <w:t>和</w:t>
      </w:r>
      <w:r>
        <w:rPr>
          <w:rFonts w:ascii="Times New Roman" w:hAnsi="Times New Roman" w:eastAsia="方正仿宋_GBK" w:cs="Times New Roman"/>
          <w:strike/>
          <w:dstrike w:val="0"/>
          <w:color w:val="auto"/>
          <w:sz w:val="32"/>
          <w:szCs w:val="32"/>
          <w:highlight w:val="none"/>
        </w:rPr>
        <w:t>《装配式混凝土结构连接节点构造》（15G310）等</w:t>
      </w:r>
      <w:r>
        <w:rPr>
          <w:rFonts w:ascii="Times New Roman" w:hAnsi="Times New Roman" w:eastAsia="方正仿宋_GBK" w:cs="Times New Roman"/>
          <w:color w:val="auto"/>
          <w:sz w:val="32"/>
          <w:szCs w:val="32"/>
          <w:highlight w:val="none"/>
        </w:rPr>
        <w:t>标准、规范和图集进行设计，编制装配式建筑设计专篇</w:t>
      </w:r>
      <w:r>
        <w:rPr>
          <w:rFonts w:hint="eastAsia" w:ascii="Times New Roman" w:hAnsi="Times New Roman" w:eastAsia="方正仿宋_GBK" w:cs="Times New Roman"/>
          <w:color w:val="auto"/>
          <w:sz w:val="32"/>
          <w:szCs w:val="32"/>
          <w:highlight w:val="none"/>
        </w:rPr>
        <w:t>，明确建筑</w:t>
      </w:r>
      <w:r>
        <w:rPr>
          <w:rFonts w:ascii="Times New Roman" w:hAnsi="Times New Roman" w:eastAsia="方正仿宋_GBK" w:cs="Times New Roman"/>
          <w:color w:val="auto"/>
          <w:sz w:val="32"/>
          <w:szCs w:val="32"/>
          <w:highlight w:val="none"/>
        </w:rPr>
        <w:t>装配率、</w:t>
      </w:r>
      <w:r>
        <w:rPr>
          <w:rFonts w:hint="eastAsia" w:ascii="Times New Roman" w:hAnsi="Times New Roman" w:eastAsia="方正仿宋_GBK" w:cs="Times New Roman"/>
          <w:color w:val="auto"/>
          <w:sz w:val="32"/>
          <w:szCs w:val="32"/>
          <w:highlight w:val="none"/>
        </w:rPr>
        <w:t>级别、</w:t>
      </w:r>
      <w:r>
        <w:rPr>
          <w:rFonts w:ascii="Times New Roman" w:hAnsi="Times New Roman" w:eastAsia="方正仿宋_GBK" w:cs="Times New Roman"/>
          <w:color w:val="auto"/>
          <w:sz w:val="32"/>
          <w:szCs w:val="32"/>
          <w:highlight w:val="none"/>
        </w:rPr>
        <w:t>全装修</w:t>
      </w:r>
      <w:r>
        <w:rPr>
          <w:rFonts w:hint="eastAsia" w:ascii="Times New Roman" w:hAnsi="Times New Roman" w:eastAsia="方正仿宋_GBK" w:cs="Times New Roman"/>
          <w:color w:val="auto"/>
          <w:sz w:val="32"/>
          <w:szCs w:val="32"/>
          <w:highlight w:val="none"/>
        </w:rPr>
        <w:t>、</w:t>
      </w:r>
      <w:r>
        <w:rPr>
          <w:rFonts w:ascii="Times New Roman" w:hAnsi="Times New Roman" w:eastAsia="方正仿宋_GBK" w:cs="Times New Roman"/>
          <w:color w:val="auto"/>
          <w:sz w:val="32"/>
          <w:szCs w:val="32"/>
          <w:highlight w:val="none"/>
        </w:rPr>
        <w:t>预制构件</w:t>
      </w:r>
      <w:r>
        <w:rPr>
          <w:rFonts w:hint="eastAsia" w:ascii="Times New Roman" w:hAnsi="Times New Roman" w:eastAsia="方正仿宋_GBK" w:cs="Times New Roman"/>
          <w:color w:val="auto"/>
          <w:sz w:val="32"/>
          <w:szCs w:val="32"/>
          <w:highlight w:val="none"/>
        </w:rPr>
        <w:t>品种和规格、主要结构构件的连接方式、质量和安全的保障措施等</w:t>
      </w:r>
      <w:r>
        <w:rPr>
          <w:rFonts w:hint="eastAsia" w:ascii="Times New Roman" w:hAnsi="Times New Roman" w:eastAsia="方正仿宋_GBK" w:cs="Times New Roman"/>
          <w:color w:val="auto"/>
          <w:sz w:val="32"/>
          <w:szCs w:val="32"/>
          <w:highlight w:val="none"/>
          <w:lang w:eastAsia="zh-CN"/>
        </w:rPr>
        <w:t>相关内容</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strike/>
          <w:dstrike w:val="0"/>
          <w:color w:val="auto"/>
          <w:sz w:val="32"/>
          <w:szCs w:val="32"/>
          <w:highlight w:val="none"/>
        </w:rPr>
        <w:t>并做好现场服务工作</w:t>
      </w:r>
      <w:r>
        <w:rPr>
          <w:rFonts w:ascii="Times New Roman" w:hAnsi="Times New Roman" w:eastAsia="方正仿宋_GBK" w:cs="Times New Roman"/>
          <w:strike/>
          <w:dstrike w:val="0"/>
          <w:color w:val="auto"/>
          <w:sz w:val="32"/>
          <w:szCs w:val="32"/>
          <w:highlight w:val="none"/>
        </w:rPr>
        <w:t>。</w:t>
      </w:r>
      <w:r>
        <w:rPr>
          <w:rFonts w:hint="eastAsia" w:ascii="Times New Roman" w:hAnsi="Times New Roman" w:eastAsia="方正仿宋_GBK" w:cs="Times New Roman"/>
          <w:strike/>
          <w:dstrike w:val="0"/>
          <w:color w:val="auto"/>
          <w:sz w:val="32"/>
          <w:szCs w:val="32"/>
          <w:highlight w:val="none"/>
        </w:rPr>
        <w:t>装配式混凝土</w:t>
      </w:r>
      <w:r>
        <w:rPr>
          <w:rFonts w:ascii="Times New Roman" w:hAnsi="Times New Roman" w:eastAsia="方正仿宋_GBK" w:cs="Times New Roman"/>
          <w:strike/>
          <w:dstrike w:val="0"/>
          <w:color w:val="auto"/>
          <w:sz w:val="32"/>
          <w:szCs w:val="32"/>
          <w:highlight w:val="none"/>
        </w:rPr>
        <w:t>结构专业设计图纸应包括结构施工</w:t>
      </w:r>
      <w:r>
        <w:rPr>
          <w:rFonts w:hint="eastAsia" w:ascii="Times New Roman" w:hAnsi="Times New Roman" w:eastAsia="方正仿宋_GBK" w:cs="Times New Roman"/>
          <w:strike/>
          <w:dstrike w:val="0"/>
          <w:color w:val="auto"/>
          <w:sz w:val="32"/>
          <w:szCs w:val="32"/>
          <w:highlight w:val="none"/>
        </w:rPr>
        <w:t>图纸</w:t>
      </w:r>
      <w:r>
        <w:rPr>
          <w:rFonts w:ascii="Times New Roman" w:hAnsi="Times New Roman" w:eastAsia="方正仿宋_GBK" w:cs="Times New Roman"/>
          <w:strike/>
          <w:dstrike w:val="0"/>
          <w:color w:val="auto"/>
          <w:sz w:val="32"/>
          <w:szCs w:val="32"/>
          <w:highlight w:val="none"/>
        </w:rPr>
        <w:t>和</w:t>
      </w:r>
      <w:r>
        <w:rPr>
          <w:rFonts w:hint="eastAsia" w:ascii="Times New Roman" w:hAnsi="Times New Roman" w:eastAsia="方正仿宋_GBK" w:cs="Times New Roman"/>
          <w:strike/>
          <w:dstrike w:val="0"/>
          <w:color w:val="auto"/>
          <w:sz w:val="32"/>
          <w:szCs w:val="32"/>
          <w:highlight w:val="none"/>
        </w:rPr>
        <w:t>混凝土</w:t>
      </w:r>
      <w:r>
        <w:rPr>
          <w:rFonts w:ascii="Times New Roman" w:hAnsi="Times New Roman" w:eastAsia="方正仿宋_GBK" w:cs="Times New Roman"/>
          <w:strike/>
          <w:dstrike w:val="0"/>
          <w:color w:val="auto"/>
          <w:sz w:val="32"/>
          <w:szCs w:val="32"/>
          <w:highlight w:val="none"/>
        </w:rPr>
        <w:t>预制构件</w:t>
      </w:r>
      <w:r>
        <w:rPr>
          <w:rFonts w:hint="eastAsia" w:ascii="Times New Roman" w:hAnsi="Times New Roman" w:eastAsia="方正仿宋_GBK" w:cs="Times New Roman"/>
          <w:strike/>
          <w:dstrike w:val="0"/>
          <w:color w:val="auto"/>
          <w:sz w:val="32"/>
          <w:szCs w:val="32"/>
          <w:highlight w:val="none"/>
        </w:rPr>
        <w:t>深化设计图纸</w:t>
      </w:r>
      <w:r>
        <w:rPr>
          <w:rFonts w:ascii="Times New Roman" w:hAnsi="Times New Roman" w:eastAsia="方正仿宋_GBK" w:cs="Times New Roman"/>
          <w:color w:val="auto"/>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eastAsia="zh-CN"/>
        </w:rPr>
        <w:t>修订说明：原文件中对于标准引用过于详细，表述中删除较详细内容。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（三）施工图纸审查机构</w:t>
      </w:r>
      <w:r>
        <w:rPr>
          <w:rFonts w:hint="eastAsia" w:ascii="Times New Roman" w:hAnsi="Times New Roman" w:eastAsia="方正仿宋_GBK" w:cs="Times New Roman"/>
          <w:strike w:val="0"/>
          <w:dstrike w:val="0"/>
          <w:color w:val="auto"/>
          <w:sz w:val="32"/>
          <w:szCs w:val="32"/>
          <w:highlight w:val="none"/>
        </w:rPr>
        <w:t>应根据</w:t>
      </w:r>
      <w:r>
        <w:rPr>
          <w:rFonts w:hint="eastAsia" w:ascii="Times New Roman" w:hAnsi="Times New Roman" w:eastAsia="方正仿宋_GBK" w:cs="Times New Roman"/>
          <w:strike/>
          <w:dstrike w:val="0"/>
          <w:color w:val="auto"/>
          <w:sz w:val="32"/>
          <w:szCs w:val="32"/>
          <w:highlight w:val="none"/>
        </w:rPr>
        <w:t>《装配式建筑评价标准》（XJJ116—2019）和附件相关指标</w:t>
      </w:r>
      <w:r>
        <w:rPr>
          <w:rFonts w:hint="eastAsia" w:ascii="Times New Roman" w:hAnsi="Times New Roman" w:eastAsia="方正仿宋_GBK" w:cs="Times New Roman"/>
          <w:strike/>
          <w:dstrike w:val="0"/>
          <w:color w:val="auto"/>
          <w:sz w:val="32"/>
          <w:szCs w:val="32"/>
          <w:highlight w:val="none"/>
          <w:lang w:eastAsia="zh-CN"/>
        </w:rPr>
        <w:t>（</w:t>
      </w:r>
      <w:r>
        <w:rPr>
          <w:rFonts w:hint="eastAsia" w:ascii="Times New Roman" w:hAnsi="Times New Roman" w:eastAsia="方正仿宋_GBK" w:cs="Times New Roman"/>
          <w:strike w:val="0"/>
          <w:dstrike w:val="0"/>
          <w:color w:val="auto"/>
          <w:sz w:val="32"/>
          <w:szCs w:val="32"/>
          <w:highlight w:val="none"/>
          <w:lang w:eastAsia="zh-CN"/>
        </w:rPr>
        <w:t>改为相关</w:t>
      </w:r>
      <w:r>
        <w:rPr>
          <w:rFonts w:ascii="Times New Roman" w:hAnsi="Times New Roman" w:eastAsia="方正仿宋_GBK" w:cs="Times New Roman"/>
          <w:color w:val="auto"/>
          <w:sz w:val="32"/>
          <w:szCs w:val="32"/>
          <w:highlight w:val="none"/>
        </w:rPr>
        <w:t>标准、规范</w:t>
      </w:r>
      <w:r>
        <w:rPr>
          <w:rFonts w:hint="eastAsia" w:ascii="Times New Roman" w:hAnsi="Times New Roman" w:eastAsia="方正仿宋_GBK" w:cs="Times New Roman"/>
          <w:strike w:val="0"/>
          <w:dstrike w:val="0"/>
          <w:color w:val="auto"/>
          <w:sz w:val="32"/>
          <w:szCs w:val="32"/>
          <w:highlight w:val="none"/>
          <w:lang w:eastAsia="zh-CN"/>
        </w:rPr>
        <w:t>）</w:t>
      </w:r>
      <w:r>
        <w:rPr>
          <w:rFonts w:hint="eastAsia" w:ascii="Times New Roman" w:hAnsi="Times New Roman" w:eastAsia="方正仿宋_GBK" w:cs="Times New Roman"/>
          <w:strike w:val="0"/>
          <w:dstrike w:val="0"/>
          <w:color w:val="auto"/>
          <w:sz w:val="32"/>
          <w:szCs w:val="32"/>
          <w:highlight w:val="none"/>
        </w:rPr>
        <w:t>，</w:t>
      </w:r>
      <w:r>
        <w:rPr>
          <w:rFonts w:hint="eastAsia" w:ascii="Times New Roman" w:hAnsi="Times New Roman" w:eastAsia="方正仿宋_GBK" w:cs="Times New Roman"/>
          <w:color w:val="auto"/>
          <w:sz w:val="32"/>
          <w:szCs w:val="32"/>
          <w:highlight w:val="none"/>
        </w:rPr>
        <w:t>复核装配率、全装修等内容是否满足相关要求，并在施工图设计文件审查合格书上注明相关指标，对达不到装配式建筑指标要求的项目，施工图纸审查机构不得出具施工图纸设计文件审查合格书。</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修订说明：原文件中对于标准引用过于详细，表述中删除较详细内容。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eastAsia="zh-CN"/>
        </w:rPr>
        <w:t>（四）</w:t>
      </w:r>
      <w:r>
        <w:rPr>
          <w:rFonts w:ascii="Times New Roman" w:hAnsi="Times New Roman" w:eastAsia="方正仿宋_GBK" w:cs="Times New Roman"/>
          <w:color w:val="auto"/>
          <w:sz w:val="32"/>
          <w:szCs w:val="32"/>
          <w:highlight w:val="none"/>
        </w:rPr>
        <w:t>预制构件和部品部件生产企业应严格按照产品质量标准和设计要求组织生产，并建立健全预制构件</w:t>
      </w:r>
      <w:r>
        <w:rPr>
          <w:rFonts w:hint="eastAsia" w:ascii="Times New Roman" w:hAnsi="Times New Roman" w:eastAsia="方正仿宋_GBK" w:cs="Times New Roman"/>
          <w:color w:val="auto"/>
          <w:sz w:val="32"/>
          <w:szCs w:val="32"/>
          <w:highlight w:val="none"/>
        </w:rPr>
        <w:t>和部品部件</w:t>
      </w:r>
      <w:r>
        <w:rPr>
          <w:rFonts w:ascii="Times New Roman" w:hAnsi="Times New Roman" w:eastAsia="方正仿宋_GBK" w:cs="Times New Roman"/>
          <w:color w:val="auto"/>
          <w:sz w:val="32"/>
          <w:szCs w:val="32"/>
          <w:highlight w:val="none"/>
        </w:rPr>
        <w:t>质量追溯制度。</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 xml:space="preserve"> </w:t>
      </w: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eastAsia="zh-CN"/>
        </w:rPr>
        <w:t>（五）</w:t>
      </w:r>
      <w:r>
        <w:rPr>
          <w:rFonts w:ascii="Times New Roman" w:hAnsi="Times New Roman" w:eastAsia="方正仿宋_GBK" w:cs="Times New Roman"/>
          <w:color w:val="auto"/>
          <w:sz w:val="32"/>
          <w:szCs w:val="32"/>
          <w:highlight w:val="none"/>
        </w:rPr>
        <w:t>施工单位</w:t>
      </w:r>
      <w:r>
        <w:rPr>
          <w:rFonts w:ascii="Times New Roman" w:hAnsi="Times New Roman" w:eastAsia="方正仿宋_GBK" w:cs="Times New Roman"/>
          <w:strike w:val="0"/>
          <w:dstrike w:val="0"/>
          <w:color w:val="auto"/>
          <w:sz w:val="32"/>
          <w:szCs w:val="32"/>
          <w:highlight w:val="none"/>
        </w:rPr>
        <w:t>应</w:t>
      </w:r>
      <w:r>
        <w:rPr>
          <w:rFonts w:ascii="Times New Roman" w:hAnsi="Times New Roman" w:eastAsia="方正仿宋_GBK" w:cs="Times New Roman"/>
          <w:color w:val="auto"/>
          <w:sz w:val="32"/>
          <w:szCs w:val="32"/>
          <w:highlight w:val="none"/>
        </w:rPr>
        <w:t>严格按照</w:t>
      </w:r>
      <w:r>
        <w:rPr>
          <w:rFonts w:hint="eastAsia" w:ascii="Times New Roman" w:hAnsi="Times New Roman" w:eastAsia="方正仿宋_GBK" w:cs="Times New Roman"/>
          <w:color w:val="auto"/>
          <w:sz w:val="32"/>
          <w:szCs w:val="32"/>
          <w:highlight w:val="none"/>
        </w:rPr>
        <w:t>国家、自治区相关标准、规范、规程及</w:t>
      </w:r>
      <w:r>
        <w:rPr>
          <w:rFonts w:ascii="Times New Roman" w:hAnsi="Times New Roman" w:eastAsia="方正仿宋_GBK" w:cs="Times New Roman"/>
          <w:color w:val="auto"/>
          <w:sz w:val="32"/>
          <w:szCs w:val="32"/>
          <w:highlight w:val="none"/>
        </w:rPr>
        <w:t>施工图设计文件和施工方案</w:t>
      </w:r>
      <w:r>
        <w:rPr>
          <w:rFonts w:hint="eastAsia" w:ascii="Times New Roman" w:hAnsi="Times New Roman" w:eastAsia="方正仿宋_GBK" w:cs="Times New Roman"/>
          <w:color w:val="auto"/>
          <w:sz w:val="32"/>
          <w:szCs w:val="32"/>
          <w:highlight w:val="none"/>
        </w:rPr>
        <w:t>组织</w:t>
      </w:r>
      <w:r>
        <w:rPr>
          <w:rFonts w:ascii="Times New Roman" w:hAnsi="Times New Roman" w:eastAsia="方正仿宋_GBK" w:cs="Times New Roman"/>
          <w:color w:val="auto"/>
          <w:sz w:val="32"/>
          <w:szCs w:val="32"/>
          <w:highlight w:val="none"/>
        </w:rPr>
        <w:t>施工</w:t>
      </w:r>
      <w:r>
        <w:rPr>
          <w:rFonts w:ascii="Times New Roman" w:hAnsi="Times New Roman" w:eastAsia="方正仿宋_GBK" w:cs="Times New Roman"/>
          <w:strike/>
          <w:dstrike w:val="0"/>
          <w:color w:val="auto"/>
          <w:sz w:val="32"/>
          <w:szCs w:val="32"/>
          <w:highlight w:val="none"/>
        </w:rPr>
        <w:t>，采用钢筋灌浆套筒连接的应当编制套筒灌浆连接</w:t>
      </w:r>
      <w:r>
        <w:rPr>
          <w:rFonts w:hint="eastAsia" w:ascii="Times New Roman" w:hAnsi="Times New Roman" w:eastAsia="方正仿宋_GBK" w:cs="Times New Roman"/>
          <w:strike/>
          <w:dstrike w:val="0"/>
          <w:color w:val="auto"/>
          <w:sz w:val="32"/>
          <w:szCs w:val="32"/>
          <w:highlight w:val="none"/>
          <w:lang w:eastAsia="zh-CN"/>
        </w:rPr>
        <w:t>，</w:t>
      </w:r>
      <w:r>
        <w:rPr>
          <w:rFonts w:hint="eastAsia" w:ascii="Times New Roman" w:hAnsi="Times New Roman" w:eastAsia="方正仿宋_GBK" w:cs="Times New Roman"/>
          <w:strike w:val="0"/>
          <w:dstrike w:val="0"/>
          <w:color w:val="auto"/>
          <w:sz w:val="32"/>
          <w:szCs w:val="32"/>
          <w:highlight w:val="none"/>
          <w:lang w:eastAsia="zh-CN"/>
        </w:rPr>
        <w:t>根据装配式建筑施工特点编写</w:t>
      </w:r>
      <w:r>
        <w:rPr>
          <w:rFonts w:ascii="Times New Roman" w:hAnsi="Times New Roman" w:eastAsia="方正仿宋_GBK" w:cs="Times New Roman"/>
          <w:strike w:val="0"/>
          <w:dstrike w:val="0"/>
          <w:color w:val="auto"/>
          <w:sz w:val="32"/>
          <w:szCs w:val="32"/>
          <w:highlight w:val="none"/>
        </w:rPr>
        <w:t>专项施工方案</w:t>
      </w:r>
      <w:r>
        <w:rPr>
          <w:rFonts w:ascii="Times New Roman" w:hAnsi="Times New Roman" w:eastAsia="方正仿宋_GBK" w:cs="Times New Roman"/>
          <w:color w:val="auto"/>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eastAsia="zh-CN"/>
        </w:rPr>
        <w:t>修订说明：原文件中对于标准引用过于详细，表述中删除较详细内容。</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eastAsia="zh-CN"/>
        </w:rPr>
        <w:t>（六）</w:t>
      </w:r>
      <w:r>
        <w:rPr>
          <w:rFonts w:ascii="Times New Roman" w:hAnsi="Times New Roman" w:eastAsia="方正仿宋_GBK" w:cs="Times New Roman"/>
          <w:color w:val="auto"/>
          <w:sz w:val="32"/>
          <w:szCs w:val="32"/>
          <w:highlight w:val="none"/>
        </w:rPr>
        <w:t>监理单位应针对装配式建筑的特点编制监理规划和专项监理细则，</w:t>
      </w:r>
      <w:r>
        <w:rPr>
          <w:rFonts w:hint="eastAsia" w:ascii="Times New Roman" w:hAnsi="Times New Roman" w:eastAsia="方正仿宋_GBK" w:cs="Times New Roman"/>
          <w:color w:val="auto"/>
          <w:sz w:val="32"/>
          <w:szCs w:val="32"/>
          <w:highlight w:val="none"/>
        </w:rPr>
        <w:t>严把</w:t>
      </w:r>
      <w:r>
        <w:rPr>
          <w:rFonts w:ascii="Times New Roman" w:hAnsi="Times New Roman" w:eastAsia="方正仿宋_GBK" w:cs="Times New Roman"/>
          <w:color w:val="auto"/>
          <w:sz w:val="32"/>
          <w:szCs w:val="32"/>
          <w:highlight w:val="none"/>
        </w:rPr>
        <w:t>施工质量，提升现场管理水平。</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rPr>
        <w:t>五</w:t>
      </w:r>
      <w:r>
        <w:rPr>
          <w:rFonts w:ascii="Times New Roman" w:hAnsi="Times New Roman" w:eastAsia="方正黑体_GBK" w:cs="Times New Roman"/>
          <w:color w:val="auto"/>
          <w:sz w:val="32"/>
          <w:szCs w:val="32"/>
          <w:highlight w:val="none"/>
        </w:rPr>
        <w:t>、完善组织保障措施</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一</w:t>
      </w:r>
      <w:r>
        <w:rPr>
          <w:rFonts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rPr>
        <w:t>开展属地管理。各区（县）人民政府要加强辖区内推进装配式建筑工作的组织领导，建立相应的工作机制，明确目标任务，加强督促检查，确保工作落到实处。</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Calibri" w:hAnsi="Calibri" w:eastAsia="方正仿宋_GBK" w:cs="Times New Roman"/>
          <w:strike w:val="0"/>
          <w:dstrike w:val="0"/>
          <w:snapToGrid w:val="0"/>
          <w:color w:val="auto"/>
          <w:kern w:val="0"/>
          <w:sz w:val="32"/>
          <w:szCs w:val="32"/>
          <w:highlight w:val="none"/>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落实</w:t>
      </w:r>
      <w:r>
        <w:rPr>
          <w:rFonts w:ascii="Times New Roman" w:hAnsi="Times New Roman" w:eastAsia="方正仿宋_GBK" w:cs="Times New Roman"/>
          <w:color w:val="auto"/>
          <w:sz w:val="32"/>
          <w:szCs w:val="32"/>
          <w:highlight w:val="none"/>
        </w:rPr>
        <w:t>优惠政策。严格执行《关于加快推进自治区装配式建筑发展的通知》（新政办明电</w:t>
      </w:r>
      <w:r>
        <w:rPr>
          <w:rFonts w:hint="eastAsia" w:ascii="方正仿宋_GBK" w:hAnsi="方正仿宋_GBK" w:eastAsia="方正仿宋_GBK" w:cs="方正仿宋_GBK"/>
          <w:color w:val="auto"/>
          <w:sz w:val="32"/>
          <w:szCs w:val="32"/>
          <w:highlight w:val="none"/>
        </w:rPr>
        <w:t>﹝</w:t>
      </w:r>
      <w:r>
        <w:rPr>
          <w:rFonts w:ascii="Times New Roman" w:hAnsi="Times New Roman" w:eastAsia="方正仿宋_GBK" w:cs="Times New Roman"/>
          <w:color w:val="auto"/>
          <w:sz w:val="32"/>
          <w:szCs w:val="32"/>
          <w:highlight w:val="none"/>
        </w:rPr>
        <w:t>2019</w:t>
      </w:r>
      <w:r>
        <w:rPr>
          <w:rFonts w:hint="eastAsia" w:ascii="方正仿宋_GBK" w:hAnsi="方正仿宋_GBK" w:eastAsia="方正仿宋_GBK" w:cs="方正仿宋_GBK"/>
          <w:color w:val="auto"/>
          <w:sz w:val="32"/>
          <w:szCs w:val="32"/>
          <w:highlight w:val="none"/>
        </w:rPr>
        <w:t>﹞</w:t>
      </w:r>
      <w:r>
        <w:rPr>
          <w:rFonts w:ascii="Times New Roman" w:hAnsi="Times New Roman" w:eastAsia="方正仿宋_GBK" w:cs="Times New Roman"/>
          <w:color w:val="auto"/>
          <w:sz w:val="32"/>
          <w:szCs w:val="32"/>
          <w:highlight w:val="none"/>
        </w:rPr>
        <w:t>243号）</w:t>
      </w:r>
      <w:r>
        <w:rPr>
          <w:rFonts w:hint="eastAsia"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u w:val="single"/>
          <w:lang w:eastAsia="zh-CN"/>
        </w:rPr>
        <w:t>《关于进一步推进我市装配式建筑、绿色建筑和超低能耗建筑高质量发展的</w:t>
      </w:r>
      <w:r>
        <w:rPr>
          <w:rFonts w:hint="eastAsia" w:ascii="Times New Roman" w:hAnsi="Times New Roman" w:eastAsia="方正仿宋_GBK" w:cs="Times New Roman"/>
          <w:color w:val="auto"/>
          <w:sz w:val="32"/>
          <w:szCs w:val="32"/>
          <w:highlight w:val="none"/>
          <w:u w:val="single"/>
          <w:lang w:eastAsia="zh-CN"/>
        </w:rPr>
        <w:t>实施意见</w:t>
      </w:r>
      <w:r>
        <w:rPr>
          <w:rFonts w:hint="default" w:ascii="Times New Roman" w:hAnsi="Times New Roman" w:eastAsia="方正仿宋_GBK" w:cs="Times New Roman"/>
          <w:color w:val="auto"/>
          <w:sz w:val="32"/>
          <w:szCs w:val="32"/>
          <w:highlight w:val="none"/>
          <w:u w:val="single"/>
          <w:lang w:eastAsia="zh-CN"/>
        </w:rPr>
        <w:t>》</w:t>
      </w:r>
      <w:r>
        <w:rPr>
          <w:rFonts w:hint="eastAsia" w:ascii="Times New Roman" w:hAnsi="Times New Roman" w:eastAsia="方正仿宋_GBK" w:cs="Times New Roman"/>
          <w:color w:val="auto"/>
          <w:sz w:val="32"/>
          <w:szCs w:val="32"/>
          <w:highlight w:val="none"/>
          <w:u w:val="single"/>
          <w:lang w:eastAsia="zh-CN"/>
        </w:rPr>
        <w:t>（</w:t>
      </w:r>
      <w:r>
        <w:rPr>
          <w:rFonts w:hint="default" w:ascii="Times New Roman" w:hAnsi="Times New Roman" w:eastAsia="方正仿宋_GBK" w:cs="Times New Roman"/>
          <w:color w:val="auto"/>
          <w:sz w:val="32"/>
          <w:szCs w:val="32"/>
          <w:highlight w:val="none"/>
          <w:u w:val="single"/>
          <w:lang w:val="zh-CN" w:eastAsia="zh-CN"/>
        </w:rPr>
        <w:t>乌</w:t>
      </w:r>
      <w:r>
        <w:rPr>
          <w:rFonts w:hint="eastAsia" w:ascii="Times New Roman" w:hAnsi="Times New Roman" w:eastAsia="方正仿宋_GBK" w:cs="Times New Roman"/>
          <w:color w:val="auto"/>
          <w:sz w:val="32"/>
          <w:szCs w:val="32"/>
          <w:highlight w:val="none"/>
          <w:u w:val="single"/>
          <w:lang w:val="zh-CN" w:eastAsia="zh-CN"/>
        </w:rPr>
        <w:t>建规</w:t>
      </w:r>
      <w:r>
        <w:rPr>
          <w:rFonts w:hint="default" w:ascii="Times New Roman" w:hAnsi="Times New Roman" w:eastAsia="方正仿宋_GBK" w:cs="Times New Roman"/>
          <w:color w:val="auto"/>
          <w:sz w:val="32"/>
          <w:szCs w:val="32"/>
          <w:highlight w:val="none"/>
          <w:u w:val="single"/>
          <w:lang w:val="zh-CN" w:eastAsia="zh-CN"/>
        </w:rPr>
        <w:t>〔20</w:t>
      </w:r>
      <w:r>
        <w:rPr>
          <w:rFonts w:hint="eastAsia" w:ascii="Times New Roman" w:hAnsi="Times New Roman" w:eastAsia="方正仿宋_GBK" w:cs="Times New Roman"/>
          <w:color w:val="auto"/>
          <w:sz w:val="32"/>
          <w:szCs w:val="32"/>
          <w:highlight w:val="none"/>
          <w:u w:val="single"/>
          <w:lang w:val="en-US" w:eastAsia="zh-CN"/>
        </w:rPr>
        <w:t>23</w:t>
      </w:r>
      <w:r>
        <w:rPr>
          <w:rFonts w:hint="default" w:ascii="Times New Roman" w:hAnsi="Times New Roman" w:eastAsia="方正仿宋_GBK" w:cs="Times New Roman"/>
          <w:color w:val="auto"/>
          <w:sz w:val="32"/>
          <w:szCs w:val="32"/>
          <w:highlight w:val="none"/>
          <w:u w:val="single"/>
          <w:lang w:val="zh-CN" w:eastAsia="zh-CN"/>
        </w:rPr>
        <w:t>〕</w:t>
      </w:r>
      <w:r>
        <w:rPr>
          <w:rFonts w:hint="default" w:ascii="Times New Roman" w:hAnsi="Times New Roman" w:eastAsia="方正仿宋_GBK" w:cs="Times New Roman"/>
          <w:color w:val="auto"/>
          <w:sz w:val="32"/>
          <w:szCs w:val="32"/>
          <w:highlight w:val="none"/>
          <w:u w:val="single"/>
          <w:lang w:val="en-US" w:eastAsia="zh-CN"/>
        </w:rPr>
        <w:t>2</w:t>
      </w:r>
      <w:r>
        <w:rPr>
          <w:rFonts w:hint="default" w:ascii="Times New Roman" w:hAnsi="Times New Roman" w:eastAsia="方正仿宋_GBK" w:cs="Times New Roman"/>
          <w:color w:val="auto"/>
          <w:sz w:val="32"/>
          <w:szCs w:val="32"/>
          <w:highlight w:val="none"/>
          <w:u w:val="single"/>
          <w:lang w:val="zh-CN" w:eastAsia="zh-CN"/>
        </w:rPr>
        <w:t>号</w:t>
      </w:r>
      <w:r>
        <w:rPr>
          <w:rFonts w:hint="eastAsia" w:ascii="Times New Roman" w:hAnsi="Times New Roman" w:eastAsia="方正仿宋_GBK" w:cs="Times New Roman"/>
          <w:color w:val="auto"/>
          <w:sz w:val="32"/>
          <w:szCs w:val="32"/>
          <w:highlight w:val="none"/>
          <w:u w:val="single"/>
          <w:lang w:eastAsia="zh-CN"/>
        </w:rPr>
        <w:t>）</w:t>
      </w:r>
      <w:r>
        <w:rPr>
          <w:rFonts w:ascii="Times New Roman" w:hAnsi="Times New Roman" w:eastAsia="方正仿宋_GBK" w:cs="Times New Roman"/>
          <w:color w:val="auto"/>
          <w:sz w:val="32"/>
          <w:szCs w:val="32"/>
          <w:highlight w:val="none"/>
        </w:rPr>
        <w:t>中</w:t>
      </w:r>
      <w:r>
        <w:rPr>
          <w:rFonts w:hint="eastAsia" w:ascii="Times New Roman" w:hAnsi="Times New Roman" w:eastAsia="方正仿宋_GBK" w:cs="Times New Roman"/>
          <w:color w:val="auto"/>
          <w:sz w:val="32"/>
          <w:szCs w:val="32"/>
          <w:highlight w:val="none"/>
        </w:rPr>
        <w:t>对装配式建筑在</w:t>
      </w:r>
      <w:r>
        <w:rPr>
          <w:rFonts w:ascii="Times New Roman" w:hAnsi="Times New Roman" w:eastAsia="方正仿宋_GBK" w:cs="Times New Roman"/>
          <w:color w:val="auto"/>
          <w:sz w:val="32"/>
          <w:szCs w:val="32"/>
          <w:highlight w:val="none"/>
        </w:rPr>
        <w:t>税费</w:t>
      </w:r>
      <w:r>
        <w:rPr>
          <w:rFonts w:hint="eastAsia" w:ascii="Times New Roman" w:hAnsi="Times New Roman" w:eastAsia="方正仿宋_GBK" w:cs="Times New Roman"/>
          <w:color w:val="auto"/>
          <w:sz w:val="32"/>
          <w:szCs w:val="32"/>
          <w:highlight w:val="none"/>
        </w:rPr>
        <w:t>优惠</w:t>
      </w:r>
      <w:r>
        <w:rPr>
          <w:rFonts w:ascii="Times New Roman" w:hAnsi="Times New Roman" w:eastAsia="方正仿宋_GBK" w:cs="Times New Roman"/>
          <w:color w:val="auto"/>
          <w:sz w:val="32"/>
          <w:szCs w:val="32"/>
          <w:highlight w:val="none"/>
        </w:rPr>
        <w:t>、金融支持、房产预售、住房公积金</w:t>
      </w:r>
      <w:r>
        <w:rPr>
          <w:rFonts w:hint="eastAsia" w:ascii="Times New Roman" w:hAnsi="Times New Roman" w:eastAsia="方正仿宋_GBK" w:cs="Times New Roman"/>
          <w:color w:val="auto"/>
          <w:sz w:val="32"/>
          <w:szCs w:val="32"/>
          <w:highlight w:val="none"/>
          <w:lang w:eastAsia="zh-CN"/>
        </w:rPr>
        <w:t>和容积率奖励</w:t>
      </w:r>
      <w:r>
        <w:rPr>
          <w:rFonts w:ascii="Times New Roman" w:hAnsi="Times New Roman" w:eastAsia="方正仿宋_GBK" w:cs="Times New Roman"/>
          <w:strike/>
          <w:dstrike w:val="0"/>
          <w:color w:val="auto"/>
          <w:sz w:val="32"/>
          <w:szCs w:val="32"/>
          <w:highlight w:val="none"/>
        </w:rPr>
        <w:t>、信用评级</w:t>
      </w:r>
      <w:r>
        <w:rPr>
          <w:rFonts w:hint="eastAsia" w:ascii="Times New Roman" w:hAnsi="Times New Roman" w:eastAsia="方正仿宋_GBK" w:cs="Times New Roman"/>
          <w:strike/>
          <w:dstrike w:val="0"/>
          <w:color w:val="auto"/>
          <w:sz w:val="32"/>
          <w:szCs w:val="32"/>
          <w:highlight w:val="none"/>
        </w:rPr>
        <w:t>和</w:t>
      </w:r>
      <w:r>
        <w:rPr>
          <w:rFonts w:ascii="Times New Roman" w:hAnsi="Times New Roman" w:eastAsia="方正仿宋_GBK" w:cs="Times New Roman"/>
          <w:strike/>
          <w:dstrike w:val="0"/>
          <w:color w:val="auto"/>
          <w:sz w:val="32"/>
          <w:szCs w:val="32"/>
          <w:highlight w:val="none"/>
        </w:rPr>
        <w:t>审批绿色通道</w:t>
      </w:r>
      <w:r>
        <w:rPr>
          <w:rFonts w:ascii="Times New Roman" w:hAnsi="Times New Roman" w:eastAsia="方正仿宋_GBK" w:cs="Times New Roman"/>
          <w:color w:val="auto"/>
          <w:sz w:val="32"/>
          <w:szCs w:val="32"/>
          <w:highlight w:val="none"/>
        </w:rPr>
        <w:t>等</w:t>
      </w:r>
      <w:r>
        <w:rPr>
          <w:rFonts w:hint="eastAsia" w:ascii="Times New Roman" w:hAnsi="Times New Roman" w:eastAsia="方正仿宋_GBK" w:cs="Times New Roman"/>
          <w:color w:val="auto"/>
          <w:sz w:val="32"/>
          <w:szCs w:val="32"/>
          <w:highlight w:val="none"/>
        </w:rPr>
        <w:t>方面的激励</w:t>
      </w:r>
      <w:r>
        <w:rPr>
          <w:rFonts w:ascii="Times New Roman" w:hAnsi="Times New Roman" w:eastAsia="方正仿宋_GBK" w:cs="Times New Roman"/>
          <w:color w:val="auto"/>
          <w:sz w:val="32"/>
          <w:szCs w:val="32"/>
          <w:highlight w:val="none"/>
        </w:rPr>
        <w:t>政策。</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b/>
          <w:bCs/>
          <w:color w:val="auto"/>
          <w:sz w:val="32"/>
          <w:szCs w:val="32"/>
          <w:highlight w:val="none"/>
          <w:lang w:eastAsia="zh-CN"/>
        </w:rPr>
        <w:t>修订说明：增加了</w:t>
      </w:r>
      <w:r>
        <w:rPr>
          <w:rFonts w:hint="default" w:ascii="Times New Roman" w:hAnsi="Times New Roman" w:eastAsia="方正仿宋_GBK" w:cs="Times New Roman"/>
          <w:b/>
          <w:bCs/>
          <w:color w:val="auto"/>
          <w:sz w:val="32"/>
          <w:szCs w:val="32"/>
          <w:highlight w:val="none"/>
          <w:lang w:eastAsia="zh-CN"/>
        </w:rPr>
        <w:t>《关于进一步推进我市装配式建筑、绿色建筑和超低能耗建筑高质量发展的</w:t>
      </w:r>
      <w:r>
        <w:rPr>
          <w:rFonts w:hint="eastAsia" w:ascii="Times New Roman" w:hAnsi="Times New Roman" w:eastAsia="方正仿宋_GBK" w:cs="Times New Roman"/>
          <w:b/>
          <w:bCs/>
          <w:color w:val="auto"/>
          <w:sz w:val="32"/>
          <w:szCs w:val="32"/>
          <w:highlight w:val="none"/>
          <w:lang w:eastAsia="zh-CN"/>
        </w:rPr>
        <w:t>实施意见</w:t>
      </w:r>
      <w:r>
        <w:rPr>
          <w:rFonts w:hint="default" w:ascii="Times New Roman" w:hAnsi="Times New Roman" w:eastAsia="方正仿宋_GBK" w:cs="Times New Roman"/>
          <w:b/>
          <w:bCs/>
          <w:color w:val="auto"/>
          <w:sz w:val="32"/>
          <w:szCs w:val="32"/>
          <w:highlight w:val="none"/>
          <w:lang w:eastAsia="zh-CN"/>
        </w:rPr>
        <w:t>》</w:t>
      </w:r>
      <w:r>
        <w:rPr>
          <w:rFonts w:hint="eastAsia"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b/>
          <w:bCs/>
          <w:color w:val="auto"/>
          <w:sz w:val="32"/>
          <w:szCs w:val="32"/>
          <w:highlight w:val="none"/>
          <w:lang w:val="zh-CN" w:eastAsia="zh-CN"/>
        </w:rPr>
        <w:t>乌</w:t>
      </w:r>
      <w:r>
        <w:rPr>
          <w:rFonts w:hint="eastAsia" w:ascii="Times New Roman" w:hAnsi="Times New Roman" w:eastAsia="方正仿宋_GBK" w:cs="Times New Roman"/>
          <w:b/>
          <w:bCs/>
          <w:color w:val="auto"/>
          <w:sz w:val="32"/>
          <w:szCs w:val="32"/>
          <w:highlight w:val="none"/>
          <w:lang w:val="zh-CN" w:eastAsia="zh-CN"/>
        </w:rPr>
        <w:t>建规</w:t>
      </w:r>
      <w:r>
        <w:rPr>
          <w:rFonts w:hint="default" w:ascii="Times New Roman" w:hAnsi="Times New Roman" w:eastAsia="方正仿宋_GBK" w:cs="Times New Roman"/>
          <w:b/>
          <w:bCs/>
          <w:color w:val="auto"/>
          <w:sz w:val="32"/>
          <w:szCs w:val="32"/>
          <w:highlight w:val="none"/>
          <w:lang w:val="zh-CN" w:eastAsia="zh-CN"/>
        </w:rPr>
        <w:t>〔20</w:t>
      </w:r>
      <w:r>
        <w:rPr>
          <w:rFonts w:hint="eastAsia" w:ascii="Times New Roman" w:hAnsi="Times New Roman" w:eastAsia="方正仿宋_GBK" w:cs="Times New Roman"/>
          <w:b/>
          <w:bCs/>
          <w:color w:val="auto"/>
          <w:sz w:val="32"/>
          <w:szCs w:val="32"/>
          <w:highlight w:val="none"/>
          <w:lang w:val="en-US" w:eastAsia="zh-CN"/>
        </w:rPr>
        <w:t>23</w:t>
      </w:r>
      <w:r>
        <w:rPr>
          <w:rFonts w:hint="default" w:ascii="Times New Roman" w:hAnsi="Times New Roman" w:eastAsia="方正仿宋_GBK" w:cs="Times New Roman"/>
          <w:b/>
          <w:bCs/>
          <w:color w:val="auto"/>
          <w:sz w:val="32"/>
          <w:szCs w:val="32"/>
          <w:highlight w:val="none"/>
          <w:lang w:val="zh-CN" w:eastAsia="zh-CN"/>
        </w:rPr>
        <w:t>〕</w:t>
      </w:r>
      <w:r>
        <w:rPr>
          <w:rFonts w:hint="default" w:ascii="Times New Roman" w:hAnsi="Times New Roman" w:eastAsia="方正仿宋_GBK" w:cs="Times New Roman"/>
          <w:b/>
          <w:bCs/>
          <w:color w:val="auto"/>
          <w:sz w:val="32"/>
          <w:szCs w:val="32"/>
          <w:highlight w:val="none"/>
          <w:lang w:val="en-US" w:eastAsia="zh-CN"/>
        </w:rPr>
        <w:t>2</w:t>
      </w:r>
      <w:r>
        <w:rPr>
          <w:rFonts w:hint="default" w:ascii="Times New Roman" w:hAnsi="Times New Roman" w:eastAsia="方正仿宋_GBK" w:cs="Times New Roman"/>
          <w:b/>
          <w:bCs/>
          <w:color w:val="auto"/>
          <w:sz w:val="32"/>
          <w:szCs w:val="32"/>
          <w:highlight w:val="none"/>
          <w:lang w:val="zh-CN" w:eastAsia="zh-CN"/>
        </w:rPr>
        <w:t>号</w:t>
      </w:r>
      <w:r>
        <w:rPr>
          <w:rFonts w:hint="eastAsia" w:ascii="Times New Roman" w:hAnsi="Times New Roman" w:eastAsia="方正仿宋_GBK" w:cs="Times New Roman"/>
          <w:b/>
          <w:bCs/>
          <w:color w:val="auto"/>
          <w:sz w:val="32"/>
          <w:szCs w:val="32"/>
          <w:highlight w:val="none"/>
          <w:lang w:eastAsia="zh-CN"/>
        </w:rPr>
        <w:t>）中关于优惠政策表述，同时根据现行政策要求，删除了信用评级和审批绿色通道内容。</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方正仿宋_GBK" w:cs="Times New Roman"/>
          <w:strike w:val="0"/>
          <w:color w:val="auto"/>
          <w:sz w:val="32"/>
          <w:szCs w:val="32"/>
          <w:highlight w:val="none"/>
        </w:rPr>
      </w:pPr>
      <w:r>
        <w:rPr>
          <w:rFonts w:hint="eastAsia" w:ascii="Times New Roman" w:hAnsi="Times New Roman" w:eastAsia="方正仿宋_GBK" w:cs="Times New Roman"/>
          <w:strike w:val="0"/>
          <w:dstrike w:val="0"/>
          <w:color w:val="auto"/>
          <w:sz w:val="32"/>
          <w:szCs w:val="32"/>
          <w:highlight w:val="none"/>
        </w:rPr>
        <w:t>加强技术服务。充分发挥市绿色装配式建筑专家库的评估、论证作用，协助企业解决设计、生产、施工、运营维护等方面的疑难问题。鼓励社会第三方机构开展装配式建筑等级评价和相关咨询工作</w:t>
      </w:r>
      <w:r>
        <w:rPr>
          <w:rFonts w:hint="eastAsia" w:ascii="Times New Roman" w:hAnsi="Times New Roman" w:eastAsia="方正仿宋_GBK" w:cs="Times New Roman"/>
          <w:strike w:val="0"/>
          <w:color w:val="auto"/>
          <w:sz w:val="32"/>
          <w:szCs w:val="32"/>
          <w:highlight w:val="none"/>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 xml:space="preserve"> </w:t>
      </w: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rPr>
        <w:t>加大宣传培训力度。各区（县）人民政府和各相关单位应加强装配式建筑的政策解读与指导工作，组织开展多角度、多层次的装配式建筑宣传培训和交流活动，提升行业从业人员能力素质和工作水平。</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b/>
          <w:bCs/>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 xml:space="preserve">  </w:t>
      </w: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此条要求为结合我市情况提出的装配式建筑工作要求，继续保留。</w:t>
      </w: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方正仿宋_GBK" w:cs="Times New Roman"/>
          <w:strike/>
          <w:dstrike w:val="0"/>
          <w:color w:val="auto"/>
          <w:sz w:val="32"/>
          <w:szCs w:val="32"/>
          <w:highlight w:val="none"/>
        </w:rPr>
      </w:pPr>
      <w:r>
        <w:rPr>
          <w:rFonts w:hint="eastAsia" w:ascii="Times New Roman" w:hAnsi="Times New Roman" w:eastAsia="方正仿宋_GBK" w:cs="Times New Roman"/>
          <w:strike/>
          <w:dstrike w:val="0"/>
          <w:color w:val="auto"/>
          <w:sz w:val="32"/>
          <w:szCs w:val="32"/>
          <w:highlight w:val="none"/>
        </w:rPr>
        <w:t>做好督促检查工作。充分发挥装配式建筑工作联席会议制度作用，组织召开联席会议，建立季度信息报送机制，开展装配式建筑检查工作，通报在立项、土地、规划、设计、施工等环节工作落实情况，推进我市装配式建筑健康发展。</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eastAsia="zh-CN"/>
        </w:rPr>
        <w:t>修订说明：</w:t>
      </w:r>
      <w:r>
        <w:rPr>
          <w:rFonts w:hint="eastAsia" w:ascii="Times New Roman" w:hAnsi="Times New Roman" w:eastAsia="方正仿宋_GBK" w:cs="Times New Roman"/>
          <w:b/>
          <w:bCs/>
          <w:color w:val="auto"/>
          <w:sz w:val="32"/>
          <w:szCs w:val="32"/>
          <w:highlight w:val="none"/>
          <w:lang w:val="en-US" w:eastAsia="zh-CN"/>
        </w:rPr>
        <w:t>目前</w:t>
      </w:r>
      <w:r>
        <w:rPr>
          <w:rFonts w:hint="eastAsia" w:ascii="Times New Roman" w:hAnsi="Times New Roman" w:eastAsia="方正仿宋_GBK" w:cs="Times New Roman"/>
          <w:b/>
          <w:bCs/>
          <w:color w:val="auto"/>
          <w:sz w:val="32"/>
          <w:szCs w:val="32"/>
          <w:highlight w:val="none"/>
          <w:lang w:eastAsia="zh-CN"/>
        </w:rPr>
        <w:t>装配式建筑工作联席会议制度已经取消，该条删除。</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cs="Times New Roman"/>
          <w:strike/>
          <w:dstrike w:val="0"/>
          <w:color w:val="auto"/>
          <w:sz w:val="32"/>
          <w:szCs w:val="32"/>
          <w:highlight w:val="none"/>
        </w:rPr>
      </w:pPr>
      <w:r>
        <w:rPr>
          <w:rFonts w:hint="eastAsia" w:ascii="Times New Roman" w:hAnsi="Times New Roman" w:eastAsia="方正仿宋_GBK" w:cs="Times New Roman"/>
          <w:strike/>
          <w:dstrike w:val="0"/>
          <w:color w:val="auto"/>
          <w:sz w:val="32"/>
          <w:szCs w:val="32"/>
          <w:highlight w:val="none"/>
        </w:rPr>
        <w:t>附件：装配式建筑装配率计算说明及评价等级划分</w:t>
      </w:r>
    </w:p>
    <w:p>
      <w:pPr>
        <w:adjustRightInd w:val="0"/>
        <w:snapToGrid w:val="0"/>
        <w:spacing w:line="560" w:lineRule="exact"/>
        <w:ind w:firstLine="480" w:firstLineChars="150"/>
        <w:rPr>
          <w:rFonts w:ascii="Times New Roman" w:hAnsi="Times New Roman" w:eastAsia="方正仿宋_GBK" w:cs="Times New Roman"/>
          <w:strike/>
          <w:dstrike w:val="0"/>
          <w:color w:val="auto"/>
          <w:sz w:val="32"/>
          <w:szCs w:val="32"/>
          <w:highlight w:val="none"/>
        </w:rPr>
      </w:pPr>
    </w:p>
    <w:p>
      <w:pPr>
        <w:adjustRightInd w:val="0"/>
        <w:snapToGrid w:val="0"/>
        <w:spacing w:line="560" w:lineRule="exact"/>
        <w:ind w:firstLine="480" w:firstLineChars="150"/>
        <w:rPr>
          <w:rFonts w:ascii="Times New Roman" w:hAnsi="Times New Roman" w:eastAsia="方正仿宋_GBK" w:cs="Times New Roman"/>
          <w:strike/>
          <w:dstrike w:val="0"/>
          <w:color w:val="auto"/>
          <w:sz w:val="32"/>
          <w:szCs w:val="32"/>
          <w:highlight w:val="none"/>
        </w:rPr>
      </w:pPr>
    </w:p>
    <w:p>
      <w:pPr>
        <w:spacing w:line="480" w:lineRule="exact"/>
        <w:rPr>
          <w:rFonts w:ascii="方正黑体_GBK" w:hAnsi="方正黑体_GBK" w:eastAsia="方正黑体_GBK" w:cs="方正黑体_GBK"/>
          <w:strike/>
          <w:dstrike w:val="0"/>
          <w:color w:val="auto"/>
          <w:sz w:val="32"/>
          <w:szCs w:val="32"/>
          <w:highlight w:val="none"/>
        </w:rPr>
      </w:pPr>
    </w:p>
    <w:p>
      <w:pPr>
        <w:spacing w:line="480" w:lineRule="exact"/>
        <w:rPr>
          <w:rFonts w:ascii="方正黑体_GBK" w:hAnsi="方正黑体_GBK" w:eastAsia="方正黑体_GBK" w:cs="方正黑体_GBK"/>
          <w:strike/>
          <w:dstrike w:val="0"/>
          <w:color w:val="auto"/>
          <w:sz w:val="32"/>
          <w:szCs w:val="32"/>
          <w:highlight w:val="none"/>
        </w:rPr>
      </w:pPr>
    </w:p>
    <w:p>
      <w:pPr>
        <w:spacing w:line="480" w:lineRule="exact"/>
        <w:rPr>
          <w:rFonts w:ascii="方正黑体_GBK" w:hAnsi="方正黑体_GBK" w:eastAsia="方正黑体_GBK" w:cs="方正黑体_GBK"/>
          <w:strike/>
          <w:dstrike w:val="0"/>
          <w:color w:val="auto"/>
          <w:sz w:val="32"/>
          <w:szCs w:val="32"/>
          <w:highlight w:val="none"/>
        </w:rPr>
      </w:pPr>
    </w:p>
    <w:p>
      <w:pPr>
        <w:spacing w:line="480" w:lineRule="exact"/>
        <w:rPr>
          <w:rFonts w:ascii="方正黑体_GBK" w:hAnsi="方正黑体_GBK" w:eastAsia="方正黑体_GBK" w:cs="方正黑体_GBK"/>
          <w:strike/>
          <w:dstrike w:val="0"/>
          <w:color w:val="auto"/>
          <w:sz w:val="32"/>
          <w:szCs w:val="32"/>
          <w:highlight w:val="none"/>
        </w:rPr>
      </w:pPr>
    </w:p>
    <w:p>
      <w:pPr>
        <w:spacing w:line="480" w:lineRule="exact"/>
        <w:rPr>
          <w:rFonts w:ascii="Times New Roman" w:hAnsi="Times New Roman" w:eastAsia="方正仿宋_GBK" w:cs="Times New Roman"/>
          <w:strike/>
          <w:dstrike w:val="0"/>
          <w:color w:val="auto"/>
          <w:sz w:val="32"/>
          <w:szCs w:val="32"/>
          <w:highlight w:val="none"/>
        </w:rPr>
      </w:pPr>
      <w:r>
        <w:rPr>
          <w:rFonts w:hint="eastAsia" w:ascii="方正黑体_GBK" w:hAnsi="方正黑体_GBK" w:eastAsia="方正黑体_GBK" w:cs="方正黑体_GBK"/>
          <w:strike/>
          <w:dstrike w:val="0"/>
          <w:color w:val="auto"/>
          <w:sz w:val="32"/>
          <w:szCs w:val="32"/>
          <w:highlight w:val="none"/>
        </w:rPr>
        <w:t>附件</w:t>
      </w:r>
      <w:bookmarkStart w:id="0" w:name="_Toc23334468"/>
      <w:bookmarkStart w:id="1" w:name="_Toc23334571"/>
    </w:p>
    <w:p>
      <w:pPr>
        <w:spacing w:before="240" w:after="60" w:line="320" w:lineRule="exact"/>
        <w:jc w:val="center"/>
        <w:outlineLvl w:val="0"/>
        <w:rPr>
          <w:rFonts w:ascii="方正小标宋_GBK" w:hAnsi="方正小标宋_GBK" w:eastAsia="方正小标宋_GBK" w:cs="方正小标宋_GBK"/>
          <w:strike/>
          <w:dstrike w:val="0"/>
          <w:color w:val="auto"/>
          <w:sz w:val="36"/>
          <w:szCs w:val="36"/>
          <w:highlight w:val="none"/>
        </w:rPr>
      </w:pPr>
      <w:r>
        <w:rPr>
          <w:rFonts w:hint="eastAsia" w:ascii="方正小标宋_GBK" w:hAnsi="方正小标宋_GBK" w:eastAsia="方正小标宋_GBK" w:cs="方正小标宋_GBK"/>
          <w:strike/>
          <w:dstrike w:val="0"/>
          <w:color w:val="auto"/>
          <w:sz w:val="36"/>
          <w:szCs w:val="36"/>
          <w:highlight w:val="none"/>
        </w:rPr>
        <w:t>装配式建筑装配率计算</w:t>
      </w:r>
      <w:bookmarkEnd w:id="0"/>
      <w:bookmarkEnd w:id="1"/>
      <w:r>
        <w:rPr>
          <w:rFonts w:hint="eastAsia" w:ascii="方正小标宋_GBK" w:hAnsi="方正小标宋_GBK" w:eastAsia="方正小标宋_GBK" w:cs="方正小标宋_GBK"/>
          <w:strike/>
          <w:dstrike w:val="0"/>
          <w:color w:val="auto"/>
          <w:sz w:val="36"/>
          <w:szCs w:val="36"/>
          <w:highlight w:val="none"/>
        </w:rPr>
        <w:t>说明及评价等级划分</w:t>
      </w:r>
    </w:p>
    <w:p>
      <w:pPr>
        <w:spacing w:line="300" w:lineRule="exact"/>
        <w:rPr>
          <w:rFonts w:ascii="Times New Roman" w:hAnsi="Times New Roman" w:eastAsia="宋体" w:cs="Times New Roman"/>
          <w:strike/>
          <w:dstrike w:val="0"/>
          <w:color w:val="auto"/>
          <w:szCs w:val="21"/>
          <w:highlight w:val="none"/>
        </w:rPr>
      </w:pPr>
    </w:p>
    <w:p>
      <w:pPr>
        <w:spacing w:line="400" w:lineRule="exact"/>
        <w:ind w:firstLine="640" w:firstLineChars="200"/>
        <w:rPr>
          <w:rFonts w:ascii="方正仿宋_GBK" w:hAnsi="Times New Roman" w:eastAsia="方正仿宋_GBK" w:cs="Times New Roman"/>
          <w:strike/>
          <w:dstrike w:val="0"/>
          <w:color w:val="auto"/>
          <w:sz w:val="32"/>
          <w:szCs w:val="32"/>
          <w:highlight w:val="none"/>
        </w:rPr>
      </w:pPr>
      <w:r>
        <w:rPr>
          <w:rFonts w:hint="eastAsia" w:ascii="方正仿宋_GBK" w:hAnsi="Times New Roman" w:eastAsia="方正仿宋_GBK" w:cs="Times New Roman"/>
          <w:strike/>
          <w:dstrike w:val="0"/>
          <w:color w:val="auto"/>
          <w:sz w:val="32"/>
          <w:szCs w:val="32"/>
          <w:highlight w:val="none"/>
        </w:rPr>
        <w:t>一、装配式建筑的装配率应根据《装配式建筑评分表》中评价项分值按下式计算：</w:t>
      </w:r>
    </w:p>
    <w:p>
      <w:pPr>
        <w:rPr>
          <w:rFonts w:ascii="Times New Roman" w:hAnsi="Times New Roman" w:eastAsia="宋体" w:cs="Times New Roman"/>
          <w:strike/>
          <w:dstrike w:val="0"/>
          <w:color w:val="auto"/>
          <w:sz w:val="28"/>
          <w:szCs w:val="28"/>
          <w:highlight w:val="none"/>
        </w:rPr>
      </w:pPr>
      <w:r>
        <w:rPr>
          <w:rFonts w:ascii="Times New Roman" w:hAnsi="Times New Roman" w:eastAsia="宋体" w:cs="Times New Roman"/>
          <w:strike/>
          <w:dstrike w:val="0"/>
          <w:color w:val="auto"/>
          <w:sz w:val="28"/>
          <w:szCs w:val="28"/>
          <w:highlight w:val="none"/>
        </w:rPr>
        <w:t xml:space="preserve">     </w:t>
      </w:r>
      <m:oMath>
        <m:r>
          <m:rPr>
            <m:sty m:val="p"/>
          </m:rPr>
          <w:rPr>
            <w:rFonts w:ascii="Cambria Math" w:hAnsi="Cambria Math" w:eastAsia="宋体" w:cs="Times New Roman"/>
            <w:strike/>
            <w:dstrike w:val="0"/>
            <w:color w:val="auto"/>
            <w:szCs w:val="21"/>
            <w:highlight w:val="none"/>
          </w:rPr>
          <m:t>P=</m:t>
        </m:r>
        <m:f>
          <m:fPr>
            <m:ctrlPr>
              <w:rPr>
                <w:rFonts w:ascii="Cambria Math" w:hAnsi="Cambria Math" w:eastAsia="宋体" w:cs="Times New Roman"/>
                <w:strike/>
                <w:dstrike w:val="0"/>
                <w:color w:val="auto"/>
                <w:szCs w:val="21"/>
                <w:highlight w:val="none"/>
              </w:rPr>
            </m:ctrlPr>
          </m:fPr>
          <m:num>
            <m:sSub>
              <m:sSubPr>
                <m:ctrlPr>
                  <w:rPr>
                    <w:rFonts w:ascii="Cambria Math" w:hAnsi="Cambria Math" w:eastAsia="宋体" w:cs="Times New Roman"/>
                    <w:strike/>
                    <w:dstrike w:val="0"/>
                    <w:color w:val="auto"/>
                    <w:szCs w:val="21"/>
                    <w:highlight w:val="none"/>
                  </w:rPr>
                </m:ctrlPr>
              </m:sSubPr>
              <m:e>
                <m:r>
                  <m:rPr>
                    <m:sty m:val="p"/>
                  </m:rPr>
                  <w:rPr>
                    <w:rFonts w:ascii="Cambria Math" w:hAnsi="Cambria Math" w:eastAsia="宋体" w:cs="Times New Roman"/>
                    <w:strike/>
                    <w:dstrike w:val="0"/>
                    <w:color w:val="auto"/>
                    <w:szCs w:val="21"/>
                    <w:highlight w:val="none"/>
                  </w:rPr>
                  <m:t>Q</m:t>
                </m:r>
                <m:ctrlPr>
                  <w:rPr>
                    <w:rFonts w:ascii="Cambria Math" w:hAnsi="Cambria Math" w:eastAsia="宋体" w:cs="Times New Roman"/>
                    <w:strike/>
                    <w:dstrike w:val="0"/>
                    <w:color w:val="auto"/>
                    <w:szCs w:val="21"/>
                    <w:highlight w:val="none"/>
                  </w:rPr>
                </m:ctrlPr>
              </m:e>
              <m:sub>
                <m:r>
                  <m:rPr>
                    <m:sty m:val="p"/>
                  </m:rPr>
                  <w:rPr>
                    <w:rFonts w:ascii="Cambria Math" w:hAnsi="Cambria Math" w:eastAsia="宋体" w:cs="Times New Roman"/>
                    <w:strike/>
                    <w:dstrike w:val="0"/>
                    <w:color w:val="auto"/>
                    <w:szCs w:val="21"/>
                    <w:highlight w:val="none"/>
                  </w:rPr>
                  <m:t>1</m:t>
                </m:r>
                <m:ctrlPr>
                  <w:rPr>
                    <w:rFonts w:ascii="Cambria Math" w:hAnsi="Cambria Math" w:eastAsia="宋体" w:cs="Times New Roman"/>
                    <w:strike/>
                    <w:dstrike w:val="0"/>
                    <w:color w:val="auto"/>
                    <w:szCs w:val="21"/>
                    <w:highlight w:val="none"/>
                  </w:rPr>
                </m:ctrlPr>
              </m:sub>
            </m:sSub>
            <m:r>
              <m:rPr>
                <m:sty m:val="p"/>
              </m:rPr>
              <w:rPr>
                <w:rFonts w:ascii="Cambria Math" w:hAnsi="Cambria Math" w:eastAsia="宋体" w:cs="Times New Roman"/>
                <w:strike/>
                <w:dstrike w:val="0"/>
                <w:color w:val="auto"/>
                <w:szCs w:val="21"/>
                <w:highlight w:val="none"/>
              </w:rPr>
              <m:t>+</m:t>
            </m:r>
            <m:sSub>
              <m:sSubPr>
                <m:ctrlPr>
                  <w:rPr>
                    <w:rFonts w:ascii="Cambria Math" w:hAnsi="Cambria Math" w:eastAsia="宋体" w:cs="Times New Roman"/>
                    <w:strike/>
                    <w:dstrike w:val="0"/>
                    <w:color w:val="auto"/>
                    <w:szCs w:val="21"/>
                    <w:highlight w:val="none"/>
                  </w:rPr>
                </m:ctrlPr>
              </m:sSubPr>
              <m:e>
                <m:r>
                  <m:rPr>
                    <m:sty m:val="p"/>
                  </m:rPr>
                  <w:rPr>
                    <w:rFonts w:ascii="Cambria Math" w:hAnsi="Cambria Math" w:eastAsia="宋体" w:cs="Times New Roman"/>
                    <w:strike/>
                    <w:dstrike w:val="0"/>
                    <w:color w:val="auto"/>
                    <w:szCs w:val="21"/>
                    <w:highlight w:val="none"/>
                  </w:rPr>
                  <m:t>Q</m:t>
                </m:r>
                <m:ctrlPr>
                  <w:rPr>
                    <w:rFonts w:ascii="Cambria Math" w:hAnsi="Cambria Math" w:eastAsia="宋体" w:cs="Times New Roman"/>
                    <w:strike/>
                    <w:dstrike w:val="0"/>
                    <w:color w:val="auto"/>
                    <w:szCs w:val="21"/>
                    <w:highlight w:val="none"/>
                  </w:rPr>
                </m:ctrlPr>
              </m:e>
              <m:sub>
                <m:r>
                  <m:rPr>
                    <m:sty m:val="p"/>
                  </m:rPr>
                  <w:rPr>
                    <w:rFonts w:ascii="Cambria Math" w:hAnsi="Cambria Math" w:eastAsia="宋体" w:cs="Times New Roman"/>
                    <w:strike/>
                    <w:dstrike w:val="0"/>
                    <w:color w:val="auto"/>
                    <w:szCs w:val="21"/>
                    <w:highlight w:val="none"/>
                  </w:rPr>
                  <m:t>2</m:t>
                </m:r>
                <m:ctrlPr>
                  <w:rPr>
                    <w:rFonts w:ascii="Cambria Math" w:hAnsi="Cambria Math" w:eastAsia="宋体" w:cs="Times New Roman"/>
                    <w:strike/>
                    <w:dstrike w:val="0"/>
                    <w:color w:val="auto"/>
                    <w:szCs w:val="21"/>
                    <w:highlight w:val="none"/>
                  </w:rPr>
                </m:ctrlPr>
              </m:sub>
            </m:sSub>
            <m:r>
              <m:rPr>
                <m:sty m:val="p"/>
              </m:rPr>
              <w:rPr>
                <w:rFonts w:ascii="Cambria Math" w:hAnsi="Cambria Math" w:eastAsia="宋体" w:cs="Times New Roman"/>
                <w:strike/>
                <w:dstrike w:val="0"/>
                <w:color w:val="auto"/>
                <w:szCs w:val="21"/>
                <w:highlight w:val="none"/>
              </w:rPr>
              <m:t>+</m:t>
            </m:r>
            <m:sSub>
              <m:sSubPr>
                <m:ctrlPr>
                  <w:rPr>
                    <w:rFonts w:ascii="Cambria Math" w:hAnsi="Cambria Math" w:eastAsia="宋体" w:cs="Times New Roman"/>
                    <w:strike/>
                    <w:dstrike w:val="0"/>
                    <w:color w:val="auto"/>
                    <w:szCs w:val="21"/>
                    <w:highlight w:val="none"/>
                  </w:rPr>
                </m:ctrlPr>
              </m:sSubPr>
              <m:e>
                <m:r>
                  <m:rPr>
                    <m:sty m:val="p"/>
                  </m:rPr>
                  <w:rPr>
                    <w:rFonts w:ascii="Cambria Math" w:hAnsi="Cambria Math" w:eastAsia="宋体" w:cs="Times New Roman"/>
                    <w:strike/>
                    <w:dstrike w:val="0"/>
                    <w:color w:val="auto"/>
                    <w:szCs w:val="21"/>
                    <w:highlight w:val="none"/>
                  </w:rPr>
                  <m:t>Q</m:t>
                </m:r>
                <m:ctrlPr>
                  <w:rPr>
                    <w:rFonts w:ascii="Cambria Math" w:hAnsi="Cambria Math" w:eastAsia="宋体" w:cs="Times New Roman"/>
                    <w:strike/>
                    <w:dstrike w:val="0"/>
                    <w:color w:val="auto"/>
                    <w:szCs w:val="21"/>
                    <w:highlight w:val="none"/>
                  </w:rPr>
                </m:ctrlPr>
              </m:e>
              <m:sub>
                <m:r>
                  <m:rPr>
                    <m:sty m:val="p"/>
                  </m:rPr>
                  <w:rPr>
                    <w:rFonts w:ascii="Cambria Math" w:hAnsi="Cambria Math" w:eastAsia="宋体" w:cs="Times New Roman"/>
                    <w:strike/>
                    <w:dstrike w:val="0"/>
                    <w:color w:val="auto"/>
                    <w:szCs w:val="21"/>
                    <w:highlight w:val="none"/>
                  </w:rPr>
                  <m:t>3</m:t>
                </m:r>
                <m:ctrlPr>
                  <w:rPr>
                    <w:rFonts w:ascii="Cambria Math" w:hAnsi="Cambria Math" w:eastAsia="宋体" w:cs="Times New Roman"/>
                    <w:strike/>
                    <w:dstrike w:val="0"/>
                    <w:color w:val="auto"/>
                    <w:szCs w:val="21"/>
                    <w:highlight w:val="none"/>
                  </w:rPr>
                </m:ctrlPr>
              </m:sub>
            </m:sSub>
            <m:r>
              <m:rPr>
                <m:sty m:val="p"/>
              </m:rPr>
              <w:rPr>
                <w:rFonts w:ascii="Cambria Math" w:hAnsi="Cambria Math" w:eastAsia="宋体" w:cs="Times New Roman"/>
                <w:strike/>
                <w:dstrike w:val="0"/>
                <w:color w:val="auto"/>
                <w:szCs w:val="21"/>
                <w:highlight w:val="none"/>
              </w:rPr>
              <m:t xml:space="preserve">    </m:t>
            </m:r>
            <m:ctrlPr>
              <w:rPr>
                <w:rFonts w:ascii="Cambria Math" w:hAnsi="Cambria Math" w:eastAsia="宋体" w:cs="Times New Roman"/>
                <w:strike/>
                <w:dstrike w:val="0"/>
                <w:color w:val="auto"/>
                <w:szCs w:val="21"/>
                <w:highlight w:val="none"/>
              </w:rPr>
            </m:ctrlPr>
          </m:num>
          <m:den>
            <m:r>
              <m:rPr>
                <m:sty m:val="p"/>
              </m:rPr>
              <w:rPr>
                <w:rFonts w:ascii="Cambria Math" w:hAnsi="Cambria Math" w:eastAsia="宋体" w:cs="Times New Roman"/>
                <w:strike/>
                <w:dstrike w:val="0"/>
                <w:color w:val="auto"/>
                <w:szCs w:val="21"/>
                <w:highlight w:val="none"/>
              </w:rPr>
              <m:t>100−</m:t>
            </m:r>
            <m:sSub>
              <m:sSubPr>
                <m:ctrlPr>
                  <w:rPr>
                    <w:rFonts w:ascii="Cambria Math" w:hAnsi="Cambria Math" w:eastAsia="宋体" w:cs="Times New Roman"/>
                    <w:strike/>
                    <w:dstrike w:val="0"/>
                    <w:color w:val="auto"/>
                    <w:szCs w:val="21"/>
                    <w:highlight w:val="none"/>
                  </w:rPr>
                </m:ctrlPr>
              </m:sSubPr>
              <m:e>
                <m:r>
                  <m:rPr>
                    <m:sty m:val="p"/>
                  </m:rPr>
                  <w:rPr>
                    <w:rFonts w:ascii="Cambria Math" w:hAnsi="Cambria Math" w:eastAsia="宋体" w:cs="Times New Roman"/>
                    <w:strike/>
                    <w:dstrike w:val="0"/>
                    <w:color w:val="auto"/>
                    <w:szCs w:val="21"/>
                    <w:highlight w:val="none"/>
                  </w:rPr>
                  <m:t>Q</m:t>
                </m:r>
                <m:ctrlPr>
                  <w:rPr>
                    <w:rFonts w:ascii="Cambria Math" w:hAnsi="Cambria Math" w:eastAsia="宋体" w:cs="Times New Roman"/>
                    <w:strike/>
                    <w:dstrike w:val="0"/>
                    <w:color w:val="auto"/>
                    <w:szCs w:val="21"/>
                    <w:highlight w:val="none"/>
                  </w:rPr>
                </m:ctrlPr>
              </m:e>
              <m:sub>
                <m:r>
                  <m:rPr>
                    <m:sty m:val="p"/>
                  </m:rPr>
                  <w:rPr>
                    <w:rFonts w:ascii="Cambria Math" w:hAnsi="Cambria Math" w:eastAsia="宋体" w:cs="Times New Roman"/>
                    <w:strike/>
                    <w:dstrike w:val="0"/>
                    <w:color w:val="auto"/>
                    <w:szCs w:val="21"/>
                    <w:highlight w:val="none"/>
                  </w:rPr>
                  <m:t>4</m:t>
                </m:r>
                <m:ctrlPr>
                  <w:rPr>
                    <w:rFonts w:ascii="Cambria Math" w:hAnsi="Cambria Math" w:eastAsia="宋体" w:cs="Times New Roman"/>
                    <w:strike/>
                    <w:dstrike w:val="0"/>
                    <w:color w:val="auto"/>
                    <w:szCs w:val="21"/>
                    <w:highlight w:val="none"/>
                  </w:rPr>
                </m:ctrlPr>
              </m:sub>
            </m:sSub>
            <m:ctrlPr>
              <w:rPr>
                <w:rFonts w:ascii="Cambria Math" w:hAnsi="Cambria Math" w:eastAsia="宋体" w:cs="Times New Roman"/>
                <w:strike/>
                <w:dstrike w:val="0"/>
                <w:color w:val="auto"/>
                <w:szCs w:val="21"/>
                <w:highlight w:val="none"/>
              </w:rPr>
            </m:ctrlPr>
          </m:den>
        </m:f>
        <m:r>
          <m:rPr>
            <m:sty m:val="p"/>
          </m:rPr>
          <w:rPr>
            <w:rFonts w:ascii="Cambria Math" w:hAnsi="Cambria Math" w:eastAsia="宋体" w:cs="Times New Roman"/>
            <w:strike/>
            <w:dstrike w:val="0"/>
            <w:color w:val="auto"/>
            <w:szCs w:val="21"/>
            <w:highlight w:val="none"/>
          </w:rPr>
          <m:t>×100%+</m:t>
        </m:r>
        <m:f>
          <m:fPr>
            <m:ctrlPr>
              <w:rPr>
                <w:rFonts w:ascii="Cambria Math" w:hAnsi="Cambria Math" w:eastAsia="宋体" w:cs="Times New Roman"/>
                <w:strike/>
                <w:dstrike w:val="0"/>
                <w:color w:val="auto"/>
                <w:szCs w:val="21"/>
                <w:highlight w:val="none"/>
              </w:rPr>
            </m:ctrlPr>
          </m:fPr>
          <m:num>
            <m:sSub>
              <m:sSubPr>
                <m:ctrlPr>
                  <w:rPr>
                    <w:rFonts w:ascii="Cambria Math" w:hAnsi="Cambria Math" w:eastAsia="宋体" w:cs="Times New Roman"/>
                    <w:strike/>
                    <w:dstrike w:val="0"/>
                    <w:color w:val="auto"/>
                    <w:szCs w:val="21"/>
                    <w:highlight w:val="none"/>
                  </w:rPr>
                </m:ctrlPr>
              </m:sSubPr>
              <m:e>
                <m:r>
                  <m:rPr>
                    <m:sty m:val="p"/>
                  </m:rPr>
                  <w:rPr>
                    <w:rFonts w:ascii="Cambria Math" w:hAnsi="Cambria Math" w:eastAsia="宋体" w:cs="Times New Roman"/>
                    <w:strike/>
                    <w:dstrike w:val="0"/>
                    <w:color w:val="auto"/>
                    <w:szCs w:val="21"/>
                    <w:highlight w:val="none"/>
                  </w:rPr>
                  <m:t>Q</m:t>
                </m:r>
                <m:ctrlPr>
                  <w:rPr>
                    <w:rFonts w:ascii="Cambria Math" w:hAnsi="Cambria Math" w:eastAsia="宋体" w:cs="Times New Roman"/>
                    <w:strike/>
                    <w:dstrike w:val="0"/>
                    <w:color w:val="auto"/>
                    <w:szCs w:val="21"/>
                    <w:highlight w:val="none"/>
                  </w:rPr>
                </m:ctrlPr>
              </m:e>
              <m:sub>
                <m:r>
                  <m:rPr>
                    <m:sty m:val="p"/>
                  </m:rPr>
                  <w:rPr>
                    <w:rFonts w:ascii="Cambria Math" w:hAnsi="Cambria Math" w:eastAsia="宋体" w:cs="Times New Roman"/>
                    <w:strike/>
                    <w:dstrike w:val="0"/>
                    <w:color w:val="auto"/>
                    <w:szCs w:val="21"/>
                    <w:highlight w:val="none"/>
                  </w:rPr>
                  <m:t>5</m:t>
                </m:r>
                <m:ctrlPr>
                  <w:rPr>
                    <w:rFonts w:ascii="Cambria Math" w:hAnsi="Cambria Math" w:eastAsia="宋体" w:cs="Times New Roman"/>
                    <w:strike/>
                    <w:dstrike w:val="0"/>
                    <w:color w:val="auto"/>
                    <w:szCs w:val="21"/>
                    <w:highlight w:val="none"/>
                  </w:rPr>
                </m:ctrlPr>
              </m:sub>
            </m:sSub>
            <m:r>
              <m:rPr>
                <m:sty m:val="p"/>
              </m:rPr>
              <w:rPr>
                <w:rFonts w:ascii="Cambria Math" w:hAnsi="Cambria Math" w:eastAsia="宋体" w:cs="Times New Roman"/>
                <w:strike/>
                <w:dstrike w:val="0"/>
                <w:color w:val="auto"/>
                <w:szCs w:val="21"/>
                <w:highlight w:val="none"/>
              </w:rPr>
              <m:t xml:space="preserve">  </m:t>
            </m:r>
            <m:ctrlPr>
              <w:rPr>
                <w:rFonts w:ascii="Cambria Math" w:hAnsi="Cambria Math" w:eastAsia="宋体" w:cs="Times New Roman"/>
                <w:strike/>
                <w:dstrike w:val="0"/>
                <w:color w:val="auto"/>
                <w:szCs w:val="21"/>
                <w:highlight w:val="none"/>
              </w:rPr>
            </m:ctrlPr>
          </m:num>
          <m:den>
            <m:r>
              <m:rPr>
                <m:sty m:val="p"/>
              </m:rPr>
              <w:rPr>
                <w:rFonts w:ascii="Cambria Math" w:hAnsi="Cambria Math" w:eastAsia="宋体" w:cs="Times New Roman"/>
                <w:strike/>
                <w:dstrike w:val="0"/>
                <w:color w:val="auto"/>
                <w:szCs w:val="21"/>
                <w:highlight w:val="none"/>
              </w:rPr>
              <m:t>100</m:t>
            </m:r>
            <m:ctrlPr>
              <w:rPr>
                <w:rFonts w:ascii="Cambria Math" w:hAnsi="Cambria Math" w:eastAsia="宋体" w:cs="Times New Roman"/>
                <w:strike/>
                <w:dstrike w:val="0"/>
                <w:color w:val="auto"/>
                <w:szCs w:val="21"/>
                <w:highlight w:val="none"/>
              </w:rPr>
            </m:ctrlPr>
          </m:den>
        </m:f>
        <m:r>
          <m:rPr>
            <m:sty m:val="p"/>
          </m:rPr>
          <w:rPr>
            <w:rFonts w:ascii="Cambria Math" w:hAnsi="Cambria Math" w:eastAsia="宋体" w:cs="Times New Roman"/>
            <w:strike/>
            <w:dstrike w:val="0"/>
            <w:color w:val="auto"/>
            <w:szCs w:val="21"/>
            <w:highlight w:val="none"/>
          </w:rPr>
          <m:t>×100%</m:t>
        </m:r>
      </m:oMath>
    </w:p>
    <w:p>
      <w:pPr>
        <w:adjustRightInd w:val="0"/>
        <w:spacing w:line="400" w:lineRule="exact"/>
        <w:ind w:left="1119" w:leftChars="333" w:hanging="420" w:hangingChars="150"/>
        <w:jc w:val="left"/>
        <w:rPr>
          <w:rFonts w:ascii="Times New Roman" w:hAnsi="Times New Roman" w:eastAsia="方正仿宋_GBK" w:cs="Times New Roman"/>
          <w:strike/>
          <w:dstrike w:val="0"/>
          <w:color w:val="auto"/>
          <w:sz w:val="28"/>
          <w:szCs w:val="28"/>
          <w:highlight w:val="none"/>
        </w:rPr>
      </w:pPr>
      <w:r>
        <w:rPr>
          <w:rFonts w:ascii="Times New Roman" w:hAnsi="Times New Roman" w:eastAsia="方正仿宋_GBK" w:cs="Times New Roman"/>
          <w:strike/>
          <w:dstrike w:val="0"/>
          <w:color w:val="auto"/>
          <w:sz w:val="28"/>
          <w:szCs w:val="28"/>
          <w:highlight w:val="none"/>
        </w:rPr>
        <w:t>式中：P──装配率；</w:t>
      </w:r>
    </w:p>
    <w:p>
      <w:pPr>
        <w:spacing w:line="400" w:lineRule="exact"/>
        <w:ind w:firstLine="1540" w:firstLineChars="550"/>
        <w:rPr>
          <w:rFonts w:ascii="Times New Roman" w:hAnsi="Times New Roman" w:eastAsia="方正仿宋_GBK" w:cs="Times New Roman"/>
          <w:strike/>
          <w:dstrike w:val="0"/>
          <w:color w:val="auto"/>
          <w:sz w:val="28"/>
          <w:szCs w:val="28"/>
          <w:highlight w:val="none"/>
        </w:rPr>
      </w:pPr>
      <w:r>
        <w:rPr>
          <w:rFonts w:ascii="Times New Roman" w:hAnsi="Times New Roman" w:eastAsia="方正仿宋_GBK" w:cs="Times New Roman"/>
          <w:strike/>
          <w:dstrike w:val="0"/>
          <w:color w:val="auto"/>
          <w:sz w:val="28"/>
          <w:szCs w:val="28"/>
          <w:highlight w:val="none"/>
        </w:rPr>
        <w:t>Q1──主体结构指标实际得分值；</w:t>
      </w:r>
    </w:p>
    <w:p>
      <w:pPr>
        <w:spacing w:line="400" w:lineRule="exact"/>
        <w:ind w:firstLine="1540" w:firstLineChars="550"/>
        <w:rPr>
          <w:rFonts w:ascii="Times New Roman" w:hAnsi="Times New Roman" w:eastAsia="方正仿宋_GBK" w:cs="Times New Roman"/>
          <w:strike/>
          <w:dstrike w:val="0"/>
          <w:color w:val="auto"/>
          <w:sz w:val="28"/>
          <w:szCs w:val="28"/>
          <w:highlight w:val="none"/>
        </w:rPr>
      </w:pPr>
      <w:r>
        <w:rPr>
          <w:rFonts w:ascii="Times New Roman" w:hAnsi="Times New Roman" w:eastAsia="方正仿宋_GBK" w:cs="Times New Roman"/>
          <w:strike/>
          <w:dstrike w:val="0"/>
          <w:color w:val="auto"/>
          <w:sz w:val="28"/>
          <w:szCs w:val="28"/>
          <w:highlight w:val="none"/>
        </w:rPr>
        <w:t>Q2──围护墙和内隔墙指标实际得分值；</w:t>
      </w:r>
    </w:p>
    <w:p>
      <w:pPr>
        <w:spacing w:line="400" w:lineRule="exact"/>
        <w:ind w:firstLine="1540" w:firstLineChars="550"/>
        <w:rPr>
          <w:rFonts w:ascii="Times New Roman" w:hAnsi="Times New Roman" w:eastAsia="方正仿宋_GBK" w:cs="Times New Roman"/>
          <w:strike/>
          <w:dstrike w:val="0"/>
          <w:color w:val="auto"/>
          <w:sz w:val="28"/>
          <w:szCs w:val="28"/>
          <w:highlight w:val="none"/>
        </w:rPr>
      </w:pPr>
      <w:r>
        <w:rPr>
          <w:rFonts w:ascii="Times New Roman" w:hAnsi="Times New Roman" w:eastAsia="方正仿宋_GBK" w:cs="Times New Roman"/>
          <w:strike/>
          <w:dstrike w:val="0"/>
          <w:color w:val="auto"/>
          <w:sz w:val="28"/>
          <w:szCs w:val="28"/>
          <w:highlight w:val="none"/>
        </w:rPr>
        <w:t>Q3──装修与设备管线指标实际得分值；</w:t>
      </w:r>
    </w:p>
    <w:p>
      <w:pPr>
        <w:spacing w:line="400" w:lineRule="exact"/>
        <w:ind w:firstLine="1540" w:firstLineChars="550"/>
        <w:rPr>
          <w:rFonts w:ascii="Times New Roman" w:hAnsi="Times New Roman" w:eastAsia="方正仿宋_GBK" w:cs="Times New Roman"/>
          <w:strike/>
          <w:dstrike w:val="0"/>
          <w:color w:val="auto"/>
          <w:sz w:val="28"/>
          <w:szCs w:val="28"/>
          <w:highlight w:val="none"/>
        </w:rPr>
      </w:pPr>
      <w:r>
        <w:rPr>
          <w:rFonts w:ascii="Times New Roman" w:hAnsi="Times New Roman" w:eastAsia="方正仿宋_GBK" w:cs="Times New Roman"/>
          <w:strike/>
          <w:dstrike w:val="0"/>
          <w:color w:val="auto"/>
          <w:sz w:val="28"/>
          <w:szCs w:val="28"/>
          <w:highlight w:val="none"/>
        </w:rPr>
        <w:t>Q4──评价项目中缺少的评价项分值总和；</w:t>
      </w:r>
    </w:p>
    <w:p>
      <w:pPr>
        <w:spacing w:line="400" w:lineRule="exact"/>
        <w:ind w:firstLine="1540" w:firstLineChars="550"/>
        <w:rPr>
          <w:rFonts w:ascii="Times New Roman" w:hAnsi="Times New Roman" w:eastAsia="方正仿宋_GBK" w:cs="Times New Roman"/>
          <w:strike/>
          <w:dstrike w:val="0"/>
          <w:color w:val="auto"/>
          <w:sz w:val="28"/>
          <w:szCs w:val="28"/>
          <w:highlight w:val="none"/>
        </w:rPr>
      </w:pPr>
      <w:r>
        <w:rPr>
          <w:rFonts w:ascii="Times New Roman" w:hAnsi="Times New Roman" w:eastAsia="方正仿宋_GBK" w:cs="Times New Roman"/>
          <w:strike/>
          <w:dstrike w:val="0"/>
          <w:color w:val="auto"/>
          <w:sz w:val="28"/>
          <w:szCs w:val="28"/>
          <w:highlight w:val="none"/>
        </w:rPr>
        <w:t>Q5──加分项指标实际得分值。</w:t>
      </w:r>
    </w:p>
    <w:p>
      <w:pPr>
        <w:spacing w:line="320" w:lineRule="exact"/>
        <w:ind w:firstLine="1400" w:firstLineChars="500"/>
        <w:rPr>
          <w:rFonts w:ascii="Times New Roman" w:hAnsi="Times New Roman" w:eastAsia="宋体" w:cs="Times New Roman"/>
          <w:strike/>
          <w:dstrike w:val="0"/>
          <w:color w:val="auto"/>
          <w:sz w:val="28"/>
          <w:szCs w:val="28"/>
          <w:highlight w:val="none"/>
        </w:rPr>
      </w:pPr>
    </w:p>
    <w:p>
      <w:pPr>
        <w:spacing w:line="320" w:lineRule="exact"/>
        <w:jc w:val="center"/>
        <w:rPr>
          <w:rFonts w:ascii="Times New Roman" w:hAnsi="Times New Roman" w:eastAsia="黑体" w:cs="Times New Roman"/>
          <w:bCs/>
          <w:strike/>
          <w:dstrike w:val="0"/>
          <w:color w:val="auto"/>
          <w:sz w:val="28"/>
          <w:szCs w:val="28"/>
          <w:highlight w:val="none"/>
        </w:rPr>
      </w:pPr>
      <w:r>
        <w:rPr>
          <w:rFonts w:ascii="Times New Roman" w:hAnsi="Times New Roman" w:eastAsia="黑体" w:cs="Times New Roman"/>
          <w:bCs/>
          <w:strike/>
          <w:dstrike w:val="0"/>
          <w:color w:val="auto"/>
          <w:sz w:val="28"/>
          <w:szCs w:val="28"/>
          <w:highlight w:val="none"/>
        </w:rPr>
        <w:t xml:space="preserve"> 装配式建筑评分表</w:t>
      </w:r>
    </w:p>
    <w:tbl>
      <w:tblPr>
        <w:tblStyle w:val="5"/>
        <w:tblW w:w="8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930"/>
        <w:gridCol w:w="1045"/>
        <w:gridCol w:w="1232"/>
        <w:gridCol w:w="567"/>
        <w:gridCol w:w="1675"/>
        <w:gridCol w:w="495"/>
        <w:gridCol w:w="630"/>
        <w:gridCol w:w="1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序号</w:t>
            </w:r>
          </w:p>
        </w:tc>
        <w:tc>
          <w:tcPr>
            <w:tcW w:w="320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b/>
                <w:strike/>
                <w:dstrike w:val="0"/>
                <w:color w:val="auto"/>
                <w:szCs w:val="21"/>
                <w:highlight w:val="none"/>
              </w:rPr>
            </w:pPr>
            <w:r>
              <w:rPr>
                <w:rFonts w:ascii="Times New Roman" w:hAnsi="Times New Roman" w:eastAsia="宋体" w:cs="Times New Roman"/>
                <w:b/>
                <w:strike/>
                <w:dstrike w:val="0"/>
                <w:color w:val="auto"/>
                <w:szCs w:val="21"/>
                <w:highlight w:val="none"/>
              </w:rPr>
              <w:t>评价项</w:t>
            </w:r>
          </w:p>
        </w:tc>
        <w:tc>
          <w:tcPr>
            <w:tcW w:w="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b/>
                <w:strike/>
                <w:dstrike w:val="0"/>
                <w:color w:val="auto"/>
                <w:szCs w:val="21"/>
                <w:highlight w:val="none"/>
              </w:rPr>
            </w:pPr>
            <w:r>
              <w:rPr>
                <w:rFonts w:ascii="Times New Roman" w:hAnsi="Times New Roman" w:eastAsia="宋体" w:cs="Times New Roman"/>
                <w:b/>
                <w:strike/>
                <w:dstrike w:val="0"/>
                <w:color w:val="auto"/>
                <w:szCs w:val="21"/>
                <w:highlight w:val="none"/>
              </w:rPr>
              <w:t>权重分值</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b/>
                <w:strike/>
                <w:dstrike w:val="0"/>
                <w:color w:val="auto"/>
                <w:szCs w:val="21"/>
                <w:highlight w:val="none"/>
              </w:rPr>
            </w:pPr>
            <w:r>
              <w:rPr>
                <w:rFonts w:ascii="Times New Roman" w:hAnsi="Times New Roman" w:eastAsia="宋体" w:cs="Times New Roman"/>
                <w:b/>
                <w:strike/>
                <w:dstrike w:val="0"/>
                <w:color w:val="auto"/>
                <w:szCs w:val="21"/>
                <w:highlight w:val="none"/>
              </w:rPr>
              <w:t>评价要求</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b/>
                <w:strike/>
                <w:dstrike w:val="0"/>
                <w:color w:val="auto"/>
                <w:szCs w:val="21"/>
                <w:highlight w:val="none"/>
              </w:rPr>
            </w:pPr>
            <w:r>
              <w:rPr>
                <w:rFonts w:ascii="Times New Roman" w:hAnsi="Times New Roman" w:eastAsia="宋体" w:cs="Times New Roman"/>
                <w:b/>
                <w:strike/>
                <w:dstrike w:val="0"/>
                <w:color w:val="auto"/>
                <w:szCs w:val="21"/>
                <w:highlight w:val="none"/>
              </w:rPr>
              <w:t>评价分值</w:t>
            </w:r>
          </w:p>
        </w:tc>
        <w:tc>
          <w:tcPr>
            <w:tcW w:w="1157" w:type="dxa"/>
            <w:tcBorders>
              <w:top w:val="single" w:color="auto" w:sz="4" w:space="0"/>
              <w:left w:val="single" w:color="auto" w:sz="4" w:space="0"/>
              <w:bottom w:val="single" w:color="auto" w:sz="4" w:space="0"/>
              <w:right w:val="single" w:color="auto" w:sz="4" w:space="0"/>
            </w:tcBorders>
            <w:vAlign w:val="center"/>
          </w:tcPr>
          <w:p>
            <w:pPr>
              <w:spacing w:line="240" w:lineRule="exact"/>
              <w:ind w:right="414" w:rightChars="197"/>
              <w:jc w:val="center"/>
              <w:rPr>
                <w:rFonts w:ascii="Times New Roman" w:hAnsi="Times New Roman" w:eastAsia="宋体" w:cs="Times New Roman"/>
                <w:b/>
                <w:strike/>
                <w:dstrike w:val="0"/>
                <w:color w:val="auto"/>
                <w:szCs w:val="21"/>
                <w:highlight w:val="none"/>
              </w:rPr>
            </w:pPr>
            <w:r>
              <w:rPr>
                <w:rFonts w:hint="eastAsia" w:ascii="Times New Roman" w:hAnsi="Times New Roman" w:eastAsia="宋体" w:cs="Times New Roman"/>
                <w:b/>
                <w:strike/>
                <w:dstrike w:val="0"/>
                <w:color w:val="auto"/>
                <w:szCs w:val="21"/>
                <w:highlight w:val="none"/>
              </w:rPr>
              <w:t xml:space="preserve"> </w:t>
            </w:r>
            <w:r>
              <w:rPr>
                <w:rFonts w:ascii="Times New Roman" w:hAnsi="Times New Roman" w:eastAsia="宋体" w:cs="Times New Roman"/>
                <w:b/>
                <w:strike/>
                <w:dstrike w:val="0"/>
                <w:color w:val="auto"/>
                <w:szCs w:val="21"/>
                <w:highlight w:val="none"/>
              </w:rPr>
              <w:t>最低分值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1</w:t>
            </w:r>
          </w:p>
        </w:tc>
        <w:tc>
          <w:tcPr>
            <w:tcW w:w="93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主体结构（</w:t>
            </w:r>
            <w:r>
              <w:rPr>
                <w:rFonts w:ascii="Times New Roman" w:hAnsi="Times New Roman" w:eastAsia="宋体" w:cs="Times New Roman"/>
                <w:i/>
                <w:strike/>
                <w:dstrike w:val="0"/>
                <w:color w:val="auto"/>
                <w:szCs w:val="21"/>
                <w:highlight w:val="none"/>
              </w:rPr>
              <w:t>Q</w:t>
            </w:r>
            <w:r>
              <w:rPr>
                <w:rFonts w:ascii="Times New Roman" w:hAnsi="Times New Roman" w:eastAsia="宋体" w:cs="Times New Roman"/>
                <w:i/>
                <w:strike/>
                <w:dstrike w:val="0"/>
                <w:color w:val="auto"/>
                <w:szCs w:val="21"/>
                <w:highlight w:val="none"/>
                <w:vertAlign w:val="subscript"/>
              </w:rPr>
              <w:t>1</w:t>
            </w:r>
            <w:r>
              <w:rPr>
                <w:rFonts w:ascii="Times New Roman" w:hAnsi="Times New Roman" w:eastAsia="宋体" w:cs="Times New Roman"/>
                <w:strike/>
                <w:dstrike w:val="0"/>
                <w:color w:val="auto"/>
                <w:szCs w:val="21"/>
                <w:highlight w:val="none"/>
              </w:rPr>
              <w:t>）</w:t>
            </w:r>
          </w:p>
        </w:tc>
        <w:tc>
          <w:tcPr>
            <w:tcW w:w="2277"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柱、支撑、承重墙</w:t>
            </w:r>
          </w:p>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、延性墙板等竖向构件</w:t>
            </w:r>
          </w:p>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(采用高精度模板施工工艺)</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30</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35%≤比例≤80%</w:t>
            </w:r>
          </w:p>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（比例＜90%）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20~30</w:t>
            </w:r>
            <w:r>
              <w:rPr>
                <w:rFonts w:ascii="Times New Roman" w:hAnsi="Times New Roman" w:eastAsia="宋体" w:cs="Times New Roman"/>
                <w:strike/>
                <w:dstrike w:val="0"/>
                <w:color w:val="auto"/>
                <w:szCs w:val="21"/>
                <w:highlight w:val="none"/>
                <w:vertAlign w:val="superscript"/>
              </w:rPr>
              <w:t>*</w:t>
            </w:r>
          </w:p>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(0)</w:t>
            </w:r>
          </w:p>
        </w:tc>
        <w:tc>
          <w:tcPr>
            <w:tcW w:w="1157" w:type="dxa"/>
            <w:vMerge w:val="restart"/>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20</w:t>
            </w:r>
          </w:p>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93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比例＞80%</w:t>
            </w:r>
          </w:p>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（比例≥90%）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30</w:t>
            </w:r>
          </w:p>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（24）</w:t>
            </w: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2</w:t>
            </w:r>
          </w:p>
        </w:tc>
        <w:tc>
          <w:tcPr>
            <w:tcW w:w="93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梁、板、楼梯、阳台、空调板等构件</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20</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70%≤比例≤80%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10~20</w:t>
            </w:r>
            <w:r>
              <w:rPr>
                <w:rFonts w:ascii="Times New Roman" w:hAnsi="Times New Roman" w:eastAsia="宋体" w:cs="Times New Roman"/>
                <w:strike/>
                <w:dstrike w:val="0"/>
                <w:color w:val="auto"/>
                <w:szCs w:val="21"/>
                <w:highlight w:val="none"/>
                <w:vertAlign w:val="superscript"/>
              </w:rPr>
              <w:t>*</w:t>
            </w: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93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比例＞80%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20</w:t>
            </w:r>
          </w:p>
        </w:tc>
        <w:tc>
          <w:tcPr>
            <w:tcW w:w="1157" w:type="dxa"/>
            <w:vMerge w:val="continue"/>
            <w:tcBorders>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3</w:t>
            </w:r>
          </w:p>
        </w:tc>
        <w:tc>
          <w:tcPr>
            <w:tcW w:w="930" w:type="dxa"/>
            <w:vMerge w:val="restart"/>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围护墙和内隔墙（</w:t>
            </w:r>
            <w:r>
              <w:rPr>
                <w:rFonts w:ascii="Times New Roman" w:hAnsi="Times New Roman" w:eastAsia="宋体" w:cs="Times New Roman"/>
                <w:i/>
                <w:strike/>
                <w:dstrike w:val="0"/>
                <w:color w:val="auto"/>
                <w:szCs w:val="21"/>
                <w:highlight w:val="none"/>
              </w:rPr>
              <w:t>Q</w:t>
            </w:r>
            <w:r>
              <w:rPr>
                <w:rFonts w:ascii="Times New Roman" w:hAnsi="Times New Roman" w:eastAsia="宋体" w:cs="Times New Roman"/>
                <w:i/>
                <w:strike/>
                <w:dstrike w:val="0"/>
                <w:color w:val="auto"/>
                <w:szCs w:val="21"/>
                <w:highlight w:val="none"/>
                <w:vertAlign w:val="subscript"/>
              </w:rPr>
              <w:t>2</w:t>
            </w:r>
            <w:r>
              <w:rPr>
                <w:rFonts w:ascii="Times New Roman" w:hAnsi="Times New Roman" w:eastAsia="宋体" w:cs="Times New Roman"/>
                <w:strike/>
                <w:dstrike w:val="0"/>
                <w:color w:val="auto"/>
                <w:szCs w:val="21"/>
                <w:highlight w:val="none"/>
              </w:rPr>
              <w:t>）</w:t>
            </w:r>
          </w:p>
        </w:tc>
        <w:tc>
          <w:tcPr>
            <w:tcW w:w="2277" w:type="dxa"/>
            <w:gridSpan w:val="2"/>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非承重围护墙非砌筑</w:t>
            </w:r>
          </w:p>
        </w:tc>
        <w:tc>
          <w:tcPr>
            <w:tcW w:w="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比例≥80%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w:t>
            </w:r>
          </w:p>
        </w:tc>
        <w:tc>
          <w:tcPr>
            <w:tcW w:w="1157" w:type="dxa"/>
            <w:vMerge w:val="restart"/>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780" w:type="dxa"/>
            <w:vMerge w:val="restart"/>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4</w:t>
            </w:r>
          </w:p>
        </w:tc>
        <w:tc>
          <w:tcPr>
            <w:tcW w:w="930"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045" w:type="dxa"/>
            <w:vMerge w:val="restart"/>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kern w:val="0"/>
                <w:szCs w:val="21"/>
                <w:highlight w:val="none"/>
              </w:rPr>
              <w:t>围护墙体一体化</w:t>
            </w:r>
          </w:p>
        </w:tc>
        <w:tc>
          <w:tcPr>
            <w:tcW w:w="1232" w:type="dxa"/>
            <w:vMerge w:val="restart"/>
            <w:tcBorders>
              <w:top w:val="single" w:color="auto" w:sz="4" w:space="0"/>
              <w:left w:val="single" w:color="auto" w:sz="4" w:space="0"/>
              <w:right w:val="single" w:color="auto" w:sz="4" w:space="0"/>
            </w:tcBorders>
            <w:vAlign w:val="center"/>
          </w:tcPr>
          <w:p>
            <w:pPr>
              <w:tabs>
                <w:tab w:val="left" w:pos="709"/>
              </w:tabs>
              <w:spacing w:line="240" w:lineRule="exact"/>
              <w:jc w:val="center"/>
              <w:rPr>
                <w:rFonts w:ascii="Times New Roman" w:hAnsi="Times New Roman" w:eastAsia="宋体" w:cs="Times New Roman"/>
                <w:strike/>
                <w:dstrike w:val="0"/>
                <w:color w:val="auto"/>
                <w:kern w:val="0"/>
                <w:szCs w:val="21"/>
                <w:highlight w:val="none"/>
              </w:rPr>
            </w:pPr>
            <w:r>
              <w:rPr>
                <w:rFonts w:ascii="Times New Roman" w:hAnsi="Times New Roman" w:eastAsia="宋体" w:cs="Times New Roman"/>
                <w:strike/>
                <w:dstrike w:val="0"/>
                <w:color w:val="auto"/>
                <w:kern w:val="0"/>
                <w:szCs w:val="21"/>
                <w:highlight w:val="none"/>
              </w:rPr>
              <w:t>围护墙体与保温、隔热一体化</w:t>
            </w:r>
          </w:p>
        </w:tc>
        <w:tc>
          <w:tcPr>
            <w:tcW w:w="567" w:type="dxa"/>
            <w:vMerge w:val="restart"/>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50%≤比例≤80%</w:t>
            </w:r>
          </w:p>
        </w:tc>
        <w:tc>
          <w:tcPr>
            <w:tcW w:w="49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1~3</w:t>
            </w:r>
            <w:r>
              <w:rPr>
                <w:rFonts w:ascii="Times New Roman" w:hAnsi="Times New Roman" w:eastAsia="宋体" w:cs="Times New Roman"/>
                <w:strike/>
                <w:dstrike w:val="0"/>
                <w:color w:val="auto"/>
                <w:szCs w:val="21"/>
                <w:highlight w:val="none"/>
                <w:vertAlign w:val="superscript"/>
              </w:rPr>
              <w:t>*</w:t>
            </w:r>
          </w:p>
        </w:tc>
        <w:tc>
          <w:tcPr>
            <w:tcW w:w="630" w:type="dxa"/>
            <w:vMerge w:val="restart"/>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w:t>
            </w: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exact"/>
          <w:jc w:val="center"/>
        </w:trPr>
        <w:tc>
          <w:tcPr>
            <w:tcW w:w="780" w:type="dxa"/>
            <w:vMerge w:val="continue"/>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930"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045"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kern w:val="0"/>
                <w:szCs w:val="21"/>
                <w:highlight w:val="none"/>
              </w:rPr>
            </w:pPr>
          </w:p>
        </w:tc>
        <w:tc>
          <w:tcPr>
            <w:tcW w:w="1232" w:type="dxa"/>
            <w:vMerge w:val="continue"/>
            <w:tcBorders>
              <w:left w:val="single" w:color="auto" w:sz="4" w:space="0"/>
              <w:bottom w:val="single" w:color="auto" w:sz="4" w:space="0"/>
              <w:right w:val="single" w:color="auto" w:sz="4" w:space="0"/>
            </w:tcBorders>
            <w:vAlign w:val="center"/>
          </w:tcPr>
          <w:p>
            <w:pPr>
              <w:tabs>
                <w:tab w:val="left" w:pos="709"/>
              </w:tabs>
              <w:spacing w:line="240" w:lineRule="exact"/>
              <w:jc w:val="center"/>
              <w:rPr>
                <w:rFonts w:ascii="Times New Roman" w:hAnsi="Times New Roman" w:eastAsia="宋体" w:cs="Times New Roman"/>
                <w:strike/>
                <w:dstrike w:val="0"/>
                <w:color w:val="auto"/>
                <w:kern w:val="0"/>
                <w:szCs w:val="21"/>
                <w:highlight w:val="none"/>
              </w:rPr>
            </w:pPr>
          </w:p>
        </w:tc>
        <w:tc>
          <w:tcPr>
            <w:tcW w:w="567" w:type="dxa"/>
            <w:vMerge w:val="continue"/>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比例＞80%</w:t>
            </w:r>
          </w:p>
        </w:tc>
        <w:tc>
          <w:tcPr>
            <w:tcW w:w="49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3</w:t>
            </w:r>
          </w:p>
        </w:tc>
        <w:tc>
          <w:tcPr>
            <w:tcW w:w="630" w:type="dxa"/>
            <w:vMerge w:val="continue"/>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80"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930"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045"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232" w:type="dxa"/>
            <w:vMerge w:val="restart"/>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kern w:val="0"/>
                <w:szCs w:val="21"/>
                <w:highlight w:val="none"/>
              </w:rPr>
              <w:t>围护墙体与保温、隔热、装饰一体化</w:t>
            </w:r>
          </w:p>
        </w:tc>
        <w:tc>
          <w:tcPr>
            <w:tcW w:w="56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50%≤比例≤80%</w:t>
            </w:r>
          </w:p>
        </w:tc>
        <w:tc>
          <w:tcPr>
            <w:tcW w:w="495" w:type="dxa"/>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2~5</w:t>
            </w:r>
            <w:r>
              <w:rPr>
                <w:rFonts w:ascii="Times New Roman" w:hAnsi="Times New Roman" w:eastAsia="宋体" w:cs="Times New Roman"/>
                <w:strike/>
                <w:dstrike w:val="0"/>
                <w:color w:val="auto"/>
                <w:szCs w:val="21"/>
                <w:highlight w:val="none"/>
                <w:vertAlign w:val="superscript"/>
              </w:rPr>
              <w:t>*</w:t>
            </w:r>
          </w:p>
        </w:tc>
        <w:tc>
          <w:tcPr>
            <w:tcW w:w="630"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80" w:type="dxa"/>
            <w:vMerge w:val="continue"/>
            <w:tcBorders>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930"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045" w:type="dxa"/>
            <w:vMerge w:val="continue"/>
            <w:tcBorders>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232" w:type="dxa"/>
            <w:vMerge w:val="continue"/>
            <w:tcBorders>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kern w:val="0"/>
                <w:szCs w:val="21"/>
                <w:highlight w:val="none"/>
              </w:rPr>
            </w:pPr>
          </w:p>
        </w:tc>
        <w:tc>
          <w:tcPr>
            <w:tcW w:w="567" w:type="dxa"/>
            <w:vMerge w:val="continue"/>
            <w:tcBorders>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比例＞80%</w:t>
            </w:r>
          </w:p>
        </w:tc>
        <w:tc>
          <w:tcPr>
            <w:tcW w:w="495" w:type="dxa"/>
            <w:tcBorders>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w:t>
            </w:r>
          </w:p>
        </w:tc>
        <w:tc>
          <w:tcPr>
            <w:tcW w:w="630" w:type="dxa"/>
            <w:vMerge w:val="continue"/>
            <w:tcBorders>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w:t>
            </w:r>
          </w:p>
        </w:tc>
        <w:tc>
          <w:tcPr>
            <w:tcW w:w="930"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内隔墙非砌筑</w:t>
            </w:r>
          </w:p>
        </w:tc>
        <w:tc>
          <w:tcPr>
            <w:tcW w:w="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比例≥50%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w:t>
            </w: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6</w:t>
            </w:r>
          </w:p>
        </w:tc>
        <w:tc>
          <w:tcPr>
            <w:tcW w:w="930"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vMerge w:val="restart"/>
            <w:tcBorders>
              <w:top w:val="single" w:color="auto" w:sz="4" w:space="0"/>
              <w:left w:val="single" w:color="auto" w:sz="4" w:space="0"/>
              <w:right w:val="single" w:color="auto" w:sz="4" w:space="0"/>
            </w:tcBorders>
            <w:vAlign w:val="center"/>
          </w:tcPr>
          <w:p>
            <w:pPr>
              <w:tabs>
                <w:tab w:val="left" w:pos="709"/>
              </w:tabs>
              <w:spacing w:line="240" w:lineRule="exact"/>
              <w:jc w:val="center"/>
              <w:rPr>
                <w:rFonts w:ascii="Times New Roman" w:hAnsi="Times New Roman" w:eastAsia="宋体" w:cs="Times New Roman"/>
                <w:strike/>
                <w:dstrike w:val="0"/>
                <w:color w:val="auto"/>
                <w:kern w:val="0"/>
                <w:szCs w:val="21"/>
                <w:highlight w:val="none"/>
              </w:rPr>
            </w:pPr>
            <w:r>
              <w:rPr>
                <w:rFonts w:ascii="Times New Roman" w:hAnsi="Times New Roman" w:eastAsia="宋体" w:cs="Times New Roman"/>
                <w:strike/>
                <w:dstrike w:val="0"/>
                <w:color w:val="auto"/>
                <w:kern w:val="0"/>
                <w:szCs w:val="21"/>
                <w:highlight w:val="none"/>
              </w:rPr>
              <w:t>内隔墙与管线、装修一体化</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50%≤比例≤80%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2~5</w:t>
            </w:r>
            <w:r>
              <w:rPr>
                <w:rFonts w:ascii="Times New Roman" w:hAnsi="Times New Roman" w:eastAsia="宋体" w:cs="Times New Roman"/>
                <w:strike/>
                <w:dstrike w:val="0"/>
                <w:color w:val="auto"/>
                <w:szCs w:val="21"/>
                <w:highlight w:val="none"/>
                <w:vertAlign w:val="superscript"/>
              </w:rPr>
              <w:t>*</w:t>
            </w: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8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930" w:type="dxa"/>
            <w:vMerge w:val="continue"/>
            <w:tcBorders>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vMerge w:val="continue"/>
            <w:tcBorders>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比例＞80%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w:t>
            </w:r>
          </w:p>
        </w:tc>
        <w:tc>
          <w:tcPr>
            <w:tcW w:w="1157" w:type="dxa"/>
            <w:vMerge w:val="continue"/>
            <w:tcBorders>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7</w:t>
            </w:r>
          </w:p>
        </w:tc>
        <w:tc>
          <w:tcPr>
            <w:tcW w:w="930"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装修和设备管线（</w:t>
            </w:r>
            <w:r>
              <w:rPr>
                <w:rFonts w:ascii="Times New Roman" w:hAnsi="Times New Roman" w:eastAsia="宋体" w:cs="Times New Roman"/>
                <w:i/>
                <w:strike/>
                <w:dstrike w:val="0"/>
                <w:color w:val="auto"/>
                <w:szCs w:val="21"/>
                <w:highlight w:val="none"/>
              </w:rPr>
              <w:t>Q</w:t>
            </w:r>
            <w:r>
              <w:rPr>
                <w:rFonts w:ascii="Times New Roman" w:hAnsi="Times New Roman" w:eastAsia="宋体" w:cs="Times New Roman"/>
                <w:i/>
                <w:strike/>
                <w:dstrike w:val="0"/>
                <w:color w:val="auto"/>
                <w:szCs w:val="21"/>
                <w:highlight w:val="none"/>
                <w:vertAlign w:val="subscript"/>
              </w:rPr>
              <w:t>3</w:t>
            </w:r>
            <w:r>
              <w:rPr>
                <w:rFonts w:ascii="Times New Roman" w:hAnsi="Times New Roman" w:eastAsia="宋体" w:cs="Times New Roman"/>
                <w:strike/>
                <w:dstrike w:val="0"/>
                <w:color w:val="auto"/>
                <w:szCs w:val="21"/>
                <w:highlight w:val="none"/>
              </w:rPr>
              <w:t>）</w:t>
            </w:r>
          </w:p>
        </w:tc>
        <w:tc>
          <w:tcPr>
            <w:tcW w:w="22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全装修</w:t>
            </w:r>
          </w:p>
        </w:tc>
        <w:tc>
          <w:tcPr>
            <w:tcW w:w="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6</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6</w:t>
            </w:r>
          </w:p>
        </w:tc>
        <w:tc>
          <w:tcPr>
            <w:tcW w:w="115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8</w:t>
            </w:r>
          </w:p>
        </w:tc>
        <w:tc>
          <w:tcPr>
            <w:tcW w:w="93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干式工法楼面、地面</w:t>
            </w:r>
          </w:p>
        </w:tc>
        <w:tc>
          <w:tcPr>
            <w:tcW w:w="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6</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比例≥70%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6</w:t>
            </w:r>
          </w:p>
        </w:tc>
        <w:tc>
          <w:tcPr>
            <w:tcW w:w="1157" w:type="dxa"/>
            <w:vMerge w:val="restart"/>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9</w:t>
            </w:r>
          </w:p>
        </w:tc>
        <w:tc>
          <w:tcPr>
            <w:tcW w:w="93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集成卫生间</w:t>
            </w:r>
          </w:p>
        </w:tc>
        <w:tc>
          <w:tcPr>
            <w:tcW w:w="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6</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70%≤比例≤90%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3~6</w:t>
            </w:r>
            <w:r>
              <w:rPr>
                <w:rFonts w:ascii="Times New Roman" w:hAnsi="Times New Roman" w:eastAsia="宋体" w:cs="Times New Roman"/>
                <w:strike/>
                <w:dstrike w:val="0"/>
                <w:color w:val="auto"/>
                <w:szCs w:val="21"/>
                <w:highlight w:val="none"/>
                <w:vertAlign w:val="superscript"/>
              </w:rPr>
              <w:t>*</w:t>
            </w: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10</w:t>
            </w:r>
          </w:p>
        </w:tc>
        <w:tc>
          <w:tcPr>
            <w:tcW w:w="93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集成厨房</w:t>
            </w:r>
          </w:p>
        </w:tc>
        <w:tc>
          <w:tcPr>
            <w:tcW w:w="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6</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70%≤比例≤90%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3~6</w:t>
            </w:r>
            <w:r>
              <w:rPr>
                <w:rFonts w:ascii="Times New Roman" w:hAnsi="Times New Roman" w:eastAsia="宋体" w:cs="Times New Roman"/>
                <w:strike/>
                <w:dstrike w:val="0"/>
                <w:color w:val="auto"/>
                <w:szCs w:val="21"/>
                <w:highlight w:val="none"/>
                <w:vertAlign w:val="superscript"/>
              </w:rPr>
              <w:t>*</w:t>
            </w: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11</w:t>
            </w:r>
          </w:p>
        </w:tc>
        <w:tc>
          <w:tcPr>
            <w:tcW w:w="930" w:type="dxa"/>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管线分离</w:t>
            </w:r>
          </w:p>
        </w:tc>
        <w:tc>
          <w:tcPr>
            <w:tcW w:w="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6</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50%≤比例≤70%</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4~6</w:t>
            </w:r>
            <w:r>
              <w:rPr>
                <w:rFonts w:ascii="Times New Roman" w:hAnsi="Times New Roman" w:eastAsia="宋体" w:cs="Times New Roman"/>
                <w:strike/>
                <w:dstrike w:val="0"/>
                <w:color w:val="auto"/>
                <w:szCs w:val="21"/>
                <w:highlight w:val="none"/>
                <w:vertAlign w:val="superscript"/>
              </w:rPr>
              <w:t>*</w:t>
            </w: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80" w:type="dxa"/>
            <w:vMerge w:val="restart"/>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12</w:t>
            </w:r>
          </w:p>
        </w:tc>
        <w:tc>
          <w:tcPr>
            <w:tcW w:w="930" w:type="dxa"/>
            <w:vMerge w:val="restart"/>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加分项</w:t>
            </w:r>
          </w:p>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w:t>
            </w:r>
            <w:r>
              <w:rPr>
                <w:rFonts w:ascii="Times New Roman" w:hAnsi="Times New Roman" w:eastAsia="宋体" w:cs="Times New Roman"/>
                <w:i/>
                <w:strike/>
                <w:dstrike w:val="0"/>
                <w:color w:val="auto"/>
                <w:szCs w:val="21"/>
                <w:highlight w:val="none"/>
              </w:rPr>
              <w:t>Q</w:t>
            </w:r>
            <w:r>
              <w:rPr>
                <w:rFonts w:ascii="Times New Roman" w:hAnsi="Times New Roman" w:eastAsia="宋体" w:cs="Times New Roman"/>
                <w:i/>
                <w:strike/>
                <w:dstrike w:val="0"/>
                <w:color w:val="auto"/>
                <w:szCs w:val="21"/>
                <w:highlight w:val="none"/>
                <w:vertAlign w:val="subscript"/>
              </w:rPr>
              <w:t>5</w:t>
            </w:r>
            <w:r>
              <w:rPr>
                <w:rFonts w:ascii="Times New Roman" w:hAnsi="Times New Roman" w:eastAsia="宋体" w:cs="Times New Roman"/>
                <w:strike/>
                <w:dstrike w:val="0"/>
                <w:color w:val="auto"/>
                <w:szCs w:val="21"/>
                <w:highlight w:val="none"/>
              </w:rPr>
              <w:t>）</w:t>
            </w:r>
          </w:p>
        </w:tc>
        <w:tc>
          <w:tcPr>
            <w:tcW w:w="22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新技术应用</w:t>
            </w:r>
          </w:p>
        </w:tc>
        <w:tc>
          <w:tcPr>
            <w:tcW w:w="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0.5~2</w:t>
            </w:r>
          </w:p>
        </w:tc>
        <w:tc>
          <w:tcPr>
            <w:tcW w:w="1157" w:type="dxa"/>
            <w:vMerge w:val="restart"/>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80" w:type="dxa"/>
            <w:vMerge w:val="continue"/>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930" w:type="dxa"/>
            <w:vMerge w:val="continue"/>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新材料应用</w:t>
            </w:r>
          </w:p>
        </w:tc>
        <w:tc>
          <w:tcPr>
            <w:tcW w:w="5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w:t>
            </w:r>
          </w:p>
        </w:tc>
        <w:tc>
          <w:tcPr>
            <w:tcW w:w="16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w:t>
            </w:r>
          </w:p>
        </w:tc>
        <w:tc>
          <w:tcPr>
            <w:tcW w:w="1125"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0.5~2</w:t>
            </w: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0"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930"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c>
          <w:tcPr>
            <w:tcW w:w="2277" w:type="dxa"/>
            <w:gridSpan w:val="2"/>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信息化（BIM）技术</w:t>
            </w:r>
          </w:p>
        </w:tc>
        <w:tc>
          <w:tcPr>
            <w:tcW w:w="567" w:type="dxa"/>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w:t>
            </w:r>
          </w:p>
        </w:tc>
        <w:tc>
          <w:tcPr>
            <w:tcW w:w="1675" w:type="dxa"/>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w:t>
            </w:r>
          </w:p>
        </w:tc>
        <w:tc>
          <w:tcPr>
            <w:tcW w:w="1125" w:type="dxa"/>
            <w:gridSpan w:val="2"/>
            <w:tcBorders>
              <w:top w:val="single" w:color="auto" w:sz="4" w:space="0"/>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0.5~2</w:t>
            </w:r>
          </w:p>
        </w:tc>
        <w:tc>
          <w:tcPr>
            <w:tcW w:w="1157" w:type="dxa"/>
            <w:vMerge w:val="continue"/>
            <w:tcBorders>
              <w:left w:val="single" w:color="auto" w:sz="4" w:space="0"/>
              <w:right w:val="single" w:color="auto" w:sz="4" w:space="0"/>
            </w:tcBorders>
            <w:vAlign w:val="center"/>
          </w:tcPr>
          <w:p>
            <w:pPr>
              <w:spacing w:line="240" w:lineRule="exact"/>
              <w:jc w:val="center"/>
              <w:rPr>
                <w:rFonts w:ascii="Times New Roman" w:hAnsi="Times New Roman" w:eastAsia="宋体" w:cs="Times New Roman"/>
                <w:strike/>
                <w:dstrike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511" w:type="dxa"/>
            <w:gridSpan w:val="9"/>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注：（1）表中带“*”项的分值采用“内插法”计算，计算结果取小数点后一位。</w:t>
            </w:r>
          </w:p>
          <w:p>
            <w:pPr>
              <w:spacing w:line="300" w:lineRule="exact"/>
              <w:ind w:firstLine="420" w:firstLineChars="200"/>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（2）建筑功能中缺少的评价项分值计入装配率公式中的Q4中。</w:t>
            </w:r>
          </w:p>
          <w:p>
            <w:pPr>
              <w:spacing w:line="300" w:lineRule="exact"/>
              <w:ind w:firstLine="420" w:firstLineChars="200"/>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（3）当主体结构竖向承重构件采用“（ ）”内的高精度模板施工工艺且达到规定评价要求时，评价分值应采用对应“（ ）”内的分值。≥90%时最高分得24分；＜90%不得分。且主体结构水平构件的分值不应低于10分。</w:t>
            </w:r>
          </w:p>
          <w:p>
            <w:pPr>
              <w:spacing w:line="320" w:lineRule="exact"/>
              <w:ind w:firstLine="420" w:firstLineChars="200"/>
              <w:rPr>
                <w:rFonts w:ascii="Times New Roman" w:hAnsi="Times New Roman" w:eastAsia="宋体" w:cs="Times New Roman"/>
                <w:strike/>
                <w:dstrike w:val="0"/>
                <w:color w:val="auto"/>
                <w:szCs w:val="21"/>
                <w:highlight w:val="none"/>
              </w:rPr>
            </w:pPr>
            <w:r>
              <w:rPr>
                <w:rFonts w:ascii="Times New Roman" w:hAnsi="Times New Roman" w:eastAsia="宋体" w:cs="Times New Roman"/>
                <w:strike/>
                <w:dstrike w:val="0"/>
                <w:color w:val="auto"/>
                <w:szCs w:val="21"/>
                <w:highlight w:val="none"/>
              </w:rPr>
              <w:t>（4）加分项中新技术应用，每采用一项增加0.5分，累计加分不得超过2分；新材料应用，每采用一种增加0.5分，累计加分不得超过2分；信息化（BIM）技术应用，满足设计阶段、生产阶段、施工阶段、运维阶段任何一阶段的要求时均可得0.5分，累计加分不得超过2分。</w:t>
            </w:r>
          </w:p>
        </w:tc>
      </w:tr>
    </w:tbl>
    <w:p>
      <w:pPr>
        <w:spacing w:line="480" w:lineRule="exact"/>
        <w:ind w:firstLine="640" w:firstLineChars="200"/>
        <w:rPr>
          <w:rFonts w:ascii="Times New Roman" w:hAnsi="Times New Roman" w:eastAsia="方正仿宋_GBK" w:cs="Times New Roman"/>
          <w:strike/>
          <w:dstrike w:val="0"/>
          <w:color w:val="auto"/>
          <w:sz w:val="32"/>
          <w:szCs w:val="32"/>
          <w:highlight w:val="none"/>
        </w:rPr>
      </w:pPr>
      <w:r>
        <w:rPr>
          <w:rFonts w:ascii="Times New Roman" w:hAnsi="Times New Roman" w:eastAsia="方正仿宋_GBK" w:cs="Times New Roman"/>
          <w:strike/>
          <w:dstrike w:val="0"/>
          <w:color w:val="auto"/>
          <w:sz w:val="32"/>
          <w:szCs w:val="32"/>
          <w:highlight w:val="none"/>
        </w:rPr>
        <w:t>二、装配式建筑评价应划分为A级、AA级、AAA级，并应符合下列规定：</w:t>
      </w:r>
    </w:p>
    <w:p>
      <w:pPr>
        <w:pStyle w:val="10"/>
        <w:spacing w:line="520" w:lineRule="exact"/>
        <w:ind w:firstLine="480" w:firstLineChars="150"/>
        <w:rPr>
          <w:rFonts w:ascii="Times New Roman" w:hAnsi="Times New Roman" w:eastAsia="方正仿宋_GBK" w:cs="Times New Roman"/>
          <w:strike/>
          <w:dstrike w:val="0"/>
          <w:color w:val="auto"/>
          <w:sz w:val="32"/>
          <w:szCs w:val="32"/>
          <w:highlight w:val="none"/>
        </w:rPr>
      </w:pPr>
      <w:r>
        <w:rPr>
          <w:rFonts w:ascii="Times New Roman" w:hAnsi="Times New Roman" w:eastAsia="方正仿宋_GBK" w:cs="Times New Roman"/>
          <w:strike/>
          <w:dstrike w:val="0"/>
          <w:color w:val="auto"/>
          <w:sz w:val="32"/>
          <w:szCs w:val="32"/>
          <w:highlight w:val="none"/>
        </w:rPr>
        <w:t>（一）装配率为60%～75%时，评价为A级装配式建筑；</w:t>
      </w:r>
    </w:p>
    <w:p>
      <w:pPr>
        <w:pStyle w:val="10"/>
        <w:spacing w:line="520" w:lineRule="exact"/>
        <w:ind w:firstLine="480" w:firstLineChars="150"/>
        <w:rPr>
          <w:rFonts w:ascii="Times New Roman" w:hAnsi="Times New Roman" w:eastAsia="方正仿宋_GBK" w:cs="Times New Roman"/>
          <w:strike/>
          <w:dstrike w:val="0"/>
          <w:color w:val="auto"/>
          <w:sz w:val="32"/>
          <w:szCs w:val="32"/>
          <w:highlight w:val="none"/>
        </w:rPr>
      </w:pPr>
      <w:r>
        <w:rPr>
          <w:rFonts w:ascii="Times New Roman" w:hAnsi="Times New Roman" w:eastAsia="方正仿宋_GBK" w:cs="Times New Roman"/>
          <w:strike/>
          <w:dstrike w:val="0"/>
          <w:color w:val="auto"/>
          <w:sz w:val="32"/>
          <w:szCs w:val="32"/>
          <w:highlight w:val="none"/>
        </w:rPr>
        <w:t>（二）装配率为76%～90%时，评价为AA级装配式建筑；</w:t>
      </w:r>
    </w:p>
    <w:p>
      <w:pPr>
        <w:pStyle w:val="10"/>
        <w:spacing w:line="520" w:lineRule="exact"/>
        <w:ind w:firstLine="480" w:firstLineChars="150"/>
        <w:rPr>
          <w:rFonts w:ascii="Times New Roman" w:hAnsi="Times New Roman" w:eastAsia="方正仿宋_GBK" w:cs="Times New Roman"/>
          <w:strike/>
          <w:dstrike w:val="0"/>
          <w:color w:val="auto"/>
          <w:sz w:val="32"/>
          <w:szCs w:val="32"/>
          <w:highlight w:val="none"/>
        </w:rPr>
      </w:pPr>
      <w:r>
        <w:rPr>
          <w:rFonts w:ascii="Times New Roman" w:hAnsi="Times New Roman" w:eastAsia="方正仿宋_GBK" w:cs="Times New Roman"/>
          <w:strike/>
          <w:dstrike w:val="0"/>
          <w:color w:val="auto"/>
          <w:sz w:val="32"/>
          <w:szCs w:val="32"/>
          <w:highlight w:val="none"/>
        </w:rPr>
        <w:t>（三）</w:t>
      </w:r>
      <w:r>
        <w:rPr>
          <w:rFonts w:hint="eastAsia" w:ascii="Times New Roman" w:hAnsi="Times New Roman" w:eastAsia="方正仿宋_GBK" w:cs="Times New Roman"/>
          <w:strike/>
          <w:dstrike w:val="0"/>
          <w:color w:val="auto"/>
          <w:sz w:val="32"/>
          <w:szCs w:val="32"/>
          <w:highlight w:val="none"/>
        </w:rPr>
        <w:t xml:space="preserve"> </w:t>
      </w:r>
      <w:r>
        <w:rPr>
          <w:rFonts w:ascii="Times New Roman" w:hAnsi="Times New Roman" w:eastAsia="方正仿宋_GBK" w:cs="Times New Roman"/>
          <w:strike/>
          <w:dstrike w:val="0"/>
          <w:color w:val="auto"/>
          <w:sz w:val="32"/>
          <w:szCs w:val="32"/>
          <w:highlight w:val="none"/>
        </w:rPr>
        <w:t>装配率为91%及以上时，评价为AAA级装配式建筑；</w:t>
      </w:r>
    </w:p>
    <w:p>
      <w:pPr>
        <w:spacing w:line="480" w:lineRule="exact"/>
        <w:ind w:firstLine="640" w:firstLineChars="200"/>
        <w:rPr>
          <w:rFonts w:ascii="Times New Roman" w:hAnsi="Times New Roman" w:eastAsia="方正仿宋_GBK" w:cs="Times New Roman"/>
          <w:strike/>
          <w:dstrike w:val="0"/>
          <w:color w:val="auto"/>
          <w:sz w:val="32"/>
          <w:szCs w:val="32"/>
          <w:highlight w:val="none"/>
        </w:rPr>
      </w:pPr>
      <w:r>
        <w:rPr>
          <w:rFonts w:hint="eastAsia" w:ascii="Times New Roman" w:hAnsi="Times New Roman" w:eastAsia="方正仿宋_GBK" w:cs="Times New Roman"/>
          <w:strike/>
          <w:dstrike w:val="0"/>
          <w:color w:val="auto"/>
          <w:sz w:val="32"/>
          <w:szCs w:val="32"/>
          <w:highlight w:val="none"/>
        </w:rPr>
        <w:t>三、具体内容</w:t>
      </w:r>
      <w:r>
        <w:rPr>
          <w:rFonts w:ascii="Times New Roman" w:hAnsi="Times New Roman" w:eastAsia="方正仿宋_GBK" w:cs="Times New Roman"/>
          <w:strike/>
          <w:dstrike w:val="0"/>
          <w:color w:val="auto"/>
          <w:sz w:val="32"/>
          <w:szCs w:val="32"/>
          <w:highlight w:val="none"/>
        </w:rPr>
        <w:t>详见新疆地方标准《装配式建筑评价标准》（XJJ116—2019）</w:t>
      </w:r>
    </w:p>
    <w:sectPr>
      <w:footerReference r:id="rId3" w:type="default"/>
      <w:footerReference r:id="rId4" w:type="even"/>
      <w:pgSz w:w="11906" w:h="16838"/>
      <w:pgMar w:top="2098"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00000001" w:usb1="08000000" w:usb2="00000000" w:usb3="00000000" w:csb0="00040000" w:csb1="00000000"/>
  </w:font>
  <w:font w:name="Cambria Math">
    <w:altName w:val="DejaVu Math TeX Gyre"/>
    <w:panose1 w:val="02040503050406030204"/>
    <w:charset w:val="00"/>
    <w:family w:val="roman"/>
    <w:pitch w:val="default"/>
    <w:sig w:usb0="00000000" w:usb1="00000000"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imes New Roman" w:hAnsi="Times New Roman"/>
        <w:sz w:val="28"/>
        <w:szCs w:val="28"/>
      </w:rPr>
    </w:sdtEndPr>
    <w:sdtContent>
      <w:p>
        <w:pPr>
          <w:pStyle w:val="3"/>
          <w:wordWrap w:val="0"/>
          <w:jc w:val="right"/>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10</w:t>
        </w:r>
        <w:r>
          <w:rPr>
            <w:rFonts w:ascii="Times New Roman" w:hAnsi="Times New Roman"/>
            <w:sz w:val="28"/>
            <w:szCs w:val="28"/>
          </w:rPr>
          <w:fldChar w:fldCharType="end"/>
        </w:r>
        <w:r>
          <w:rPr>
            <w:rFonts w:hint="eastAsia" w:ascii="Times New Roman" w:hAnsi="Times New Roman"/>
            <w:sz w:val="28"/>
            <w:szCs w:val="28"/>
          </w:rPr>
          <w:t xml:space="preserve"> —</w:t>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1068"/>
      <w:docPartObj>
        <w:docPartGallery w:val="autotext"/>
      </w:docPartObj>
    </w:sdtPr>
    <w:sdtEndPr>
      <w:rPr>
        <w:rFonts w:ascii="Times New Roman" w:hAnsi="Times New Roman"/>
        <w:sz w:val="28"/>
        <w:szCs w:val="28"/>
      </w:rPr>
    </w:sdtEndPr>
    <w:sdtContent>
      <w:p>
        <w:pPr>
          <w:pStyle w:val="3"/>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10</w:t>
        </w:r>
        <w:r>
          <w:rPr>
            <w:rFonts w:ascii="Times New Roman" w:hAnsi="Times New Roman"/>
            <w:sz w:val="28"/>
            <w:szCs w:val="28"/>
          </w:rPr>
          <w:fldChar w:fldCharType="end"/>
        </w:r>
        <w:r>
          <w:rPr>
            <w:rFonts w:hint="eastAsia" w:ascii="Times New Roman" w:hAnsi="Times New Roman"/>
            <w:sz w:val="28"/>
            <w:szCs w:val="28"/>
          </w:rPr>
          <w:t xml:space="preserve"> —</w:t>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D9CB9"/>
    <w:multiLevelType w:val="singleLevel"/>
    <w:tmpl w:val="BD6D9CB9"/>
    <w:lvl w:ilvl="0" w:tentative="0">
      <w:start w:val="2"/>
      <w:numFmt w:val="chineseCounting"/>
      <w:suff w:val="nothing"/>
      <w:lvlText w:val="（%1）"/>
      <w:lvlJc w:val="left"/>
      <w:pPr>
        <w:ind w:left="-10"/>
      </w:pPr>
      <w:rPr>
        <w:rFonts w:hint="eastAsia"/>
      </w:rPr>
    </w:lvl>
  </w:abstractNum>
  <w:abstractNum w:abstractNumId="1">
    <w:nsid w:val="BF6D19DF"/>
    <w:multiLevelType w:val="singleLevel"/>
    <w:tmpl w:val="BF6D19DF"/>
    <w:lvl w:ilvl="0" w:tentative="0">
      <w:start w:val="2"/>
      <w:numFmt w:val="chineseCounting"/>
      <w:suff w:val="nothing"/>
      <w:lvlText w:val="（%1）"/>
      <w:lvlJc w:val="left"/>
      <w:rPr>
        <w:rFonts w:hint="eastAsia"/>
      </w:rPr>
    </w:lvl>
  </w:abstractNum>
  <w:abstractNum w:abstractNumId="2">
    <w:nsid w:val="7DFA1E89"/>
    <w:multiLevelType w:val="singleLevel"/>
    <w:tmpl w:val="7DFA1E89"/>
    <w:lvl w:ilvl="0" w:tentative="0">
      <w:start w:val="2"/>
      <w:numFmt w:val="chineseCounting"/>
      <w:suff w:val="nothing"/>
      <w:lvlText w:val="（%1）"/>
      <w:lvlJc w:val="left"/>
      <w:pPr>
        <w:ind w:left="15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81C"/>
    <w:rsid w:val="00047FF9"/>
    <w:rsid w:val="00074FEC"/>
    <w:rsid w:val="0008751F"/>
    <w:rsid w:val="00092C5D"/>
    <w:rsid w:val="000D78F5"/>
    <w:rsid w:val="000E1AD9"/>
    <w:rsid w:val="00112A1A"/>
    <w:rsid w:val="00153CA6"/>
    <w:rsid w:val="0017062C"/>
    <w:rsid w:val="001A3E3C"/>
    <w:rsid w:val="00226323"/>
    <w:rsid w:val="002445F7"/>
    <w:rsid w:val="0025432D"/>
    <w:rsid w:val="00264DC2"/>
    <w:rsid w:val="002B0320"/>
    <w:rsid w:val="002D7BEA"/>
    <w:rsid w:val="002E7365"/>
    <w:rsid w:val="00336776"/>
    <w:rsid w:val="00343CF2"/>
    <w:rsid w:val="00351149"/>
    <w:rsid w:val="003821C8"/>
    <w:rsid w:val="003B0026"/>
    <w:rsid w:val="003D5D27"/>
    <w:rsid w:val="003F7F76"/>
    <w:rsid w:val="004531DC"/>
    <w:rsid w:val="0046281C"/>
    <w:rsid w:val="004C79EC"/>
    <w:rsid w:val="00526A18"/>
    <w:rsid w:val="0057398D"/>
    <w:rsid w:val="00583EA9"/>
    <w:rsid w:val="00594161"/>
    <w:rsid w:val="005B68D0"/>
    <w:rsid w:val="006307FE"/>
    <w:rsid w:val="006362F0"/>
    <w:rsid w:val="006513F0"/>
    <w:rsid w:val="00700542"/>
    <w:rsid w:val="00714D39"/>
    <w:rsid w:val="00790A41"/>
    <w:rsid w:val="007B00A5"/>
    <w:rsid w:val="007C5F71"/>
    <w:rsid w:val="007D04D0"/>
    <w:rsid w:val="00836600"/>
    <w:rsid w:val="008631EC"/>
    <w:rsid w:val="00891E59"/>
    <w:rsid w:val="008A3C2B"/>
    <w:rsid w:val="008B72A7"/>
    <w:rsid w:val="0092753B"/>
    <w:rsid w:val="009D4934"/>
    <w:rsid w:val="00A26070"/>
    <w:rsid w:val="00A4283C"/>
    <w:rsid w:val="00A611CC"/>
    <w:rsid w:val="00AE5784"/>
    <w:rsid w:val="00B66FEA"/>
    <w:rsid w:val="00B90252"/>
    <w:rsid w:val="00C26881"/>
    <w:rsid w:val="00D760FE"/>
    <w:rsid w:val="00D8069D"/>
    <w:rsid w:val="00DA465D"/>
    <w:rsid w:val="00DC1DE8"/>
    <w:rsid w:val="00DC2971"/>
    <w:rsid w:val="00DD13C2"/>
    <w:rsid w:val="00E02360"/>
    <w:rsid w:val="00E804E0"/>
    <w:rsid w:val="00E86383"/>
    <w:rsid w:val="00EC506E"/>
    <w:rsid w:val="00EC7DEF"/>
    <w:rsid w:val="00EF36BA"/>
    <w:rsid w:val="00F20BCF"/>
    <w:rsid w:val="00FC5622"/>
    <w:rsid w:val="040417DD"/>
    <w:rsid w:val="04E975F4"/>
    <w:rsid w:val="064C007F"/>
    <w:rsid w:val="08B804D1"/>
    <w:rsid w:val="0B0417FD"/>
    <w:rsid w:val="115C40DA"/>
    <w:rsid w:val="11B4505A"/>
    <w:rsid w:val="13EA1EE7"/>
    <w:rsid w:val="15F930CC"/>
    <w:rsid w:val="211C5748"/>
    <w:rsid w:val="253E11F4"/>
    <w:rsid w:val="2A325951"/>
    <w:rsid w:val="2D635378"/>
    <w:rsid w:val="2FAFA920"/>
    <w:rsid w:val="2FFE9E02"/>
    <w:rsid w:val="300B37B3"/>
    <w:rsid w:val="38BC7889"/>
    <w:rsid w:val="3EFD7EEB"/>
    <w:rsid w:val="3FF5CE6D"/>
    <w:rsid w:val="434F458C"/>
    <w:rsid w:val="43D50743"/>
    <w:rsid w:val="44FD3D3E"/>
    <w:rsid w:val="473B6D1B"/>
    <w:rsid w:val="480D448D"/>
    <w:rsid w:val="49CF083F"/>
    <w:rsid w:val="49D67607"/>
    <w:rsid w:val="4E0F739C"/>
    <w:rsid w:val="4E8C2CFC"/>
    <w:rsid w:val="4EEE37B4"/>
    <w:rsid w:val="50896817"/>
    <w:rsid w:val="52D34AC3"/>
    <w:rsid w:val="54C77052"/>
    <w:rsid w:val="641D1283"/>
    <w:rsid w:val="65744E00"/>
    <w:rsid w:val="66AD589F"/>
    <w:rsid w:val="67451287"/>
    <w:rsid w:val="677D1033"/>
    <w:rsid w:val="69B6672C"/>
    <w:rsid w:val="6C1B16EF"/>
    <w:rsid w:val="6DD974F0"/>
    <w:rsid w:val="6E6041D3"/>
    <w:rsid w:val="6F0A0AE3"/>
    <w:rsid w:val="6F8819D3"/>
    <w:rsid w:val="750130F5"/>
    <w:rsid w:val="7673276C"/>
    <w:rsid w:val="77AF650A"/>
    <w:rsid w:val="793006CE"/>
    <w:rsid w:val="7A3800CD"/>
    <w:rsid w:val="7BAD7889"/>
    <w:rsid w:val="7CFE5093"/>
    <w:rsid w:val="7EF2D721"/>
    <w:rsid w:val="7FBF97D6"/>
    <w:rsid w:val="7FD5EDAC"/>
    <w:rsid w:val="9F6EA009"/>
    <w:rsid w:val="B7DF78D3"/>
    <w:rsid w:val="BCDF4363"/>
    <w:rsid w:val="BF7C9272"/>
    <w:rsid w:val="BF7F667A"/>
    <w:rsid w:val="C5D7DDFF"/>
    <w:rsid w:val="C7FFC6A2"/>
    <w:rsid w:val="D59F1D89"/>
    <w:rsid w:val="DF6F4E70"/>
    <w:rsid w:val="E697518F"/>
    <w:rsid w:val="F3FE3FB5"/>
    <w:rsid w:val="FB7D4D4A"/>
    <w:rsid w:val="FDA9A077"/>
    <w:rsid w:val="FFBF3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 w:type="paragraph" w:styleId="1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AC08BAF1-28EC-4A76-B577-6AA5A5CAE34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11</Pages>
  <Words>4261</Words>
  <Characters>4408</Characters>
  <Lines>33</Lines>
  <Paragraphs>9</Paragraphs>
  <TotalTime>5</TotalTime>
  <ScaleCrop>false</ScaleCrop>
  <LinksUpToDate>false</LinksUpToDate>
  <CharactersWithSpaces>4424</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2020-06-07T20:05:00Z</dcterms:created>
  <dc:creator>胡芸</dc:creator>
  <cp:lastModifiedBy>user</cp:lastModifiedBy>
  <cp:lastPrinted>2026-08-13T16:13:00Z</cp:lastPrinted>
  <dcterms:modified xsi:type="dcterms:W3CDTF">2026-08-13T16:16:13Z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ICV">
    <vt:lpwstr>FFFACEE4656769AF9674716ADB8D9BBC_42</vt:lpwstr>
  </property>
  <property fmtid="{D5CDD505-2E9C-101B-9397-08002B2CF9AE}" pid="4" name="KSOTemplateDocerSaveRecord">
    <vt:lpwstr>eyJoZGlkIjoiMmU3NDRlYTgxYTk5NTdlOGJiOWE5YzZjMzIwMzZiZTUiLCJ1c2VySWQiOiI5MjIzNzc4OTUifQ==</vt:lpwstr>
  </property>
</Properties>
</file>