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F989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aps w:val="0"/>
          <w:color w:val="auto"/>
          <w:spacing w:val="0"/>
          <w:sz w:val="44"/>
          <w:szCs w:val="44"/>
          <w:lang w:val="en-US" w:eastAsia="zh-CN"/>
        </w:rPr>
        <w:t>《关于高质量推进乌鲁木齐城市更新的若干政策措施（征求意见稿）》反馈意见建议及回复意见</w:t>
      </w:r>
    </w:p>
    <w:tbl>
      <w:tblPr>
        <w:tblStyle w:val="2"/>
        <w:tblW w:w="130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4138"/>
        <w:gridCol w:w="744"/>
        <w:gridCol w:w="7536"/>
      </w:tblGrid>
      <w:tr w14:paraId="51D9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1716">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编号</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35C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意见和建议</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FD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采纳情况</w:t>
            </w:r>
          </w:p>
        </w:tc>
        <w:tc>
          <w:tcPr>
            <w:tcW w:w="7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9AD5">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1"/>
                <w:szCs w:val="21"/>
                <w:u w:val="none"/>
                <w:lang w:val="en-US" w:eastAsia="zh-CN"/>
              </w:rPr>
            </w:pPr>
            <w:r>
              <w:rPr>
                <w:rFonts w:hint="eastAsia" w:ascii="方正仿宋_GBK" w:hAnsi="方正仿宋_GBK" w:eastAsia="方正仿宋_GBK" w:cs="方正仿宋_GBK"/>
                <w:b/>
                <w:bCs/>
                <w:i w:val="0"/>
                <w:iCs w:val="0"/>
                <w:color w:val="000000"/>
                <w:sz w:val="21"/>
                <w:szCs w:val="21"/>
                <w:u w:val="none"/>
                <w:lang w:val="en-US" w:eastAsia="zh-CN"/>
              </w:rPr>
              <w:t>修改情况或未采纳原因</w:t>
            </w:r>
          </w:p>
        </w:tc>
      </w:tr>
      <w:tr w14:paraId="0A1C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B2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7F3C">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Style w:val="5"/>
                <w:rFonts w:hint="default" w:ascii="Times New Roman" w:hAnsi="Times New Roman" w:cs="Times New Roman"/>
                <w:sz w:val="21"/>
                <w:szCs w:val="21"/>
                <w:lang w:val="en-US" w:eastAsia="zh-CN" w:bidi="ar"/>
              </w:rPr>
              <w:t>一、</w:t>
            </w:r>
            <w:r>
              <w:rPr>
                <w:rStyle w:val="5"/>
                <w:rFonts w:hint="eastAsia" w:ascii="Times New Roman" w:hAnsi="Times New Roman" w:cs="Times New Roman"/>
                <w:sz w:val="21"/>
                <w:szCs w:val="21"/>
                <w:lang w:val="en-US" w:eastAsia="zh-CN" w:bidi="ar"/>
              </w:rPr>
              <w:t>“</w:t>
            </w:r>
            <w:r>
              <w:rPr>
                <w:rStyle w:val="5"/>
                <w:rFonts w:hint="default" w:ascii="Times New Roman" w:hAnsi="Times New Roman" w:cs="Times New Roman"/>
                <w:sz w:val="21"/>
                <w:szCs w:val="21"/>
                <w:lang w:val="en-US" w:eastAsia="zh-CN" w:bidi="ar"/>
              </w:rPr>
              <w:t>建议文件对</w:t>
            </w:r>
            <w:r>
              <w:rPr>
                <w:rStyle w:val="5"/>
                <w:rFonts w:hint="eastAsia" w:ascii="Times New Roman" w:hAnsi="Times New Roman" w:cs="Times New Roman"/>
                <w:sz w:val="21"/>
                <w:szCs w:val="21"/>
                <w:lang w:val="en-US" w:eastAsia="zh-CN" w:bidi="ar"/>
              </w:rPr>
              <w:t>‘</w:t>
            </w:r>
            <w:r>
              <w:rPr>
                <w:rStyle w:val="5"/>
                <w:rFonts w:hint="default" w:ascii="Times New Roman" w:hAnsi="Times New Roman" w:cs="Times New Roman"/>
                <w:sz w:val="21"/>
                <w:szCs w:val="21"/>
                <w:lang w:val="en-US" w:eastAsia="zh-CN" w:bidi="ar"/>
              </w:rPr>
              <w:t>老旧住房</w:t>
            </w:r>
            <w:r>
              <w:rPr>
                <w:rStyle w:val="5"/>
                <w:rFonts w:hint="eastAsia" w:ascii="Times New Roman" w:hAnsi="Times New Roman" w:cs="Times New Roman"/>
                <w:sz w:val="21"/>
                <w:szCs w:val="21"/>
                <w:lang w:val="en-US" w:eastAsia="zh-CN" w:bidi="ar"/>
              </w:rPr>
              <w:t>’、‘</w:t>
            </w:r>
            <w:r>
              <w:rPr>
                <w:rStyle w:val="5"/>
                <w:rFonts w:hint="default" w:ascii="Times New Roman" w:hAnsi="Times New Roman" w:cs="Times New Roman"/>
                <w:sz w:val="21"/>
                <w:szCs w:val="21"/>
                <w:lang w:val="en-US" w:eastAsia="zh-CN" w:bidi="ar"/>
              </w:rPr>
              <w:t>老旧小区</w:t>
            </w:r>
            <w:r>
              <w:rPr>
                <w:rStyle w:val="5"/>
                <w:rFonts w:hint="eastAsia" w:ascii="Times New Roman" w:hAnsi="Times New Roman" w:cs="Times New Roman"/>
                <w:sz w:val="21"/>
                <w:szCs w:val="21"/>
                <w:lang w:val="en-US" w:eastAsia="zh-CN" w:bidi="ar"/>
              </w:rPr>
              <w:t>’</w:t>
            </w:r>
            <w:r>
              <w:rPr>
                <w:rStyle w:val="5"/>
                <w:rFonts w:hint="default" w:ascii="Times New Roman" w:hAnsi="Times New Roman" w:cs="Times New Roman"/>
                <w:sz w:val="21"/>
                <w:szCs w:val="21"/>
                <w:lang w:val="en-US" w:eastAsia="zh-CN" w:bidi="ar"/>
              </w:rPr>
              <w:t>等关键概念给出更清晰的定义和时间范围。例如:在条款中补充说明，将房龄超过30年的住宅</w:t>
            </w:r>
            <w:r>
              <w:rPr>
                <w:rStyle w:val="5"/>
                <w:rFonts w:hint="eastAsia" w:ascii="Times New Roman" w:hAnsi="Times New Roman" w:cs="Times New Roman"/>
                <w:sz w:val="21"/>
                <w:szCs w:val="21"/>
                <w:lang w:val="en-US" w:eastAsia="zh-CN" w:bidi="ar"/>
              </w:rPr>
              <w:t>”</w:t>
            </w:r>
            <w:r>
              <w:rPr>
                <w:rStyle w:val="5"/>
                <w:rFonts w:hint="default" w:ascii="Times New Roman" w:hAnsi="Times New Roman" w:cs="Times New Roman"/>
                <w:sz w:val="21"/>
                <w:szCs w:val="21"/>
                <w:lang w:val="en-US" w:eastAsia="zh-CN" w:bidi="ar"/>
              </w:rPr>
              <w:t>明确列为重点支持对象。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61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未采纳</w:t>
            </w:r>
          </w:p>
        </w:tc>
        <w:tc>
          <w:tcPr>
            <w:tcW w:w="7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AEDB">
            <w:pPr>
              <w:keepNext w:val="0"/>
              <w:keepLines w:val="0"/>
              <w:widowControl/>
              <w:suppressLineNumbers w:val="0"/>
              <w:ind w:firstLine="420" w:firstLineChars="200"/>
              <w:jc w:val="both"/>
              <w:textAlignment w:val="center"/>
              <w:rPr>
                <w:rFonts w:hint="default" w:ascii="Times New Roman" w:hAnsi="Times New Roman" w:eastAsia="方正仿宋_GBK" w:cs="Times New Roman"/>
                <w:i w:val="0"/>
                <w:iCs w:val="0"/>
                <w:color w:val="000000"/>
                <w:sz w:val="21"/>
                <w:szCs w:val="21"/>
                <w:u w:val="none"/>
              </w:rPr>
            </w:pPr>
            <w:r>
              <w:rPr>
                <w:rStyle w:val="5"/>
                <w:rFonts w:hint="default" w:ascii="Times New Roman" w:hAnsi="Times New Roman" w:cs="Times New Roman"/>
                <w:sz w:val="21"/>
                <w:szCs w:val="21"/>
                <w:lang w:val="en-US" w:eastAsia="zh-CN" w:bidi="ar"/>
              </w:rPr>
              <w:t>本文件为城市更新综合性政策措施，重点聚焦机制建设、规划统筹、土地利用、优化管理、财税保障等通用性制度安排，主要作用是搭建本地城市更新工作的总体框架，为后续专项工作预留充足政策空间。根据《国务院办公厅关于全面推进城镇老旧小区改造工作的指导意见》（国办发〔2020〕23号）</w:t>
            </w:r>
            <w:r>
              <w:rPr>
                <w:rStyle w:val="5"/>
                <w:rFonts w:hint="eastAsia" w:ascii="Times New Roman" w:hAnsi="Times New Roman" w:cs="Times New Roman"/>
                <w:sz w:val="21"/>
                <w:szCs w:val="21"/>
                <w:lang w:val="en-US" w:eastAsia="zh-CN" w:bidi="ar"/>
              </w:rPr>
              <w:t>、</w:t>
            </w:r>
            <w:r>
              <w:rPr>
                <w:rStyle w:val="5"/>
                <w:rFonts w:hint="eastAsia" w:ascii="Times New Roman" w:hAnsi="Times New Roman" w:cs="Times New Roman"/>
                <w:color w:val="auto"/>
                <w:sz w:val="21"/>
                <w:szCs w:val="21"/>
                <w:lang w:val="en-US" w:eastAsia="zh-CN" w:bidi="ar"/>
              </w:rPr>
              <w:t>《新疆维吾尔自治区关于全面推进城镇老旧小区改造工作的指导意见》（新政发〔2021〕3 号）、《自治区城镇老旧小区改造工程建设技术导则（试行）》</w:t>
            </w:r>
            <w:r>
              <w:rPr>
                <w:rStyle w:val="5"/>
                <w:rFonts w:hint="default" w:ascii="Times New Roman" w:hAnsi="Times New Roman" w:cs="Times New Roman"/>
                <w:color w:val="auto"/>
                <w:sz w:val="21"/>
                <w:szCs w:val="21"/>
                <w:lang w:val="en-US" w:eastAsia="zh-CN" w:bidi="ar"/>
              </w:rPr>
              <w:t>，城镇老旧小区的界定的核心是</w:t>
            </w:r>
            <w:r>
              <w:rPr>
                <w:rStyle w:val="5"/>
                <w:rFonts w:hint="eastAsia" w:ascii="Times New Roman" w:hAnsi="Times New Roman" w:cs="Times New Roman"/>
                <w:color w:val="auto"/>
                <w:sz w:val="21"/>
                <w:szCs w:val="21"/>
                <w:lang w:val="en-US" w:eastAsia="zh-CN" w:bidi="ar"/>
              </w:rPr>
              <w:t>“</w:t>
            </w:r>
            <w:r>
              <w:rPr>
                <w:rStyle w:val="5"/>
                <w:rFonts w:hint="default" w:ascii="Times New Roman" w:hAnsi="Times New Roman" w:cs="Times New Roman"/>
                <w:color w:val="auto"/>
                <w:sz w:val="21"/>
                <w:szCs w:val="21"/>
                <w:lang w:val="en-US" w:eastAsia="zh-CN" w:bidi="ar"/>
              </w:rPr>
              <w:t>建成年代较早、失养失修失管、市政配套设施不完善、社区服务设施不健全、居民改造意愿强烈</w:t>
            </w:r>
            <w:r>
              <w:rPr>
                <w:rStyle w:val="5"/>
                <w:rFonts w:hint="eastAsia" w:ascii="Times New Roman" w:hAnsi="Times New Roman" w:cs="Times New Roman"/>
                <w:color w:val="auto"/>
                <w:sz w:val="21"/>
                <w:szCs w:val="21"/>
                <w:lang w:val="en-US" w:eastAsia="zh-CN" w:bidi="ar"/>
              </w:rPr>
              <w:t>”</w:t>
            </w:r>
            <w:r>
              <w:rPr>
                <w:rStyle w:val="5"/>
                <w:rFonts w:hint="default" w:ascii="Times New Roman" w:hAnsi="Times New Roman" w:cs="Times New Roman"/>
                <w:color w:val="auto"/>
                <w:sz w:val="21"/>
                <w:szCs w:val="21"/>
                <w:lang w:val="en-US" w:eastAsia="zh-CN" w:bidi="ar"/>
              </w:rPr>
              <w:t>，国家及自治区层面明确重点改造 2000 年底前建成的老旧小区，允许各地结合实际合理界定实施范围。考虑到本文件侧重</w:t>
            </w:r>
            <w:r>
              <w:rPr>
                <w:rStyle w:val="5"/>
                <w:rFonts w:hint="eastAsia" w:ascii="Times New Roman" w:hAnsi="Times New Roman" w:cs="Times New Roman"/>
                <w:color w:val="auto"/>
                <w:sz w:val="21"/>
                <w:szCs w:val="21"/>
                <w:lang w:val="en-US" w:eastAsia="zh-CN" w:bidi="ar"/>
              </w:rPr>
              <w:t>建立城市更新政策体系</w:t>
            </w:r>
            <w:r>
              <w:rPr>
                <w:rStyle w:val="5"/>
                <w:rFonts w:hint="default" w:ascii="Times New Roman" w:hAnsi="Times New Roman" w:cs="Times New Roman"/>
                <w:color w:val="auto"/>
                <w:sz w:val="21"/>
                <w:szCs w:val="21"/>
                <w:lang w:val="en-US" w:eastAsia="zh-CN" w:bidi="ar"/>
              </w:rPr>
              <w:t>，</w:t>
            </w:r>
            <w:r>
              <w:rPr>
                <w:rStyle w:val="5"/>
                <w:rFonts w:hint="eastAsia" w:ascii="Times New Roman" w:hAnsi="Times New Roman" w:cs="Times New Roman"/>
                <w:color w:val="auto"/>
                <w:sz w:val="21"/>
                <w:szCs w:val="21"/>
                <w:lang w:val="en-US" w:eastAsia="zh-CN" w:bidi="ar"/>
              </w:rPr>
              <w:t>针对“</w:t>
            </w:r>
            <w:r>
              <w:rPr>
                <w:rStyle w:val="5"/>
                <w:rFonts w:hint="default" w:ascii="Times New Roman" w:hAnsi="Times New Roman" w:cs="Times New Roman"/>
                <w:color w:val="auto"/>
                <w:sz w:val="21"/>
                <w:szCs w:val="21"/>
                <w:lang w:val="en-US" w:eastAsia="zh-CN" w:bidi="ar"/>
              </w:rPr>
              <w:t>老旧住房</w:t>
            </w:r>
            <w:r>
              <w:rPr>
                <w:rStyle w:val="5"/>
                <w:rFonts w:hint="eastAsia" w:ascii="Times New Roman" w:hAnsi="Times New Roman" w:cs="Times New Roman"/>
                <w:color w:val="auto"/>
                <w:sz w:val="21"/>
                <w:szCs w:val="21"/>
                <w:lang w:val="en-US" w:eastAsia="zh-CN" w:bidi="ar"/>
              </w:rPr>
              <w:t>”“</w:t>
            </w:r>
            <w:r>
              <w:rPr>
                <w:rStyle w:val="5"/>
                <w:rFonts w:hint="default" w:ascii="Times New Roman" w:hAnsi="Times New Roman" w:cs="Times New Roman"/>
                <w:color w:val="auto"/>
                <w:sz w:val="21"/>
                <w:szCs w:val="21"/>
                <w:lang w:val="en-US" w:eastAsia="zh-CN" w:bidi="ar"/>
              </w:rPr>
              <w:t>老旧小区</w:t>
            </w:r>
            <w:r>
              <w:rPr>
                <w:rStyle w:val="5"/>
                <w:rFonts w:hint="eastAsia" w:ascii="Times New Roman" w:hAnsi="Times New Roman" w:cs="Times New Roman"/>
                <w:color w:val="auto"/>
                <w:sz w:val="21"/>
                <w:szCs w:val="21"/>
                <w:lang w:val="en-US" w:eastAsia="zh-CN" w:bidi="ar"/>
              </w:rPr>
              <w:t>”</w:t>
            </w:r>
            <w:r>
              <w:rPr>
                <w:rStyle w:val="5"/>
                <w:rFonts w:hint="default" w:ascii="Times New Roman" w:hAnsi="Times New Roman" w:cs="Times New Roman"/>
                <w:color w:val="auto"/>
                <w:sz w:val="21"/>
                <w:szCs w:val="21"/>
                <w:lang w:val="en-US" w:eastAsia="zh-CN" w:bidi="ar"/>
              </w:rPr>
              <w:t xml:space="preserve"> 的具体定义、时间边界、房龄标准及重点支持对象</w:t>
            </w:r>
            <w:r>
              <w:rPr>
                <w:rStyle w:val="5"/>
                <w:rFonts w:hint="eastAsia" w:ascii="Times New Roman" w:hAnsi="Times New Roman" w:cs="Times New Roman"/>
                <w:color w:val="auto"/>
                <w:sz w:val="21"/>
                <w:szCs w:val="21"/>
                <w:lang w:val="en-US" w:eastAsia="zh-CN" w:bidi="ar"/>
              </w:rPr>
              <w:t>等细化内容，相关部门将</w:t>
            </w:r>
            <w:r>
              <w:rPr>
                <w:rStyle w:val="5"/>
                <w:rFonts w:hint="default" w:ascii="Times New Roman" w:hAnsi="Times New Roman" w:cs="Times New Roman"/>
                <w:color w:val="auto"/>
                <w:sz w:val="21"/>
                <w:szCs w:val="21"/>
                <w:lang w:val="en-US" w:eastAsia="zh-CN" w:bidi="ar"/>
              </w:rPr>
              <w:t>衔接国家、自治区现行政策口径，充分</w:t>
            </w:r>
            <w:r>
              <w:rPr>
                <w:rStyle w:val="5"/>
                <w:rFonts w:hint="eastAsia" w:ascii="Times New Roman" w:hAnsi="Times New Roman" w:cs="Times New Roman"/>
                <w:color w:val="auto"/>
                <w:sz w:val="21"/>
                <w:szCs w:val="21"/>
                <w:lang w:val="en-US" w:eastAsia="zh-CN" w:bidi="ar"/>
              </w:rPr>
              <w:t>结合</w:t>
            </w:r>
            <w:r>
              <w:rPr>
                <w:rStyle w:val="5"/>
                <w:rFonts w:hint="default" w:ascii="Times New Roman" w:hAnsi="Times New Roman" w:cs="Times New Roman"/>
                <w:color w:val="auto"/>
                <w:sz w:val="21"/>
                <w:szCs w:val="21"/>
                <w:lang w:val="en-US" w:eastAsia="zh-CN" w:bidi="ar"/>
              </w:rPr>
              <w:t>本地住房建设年代、设施现状、民生需求等实际情况</w:t>
            </w:r>
            <w:r>
              <w:rPr>
                <w:rStyle w:val="5"/>
                <w:rFonts w:hint="eastAsia" w:ascii="Times New Roman" w:hAnsi="Times New Roman" w:cs="Times New Roman"/>
                <w:color w:val="auto"/>
                <w:sz w:val="21"/>
                <w:szCs w:val="21"/>
                <w:lang w:val="en-US" w:eastAsia="zh-CN" w:bidi="ar"/>
              </w:rPr>
              <w:t>，研究探索，逐步完善并予以明确。</w:t>
            </w:r>
          </w:p>
        </w:tc>
      </w:tr>
      <w:tr w14:paraId="099F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647" w:type="dxa"/>
            <w:vMerge w:val="restart"/>
            <w:tcBorders>
              <w:top w:val="single" w:color="000000" w:sz="4" w:space="0"/>
              <w:left w:val="single" w:color="000000" w:sz="4" w:space="0"/>
              <w:right w:val="single" w:color="000000" w:sz="4" w:space="0"/>
            </w:tcBorders>
            <w:shd w:val="clear" w:color="auto" w:fill="auto"/>
            <w:noWrap/>
            <w:vAlign w:val="center"/>
          </w:tcPr>
          <w:p w14:paraId="198F18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7A57">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 针对老房子难以完全符合现行建筑规范的现实问题，支持文件已提出的“优化不恶化”原则，并建议进一步细化。</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例如:</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 xml:space="preserve">1.针对“容积率核定优化”条款：明确2000年及以前竣工的住宅楼，为满足安全、节能、无障碍等基本生活品质提升而加装的电梯、外墙保温、消防楼梯等设施，其新增面积一律不计入容积率，且审批流程应极大简化。 </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B5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部分</w:t>
            </w:r>
            <w:r>
              <w:rPr>
                <w:rFonts w:hint="default" w:ascii="Times New Roman" w:hAnsi="Times New Roman" w:eastAsia="方正仿宋_GBK" w:cs="Times New Roman"/>
                <w:i w:val="0"/>
                <w:iCs w:val="0"/>
                <w:color w:val="000000"/>
                <w:kern w:val="0"/>
                <w:sz w:val="21"/>
                <w:szCs w:val="21"/>
                <w:u w:val="none"/>
                <w:lang w:val="en-US" w:eastAsia="zh-CN" w:bidi="ar"/>
              </w:rPr>
              <w:t>采纳</w:t>
            </w:r>
          </w:p>
        </w:tc>
        <w:tc>
          <w:tcPr>
            <w:tcW w:w="7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8683">
            <w:pPr>
              <w:keepNext w:val="0"/>
              <w:keepLines w:val="0"/>
              <w:widowControl/>
              <w:suppressLineNumbers w:val="0"/>
              <w:ind w:firstLine="420" w:firstLineChars="200"/>
              <w:jc w:val="both"/>
              <w:textAlignment w:val="center"/>
              <w:rPr>
                <w:rFonts w:hint="default" w:ascii="Times New Roman" w:hAnsi="Times New Roman" w:eastAsia="方正仿宋_GBK" w:cs="Times New Roman"/>
                <w:i w:val="0"/>
                <w:iCs w:val="0"/>
                <w:color w:val="000000"/>
                <w:sz w:val="21"/>
                <w:szCs w:val="21"/>
                <w:u w:val="none"/>
                <w:lang w:val="en-US"/>
              </w:rPr>
            </w:pPr>
            <w:r>
              <w:rPr>
                <w:rFonts w:hint="default" w:ascii="Times New Roman" w:hAnsi="Times New Roman" w:eastAsia="方正仿宋_GBK" w:cs="Times New Roman"/>
                <w:i w:val="0"/>
                <w:iCs w:val="0"/>
                <w:color w:val="000000"/>
                <w:kern w:val="0"/>
                <w:sz w:val="21"/>
                <w:szCs w:val="21"/>
                <w:u w:val="none"/>
                <w:lang w:val="en-US" w:eastAsia="zh-CN" w:bidi="ar"/>
              </w:rPr>
              <w:t>按照《支持城市更新的规划与土地政策指引（2023版）》容积率核定优化的规定，“为满足安全、环保、无障碍标准等要求，对于增设必要的楼梯、电梯、公共走廊、无障碍设施、风道、外墙保温等附属设施以及景观休息设施等情形，其新增建筑量可不计入规划容积率”。已采纳“为满足安全、环保、无障碍标准等要求，对于增设必要的楼梯、电梯、公共走廊、无障碍设施、外墙保温等附属设施以及景观休息设施、地上停车库等情形，其新增建筑量可不计入规划容积率”内容。</w:t>
            </w:r>
            <w: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本文件作为城市更新综合性政策文件，核心是明确全市城市更新工作的通用性制度规则和总体导向，侧重统筹协调，若明确具体竣工年限会缩小适用范围，故不明确具体竣工年限相关表述。</w:t>
            </w:r>
          </w:p>
        </w:tc>
      </w:tr>
      <w:tr w14:paraId="1FB8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4" w:hRule="atLeast"/>
        </w:trPr>
        <w:tc>
          <w:tcPr>
            <w:tcW w:w="647" w:type="dxa"/>
            <w:vMerge w:val="continue"/>
            <w:tcBorders>
              <w:left w:val="single" w:color="000000" w:sz="4" w:space="0"/>
              <w:bottom w:val="single" w:color="000000" w:sz="4" w:space="0"/>
              <w:right w:val="single" w:color="000000" w:sz="4" w:space="0"/>
            </w:tcBorders>
            <w:shd w:val="clear" w:color="auto" w:fill="auto"/>
            <w:noWrap/>
            <w:vAlign w:val="center"/>
          </w:tcPr>
          <w:p w14:paraId="0E7E87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A932">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二、2.针对</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技术标准适应性优化</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条款：建议制定针对80-90年代建造住宅的“适应性更新技术导则”，在日照、间距、停车位等指标上，给出更符合老城区现状的弹性标准，避免因“一刀切”而无法改造。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3A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未采纳</w:t>
            </w:r>
          </w:p>
        </w:tc>
        <w:tc>
          <w:tcPr>
            <w:tcW w:w="7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09D0">
            <w:pPr>
              <w:keepNext w:val="0"/>
              <w:keepLines w:val="0"/>
              <w:widowControl/>
              <w:suppressLineNumbers w:val="0"/>
              <w:ind w:firstLine="420" w:firstLineChars="20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本文件作为城市更新综合性政策文件，核心是明确全市城市更新工作的通用性制度规则和总体导向，侧重统筹协调和整体谋划，</w:t>
            </w:r>
            <w:r>
              <w:rPr>
                <w:rFonts w:hint="eastAsia" w:ascii="Times New Roman" w:hAnsi="Times New Roman" w:eastAsia="方正仿宋_GBK" w:cs="Times New Roman"/>
                <w:i w:val="0"/>
                <w:iCs w:val="0"/>
                <w:color w:val="auto"/>
                <w:kern w:val="0"/>
                <w:sz w:val="21"/>
                <w:szCs w:val="21"/>
                <w:u w:val="none"/>
                <w:lang w:val="en-US" w:eastAsia="zh-CN" w:bidi="ar"/>
              </w:rPr>
              <w:t>建设技术标准适应性体系是常态化推进事项，针对</w:t>
            </w:r>
            <w:r>
              <w:rPr>
                <w:rFonts w:hint="default" w:ascii="Times New Roman" w:hAnsi="Times New Roman" w:eastAsia="方正仿宋_GBK" w:cs="Times New Roman"/>
                <w:i w:val="0"/>
                <w:iCs w:val="0"/>
                <w:color w:val="auto"/>
                <w:kern w:val="0"/>
                <w:sz w:val="21"/>
                <w:szCs w:val="21"/>
                <w:u w:val="none"/>
                <w:lang w:val="en-US" w:eastAsia="zh-CN" w:bidi="ar"/>
              </w:rPr>
              <w:t>细化操作</w:t>
            </w:r>
            <w:r>
              <w:rPr>
                <w:rFonts w:hint="eastAsia" w:ascii="Times New Roman" w:hAnsi="Times New Roman" w:eastAsia="方正仿宋_GBK" w:cs="Times New Roman"/>
                <w:i w:val="0"/>
                <w:iCs w:val="0"/>
                <w:color w:val="auto"/>
                <w:kern w:val="0"/>
                <w:sz w:val="21"/>
                <w:szCs w:val="21"/>
                <w:u w:val="none"/>
                <w:lang w:val="en-US" w:eastAsia="zh-CN" w:bidi="ar"/>
              </w:rPr>
              <w:t>等</w:t>
            </w:r>
            <w:r>
              <w:rPr>
                <w:rFonts w:hint="default" w:ascii="Times New Roman" w:hAnsi="Times New Roman" w:eastAsia="方正仿宋_GBK" w:cs="Times New Roman"/>
                <w:i w:val="0"/>
                <w:iCs w:val="0"/>
                <w:color w:val="auto"/>
                <w:kern w:val="0"/>
                <w:sz w:val="21"/>
                <w:szCs w:val="21"/>
                <w:u w:val="none"/>
                <w:lang w:val="en-US" w:eastAsia="zh-CN" w:bidi="ar"/>
              </w:rPr>
              <w:t>要求</w:t>
            </w:r>
            <w:r>
              <w:rPr>
                <w:rFonts w:hint="eastAsia" w:ascii="Times New Roman" w:hAnsi="Times New Roman" w:eastAsia="方正仿宋_GBK" w:cs="Times New Roman"/>
                <w:i w:val="0"/>
                <w:iCs w:val="0"/>
                <w:color w:val="auto"/>
                <w:kern w:val="0"/>
                <w:sz w:val="21"/>
                <w:szCs w:val="21"/>
                <w:u w:val="none"/>
                <w:lang w:val="en-US" w:eastAsia="zh-CN" w:bidi="ar"/>
              </w:rPr>
              <w:t>，相关部门</w:t>
            </w:r>
            <w:r>
              <w:rPr>
                <w:rFonts w:hint="default" w:ascii="Times New Roman" w:hAnsi="Times New Roman" w:eastAsia="方正仿宋_GBK" w:cs="Times New Roman"/>
                <w:i w:val="0"/>
                <w:iCs w:val="0"/>
                <w:color w:val="auto"/>
                <w:kern w:val="0"/>
                <w:sz w:val="21"/>
                <w:szCs w:val="21"/>
                <w:u w:val="none"/>
                <w:lang w:val="en-US" w:eastAsia="zh-CN" w:bidi="ar"/>
              </w:rPr>
              <w:t>将</w:t>
            </w:r>
            <w:r>
              <w:rPr>
                <w:rFonts w:hint="eastAsia" w:ascii="Times New Roman" w:hAnsi="Times New Roman" w:eastAsia="方正仿宋_GBK" w:cs="Times New Roman"/>
                <w:i w:val="0"/>
                <w:iCs w:val="0"/>
                <w:color w:val="auto"/>
                <w:kern w:val="0"/>
                <w:sz w:val="21"/>
                <w:szCs w:val="21"/>
                <w:u w:val="none"/>
                <w:lang w:val="en-US" w:eastAsia="zh-CN" w:bidi="ar"/>
              </w:rPr>
              <w:t>结合实际研究出台配套政策，进一步完善落实</w:t>
            </w:r>
            <w:r>
              <w:rPr>
                <w:rFonts w:hint="default" w:ascii="Times New Roman" w:hAnsi="Times New Roman" w:eastAsia="方正仿宋_GBK" w:cs="Times New Roman"/>
                <w:i w:val="0"/>
                <w:iCs w:val="0"/>
                <w:color w:val="auto"/>
                <w:kern w:val="0"/>
                <w:sz w:val="21"/>
                <w:szCs w:val="21"/>
                <w:u w:val="none"/>
                <w:lang w:val="en-US" w:eastAsia="zh-CN" w:bidi="ar"/>
              </w:rPr>
              <w:t>。</w:t>
            </w:r>
          </w:p>
        </w:tc>
      </w:tr>
      <w:tr w14:paraId="51EB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19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5D7D">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三、全力支持文件中的“豁免清单”和简化审批思路，并建议为老旧住房设立绿色通道。例如:对于2000年及以前竣工房屋的改造项目，只要不改变主体结构、不增加</w:t>
            </w:r>
            <w: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危险，其加装电梯、更换门窗、增加保温层、安装充电桩等工程，应明确列入规划许可豁免清单，实现“备案即开工”。参照“优化城镇老旧小区</w:t>
            </w:r>
            <w:r>
              <w:rPr>
                <w:rFonts w:hint="default" w:ascii="Times New Roman" w:hAnsi="Times New Roman" w:eastAsia="方正仿宋_GBK" w:cs="Times New Roman"/>
                <w:i w:val="0"/>
                <w:iCs w:val="0"/>
                <w:color w:val="000000"/>
                <w:kern w:val="0"/>
                <w:sz w:val="21"/>
                <w:szCs w:val="21"/>
                <w:u w:val="none"/>
                <w:lang w:val="en-US" w:eastAsia="zh-CN" w:bidi="ar"/>
              </w:rPr>
              <w:t>改造项目审批”的精神，建议对单栋或连片的老旧住房更新项目，无论投资大小，都适用合并审批、简化程序的优惠。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A7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部分</w:t>
            </w:r>
            <w:r>
              <w:rPr>
                <w:rFonts w:hint="default" w:ascii="Times New Roman" w:hAnsi="Times New Roman" w:eastAsia="方正仿宋_GBK" w:cs="Times New Roman"/>
                <w:i w:val="0"/>
                <w:iCs w:val="0"/>
                <w:color w:val="000000"/>
                <w:kern w:val="0"/>
                <w:sz w:val="21"/>
                <w:szCs w:val="21"/>
                <w:u w:val="none"/>
                <w:lang w:val="en-US" w:eastAsia="zh-CN" w:bidi="ar"/>
              </w:rPr>
              <w:t>采纳</w:t>
            </w:r>
          </w:p>
        </w:tc>
        <w:tc>
          <w:tcPr>
            <w:tcW w:w="7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F783">
            <w:pPr>
              <w:keepNext w:val="0"/>
              <w:keepLines w:val="0"/>
              <w:widowControl/>
              <w:suppressLineNumbers w:val="0"/>
              <w:ind w:firstLine="420" w:firstLineChars="200"/>
              <w:jc w:val="both"/>
              <w:textAlignment w:val="center"/>
              <w:rPr>
                <w:rStyle w:val="5"/>
                <w:rFonts w:hint="default" w:ascii="Times New Roman" w:hAnsi="Times New Roman" w:cs="Times New Roman"/>
                <w:sz w:val="21"/>
                <w:szCs w:val="21"/>
                <w:lang w:val="en-US" w:eastAsia="zh-CN" w:bidi="ar"/>
              </w:rPr>
            </w:pPr>
            <w:r>
              <w:rPr>
                <w:rStyle w:val="5"/>
                <w:rFonts w:hint="eastAsia" w:ascii="Times New Roman" w:hAnsi="Times New Roman" w:cs="Times New Roman"/>
                <w:sz w:val="21"/>
                <w:szCs w:val="21"/>
                <w:lang w:val="en-US" w:eastAsia="zh-CN" w:bidi="ar"/>
              </w:rPr>
              <w:t>已采纳“</w:t>
            </w:r>
            <w:bookmarkStart w:id="0" w:name="OLE_LINK4"/>
            <w:r>
              <w:rPr>
                <w:rStyle w:val="5"/>
                <w:rFonts w:hint="eastAsia" w:ascii="Times New Roman" w:hAnsi="Times New Roman" w:cs="Times New Roman"/>
                <w:sz w:val="21"/>
                <w:szCs w:val="21"/>
                <w:lang w:val="en-US" w:eastAsia="zh-CN" w:bidi="ar"/>
              </w:rPr>
              <w:t>（十四）优化规划许可。在保证公共安全和公共利益、不影响周边利害关系人合法权益、不改变建筑主体结构、落实用地需求的前提下，对改善社区公共服务（市政）设施、提升社区公共空间服务功能等微更新项目，依据规划许可豁免清单，无需办理建设工程规划许可（历史建筑改变主体结构除外）。</w:t>
            </w:r>
            <w:bookmarkEnd w:id="0"/>
            <w:r>
              <w:rPr>
                <w:rStyle w:val="5"/>
                <w:rFonts w:hint="eastAsia" w:ascii="Times New Roman" w:hAnsi="Times New Roman" w:cs="Times New Roman"/>
                <w:sz w:val="21"/>
                <w:szCs w:val="21"/>
                <w:lang w:val="en-US" w:eastAsia="zh-CN" w:bidi="ar"/>
              </w:rPr>
              <w:t>包括以下内容：不影响安全疏散且不涉及新增建筑面积的屋顶美化；不改变房屋登记属性对建筑产权单元内部空间进行改造或技术升级的装修行为；在项目权属用地范围内加装电梯、疏散楼梯、电动扶梯、充电设施、快递柜、通信基站、运动健身设施、机械式停车设施等设施设备且不增加建筑面积、不涉及相邻关系”。</w:t>
            </w:r>
          </w:p>
          <w:p w14:paraId="17E44EAC">
            <w:pPr>
              <w:keepNext w:val="0"/>
              <w:keepLines w:val="0"/>
              <w:widowControl/>
              <w:suppressLineNumbers w:val="0"/>
              <w:ind w:firstLine="420" w:firstLineChars="200"/>
              <w:jc w:val="both"/>
              <w:textAlignment w:val="center"/>
              <w:rPr>
                <w:rFonts w:hint="default" w:ascii="Times New Roman" w:hAnsi="Times New Roman" w:eastAsia="方正仿宋_GBK" w:cs="Times New Roman"/>
                <w:i w:val="0"/>
                <w:iCs w:val="0"/>
                <w:color w:val="000000"/>
                <w:sz w:val="21"/>
                <w:szCs w:val="21"/>
                <w:u w:val="none"/>
              </w:rPr>
            </w:pPr>
            <w:r>
              <w:rPr>
                <w:rStyle w:val="5"/>
                <w:rFonts w:hint="eastAsia" w:ascii="Times New Roman" w:hAnsi="Times New Roman" w:cs="Times New Roman"/>
                <w:sz w:val="21"/>
                <w:szCs w:val="21"/>
                <w:lang w:val="en-US" w:eastAsia="zh-CN" w:bidi="ar"/>
              </w:rPr>
              <w:t>按照《建筑工程施工许可管理办法》第二条规定，“</w:t>
            </w:r>
            <w:r>
              <w:rPr>
                <w:rFonts w:ascii="仿宋" w:hAnsi="仿宋" w:eastAsia="仿宋" w:cs="仿宋"/>
                <w:i w:val="0"/>
                <w:iCs w:val="0"/>
                <w:caps w:val="0"/>
                <w:color w:val="auto"/>
                <w:spacing w:val="0"/>
                <w:sz w:val="22"/>
                <w:szCs w:val="22"/>
                <w:shd w:val="clear" w:fill="FFFFFF"/>
              </w:rPr>
              <w:t>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申请领取施工许可证。</w:t>
            </w:r>
            <w:r>
              <w:rPr>
                <w:rStyle w:val="5"/>
                <w:rFonts w:hint="default" w:ascii="Times New Roman" w:hAnsi="Times New Roman" w:cs="Times New Roman"/>
                <w:sz w:val="21"/>
                <w:szCs w:val="21"/>
                <w:lang w:val="en-US" w:eastAsia="zh-CN" w:bidi="ar"/>
              </w:rPr>
              <w:t>工程投资额在30万元以下或者建筑面积在300平方米以下的建筑工程，可以不申请办理施工许可证。</w:t>
            </w:r>
            <w:r>
              <w:rPr>
                <w:rStyle w:val="5"/>
                <w:rFonts w:hint="eastAsia" w:ascii="Times New Roman" w:hAnsi="Times New Roman" w:cs="Times New Roman"/>
                <w:sz w:val="21"/>
                <w:szCs w:val="21"/>
                <w:lang w:val="en-US" w:eastAsia="zh-CN" w:bidi="ar"/>
              </w:rPr>
              <w:t>”</w:t>
            </w:r>
            <w:r>
              <w:rPr>
                <w:rStyle w:val="5"/>
                <w:rFonts w:hint="default" w:ascii="Times New Roman" w:hAnsi="Times New Roman" w:cs="Times New Roman"/>
                <w:sz w:val="21"/>
                <w:szCs w:val="21"/>
                <w:lang w:val="en-US" w:eastAsia="zh-CN" w:bidi="ar"/>
              </w:rPr>
              <w:t>同时，加装电梯、外墙保温等工程涉及建筑结构安全、消防安全等核心要求，需严格落实施工安全和工程质量责任，按规定履行审批流程、做好验收移交，杜绝安全隐患，</w:t>
            </w:r>
            <w:r>
              <w:rPr>
                <w:rStyle w:val="7"/>
                <w:rFonts w:hint="default" w:ascii="Times New Roman" w:hAnsi="Times New Roman" w:cs="Times New Roman"/>
                <w:sz w:val="21"/>
                <w:szCs w:val="21"/>
                <w:lang w:val="en-US" w:eastAsia="zh-CN" w:bidi="ar"/>
              </w:rPr>
              <w:t>不能简单以“备案即开工”替代法定审批程序。此外，老旧住房更新项目</w:t>
            </w:r>
            <w:r>
              <w:rPr>
                <w:rStyle w:val="5"/>
                <w:rFonts w:hint="default" w:ascii="Times New Roman" w:hAnsi="Times New Roman" w:cs="Times New Roman"/>
                <w:sz w:val="21"/>
                <w:szCs w:val="21"/>
                <w:lang w:val="en-US" w:eastAsia="zh-CN" w:bidi="ar"/>
              </w:rPr>
              <w:t>审批简化需结合项目实际情况、风险等级统筹推进，相关审批简化标准将结合本地实际及上位文件要求，在后续实施过程中统筹研究落实，确保既提升审批效率，又守住安全底线。</w:t>
            </w:r>
          </w:p>
        </w:tc>
      </w:tr>
      <w:tr w14:paraId="6C23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2"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31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A567">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四、很多老房子可能存在产权证明不全、土地手续不清等问题，文件提到了“妥善处置历史遗留问题”，但需要可操作路径。</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例如:</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呼吁出台配套细则，为1980-90年代建造、手续不全的住宅，设立一个分类认定和补办程序。只要房屋权属清晰无争议，可通过社区证明、历史缴费凭证等方式予以确认，以便后续顺利办理改造相关的产权登记或抵押手续。</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14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未采纳</w:t>
            </w:r>
          </w:p>
        </w:tc>
        <w:tc>
          <w:tcPr>
            <w:tcW w:w="7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F805">
            <w:pPr>
              <w:keepNext w:val="0"/>
              <w:keepLines w:val="0"/>
              <w:widowControl/>
              <w:suppressLineNumbers w:val="0"/>
              <w:ind w:firstLine="420" w:firstLineChars="200"/>
              <w:jc w:val="both"/>
              <w:textAlignment w:val="center"/>
              <w:rPr>
                <w:rFonts w:hint="default" w:ascii="Times New Roman" w:hAnsi="Times New Roman" w:eastAsia="方正仿宋_GBK" w:cs="Times New Roman"/>
                <w:i w:val="0"/>
                <w:iCs w:val="0"/>
                <w:color w:val="FF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本文件作为城市更新综合性政策，重点明确历史遗留问题处置的总体原则，引导规范推进相关工作，具体操作路径需结合国家政策要求和本地实际逐步细化。考虑到1980-90年代建造住宅的历史背景复杂，不同房屋的手续缺</w:t>
            </w:r>
            <w:r>
              <w:rPr>
                <w:rFonts w:hint="default" w:ascii="Times New Roman" w:hAnsi="Times New Roman" w:eastAsia="方正仿宋_GBK" w:cs="Times New Roman"/>
                <w:i w:val="0"/>
                <w:iCs w:val="0"/>
                <w:color w:val="auto"/>
                <w:kern w:val="0"/>
                <w:sz w:val="21"/>
                <w:szCs w:val="21"/>
                <w:u w:val="none"/>
                <w:lang w:val="en-US" w:eastAsia="zh-CN" w:bidi="ar"/>
              </w:rPr>
              <w:t>失情况、权属状况存在差异，无法在本综合性政策中统一明确分类认定和补办程序。后续</w:t>
            </w:r>
            <w:r>
              <w:rPr>
                <w:rFonts w:hint="eastAsia" w:ascii="Times New Roman" w:hAnsi="Times New Roman" w:eastAsia="方正仿宋_GBK" w:cs="Times New Roman"/>
                <w:i w:val="0"/>
                <w:iCs w:val="0"/>
                <w:color w:val="auto"/>
                <w:kern w:val="0"/>
                <w:sz w:val="21"/>
                <w:szCs w:val="21"/>
                <w:u w:val="none"/>
                <w:lang w:val="en-US" w:eastAsia="zh-CN" w:bidi="ar"/>
              </w:rPr>
              <w:t>相关部门</w:t>
            </w:r>
            <w:r>
              <w:rPr>
                <w:rFonts w:hint="default" w:ascii="Times New Roman" w:hAnsi="Times New Roman" w:eastAsia="方正仿宋_GBK" w:cs="Times New Roman"/>
                <w:i w:val="0"/>
                <w:iCs w:val="0"/>
                <w:color w:val="auto"/>
                <w:kern w:val="0"/>
                <w:sz w:val="21"/>
                <w:szCs w:val="21"/>
                <w:u w:val="none"/>
                <w:lang w:val="en-US" w:eastAsia="zh-CN" w:bidi="ar"/>
              </w:rPr>
              <w:t>将结合国家、自治区相关政策，</w:t>
            </w:r>
            <w:r>
              <w:rPr>
                <w:rFonts w:hint="eastAsia" w:ascii="Times New Roman" w:hAnsi="Times New Roman" w:eastAsia="方正仿宋_GBK" w:cs="Times New Roman"/>
                <w:i w:val="0"/>
                <w:iCs w:val="0"/>
                <w:color w:val="auto"/>
                <w:kern w:val="0"/>
                <w:sz w:val="21"/>
                <w:szCs w:val="21"/>
                <w:u w:val="none"/>
                <w:lang w:val="en-US" w:eastAsia="zh-CN" w:bidi="ar"/>
              </w:rPr>
              <w:t>积极探索研究</w:t>
            </w:r>
            <w:r>
              <w:rPr>
                <w:rFonts w:hint="default" w:ascii="Times New Roman" w:hAnsi="Times New Roman" w:eastAsia="方正仿宋_GBK" w:cs="Times New Roman"/>
                <w:i w:val="0"/>
                <w:iCs w:val="0"/>
                <w:color w:val="auto"/>
                <w:kern w:val="0"/>
                <w:sz w:val="21"/>
                <w:szCs w:val="21"/>
                <w:u w:val="none"/>
                <w:lang w:val="en-US" w:eastAsia="zh-CN" w:bidi="ar"/>
              </w:rPr>
              <w:t>历史遗留问题的</w:t>
            </w:r>
            <w:r>
              <w:rPr>
                <w:rFonts w:hint="eastAsia" w:ascii="Times New Roman" w:hAnsi="Times New Roman" w:eastAsia="方正仿宋_GBK" w:cs="Times New Roman"/>
                <w:i w:val="0"/>
                <w:iCs w:val="0"/>
                <w:color w:val="auto"/>
                <w:kern w:val="0"/>
                <w:sz w:val="21"/>
                <w:szCs w:val="21"/>
                <w:u w:val="none"/>
                <w:lang w:val="en-US" w:eastAsia="zh-CN" w:bidi="ar"/>
              </w:rPr>
              <w:t>处置思路和相关路径，</w:t>
            </w:r>
            <w:r>
              <w:rPr>
                <w:rFonts w:hint="default" w:ascii="Times New Roman" w:hAnsi="Times New Roman" w:eastAsia="方正仿宋_GBK" w:cs="Times New Roman"/>
                <w:i w:val="0"/>
                <w:iCs w:val="0"/>
                <w:color w:val="auto"/>
                <w:kern w:val="0"/>
                <w:sz w:val="21"/>
                <w:szCs w:val="21"/>
                <w:u w:val="none"/>
                <w:lang w:val="en-US" w:eastAsia="zh-CN" w:bidi="ar"/>
              </w:rPr>
              <w:t>确保处置工作合法合规、切实可行。</w:t>
            </w:r>
          </w:p>
        </w:tc>
      </w:tr>
      <w:tr w14:paraId="5CE5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88A0">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5</w:t>
            </w:r>
          </w:p>
        </w:tc>
        <w:tc>
          <w:tcPr>
            <w:tcW w:w="4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2ED7">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五、改造需要钱，希望政策能切实降低业主的经济压力。</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例如:</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在</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加大金融支持力度</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方面，建议明确鼓励银行开发</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老旧住房更新改造专项贷款</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，给予更低的利率和更长的贷款期限。</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在</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加大财政资金支持力度</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方面，建议对符合条件的1989年及以前竣工住宅的节能改造、电梯加装等，给予直接的财政补贴或奖励。</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46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未采纳</w:t>
            </w:r>
          </w:p>
        </w:tc>
        <w:tc>
          <w:tcPr>
            <w:tcW w:w="7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E584">
            <w:pPr>
              <w:keepNext w:val="0"/>
              <w:keepLines w:val="0"/>
              <w:widowControl/>
              <w:suppressLineNumbers w:val="0"/>
              <w:ind w:firstLine="420" w:firstLineChars="20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金融产品创新、利率优惠及财政补贴等具体支持方式，受多重因素制约，无法在本文件中作出刚性承诺。根据《中共中央办公厅 国务院办公厅关于持续推进城市更新行动的意见》要求，城市更新资金需坚持政府引导、市场运作、公众参与的可持续模式，地方政府要加大财政投入，但需在债务风险可控前提下推进，严禁违法违规举债融资。同时，《国务院办公厅关于全面推进城镇老旧小区改造工作的指导意见》（国办发〔2020〕23号）明确，改造资金实行政府与居民、社会力量合理共担机制，因此，结合上级政策要求及金融市场实际情况，</w:t>
            </w:r>
            <w: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本文件暂不明确具体的贷款利率、补贴标准等刚性内容，</w:t>
            </w:r>
            <w:bookmarkStart w:id="1" w:name="_GoBack"/>
            <w:r>
              <w:rPr>
                <w:rFonts w:hint="default" w:ascii="Times New Roman" w:hAnsi="Times New Roman" w:eastAsia="方正仿宋_GBK" w:cs="Times New Roman"/>
                <w:i w:val="0"/>
                <w:iCs w:val="0"/>
                <w:color w:val="auto"/>
                <w:kern w:val="0"/>
                <w:sz w:val="21"/>
                <w:szCs w:val="21"/>
                <w:u w:val="none"/>
                <w:lang w:val="en-US" w:eastAsia="zh-CN" w:bidi="ar"/>
              </w:rPr>
              <w:t>后续</w:t>
            </w:r>
            <w:r>
              <w:rPr>
                <w:rFonts w:hint="eastAsia" w:ascii="Times New Roman" w:hAnsi="Times New Roman" w:eastAsia="方正仿宋_GBK" w:cs="Times New Roman"/>
                <w:i w:val="0"/>
                <w:iCs w:val="0"/>
                <w:color w:val="auto"/>
                <w:kern w:val="0"/>
                <w:sz w:val="21"/>
                <w:szCs w:val="21"/>
                <w:u w:val="none"/>
                <w:lang w:val="en-US" w:eastAsia="zh-CN" w:bidi="ar"/>
              </w:rPr>
              <w:t>相关部门</w:t>
            </w:r>
            <w:r>
              <w:rPr>
                <w:rFonts w:hint="default" w:ascii="Times New Roman" w:hAnsi="Times New Roman" w:eastAsia="方正仿宋_GBK" w:cs="Times New Roman"/>
                <w:i w:val="0"/>
                <w:iCs w:val="0"/>
                <w:color w:val="auto"/>
                <w:kern w:val="0"/>
                <w:sz w:val="21"/>
                <w:szCs w:val="21"/>
                <w:u w:val="none"/>
                <w:lang w:val="en-US" w:eastAsia="zh-CN" w:bidi="ar"/>
              </w:rPr>
              <w:t>将结合国家政策导向、本地财力状况及金融市场情况，</w:t>
            </w:r>
            <w:r>
              <w:rPr>
                <w:rFonts w:hint="eastAsia" w:ascii="Times New Roman" w:hAnsi="Times New Roman" w:eastAsia="方正仿宋_GBK" w:cs="Times New Roman"/>
                <w:i w:val="0"/>
                <w:iCs w:val="0"/>
                <w:color w:val="auto"/>
                <w:kern w:val="0"/>
                <w:sz w:val="21"/>
                <w:szCs w:val="21"/>
                <w:u w:val="none"/>
                <w:lang w:val="en-US" w:eastAsia="zh-CN" w:bidi="ar"/>
              </w:rPr>
              <w:t>探索</w:t>
            </w:r>
            <w:r>
              <w:rPr>
                <w:rFonts w:hint="default" w:ascii="Times New Roman" w:hAnsi="Times New Roman" w:eastAsia="方正仿宋_GBK" w:cs="Times New Roman"/>
                <w:i w:val="0"/>
                <w:iCs w:val="0"/>
                <w:color w:val="auto"/>
                <w:kern w:val="0"/>
                <w:sz w:val="21"/>
                <w:szCs w:val="21"/>
                <w:u w:val="none"/>
                <w:lang w:val="en-US" w:eastAsia="zh-CN" w:bidi="ar"/>
              </w:rPr>
              <w:t>研究相关支持举措，切实兼顾政策可行性与业主实际需求。</w:t>
            </w:r>
            <w:bookmarkEnd w:id="1"/>
          </w:p>
        </w:tc>
      </w:tr>
    </w:tbl>
    <w:p w14:paraId="1964CB00"/>
    <w:sectPr>
      <w:pgSz w:w="16838" w:h="11906" w:orient="landscape"/>
      <w:pgMar w:top="1531" w:right="2098"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93BAE"/>
    <w:rsid w:val="00727697"/>
    <w:rsid w:val="011A7FF3"/>
    <w:rsid w:val="017645CA"/>
    <w:rsid w:val="02032866"/>
    <w:rsid w:val="021F73D1"/>
    <w:rsid w:val="022463FE"/>
    <w:rsid w:val="02E66473"/>
    <w:rsid w:val="032136F3"/>
    <w:rsid w:val="033579D1"/>
    <w:rsid w:val="03523A85"/>
    <w:rsid w:val="037A761E"/>
    <w:rsid w:val="03A918CB"/>
    <w:rsid w:val="03AA52E1"/>
    <w:rsid w:val="03E648E2"/>
    <w:rsid w:val="05200962"/>
    <w:rsid w:val="05B03439"/>
    <w:rsid w:val="064A40B2"/>
    <w:rsid w:val="06802FDF"/>
    <w:rsid w:val="06B17AEE"/>
    <w:rsid w:val="06F83369"/>
    <w:rsid w:val="078A3944"/>
    <w:rsid w:val="07EE456B"/>
    <w:rsid w:val="08683DBB"/>
    <w:rsid w:val="096B2196"/>
    <w:rsid w:val="09800C29"/>
    <w:rsid w:val="09A22F8F"/>
    <w:rsid w:val="09DD315E"/>
    <w:rsid w:val="0A9F4DCB"/>
    <w:rsid w:val="0ABD4D38"/>
    <w:rsid w:val="0B7C6906"/>
    <w:rsid w:val="0BBD5BFA"/>
    <w:rsid w:val="0BBD6B15"/>
    <w:rsid w:val="0C242A7C"/>
    <w:rsid w:val="0C2D3320"/>
    <w:rsid w:val="0C400810"/>
    <w:rsid w:val="0C6F1772"/>
    <w:rsid w:val="0C700559"/>
    <w:rsid w:val="0C814244"/>
    <w:rsid w:val="0CB30491"/>
    <w:rsid w:val="0CBB5AFF"/>
    <w:rsid w:val="0DFD288C"/>
    <w:rsid w:val="0E4B272D"/>
    <w:rsid w:val="0E5F75D7"/>
    <w:rsid w:val="0EDC520D"/>
    <w:rsid w:val="0F7449C7"/>
    <w:rsid w:val="0F8E48F5"/>
    <w:rsid w:val="102C3954"/>
    <w:rsid w:val="127D43BE"/>
    <w:rsid w:val="12944018"/>
    <w:rsid w:val="12C94E17"/>
    <w:rsid w:val="12F67B77"/>
    <w:rsid w:val="13882E14"/>
    <w:rsid w:val="141752E7"/>
    <w:rsid w:val="14993304"/>
    <w:rsid w:val="152B6E5D"/>
    <w:rsid w:val="15331D7B"/>
    <w:rsid w:val="153C6EAE"/>
    <w:rsid w:val="154A040D"/>
    <w:rsid w:val="156929DE"/>
    <w:rsid w:val="174B682C"/>
    <w:rsid w:val="17A51AA2"/>
    <w:rsid w:val="17D04A9F"/>
    <w:rsid w:val="183F3446"/>
    <w:rsid w:val="18A25ABF"/>
    <w:rsid w:val="18BC4B83"/>
    <w:rsid w:val="18EE119D"/>
    <w:rsid w:val="190C660C"/>
    <w:rsid w:val="19782B3F"/>
    <w:rsid w:val="19D002F7"/>
    <w:rsid w:val="1BA85FEC"/>
    <w:rsid w:val="1C390FC6"/>
    <w:rsid w:val="1C6A03BE"/>
    <w:rsid w:val="1C79338D"/>
    <w:rsid w:val="1C9915A9"/>
    <w:rsid w:val="1C993364"/>
    <w:rsid w:val="1CCC78D1"/>
    <w:rsid w:val="1D210DAD"/>
    <w:rsid w:val="1D2169FD"/>
    <w:rsid w:val="1D7F67C9"/>
    <w:rsid w:val="1D887297"/>
    <w:rsid w:val="1E517A2A"/>
    <w:rsid w:val="1EED151B"/>
    <w:rsid w:val="20B56710"/>
    <w:rsid w:val="210B5029"/>
    <w:rsid w:val="21192729"/>
    <w:rsid w:val="21636AE9"/>
    <w:rsid w:val="2178395F"/>
    <w:rsid w:val="218A3F07"/>
    <w:rsid w:val="21EC73A5"/>
    <w:rsid w:val="224D4AF8"/>
    <w:rsid w:val="22751BB7"/>
    <w:rsid w:val="23144187"/>
    <w:rsid w:val="23B05E51"/>
    <w:rsid w:val="23BF2ECB"/>
    <w:rsid w:val="241D6AA3"/>
    <w:rsid w:val="246B2D62"/>
    <w:rsid w:val="24D20E69"/>
    <w:rsid w:val="24F624D3"/>
    <w:rsid w:val="254A1B1B"/>
    <w:rsid w:val="25E76273"/>
    <w:rsid w:val="25FE29F5"/>
    <w:rsid w:val="260C5B25"/>
    <w:rsid w:val="26214E87"/>
    <w:rsid w:val="26690AE3"/>
    <w:rsid w:val="266A0E9D"/>
    <w:rsid w:val="27121322"/>
    <w:rsid w:val="271B6DCF"/>
    <w:rsid w:val="27291FA1"/>
    <w:rsid w:val="27C272BD"/>
    <w:rsid w:val="28415AD8"/>
    <w:rsid w:val="2878607A"/>
    <w:rsid w:val="28BB366C"/>
    <w:rsid w:val="294436AA"/>
    <w:rsid w:val="29960C91"/>
    <w:rsid w:val="2A0E56E6"/>
    <w:rsid w:val="2A207469"/>
    <w:rsid w:val="2AA7121A"/>
    <w:rsid w:val="2C074179"/>
    <w:rsid w:val="2C870456"/>
    <w:rsid w:val="2D066511"/>
    <w:rsid w:val="2E0C4A25"/>
    <w:rsid w:val="2EB14197"/>
    <w:rsid w:val="2F2F088D"/>
    <w:rsid w:val="2F8C25D7"/>
    <w:rsid w:val="2FA967DD"/>
    <w:rsid w:val="2FC935DC"/>
    <w:rsid w:val="3015368A"/>
    <w:rsid w:val="30482DFD"/>
    <w:rsid w:val="31F33653"/>
    <w:rsid w:val="322114B2"/>
    <w:rsid w:val="32284B84"/>
    <w:rsid w:val="329D1D39"/>
    <w:rsid w:val="329E56C6"/>
    <w:rsid w:val="338A2F77"/>
    <w:rsid w:val="34732803"/>
    <w:rsid w:val="34DD7D14"/>
    <w:rsid w:val="34F2323A"/>
    <w:rsid w:val="353B2CFA"/>
    <w:rsid w:val="353B4628"/>
    <w:rsid w:val="358F1768"/>
    <w:rsid w:val="35AF6855"/>
    <w:rsid w:val="36864877"/>
    <w:rsid w:val="369F0EF3"/>
    <w:rsid w:val="36DA3061"/>
    <w:rsid w:val="3714426C"/>
    <w:rsid w:val="3852487C"/>
    <w:rsid w:val="38847B1C"/>
    <w:rsid w:val="38B5431C"/>
    <w:rsid w:val="38EC0ADD"/>
    <w:rsid w:val="39172A45"/>
    <w:rsid w:val="3A6065AD"/>
    <w:rsid w:val="3A8351AB"/>
    <w:rsid w:val="3AE7321C"/>
    <w:rsid w:val="3B447438"/>
    <w:rsid w:val="3C2768B1"/>
    <w:rsid w:val="3CD86681"/>
    <w:rsid w:val="3DBF535E"/>
    <w:rsid w:val="3E874772"/>
    <w:rsid w:val="3F5A1B95"/>
    <w:rsid w:val="3F6978EF"/>
    <w:rsid w:val="3F6C5D4A"/>
    <w:rsid w:val="3FB74A71"/>
    <w:rsid w:val="3FC90135"/>
    <w:rsid w:val="403C7B59"/>
    <w:rsid w:val="41912755"/>
    <w:rsid w:val="419918A4"/>
    <w:rsid w:val="41DB7B6C"/>
    <w:rsid w:val="41EE032F"/>
    <w:rsid w:val="423259A4"/>
    <w:rsid w:val="424C3EA8"/>
    <w:rsid w:val="42955E79"/>
    <w:rsid w:val="43075D7F"/>
    <w:rsid w:val="439E5156"/>
    <w:rsid w:val="440967DA"/>
    <w:rsid w:val="44364B9B"/>
    <w:rsid w:val="449E4A7E"/>
    <w:rsid w:val="44ED5D90"/>
    <w:rsid w:val="452F1977"/>
    <w:rsid w:val="45FA4B1F"/>
    <w:rsid w:val="46AA4E91"/>
    <w:rsid w:val="47305327"/>
    <w:rsid w:val="475111ED"/>
    <w:rsid w:val="47A80867"/>
    <w:rsid w:val="48226F5E"/>
    <w:rsid w:val="483A5882"/>
    <w:rsid w:val="48C8373C"/>
    <w:rsid w:val="48F92032"/>
    <w:rsid w:val="4978036B"/>
    <w:rsid w:val="4A7856BE"/>
    <w:rsid w:val="4AB652F3"/>
    <w:rsid w:val="4ACA4FE9"/>
    <w:rsid w:val="4AD12343"/>
    <w:rsid w:val="4AE44E64"/>
    <w:rsid w:val="4AF60078"/>
    <w:rsid w:val="4B646FBD"/>
    <w:rsid w:val="4BB636F2"/>
    <w:rsid w:val="4C1D19A0"/>
    <w:rsid w:val="4C393BAE"/>
    <w:rsid w:val="4C4D1BBE"/>
    <w:rsid w:val="4CD34102"/>
    <w:rsid w:val="4CF96D7B"/>
    <w:rsid w:val="4D035513"/>
    <w:rsid w:val="4D611404"/>
    <w:rsid w:val="4DB01546"/>
    <w:rsid w:val="4DC52A8D"/>
    <w:rsid w:val="4DF93A69"/>
    <w:rsid w:val="4E1358FC"/>
    <w:rsid w:val="4E3F02DA"/>
    <w:rsid w:val="4ED53309"/>
    <w:rsid w:val="4F130402"/>
    <w:rsid w:val="4F5A11D7"/>
    <w:rsid w:val="4F7436AB"/>
    <w:rsid w:val="4F867A56"/>
    <w:rsid w:val="4F87104D"/>
    <w:rsid w:val="4FA13292"/>
    <w:rsid w:val="504B4073"/>
    <w:rsid w:val="504C40BD"/>
    <w:rsid w:val="509549BB"/>
    <w:rsid w:val="50FE1399"/>
    <w:rsid w:val="51033EF5"/>
    <w:rsid w:val="5132449D"/>
    <w:rsid w:val="517919A1"/>
    <w:rsid w:val="51D876B4"/>
    <w:rsid w:val="521F4708"/>
    <w:rsid w:val="5256362B"/>
    <w:rsid w:val="52B0629A"/>
    <w:rsid w:val="530C22EE"/>
    <w:rsid w:val="53991661"/>
    <w:rsid w:val="54056228"/>
    <w:rsid w:val="54F3137C"/>
    <w:rsid w:val="550572DC"/>
    <w:rsid w:val="55237941"/>
    <w:rsid w:val="55B96B88"/>
    <w:rsid w:val="55E80C87"/>
    <w:rsid w:val="560261DC"/>
    <w:rsid w:val="56223FBB"/>
    <w:rsid w:val="56910742"/>
    <w:rsid w:val="56932A90"/>
    <w:rsid w:val="569F03C2"/>
    <w:rsid w:val="56A107B6"/>
    <w:rsid w:val="56FC2767"/>
    <w:rsid w:val="57243C3F"/>
    <w:rsid w:val="573B2E6E"/>
    <w:rsid w:val="57410931"/>
    <w:rsid w:val="57B00D35"/>
    <w:rsid w:val="57C830AF"/>
    <w:rsid w:val="589B69F3"/>
    <w:rsid w:val="58F47A66"/>
    <w:rsid w:val="58F87D6C"/>
    <w:rsid w:val="58FB0657"/>
    <w:rsid w:val="594554D5"/>
    <w:rsid w:val="59884364"/>
    <w:rsid w:val="5A667773"/>
    <w:rsid w:val="5A9A5BDE"/>
    <w:rsid w:val="5ACA6A6B"/>
    <w:rsid w:val="5AE773CB"/>
    <w:rsid w:val="5C9D335F"/>
    <w:rsid w:val="5D0F3146"/>
    <w:rsid w:val="5DDB5CCE"/>
    <w:rsid w:val="5E78712C"/>
    <w:rsid w:val="5EA26C91"/>
    <w:rsid w:val="5EA62AD4"/>
    <w:rsid w:val="5F020E9F"/>
    <w:rsid w:val="5F706AE1"/>
    <w:rsid w:val="5F9E6E50"/>
    <w:rsid w:val="5FF83397"/>
    <w:rsid w:val="60006932"/>
    <w:rsid w:val="606B51D1"/>
    <w:rsid w:val="60D47F3F"/>
    <w:rsid w:val="60DA5FDB"/>
    <w:rsid w:val="613C4076"/>
    <w:rsid w:val="6160297D"/>
    <w:rsid w:val="62966411"/>
    <w:rsid w:val="6299616B"/>
    <w:rsid w:val="62DB4FD8"/>
    <w:rsid w:val="62F81EAF"/>
    <w:rsid w:val="648C2D20"/>
    <w:rsid w:val="64AC0A2D"/>
    <w:rsid w:val="654C3B00"/>
    <w:rsid w:val="662D63B0"/>
    <w:rsid w:val="687564F3"/>
    <w:rsid w:val="68A31FDD"/>
    <w:rsid w:val="68BE739F"/>
    <w:rsid w:val="69271E16"/>
    <w:rsid w:val="69582C79"/>
    <w:rsid w:val="695F03A8"/>
    <w:rsid w:val="6A143775"/>
    <w:rsid w:val="6A4021DB"/>
    <w:rsid w:val="6A6D488B"/>
    <w:rsid w:val="6AD50928"/>
    <w:rsid w:val="6B1B5BC3"/>
    <w:rsid w:val="6BC46A54"/>
    <w:rsid w:val="6BF61939"/>
    <w:rsid w:val="6C0832AD"/>
    <w:rsid w:val="6CCC3C24"/>
    <w:rsid w:val="6D062A92"/>
    <w:rsid w:val="6D126F52"/>
    <w:rsid w:val="6D7D418E"/>
    <w:rsid w:val="6D9C0544"/>
    <w:rsid w:val="6DAF1D97"/>
    <w:rsid w:val="6DF80256"/>
    <w:rsid w:val="6E396FEF"/>
    <w:rsid w:val="6E5E5195"/>
    <w:rsid w:val="705A5AEE"/>
    <w:rsid w:val="70B07B76"/>
    <w:rsid w:val="710813EE"/>
    <w:rsid w:val="712E4E93"/>
    <w:rsid w:val="713D5BE9"/>
    <w:rsid w:val="71AD3CD3"/>
    <w:rsid w:val="71EE0216"/>
    <w:rsid w:val="722D1770"/>
    <w:rsid w:val="726A067F"/>
    <w:rsid w:val="72F147C6"/>
    <w:rsid w:val="731562C2"/>
    <w:rsid w:val="73732DCF"/>
    <w:rsid w:val="73973308"/>
    <w:rsid w:val="73C7532B"/>
    <w:rsid w:val="73C832B0"/>
    <w:rsid w:val="746D6F91"/>
    <w:rsid w:val="74844EE0"/>
    <w:rsid w:val="74CD3313"/>
    <w:rsid w:val="751D3A01"/>
    <w:rsid w:val="763D271E"/>
    <w:rsid w:val="76B7523E"/>
    <w:rsid w:val="76CB3242"/>
    <w:rsid w:val="76CF0731"/>
    <w:rsid w:val="77365915"/>
    <w:rsid w:val="773F5F5F"/>
    <w:rsid w:val="7820798C"/>
    <w:rsid w:val="784044BF"/>
    <w:rsid w:val="78711E40"/>
    <w:rsid w:val="78860370"/>
    <w:rsid w:val="78DF231A"/>
    <w:rsid w:val="78E20CA7"/>
    <w:rsid w:val="79500932"/>
    <w:rsid w:val="798C187F"/>
    <w:rsid w:val="79AE1DC2"/>
    <w:rsid w:val="79E87377"/>
    <w:rsid w:val="7A4A3C22"/>
    <w:rsid w:val="7A6A4A03"/>
    <w:rsid w:val="7AF3350A"/>
    <w:rsid w:val="7B867224"/>
    <w:rsid w:val="7D4D0A80"/>
    <w:rsid w:val="7DB236B1"/>
    <w:rsid w:val="7EEB6394"/>
    <w:rsid w:val="7F3D5445"/>
    <w:rsid w:val="7F7E113F"/>
    <w:rsid w:val="7FA82635"/>
    <w:rsid w:val="7FAA0E1C"/>
    <w:rsid w:val="7FCE5D59"/>
    <w:rsid w:val="7FF91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customStyle="1" w:styleId="5">
    <w:name w:val="font41"/>
    <w:basedOn w:val="3"/>
    <w:qFormat/>
    <w:uiPriority w:val="0"/>
    <w:rPr>
      <w:rFonts w:hint="eastAsia" w:ascii="方正仿宋_GBK" w:hAnsi="方正仿宋_GBK" w:eastAsia="方正仿宋_GBK" w:cs="方正仿宋_GBK"/>
      <w:color w:val="000000"/>
      <w:sz w:val="28"/>
      <w:szCs w:val="28"/>
      <w:u w:val="none"/>
    </w:rPr>
  </w:style>
  <w:style w:type="character" w:customStyle="1" w:styleId="6">
    <w:name w:val="font51"/>
    <w:basedOn w:val="3"/>
    <w:qFormat/>
    <w:uiPriority w:val="0"/>
    <w:rPr>
      <w:rFonts w:hint="default" w:ascii="Times New Roman" w:hAnsi="Times New Roman" w:cs="Times New Roman"/>
      <w:color w:val="000000"/>
      <w:sz w:val="28"/>
      <w:szCs w:val="28"/>
      <w:u w:val="none"/>
    </w:rPr>
  </w:style>
  <w:style w:type="character" w:customStyle="1" w:styleId="7">
    <w:name w:val="font61"/>
    <w:basedOn w:val="3"/>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2880</Words>
  <Characters>2928</Characters>
  <Lines>0</Lines>
  <Paragraphs>0</Paragraphs>
  <TotalTime>51</TotalTime>
  <ScaleCrop>false</ScaleCrop>
  <LinksUpToDate>false</LinksUpToDate>
  <CharactersWithSpaces>2935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2026-04-27T12:14:00Z</dcterms:created>
  <dc:creator>Q</dc:creator>
  <cp:lastModifiedBy>Q</cp:lastModifiedBy>
  <cp:lastPrinted>2026-05-13T11:34:00Z</cp:lastPrinted>
  <dcterms:modified xsi:type="dcterms:W3CDTF">2026-05-14T05:10:36Z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E48BF2DCD342444095D156D9B2155775_11</vt:lpwstr>
  </property>
  <property fmtid="{D5CDD505-2E9C-101B-9397-08002B2CF9AE}" pid="4" name="KSOTemplateDocerSaveRecord">
    <vt:lpwstr>eyJoZGlkIjoiOTU5NjQyNjhlN2VlNzFjZWYwOGY3YmY3ZTYxODYyNjIiLCJ1c2VySWQiOiIxMTA1Njg0NDg3In0=</vt:lpwstr>
  </property>
</Properties>
</file>