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B6336">
      <w:pPr>
        <w:spacing w:after="0" w:line="560" w:lineRule="exact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《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关于高质量推进乌鲁木齐城市更新的</w:t>
      </w:r>
    </w:p>
    <w:p w14:paraId="7F8F690E">
      <w:pPr>
        <w:spacing w:after="0" w:line="560" w:lineRule="exact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若干政策措施（试行）（征求</w:t>
      </w:r>
    </w:p>
    <w:p w14:paraId="5E25E4D4">
      <w:pPr>
        <w:spacing w:after="0" w:line="560" w:lineRule="exact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意见稿）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起草说明</w:t>
      </w:r>
    </w:p>
    <w:p w14:paraId="4C3E322C">
      <w:pPr>
        <w:pStyle w:val="2"/>
        <w:rPr>
          <w:rFonts w:hint="default"/>
          <w:lang w:val="en-US"/>
        </w:rPr>
      </w:pPr>
    </w:p>
    <w:p w14:paraId="2CE26544"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为健全我市可持续城市更新政策体系，推动城市更新工作科学有序开展，结合我市实际，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"/>
        </w:rPr>
        <w:t>市住房和城乡建设局联合市自然资源局起草了《关于高质量推进乌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鲁木齐城市更新的若干政策措施（试行）》（以下简称《政策措施》），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现将有关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起草情况说明如下：</w:t>
      </w:r>
    </w:p>
    <w:p w14:paraId="76E64460">
      <w:pPr>
        <w:spacing w:line="560" w:lineRule="exact"/>
        <w:ind w:firstLine="640" w:firstLineChars="200"/>
        <w:jc w:val="left"/>
        <w:rPr>
          <w:rFonts w:hint="default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一、起草背景</w:t>
      </w:r>
    </w:p>
    <w:p w14:paraId="41D8A026">
      <w:pPr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为深入贯彻落实国家、自治区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关于</w:t>
      </w:r>
      <w:r>
        <w:rPr>
          <w:rFonts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城市更新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工作</w:t>
      </w:r>
      <w:r>
        <w:rPr>
          <w:rFonts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决策部署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，顺应城市发展从“增量扩张”向“存量提质”转型的时代趋势，破解我市城市更新面临机制不健全的问题，助力城市高质量发展，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"/>
        </w:rPr>
        <w:t>市住房和城乡建设局联合市自然资源局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研究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制定了《政策措施》，旨在通过系统性的制度构建，健全完善全市城市更新工作推进机制，强化政策供给与要素保障，切实为全市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城市更新行动提供坚实的制度支撑。</w:t>
      </w:r>
    </w:p>
    <w:p w14:paraId="4D8F2E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outlineLvl w:val="0"/>
        <w:rPr>
          <w:rFonts w:hint="default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二、制定依据</w:t>
      </w:r>
    </w:p>
    <w:p w14:paraId="4FBB1193"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《政策措施》制定依据的主要法律法规、政策性文件有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《中共中央办公厅 国务院办公厅关于持续推进城市更新行动的意见》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《自然资源部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住房城乡建设部关于进一步支持城市更新行动若干措施的通知》（自然资发〔2025〕226号）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、《支持城市更新的规划与土地政策指引（2023版）》（自然资办发〔2023〕47号）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等文件。</w:t>
      </w:r>
    </w:p>
    <w:p w14:paraId="3D94A78E">
      <w:pPr>
        <w:overflowPunct w:val="0"/>
        <w:spacing w:after="0" w:line="560" w:lineRule="exact"/>
        <w:ind w:firstLine="640" w:firstLineChars="200"/>
        <w:outlineLvl w:val="0"/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三、主要内容</w:t>
      </w:r>
    </w:p>
    <w:p w14:paraId="5C7AB9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《政策措施》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围绕城市更新工作的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个关键维度进行系统设计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和细化落实。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完善片区更新统筹机制。健全市级统筹、区县落实的工作体系，建立统筹主体遴选、联合会审与滚动实施机制，强化项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目“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投融建管运维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全周期服务，优先保障老旧街区、厂区市政基础设施配套。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加强更新规划政策统筹。构建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专项规划—片区策划—实施方案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的规划实施体系，优化详细规划适应性与容积率核定规则，允许建设规模跨项目统筹，推进技术标准适应性优化，提升更新项目的规划弹性和可操作性。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创新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细化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更新土地支持政策。支持多元化土地供应与协议出让，推进存量土地和闲置空间临时利用，鼓励商办楼宇复合利用与工业存量房产转型升级，明确过渡期政策，激发存量资源活力。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优化更新项目管理流程。简化消防设计审查、规划许可、产权登记等审批程序，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完善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规划许可豁免清单，优化城镇老旧小区改造及市政管线项目审批，建立历史遗留问题分类处置机制，提升项目实施效率。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财税赋能拓宽资金渠道。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强化财政、税费、金融协同发力，构建多元资金保障体系。积极争取上级资金与专项债券支持，规范资金管理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落实相关税费优惠，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推动政策精准落地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深化政金企合作，创新金融产品，完善融资机制，引导更多资金支持城市更新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共计2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条具体措施。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8E"/>
    <w:rsid w:val="00024FD3"/>
    <w:rsid w:val="00042753"/>
    <w:rsid w:val="00044027"/>
    <w:rsid w:val="00074B44"/>
    <w:rsid w:val="000971F0"/>
    <w:rsid w:val="000B301A"/>
    <w:rsid w:val="000B4C21"/>
    <w:rsid w:val="000C2B68"/>
    <w:rsid w:val="000C7AA1"/>
    <w:rsid w:val="000E0437"/>
    <w:rsid w:val="000F04BF"/>
    <w:rsid w:val="00100C75"/>
    <w:rsid w:val="0011766E"/>
    <w:rsid w:val="00120423"/>
    <w:rsid w:val="00154875"/>
    <w:rsid w:val="0017410E"/>
    <w:rsid w:val="00195284"/>
    <w:rsid w:val="001F61F1"/>
    <w:rsid w:val="0021015A"/>
    <w:rsid w:val="00216C8B"/>
    <w:rsid w:val="0022156C"/>
    <w:rsid w:val="00247140"/>
    <w:rsid w:val="00273162"/>
    <w:rsid w:val="00277B92"/>
    <w:rsid w:val="0029743E"/>
    <w:rsid w:val="002A2C82"/>
    <w:rsid w:val="002A5D07"/>
    <w:rsid w:val="002A719B"/>
    <w:rsid w:val="002D1AD3"/>
    <w:rsid w:val="002E735D"/>
    <w:rsid w:val="002F07A2"/>
    <w:rsid w:val="00300FFD"/>
    <w:rsid w:val="00306A55"/>
    <w:rsid w:val="00343D32"/>
    <w:rsid w:val="00350389"/>
    <w:rsid w:val="00354F1E"/>
    <w:rsid w:val="0038018D"/>
    <w:rsid w:val="00386127"/>
    <w:rsid w:val="003A449B"/>
    <w:rsid w:val="004120F6"/>
    <w:rsid w:val="00472A9D"/>
    <w:rsid w:val="004958CE"/>
    <w:rsid w:val="004A265D"/>
    <w:rsid w:val="004C3867"/>
    <w:rsid w:val="005462FB"/>
    <w:rsid w:val="00550D8D"/>
    <w:rsid w:val="005664A0"/>
    <w:rsid w:val="00566F90"/>
    <w:rsid w:val="00591109"/>
    <w:rsid w:val="00597856"/>
    <w:rsid w:val="005A0BCE"/>
    <w:rsid w:val="005A354B"/>
    <w:rsid w:val="005B6235"/>
    <w:rsid w:val="005C30B4"/>
    <w:rsid w:val="005C6BC2"/>
    <w:rsid w:val="00600667"/>
    <w:rsid w:val="00600BFC"/>
    <w:rsid w:val="006111DC"/>
    <w:rsid w:val="00621301"/>
    <w:rsid w:val="00640A77"/>
    <w:rsid w:val="00653232"/>
    <w:rsid w:val="00665509"/>
    <w:rsid w:val="00676E4B"/>
    <w:rsid w:val="00682A5E"/>
    <w:rsid w:val="0068696B"/>
    <w:rsid w:val="006A484F"/>
    <w:rsid w:val="00717DE3"/>
    <w:rsid w:val="0073429B"/>
    <w:rsid w:val="007622FF"/>
    <w:rsid w:val="007A6364"/>
    <w:rsid w:val="007D771F"/>
    <w:rsid w:val="00811064"/>
    <w:rsid w:val="00862C03"/>
    <w:rsid w:val="00877E15"/>
    <w:rsid w:val="00895177"/>
    <w:rsid w:val="008A4331"/>
    <w:rsid w:val="008C6761"/>
    <w:rsid w:val="008D6B84"/>
    <w:rsid w:val="008E239F"/>
    <w:rsid w:val="008F7F5D"/>
    <w:rsid w:val="0093548E"/>
    <w:rsid w:val="00970B55"/>
    <w:rsid w:val="0099470A"/>
    <w:rsid w:val="009D178E"/>
    <w:rsid w:val="009F6DD3"/>
    <w:rsid w:val="00A205A4"/>
    <w:rsid w:val="00A32F13"/>
    <w:rsid w:val="00A47D2E"/>
    <w:rsid w:val="00A553B4"/>
    <w:rsid w:val="00A61C2A"/>
    <w:rsid w:val="00A625D7"/>
    <w:rsid w:val="00A7219D"/>
    <w:rsid w:val="00A72E48"/>
    <w:rsid w:val="00A869C3"/>
    <w:rsid w:val="00A91667"/>
    <w:rsid w:val="00AB2AE3"/>
    <w:rsid w:val="00B00461"/>
    <w:rsid w:val="00B06614"/>
    <w:rsid w:val="00B30093"/>
    <w:rsid w:val="00B42F7F"/>
    <w:rsid w:val="00BB6E1D"/>
    <w:rsid w:val="00BD35E5"/>
    <w:rsid w:val="00C03BDE"/>
    <w:rsid w:val="00C1356E"/>
    <w:rsid w:val="00C41B33"/>
    <w:rsid w:val="00C76103"/>
    <w:rsid w:val="00D3069B"/>
    <w:rsid w:val="00D31E62"/>
    <w:rsid w:val="00D537F7"/>
    <w:rsid w:val="00D70898"/>
    <w:rsid w:val="00D71075"/>
    <w:rsid w:val="00D91CCF"/>
    <w:rsid w:val="00DB03E5"/>
    <w:rsid w:val="00DD7E53"/>
    <w:rsid w:val="00DE4961"/>
    <w:rsid w:val="00E26025"/>
    <w:rsid w:val="00E55989"/>
    <w:rsid w:val="00E646A9"/>
    <w:rsid w:val="00E92225"/>
    <w:rsid w:val="00EA7D56"/>
    <w:rsid w:val="00EC79EC"/>
    <w:rsid w:val="00ED039B"/>
    <w:rsid w:val="00EE1A00"/>
    <w:rsid w:val="00EE7BF8"/>
    <w:rsid w:val="00EF1A5B"/>
    <w:rsid w:val="00F103D6"/>
    <w:rsid w:val="00F21C25"/>
    <w:rsid w:val="00F43025"/>
    <w:rsid w:val="00F501BF"/>
    <w:rsid w:val="00F62113"/>
    <w:rsid w:val="00F877E1"/>
    <w:rsid w:val="00F90D70"/>
    <w:rsid w:val="00F96FC6"/>
    <w:rsid w:val="00FE5463"/>
    <w:rsid w:val="02720839"/>
    <w:rsid w:val="056670AD"/>
    <w:rsid w:val="08147C9D"/>
    <w:rsid w:val="08850B9A"/>
    <w:rsid w:val="09FB2E89"/>
    <w:rsid w:val="0C191D25"/>
    <w:rsid w:val="0E2F3E7E"/>
    <w:rsid w:val="0FAC2EB1"/>
    <w:rsid w:val="10493E45"/>
    <w:rsid w:val="12723F3D"/>
    <w:rsid w:val="13F143B0"/>
    <w:rsid w:val="1527268F"/>
    <w:rsid w:val="153656F6"/>
    <w:rsid w:val="190F6BAC"/>
    <w:rsid w:val="196071E6"/>
    <w:rsid w:val="1C493F61"/>
    <w:rsid w:val="205904EB"/>
    <w:rsid w:val="20BB0BC7"/>
    <w:rsid w:val="20BD3045"/>
    <w:rsid w:val="20DF4E94"/>
    <w:rsid w:val="236C6787"/>
    <w:rsid w:val="23AF5A91"/>
    <w:rsid w:val="29194CBB"/>
    <w:rsid w:val="29CF181E"/>
    <w:rsid w:val="2C6170A5"/>
    <w:rsid w:val="2CC11743"/>
    <w:rsid w:val="2CC82C80"/>
    <w:rsid w:val="33C10429"/>
    <w:rsid w:val="369714F4"/>
    <w:rsid w:val="36DF3716"/>
    <w:rsid w:val="36F11025"/>
    <w:rsid w:val="38392C84"/>
    <w:rsid w:val="39D32C64"/>
    <w:rsid w:val="3A4747AF"/>
    <w:rsid w:val="3C861DF4"/>
    <w:rsid w:val="3F8751A0"/>
    <w:rsid w:val="41412BA9"/>
    <w:rsid w:val="41A522F2"/>
    <w:rsid w:val="42F8373B"/>
    <w:rsid w:val="46E41B62"/>
    <w:rsid w:val="4D27359B"/>
    <w:rsid w:val="4F381A8F"/>
    <w:rsid w:val="521045FE"/>
    <w:rsid w:val="54853C3D"/>
    <w:rsid w:val="58873140"/>
    <w:rsid w:val="59B44408"/>
    <w:rsid w:val="5A643739"/>
    <w:rsid w:val="5B182775"/>
    <w:rsid w:val="5EFF6126"/>
    <w:rsid w:val="5F70492E"/>
    <w:rsid w:val="620C0206"/>
    <w:rsid w:val="69EF029F"/>
    <w:rsid w:val="6BA8544F"/>
    <w:rsid w:val="6C5850C7"/>
    <w:rsid w:val="6CDD7843"/>
    <w:rsid w:val="6D7438E0"/>
    <w:rsid w:val="6DF606F4"/>
    <w:rsid w:val="6E153270"/>
    <w:rsid w:val="71EA0570"/>
    <w:rsid w:val="71EC5C98"/>
    <w:rsid w:val="77BC475C"/>
    <w:rsid w:val="7C9061B7"/>
    <w:rsid w:val="7CC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First Indent"/>
    <w:basedOn w:val="2"/>
    <w:next w:val="2"/>
    <w:qFormat/>
    <w:uiPriority w:val="0"/>
    <w:pPr>
      <w:spacing w:before="100" w:beforeAutospacing="1"/>
      <w:ind w:firstLine="420" w:firstLineChars="100"/>
    </w:pPr>
    <w:rPr>
      <w:rFonts w:eastAsia="宋体"/>
      <w:sz w:val="30"/>
      <w:szCs w:val="3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7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1005</Words>
  <Characters>1018</Characters>
  <Lines>122</Lines>
  <Paragraphs>33</Paragraphs>
  <TotalTime>1</TotalTime>
  <ScaleCrop>false</ScaleCrop>
  <LinksUpToDate>false</LinksUpToDate>
  <CharactersWithSpaces>1020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2026-03-31T09:37:00Z</dcterms:created>
  <dc:creator>DELL</dc:creator>
  <cp:lastModifiedBy>Q</cp:lastModifiedBy>
  <dcterms:modified xsi:type="dcterms:W3CDTF">2026-04-13T05:49:11Z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eyJoZGlkIjoiOTU5NjQyNjhlN2VlNzFjZWYwOGY3YmY3ZTYxODYyNjIiLCJ1c2VySWQiOiIxMTA1Njg0NDg3In0=</vt:lpwstr>
  </property>
  <property fmtid="{D5CDD505-2E9C-101B-9397-08002B2CF9AE}" pid="3" name="KSOProductBuildVer">
    <vt:lpwstr>2052-12.1.0.25225</vt:lpwstr>
  </property>
  <property fmtid="{D5CDD505-2E9C-101B-9397-08002B2CF9AE}" pid="4" name="ICV">
    <vt:lpwstr>D3F94533D24948BC937DEA7BD8A92A1D_13</vt:lpwstr>
  </property>
</Properties>
</file>