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4745B">
      <w:pPr>
        <w:keepNext w:val="0"/>
        <w:keepLines w:val="0"/>
        <w:pageBreakBefore w:val="0"/>
        <w:kinsoku/>
        <w:wordWrap/>
        <w:overflowPunct w:val="0"/>
        <w:topLinePunct w:val="0"/>
        <w:autoSpaceDE/>
        <w:autoSpaceDN/>
        <w:bidi w:val="0"/>
        <w:adjustRightInd/>
        <w:spacing w:after="0"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0A9BD4CE">
      <w:pPr>
        <w:pStyle w:val="2"/>
        <w:keepNext w:val="0"/>
        <w:keepLines w:val="0"/>
        <w:pageBreakBefore w:val="0"/>
        <w:widowControl w:val="0"/>
        <w:kinsoku/>
        <w:wordWrap/>
        <w:topLinePunct w:val="0"/>
        <w:autoSpaceDE/>
        <w:autoSpaceDN/>
        <w:bidi w:val="0"/>
        <w:adjustRightInd/>
        <w:spacing w:after="0" w:line="560" w:lineRule="exact"/>
        <w:textAlignment w:val="auto"/>
        <w:rPr>
          <w:rFonts w:hint="default"/>
          <w:lang w:val="en-US" w:eastAsia="zh-CN"/>
        </w:rPr>
      </w:pPr>
    </w:p>
    <w:p w14:paraId="4DA02668">
      <w:pPr>
        <w:keepNext w:val="0"/>
        <w:keepLines w:val="0"/>
        <w:pageBreakBefore w:val="0"/>
        <w:widowControl w:val="0"/>
        <w:kinsoku/>
        <w:wordWrap/>
        <w:overflowPunct w:val="0"/>
        <w:topLinePunct w:val="0"/>
        <w:autoSpaceDE/>
        <w:autoSpaceDN/>
        <w:bidi w:val="0"/>
        <w:adjustRightInd/>
        <w:snapToGrid/>
        <w:spacing w:after="0" w:line="560" w:lineRule="exact"/>
        <w:ind w:left="0"/>
        <w:jc w:val="center"/>
        <w:textAlignment w:val="auto"/>
        <w:rPr>
          <w:rFonts w:ascii="方正小标宋_GBK" w:eastAsia="方正小标宋_GBK"/>
          <w:sz w:val="44"/>
          <w:szCs w:val="44"/>
        </w:rPr>
      </w:pPr>
      <w:r>
        <w:rPr>
          <w:rFonts w:hint="eastAsia" w:ascii="方正小标宋_GBK" w:eastAsia="方正小标宋_GBK"/>
          <w:sz w:val="44"/>
          <w:szCs w:val="44"/>
        </w:rPr>
        <w:t>乌鲁木齐市城市更新条例（</w:t>
      </w:r>
      <w:r>
        <w:rPr>
          <w:rFonts w:hint="eastAsia" w:ascii="方正小标宋_GBK" w:eastAsia="方正小标宋_GBK"/>
          <w:sz w:val="44"/>
          <w:szCs w:val="44"/>
          <w:lang w:val="en-US" w:eastAsia="zh-CN"/>
        </w:rPr>
        <w:t>草案</w:t>
      </w:r>
      <w:r>
        <w:rPr>
          <w:rFonts w:hint="eastAsia" w:ascii="方正小标宋_GBK" w:eastAsia="方正小标宋_GBK"/>
          <w:sz w:val="44"/>
          <w:szCs w:val="44"/>
        </w:rPr>
        <w:t>）</w:t>
      </w:r>
    </w:p>
    <w:p w14:paraId="210BD466">
      <w:pPr>
        <w:keepNext w:val="0"/>
        <w:keepLines w:val="0"/>
        <w:pageBreakBefore w:val="0"/>
        <w:widowControl w:val="0"/>
        <w:kinsoku/>
        <w:wordWrap/>
        <w:overflowPunct w:val="0"/>
        <w:topLinePunct w:val="0"/>
        <w:autoSpaceDE/>
        <w:autoSpaceDN/>
        <w:bidi w:val="0"/>
        <w:adjustRightInd/>
        <w:snapToGrid/>
        <w:spacing w:after="0" w:line="560" w:lineRule="exact"/>
        <w:ind w:left="0"/>
        <w:textAlignment w:val="auto"/>
        <w:rPr>
          <w:rFonts w:ascii="方正小标宋_GBK" w:eastAsia="方正小标宋_GBK"/>
          <w:sz w:val="44"/>
          <w:szCs w:val="44"/>
        </w:rPr>
      </w:pPr>
    </w:p>
    <w:p w14:paraId="78DCAC68">
      <w:pPr>
        <w:pStyle w:val="28"/>
        <w:keepNext w:val="0"/>
        <w:keepLines w:val="0"/>
        <w:pageBreakBefore w:val="0"/>
        <w:widowControl w:val="0"/>
        <w:numPr>
          <w:ilvl w:val="0"/>
          <w:numId w:val="1"/>
        </w:numPr>
        <w:kinsoku/>
        <w:wordWrap/>
        <w:overflowPunct w:val="0"/>
        <w:topLinePunct w:val="0"/>
        <w:autoSpaceDE/>
        <w:autoSpaceDN/>
        <w:bidi w:val="0"/>
        <w:adjustRightInd/>
        <w:snapToGrid/>
        <w:spacing w:after="0" w:line="560" w:lineRule="exact"/>
        <w:ind w:left="0" w:firstLine="0"/>
        <w:jc w:val="center"/>
        <w:textAlignment w:val="auto"/>
        <w:rPr>
          <w:rFonts w:ascii="方正黑体_GBK" w:eastAsia="方正黑体_GBK"/>
          <w:sz w:val="32"/>
          <w:szCs w:val="32"/>
        </w:rPr>
      </w:pPr>
      <w:bookmarkStart w:id="0" w:name="OLE_LINK6"/>
      <w:r>
        <w:rPr>
          <w:rFonts w:hint="eastAsia" w:ascii="方正黑体_GBK" w:eastAsia="方正黑体_GBK"/>
          <w:sz w:val="32"/>
          <w:szCs w:val="32"/>
        </w:rPr>
        <w:t>总则</w:t>
      </w:r>
      <w:bookmarkEnd w:id="0"/>
    </w:p>
    <w:p w14:paraId="168F2E86">
      <w:pPr>
        <w:keepNext w:val="0"/>
        <w:keepLines w:val="0"/>
        <w:pageBreakBefore w:val="0"/>
        <w:numPr>
          <w:ilvl w:val="0"/>
          <w:numId w:val="2"/>
        </w:numPr>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lang w:val="en-US" w:eastAsia="zh-CN"/>
        </w:rPr>
      </w:pPr>
      <w:r>
        <w:rPr>
          <w:rFonts w:hint="eastAsia" w:ascii="方正黑体_GBK" w:eastAsia="方正黑体_GBK"/>
          <w:sz w:val="32"/>
          <w:szCs w:val="32"/>
        </w:rPr>
        <w:t xml:space="preserve"> 【立法目的】</w:t>
      </w:r>
      <w:r>
        <w:rPr>
          <w:rFonts w:hint="eastAsia" w:ascii="方正仿宋_GBK" w:eastAsia="方正仿宋_GBK"/>
          <w:sz w:val="32"/>
          <w:szCs w:val="32"/>
          <w:lang w:val="en-US" w:eastAsia="zh-CN"/>
        </w:rPr>
        <w:t>为了规范和促进城市更新活动，推动城市高质量发展，建设创新、宜居、美丽、韧性、文明、智慧的现代化人民城市，根据有关法律、法规，结合本市实际，制定本条例。</w:t>
      </w:r>
    </w:p>
    <w:p w14:paraId="1D6A55CA">
      <w:pPr>
        <w:keepNext w:val="0"/>
        <w:keepLines w:val="0"/>
        <w:pageBreakBefore w:val="0"/>
        <w:numPr>
          <w:ilvl w:val="0"/>
          <w:numId w:val="2"/>
        </w:numPr>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lang w:val="en-US" w:eastAsia="zh-CN"/>
        </w:rPr>
      </w:pPr>
      <w:r>
        <w:rPr>
          <w:rFonts w:hint="eastAsia" w:ascii="方正黑体_GBK" w:eastAsia="方正黑体_GBK"/>
          <w:sz w:val="32"/>
          <w:szCs w:val="32"/>
        </w:rPr>
        <w:t xml:space="preserve"> 【适用范围】</w:t>
      </w:r>
      <w:r>
        <w:rPr>
          <w:rFonts w:hint="eastAsia" w:ascii="方正仿宋_GBK" w:eastAsia="方正仿宋_GBK"/>
          <w:sz w:val="32"/>
          <w:szCs w:val="32"/>
          <w:lang w:val="en-US" w:eastAsia="zh-CN"/>
        </w:rPr>
        <w:t>本市行政区域内的城市更新活动及其监督管理，适用本条例。</w:t>
      </w:r>
    </w:p>
    <w:p w14:paraId="607B821C">
      <w:pPr>
        <w:keepNext w:val="0"/>
        <w:keepLines w:val="0"/>
        <w:pageBreakBefore w:val="0"/>
        <w:numPr>
          <w:ilvl w:val="0"/>
          <w:numId w:val="0"/>
        </w:numPr>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本条例所称城市更新，是指对城市建成区内城市空间形态和城市功能的持续完善和优化调整的活动，具体包括：</w:t>
      </w:r>
    </w:p>
    <w:p w14:paraId="0D08C55B">
      <w:pPr>
        <w:keepNext w:val="0"/>
        <w:keepLines w:val="0"/>
        <w:pageBreakBefore w:val="0"/>
        <w:numPr>
          <w:ilvl w:val="0"/>
          <w:numId w:val="0"/>
        </w:numPr>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（一）加强既有建筑改造利用；</w:t>
      </w:r>
    </w:p>
    <w:p w14:paraId="136AC8D7">
      <w:pPr>
        <w:keepNext w:val="0"/>
        <w:keepLines w:val="0"/>
        <w:pageBreakBefore w:val="0"/>
        <w:numPr>
          <w:ilvl w:val="0"/>
          <w:numId w:val="0"/>
        </w:numPr>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（二）推进城镇老旧小区整治改造；</w:t>
      </w:r>
    </w:p>
    <w:p w14:paraId="07DEAD58">
      <w:pPr>
        <w:keepNext w:val="0"/>
        <w:keepLines w:val="0"/>
        <w:pageBreakBefore w:val="0"/>
        <w:numPr>
          <w:ilvl w:val="0"/>
          <w:numId w:val="0"/>
        </w:numPr>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（三）开展完整社区建设；</w:t>
      </w:r>
    </w:p>
    <w:p w14:paraId="4CD775D2">
      <w:pPr>
        <w:keepNext w:val="0"/>
        <w:keepLines w:val="0"/>
        <w:pageBreakBefore w:val="0"/>
        <w:numPr>
          <w:ilvl w:val="0"/>
          <w:numId w:val="0"/>
        </w:numPr>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（四）推进老旧街区、老旧厂区、城中村等更新改造；</w:t>
      </w:r>
    </w:p>
    <w:p w14:paraId="098F8BEB">
      <w:pPr>
        <w:keepNext w:val="0"/>
        <w:keepLines w:val="0"/>
        <w:pageBreakBefore w:val="0"/>
        <w:numPr>
          <w:ilvl w:val="0"/>
          <w:numId w:val="0"/>
        </w:numPr>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（五）完善城市功能；</w:t>
      </w:r>
    </w:p>
    <w:p w14:paraId="0B8F151B">
      <w:pPr>
        <w:keepNext w:val="0"/>
        <w:keepLines w:val="0"/>
        <w:pageBreakBefore w:val="0"/>
        <w:numPr>
          <w:ilvl w:val="0"/>
          <w:numId w:val="0"/>
        </w:numPr>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（六）加强城市基础设施建设改造；</w:t>
      </w:r>
    </w:p>
    <w:p w14:paraId="5E39331D">
      <w:pPr>
        <w:keepNext w:val="0"/>
        <w:keepLines w:val="0"/>
        <w:pageBreakBefore w:val="0"/>
        <w:numPr>
          <w:ilvl w:val="0"/>
          <w:numId w:val="0"/>
        </w:numPr>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（七）修复城市生态系统；</w:t>
      </w:r>
    </w:p>
    <w:p w14:paraId="63FD76A6">
      <w:pPr>
        <w:keepNext w:val="0"/>
        <w:keepLines w:val="0"/>
        <w:pageBreakBefore w:val="0"/>
        <w:numPr>
          <w:ilvl w:val="0"/>
          <w:numId w:val="0"/>
        </w:numPr>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（八）保护传承城市历史文化；</w:t>
      </w:r>
    </w:p>
    <w:p w14:paraId="53D9C3BE">
      <w:pPr>
        <w:keepNext w:val="0"/>
        <w:keepLines w:val="0"/>
        <w:pageBreakBefore w:val="0"/>
        <w:numPr>
          <w:ilvl w:val="0"/>
          <w:numId w:val="0"/>
        </w:numPr>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（九）市人民政府确定的其他城市更新活动。</w:t>
      </w:r>
    </w:p>
    <w:p w14:paraId="1BCE422B">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rPr>
      </w:pPr>
      <w:r>
        <w:rPr>
          <w:rFonts w:hint="eastAsia" w:ascii="方正黑体_GBK" w:eastAsia="方正黑体_GBK"/>
          <w:sz w:val="32"/>
          <w:szCs w:val="32"/>
        </w:rPr>
        <w:t>第三条  【基本原则】</w:t>
      </w:r>
      <w:r>
        <w:rPr>
          <w:rFonts w:hint="eastAsia" w:ascii="方正仿宋_GBK" w:eastAsia="方正仿宋_GBK"/>
          <w:sz w:val="32"/>
          <w:szCs w:val="32"/>
        </w:rPr>
        <w:t>本市城市更新工作坚持</w:t>
      </w:r>
      <w:r>
        <w:rPr>
          <w:rFonts w:hint="eastAsia" w:ascii="方正仿宋_GBK" w:eastAsia="方正仿宋_GBK"/>
          <w:sz w:val="32"/>
          <w:szCs w:val="32"/>
          <w:lang w:val="en-US" w:eastAsia="zh-CN"/>
        </w:rPr>
        <w:t>党的</w:t>
      </w:r>
      <w:r>
        <w:rPr>
          <w:rFonts w:hint="eastAsia" w:ascii="方正仿宋_GBK" w:eastAsia="方正仿宋_GBK"/>
          <w:sz w:val="32"/>
          <w:szCs w:val="32"/>
        </w:rPr>
        <w:t>领导，以铸牢中华民族共同体意识为主线，遵循规划引领、民生优先，绿色低碳、科技赋能，政府统筹、市场运作，多元参与、共建共享的原则，促进城市结构优化、功能完善、文脉赓续、品质提升。</w:t>
      </w:r>
    </w:p>
    <w:p w14:paraId="78320EFC">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lang w:eastAsia="zh-CN"/>
        </w:rPr>
      </w:pPr>
      <w:r>
        <w:rPr>
          <w:rFonts w:hint="eastAsia" w:ascii="方正黑体_GBK" w:eastAsia="方正黑体_GBK"/>
          <w:sz w:val="32"/>
          <w:szCs w:val="32"/>
        </w:rPr>
        <w:t>第四条</w:t>
      </w:r>
      <w:r>
        <w:rPr>
          <w:rFonts w:hint="eastAsia" w:ascii="方正黑体_GBK" w:eastAsia="方正黑体_GBK"/>
          <w:sz w:val="32"/>
          <w:szCs w:val="32"/>
          <w:lang w:val="en-US" w:eastAsia="zh-CN"/>
        </w:rPr>
        <w:t xml:space="preserve">  </w:t>
      </w:r>
      <w:r>
        <w:rPr>
          <w:rFonts w:hint="eastAsia" w:ascii="方正黑体_GBK" w:eastAsia="方正黑体_GBK"/>
          <w:sz w:val="32"/>
          <w:szCs w:val="32"/>
        </w:rPr>
        <w:t>【政府职责】</w:t>
      </w:r>
      <w:r>
        <w:rPr>
          <w:rFonts w:hint="eastAsia" w:ascii="方正仿宋_GBK" w:eastAsia="方正仿宋_GBK"/>
          <w:sz w:val="32"/>
          <w:szCs w:val="32"/>
        </w:rPr>
        <w:t>本市建立城市更新组织领导和工作协调机制。市人民政府负责统筹全市城市更新工作，将城市更新工作纳入国民经济和社会发展规划，研究、解决城市更新工作中的重大问题</w:t>
      </w:r>
      <w:r>
        <w:rPr>
          <w:rFonts w:hint="eastAsia" w:ascii="方正仿宋_GBK" w:eastAsia="方正仿宋_GBK"/>
          <w:sz w:val="32"/>
          <w:szCs w:val="32"/>
          <w:lang w:eastAsia="zh-CN"/>
        </w:rPr>
        <w:t>。</w:t>
      </w:r>
    </w:p>
    <w:p w14:paraId="1EA98132">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区（县）</w:t>
      </w:r>
      <w:bookmarkStart w:id="1" w:name="OLE_LINK12"/>
      <w:r>
        <w:rPr>
          <w:rFonts w:hint="eastAsia" w:ascii="方正仿宋_GBK" w:eastAsia="方正仿宋_GBK"/>
          <w:sz w:val="32"/>
          <w:szCs w:val="32"/>
        </w:rPr>
        <w:t>人民政府作为本行政区域内城市更新工作责任主体，负责组织</w:t>
      </w:r>
      <w:bookmarkEnd w:id="1"/>
      <w:r>
        <w:rPr>
          <w:rFonts w:hint="eastAsia" w:ascii="方正仿宋_GBK" w:eastAsia="方正仿宋_GBK"/>
          <w:sz w:val="32"/>
          <w:szCs w:val="32"/>
        </w:rPr>
        <w:t>推进本行政区域城市更新工作，并对城市更新活动实施监督管理。</w:t>
      </w:r>
    </w:p>
    <w:p w14:paraId="6E1B4AE2">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乡镇人民政府、街道办事处应当按照各自职责做好城市更新相关工作。</w:t>
      </w:r>
    </w:p>
    <w:p w14:paraId="75B23516">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rPr>
      </w:pPr>
      <w:bookmarkStart w:id="2" w:name="_Hlk215765237"/>
      <w:r>
        <w:rPr>
          <w:rFonts w:hint="eastAsia" w:ascii="方正黑体_GBK" w:eastAsia="方正黑体_GBK"/>
          <w:sz w:val="32"/>
          <w:szCs w:val="32"/>
        </w:rPr>
        <w:t>第五条  【部门职责】</w:t>
      </w:r>
      <w:bookmarkEnd w:id="2"/>
      <w:bookmarkStart w:id="3" w:name="OLE_LINK16"/>
      <w:r>
        <w:rPr>
          <w:rFonts w:hint="eastAsia" w:ascii="方正仿宋_GBK" w:eastAsia="方正仿宋_GBK"/>
          <w:sz w:val="32"/>
          <w:szCs w:val="32"/>
        </w:rPr>
        <w:t>住房和城</w:t>
      </w:r>
      <w:bookmarkStart w:id="25" w:name="_GoBack"/>
      <w:bookmarkEnd w:id="25"/>
      <w:r>
        <w:rPr>
          <w:rFonts w:hint="eastAsia" w:ascii="方正仿宋_GBK" w:eastAsia="方正仿宋_GBK"/>
          <w:sz w:val="32"/>
          <w:szCs w:val="32"/>
        </w:rPr>
        <w:t>乡建设部门主管城市更新工作，负责城市更新活动的综合协调、指导和监督管理。</w:t>
      </w:r>
    </w:p>
    <w:p w14:paraId="0DD87F53">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lang w:val="en-US" w:eastAsia="zh-CN"/>
        </w:rPr>
        <w:t>自然资源部门负责城市更新相关的国土空间规划、土地管理、不动产登记等工作。</w:t>
      </w:r>
    </w:p>
    <w:p w14:paraId="44AC5BD5">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发展和改革</w:t>
      </w:r>
      <w:r>
        <w:rPr>
          <w:rFonts w:hint="eastAsia" w:ascii="方正仿宋_GBK" w:eastAsia="方正仿宋_GBK"/>
          <w:sz w:val="32"/>
          <w:szCs w:val="32"/>
          <w:lang w:eastAsia="zh-CN"/>
        </w:rPr>
        <w:t>、</w:t>
      </w:r>
      <w:r>
        <w:rPr>
          <w:rFonts w:hint="eastAsia" w:ascii="方正仿宋_GBK" w:eastAsia="方正仿宋_GBK"/>
          <w:sz w:val="32"/>
          <w:szCs w:val="32"/>
        </w:rPr>
        <w:t>财政</w:t>
      </w:r>
      <w:r>
        <w:rPr>
          <w:rFonts w:hint="eastAsia" w:ascii="方正仿宋_GBK" w:eastAsia="方正仿宋_GBK"/>
          <w:sz w:val="32"/>
          <w:szCs w:val="32"/>
          <w:lang w:eastAsia="zh-CN"/>
        </w:rPr>
        <w:t>、</w:t>
      </w:r>
      <w:r>
        <w:rPr>
          <w:rFonts w:hint="eastAsia" w:ascii="方正仿宋_GBK" w:eastAsia="方正仿宋_GBK"/>
          <w:sz w:val="32"/>
          <w:szCs w:val="32"/>
        </w:rPr>
        <w:t>生态环境、城市管理、水务、应急管理、交通运输、数字化发展、林业和草原、</w:t>
      </w:r>
      <w:r>
        <w:rPr>
          <w:rFonts w:hint="eastAsia" w:ascii="方正仿宋_GBK" w:eastAsia="方正仿宋_GBK"/>
          <w:sz w:val="32"/>
          <w:szCs w:val="32"/>
          <w:lang w:val="en-US" w:eastAsia="zh-CN"/>
        </w:rPr>
        <w:t>公安、</w:t>
      </w:r>
      <w:r>
        <w:rPr>
          <w:rFonts w:hint="eastAsia" w:ascii="方正仿宋_GBK" w:eastAsia="方正仿宋_GBK"/>
          <w:sz w:val="32"/>
          <w:szCs w:val="32"/>
        </w:rPr>
        <w:t>消防救援等部门，</w:t>
      </w:r>
      <w:r>
        <w:rPr>
          <w:rFonts w:hint="eastAsia" w:ascii="方正仿宋_GBK" w:eastAsia="方正仿宋_GBK"/>
          <w:sz w:val="32"/>
          <w:szCs w:val="32"/>
          <w:lang w:val="en-US" w:eastAsia="zh-CN"/>
        </w:rPr>
        <w:t>应当按照各自职责做好城市更新相关工作。</w:t>
      </w:r>
    </w:p>
    <w:p w14:paraId="737E84F3">
      <w:pPr>
        <w:pStyle w:val="18"/>
        <w:keepNext w:val="0"/>
        <w:keepLines w:val="0"/>
        <w:pageBreakBefore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pPr>
      <w:r>
        <w:rPr>
          <w:rFonts w:hint="eastAsia" w:ascii="方正黑体_GBK" w:hAnsi="Times New Roman" w:eastAsia="方正黑体_GBK" w:cs="仿宋_GB2312"/>
          <w:sz w:val="32"/>
          <w:szCs w:val="32"/>
        </w:rPr>
        <w:t>第</w:t>
      </w:r>
      <w:r>
        <w:rPr>
          <w:rFonts w:hint="eastAsia" w:ascii="方正黑体_GBK" w:hAnsi="Times New Roman" w:eastAsia="方正黑体_GBK" w:cs="仿宋_GB2312"/>
          <w:sz w:val="32"/>
          <w:szCs w:val="32"/>
          <w:lang w:val="en-US" w:eastAsia="zh-CN"/>
        </w:rPr>
        <w:t>六</w:t>
      </w:r>
      <w:r>
        <w:rPr>
          <w:rFonts w:hint="eastAsia" w:ascii="方正黑体_GBK" w:hAnsi="Times New Roman" w:eastAsia="方正黑体_GBK" w:cs="仿宋_GB2312"/>
          <w:sz w:val="32"/>
          <w:szCs w:val="32"/>
        </w:rPr>
        <w:t>条　</w:t>
      </w:r>
      <w:r>
        <w:rPr>
          <w:rFonts w:hint="eastAsia" w:ascii="方正黑体_GBK" w:eastAsia="方正黑体_GBK"/>
          <w:sz w:val="32"/>
          <w:szCs w:val="32"/>
        </w:rPr>
        <w:t>【</w:t>
      </w:r>
      <w:r>
        <w:rPr>
          <w:rFonts w:hint="eastAsia" w:ascii="方正黑体_GBK" w:eastAsia="方正黑体_GBK"/>
          <w:sz w:val="32"/>
          <w:szCs w:val="32"/>
          <w:lang w:val="en-US" w:eastAsia="zh-CN"/>
        </w:rPr>
        <w:t>物业权利人</w:t>
      </w:r>
      <w:r>
        <w:rPr>
          <w:rFonts w:hint="eastAsia" w:ascii="方正黑体_GBK" w:eastAsia="方正黑体_GBK"/>
          <w:sz w:val="32"/>
          <w:szCs w:val="32"/>
        </w:rPr>
        <w:t>】</w:t>
      </w:r>
      <w:r>
        <w:rPr>
          <w:rFonts w:hint="eastAsia" w:ascii="方正仿宋_GBK" w:hAnsi="Times New Roman" w:eastAsia="方正仿宋_GBK" w:cs="仿宋_GB2312"/>
          <w:sz w:val="32"/>
          <w:szCs w:val="32"/>
        </w:rPr>
        <w:t>不动产所有权人、土地使用权人、合法建造或者依法取得不动产但尚未办理不动产登记的单位和个人、承担城市公共空间和设施建设管理责任的单位等作为物业权利人，依法开展城市更新活动。</w:t>
      </w:r>
    </w:p>
    <w:bookmarkEnd w:id="3"/>
    <w:p w14:paraId="0EE66FFE">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hAnsi="Times New Roman" w:eastAsia="方正仿宋_GBK" w:cs="仿宋_GB2312"/>
          <w:kern w:val="0"/>
          <w:sz w:val="32"/>
          <w:szCs w:val="32"/>
          <w:lang w:val="en-US" w:eastAsia="zh-CN" w:bidi="ar-SA"/>
        </w:rPr>
      </w:pPr>
      <w:bookmarkStart w:id="4" w:name="_Hlk216368450"/>
      <w:r>
        <w:rPr>
          <w:rFonts w:hint="eastAsia" w:ascii="方正黑体_GBK" w:eastAsia="方正黑体_GBK"/>
          <w:sz w:val="32"/>
          <w:szCs w:val="32"/>
        </w:rPr>
        <w:t>第</w:t>
      </w:r>
      <w:r>
        <w:rPr>
          <w:rFonts w:hint="eastAsia" w:ascii="方正黑体_GBK" w:eastAsia="方正黑体_GBK"/>
          <w:sz w:val="32"/>
          <w:szCs w:val="32"/>
          <w:lang w:val="en-US" w:eastAsia="zh-CN"/>
        </w:rPr>
        <w:t>七</w:t>
      </w:r>
      <w:r>
        <w:rPr>
          <w:rFonts w:hint="eastAsia" w:ascii="方正黑体_GBK" w:eastAsia="方正黑体_GBK"/>
          <w:sz w:val="32"/>
          <w:szCs w:val="32"/>
        </w:rPr>
        <w:t>条 【公众参与】</w:t>
      </w:r>
      <w:r>
        <w:rPr>
          <w:rFonts w:hint="eastAsia" w:ascii="方正仿宋_GBK" w:hAnsi="Times New Roman" w:eastAsia="方正仿宋_GBK" w:cs="仿宋_GB2312"/>
          <w:kern w:val="0"/>
          <w:sz w:val="32"/>
          <w:szCs w:val="32"/>
          <w:lang w:val="en-US" w:eastAsia="zh-CN" w:bidi="ar-SA"/>
        </w:rPr>
        <w:t>本市建立健全城市更新社会公众参与机制，畅通意见表达渠道，依法保障社会公众在城市更新活动中的相关权利。</w:t>
      </w:r>
    </w:p>
    <w:p w14:paraId="4E29BA09">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hAnsi="Times New Roman" w:eastAsia="方正仿宋_GBK" w:cs="仿宋_GB2312"/>
          <w:kern w:val="0"/>
          <w:sz w:val="32"/>
          <w:szCs w:val="32"/>
          <w:lang w:val="en-US" w:eastAsia="zh-CN" w:bidi="ar-SA"/>
        </w:rPr>
      </w:pPr>
      <w:r>
        <w:rPr>
          <w:rFonts w:hint="eastAsia" w:ascii="方正仿宋_GBK" w:hAnsi="Times New Roman" w:eastAsia="方正仿宋_GBK" w:cs="仿宋_GB2312"/>
          <w:kern w:val="0"/>
          <w:sz w:val="32"/>
          <w:szCs w:val="32"/>
          <w:lang w:val="en-US" w:eastAsia="zh-CN" w:bidi="ar-SA"/>
        </w:rPr>
        <w:t>鼓励规划师、建筑师、工程师等专业技术人员为城市更新工作提供专业技术服务。</w:t>
      </w:r>
    </w:p>
    <w:bookmarkEnd w:id="4"/>
    <w:p w14:paraId="54354C8E">
      <w:pPr>
        <w:pStyle w:val="28"/>
        <w:keepNext w:val="0"/>
        <w:keepLines w:val="0"/>
        <w:pageBreakBefore w:val="0"/>
        <w:numPr>
          <w:ilvl w:val="0"/>
          <w:numId w:val="0"/>
        </w:numPr>
        <w:kinsoku/>
        <w:wordWrap/>
        <w:overflowPunct w:val="0"/>
        <w:topLinePunct w:val="0"/>
        <w:autoSpaceDE/>
        <w:autoSpaceDN/>
        <w:bidi w:val="0"/>
        <w:adjustRightInd/>
        <w:snapToGrid/>
        <w:spacing w:after="0" w:line="560" w:lineRule="exact"/>
        <w:ind w:firstLine="640" w:firstLineChars="200"/>
        <w:jc w:val="both"/>
        <w:textAlignment w:val="auto"/>
        <w:rPr>
          <w:rFonts w:hint="eastAsia" w:ascii="方正仿宋_GBK" w:hAnsi="Times New Roman" w:eastAsia="方正仿宋_GBK" w:cs="仿宋_GB2312"/>
          <w:kern w:val="0"/>
          <w:sz w:val="32"/>
          <w:szCs w:val="32"/>
          <w:lang w:val="en-US" w:eastAsia="zh-CN" w:bidi="ar-SA"/>
          <w14:ligatures w14:val="none"/>
        </w:rPr>
      </w:pPr>
      <w:r>
        <w:rPr>
          <w:rFonts w:hint="eastAsia" w:ascii="方正黑体_GBK" w:eastAsia="方正黑体_GBK"/>
          <w:sz w:val="32"/>
          <w:szCs w:val="32"/>
          <w:lang w:val="en-US" w:eastAsia="zh-CN"/>
        </w:rPr>
        <w:t xml:space="preserve">第八条 </w:t>
      </w:r>
      <w:r>
        <w:rPr>
          <w:rFonts w:hint="eastAsia" w:ascii="方正黑体_GBK" w:eastAsia="方正黑体_GBK"/>
          <w:sz w:val="32"/>
          <w:szCs w:val="32"/>
        </w:rPr>
        <w:t>【信息化建设】</w:t>
      </w:r>
      <w:bookmarkStart w:id="5" w:name="_Hlk215670158"/>
      <w:r>
        <w:rPr>
          <w:rFonts w:hint="eastAsia" w:ascii="方正仿宋_GBK" w:hAnsi="Times New Roman" w:eastAsia="方正仿宋_GBK" w:cs="仿宋_GB2312"/>
          <w:kern w:val="0"/>
          <w:sz w:val="32"/>
          <w:szCs w:val="32"/>
          <w:lang w:val="en-US" w:eastAsia="zh-CN" w:bidi="ar-SA"/>
          <w14:ligatures w14:val="none"/>
        </w:rPr>
        <w:t>市人民政府应当组织住房和城乡建设、自然资源、数字化发展等部门建立全市统一的城市更新信息系统，完善数据共享机制，推进全市城市更新工作信息化、数字化、智能化管理。</w:t>
      </w:r>
    </w:p>
    <w:p w14:paraId="1250F67F">
      <w:pPr>
        <w:pStyle w:val="28"/>
        <w:keepNext w:val="0"/>
        <w:keepLines w:val="0"/>
        <w:pageBreakBefore w:val="0"/>
        <w:numPr>
          <w:ilvl w:val="0"/>
          <w:numId w:val="0"/>
        </w:numPr>
        <w:kinsoku/>
        <w:wordWrap/>
        <w:overflowPunct w:val="0"/>
        <w:topLinePunct w:val="0"/>
        <w:autoSpaceDE/>
        <w:autoSpaceDN/>
        <w:bidi w:val="0"/>
        <w:adjustRightInd/>
        <w:snapToGrid/>
        <w:spacing w:after="0" w:line="560" w:lineRule="exact"/>
        <w:jc w:val="center"/>
        <w:textAlignment w:val="auto"/>
        <w:rPr>
          <w:rFonts w:ascii="方正黑体_GBK" w:eastAsia="方正黑体_GBK"/>
          <w:sz w:val="32"/>
          <w:szCs w:val="32"/>
        </w:rPr>
      </w:pPr>
      <w:r>
        <w:rPr>
          <w:rFonts w:hint="eastAsia" w:ascii="方正黑体_GBK" w:eastAsia="方正黑体_GBK"/>
          <w:sz w:val="32"/>
          <w:szCs w:val="32"/>
          <w:lang w:val="en-US" w:eastAsia="zh-CN"/>
        </w:rPr>
        <w:t xml:space="preserve">第二章 </w:t>
      </w:r>
      <w:r>
        <w:rPr>
          <w:rFonts w:hint="eastAsia" w:ascii="方正黑体_GBK" w:eastAsia="方正黑体_GBK"/>
          <w:sz w:val="32"/>
          <w:szCs w:val="32"/>
        </w:rPr>
        <w:t>城市更新规划与计划</w:t>
      </w:r>
      <w:bookmarkEnd w:id="5"/>
    </w:p>
    <w:p w14:paraId="06EA7F9E">
      <w:pPr>
        <w:keepNext w:val="0"/>
        <w:keepLines w:val="0"/>
        <w:pageBreakBefore w:val="0"/>
        <w:numPr>
          <w:ilvl w:val="0"/>
          <w:numId w:val="0"/>
        </w:numPr>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lang w:val="en-US" w:eastAsia="zh-CN"/>
        </w:rPr>
      </w:pPr>
      <w:bookmarkStart w:id="6" w:name="_Hlk215765362"/>
      <w:r>
        <w:rPr>
          <w:rFonts w:hint="eastAsia" w:ascii="方正黑体_GBK" w:eastAsia="方正黑体_GBK"/>
          <w:sz w:val="32"/>
          <w:szCs w:val="32"/>
          <w:lang w:val="en-US" w:eastAsia="zh-CN"/>
        </w:rPr>
        <w:t xml:space="preserve">第九条 </w:t>
      </w:r>
      <w:r>
        <w:rPr>
          <w:rFonts w:hint="eastAsia" w:ascii="方正仿宋_GBK" w:eastAsia="方正仿宋_GBK"/>
          <w:sz w:val="32"/>
          <w:szCs w:val="32"/>
        </w:rPr>
        <w:t>【</w:t>
      </w:r>
      <w:r>
        <w:rPr>
          <w:rFonts w:hint="eastAsia" w:ascii="方正黑体_GBK" w:eastAsia="方正黑体_GBK"/>
          <w:sz w:val="32"/>
          <w:szCs w:val="32"/>
          <w:lang w:val="en-US" w:eastAsia="zh-CN"/>
        </w:rPr>
        <w:t>城市体检</w:t>
      </w:r>
      <w:r>
        <w:rPr>
          <w:rFonts w:hint="eastAsia" w:ascii="方正仿宋_GBK" w:eastAsia="方正仿宋_GBK"/>
          <w:sz w:val="32"/>
          <w:szCs w:val="32"/>
        </w:rPr>
        <w:t>】</w:t>
      </w:r>
      <w:r>
        <w:rPr>
          <w:rFonts w:hint="eastAsia" w:ascii="方正仿宋_GBK" w:eastAsia="方正仿宋_GBK"/>
          <w:sz w:val="32"/>
          <w:szCs w:val="32"/>
          <w:lang w:val="en-US" w:eastAsia="zh-CN"/>
        </w:rPr>
        <w:t>市、区（县）人民政府应当组织住房和城乡建设、自然资源、城市管理、水务等部门建立城市体检评估制度，完善城市体检评估指标体系，定期组织开展城市体检评估工作。</w:t>
      </w:r>
    </w:p>
    <w:p w14:paraId="6275E83D">
      <w:pPr>
        <w:keepNext w:val="0"/>
        <w:keepLines w:val="0"/>
        <w:pageBreakBefore w:val="0"/>
        <w:numPr>
          <w:ilvl w:val="0"/>
          <w:numId w:val="0"/>
        </w:numPr>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lang w:val="en-US" w:eastAsia="zh-CN"/>
        </w:rPr>
        <w:t>城市体检评估结果应当作为编制城市更新专项规划、片区策划方案、城市更新行动计划的重要依据。</w:t>
      </w:r>
    </w:p>
    <w:p w14:paraId="245602A8">
      <w:pPr>
        <w:keepNext w:val="0"/>
        <w:keepLines w:val="0"/>
        <w:pageBreakBefore w:val="0"/>
        <w:numPr>
          <w:ilvl w:val="0"/>
          <w:numId w:val="0"/>
        </w:numPr>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lang w:val="en-US" w:eastAsia="zh-CN"/>
        </w:rPr>
      </w:pPr>
      <w:r>
        <w:rPr>
          <w:rFonts w:hint="eastAsia" w:ascii="方正黑体_GBK" w:eastAsia="方正黑体_GBK"/>
          <w:sz w:val="32"/>
          <w:szCs w:val="32"/>
          <w:lang w:val="en-US" w:eastAsia="zh-CN"/>
        </w:rPr>
        <w:t xml:space="preserve">第十条 </w:t>
      </w:r>
      <w:r>
        <w:rPr>
          <w:rFonts w:hint="eastAsia" w:ascii="方正黑体_GBK" w:eastAsia="方正黑体_GBK"/>
          <w:sz w:val="32"/>
          <w:szCs w:val="32"/>
        </w:rPr>
        <w:t>【城市更新专项规划】</w:t>
      </w:r>
      <w:bookmarkEnd w:id="6"/>
      <w:r>
        <w:rPr>
          <w:rFonts w:hint="eastAsia" w:ascii="方正仿宋_GBK" w:eastAsia="方正仿宋_GBK"/>
          <w:sz w:val="32"/>
          <w:szCs w:val="32"/>
          <w:lang w:val="en-US" w:eastAsia="zh-CN"/>
        </w:rPr>
        <w:t>市住房和城乡建设部门应当会同市自然资源等部门组织编制城市更新专项规划，按照相关程序批准后实施。</w:t>
      </w:r>
    </w:p>
    <w:p w14:paraId="581FBC6F">
      <w:pPr>
        <w:keepNext w:val="0"/>
        <w:keepLines w:val="0"/>
        <w:pageBreakBefore w:val="0"/>
        <w:numPr>
          <w:ilvl w:val="0"/>
          <w:numId w:val="0"/>
        </w:numPr>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城市更新专项规划应当符合国土空间总体规划，并与控制性详细规划、相关专项规划相衔接。</w:t>
      </w:r>
    </w:p>
    <w:p w14:paraId="29D59FF1">
      <w:pPr>
        <w:keepNext w:val="0"/>
        <w:keepLines w:val="0"/>
        <w:pageBreakBefore w:val="0"/>
        <w:numPr>
          <w:ilvl w:val="0"/>
          <w:numId w:val="0"/>
        </w:numPr>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编制城市更新专项规划应当充分征求专家、社会公众和有关部门意见，明确城市更新的行动目标、重点任务、建设项目、实施时序等内容。</w:t>
      </w:r>
    </w:p>
    <w:p w14:paraId="05BE1009">
      <w:pPr>
        <w:keepNext w:val="0"/>
        <w:keepLines w:val="0"/>
        <w:pageBreakBefore w:val="0"/>
        <w:numPr>
          <w:ilvl w:val="0"/>
          <w:numId w:val="0"/>
        </w:numPr>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lang w:val="en-US" w:eastAsia="zh-CN"/>
        </w:rPr>
      </w:pPr>
      <w:r>
        <w:rPr>
          <w:rFonts w:hint="eastAsia" w:ascii="方正黑体_GBK" w:eastAsia="方正黑体_GBK"/>
          <w:sz w:val="32"/>
          <w:szCs w:val="32"/>
          <w:lang w:val="en-US" w:eastAsia="zh-CN"/>
        </w:rPr>
        <w:t xml:space="preserve">第十一条 </w:t>
      </w:r>
      <w:r>
        <w:rPr>
          <w:rFonts w:hint="eastAsia" w:ascii="方正黑体_GBK" w:eastAsia="方正黑体_GBK"/>
          <w:sz w:val="32"/>
          <w:szCs w:val="32"/>
        </w:rPr>
        <w:t>【城市更新片区策划】</w:t>
      </w:r>
      <w:r>
        <w:rPr>
          <w:rFonts w:hint="eastAsia" w:ascii="方正仿宋_GBK" w:eastAsia="方正仿宋_GBK"/>
          <w:sz w:val="32"/>
          <w:szCs w:val="32"/>
          <w:lang w:val="en-US" w:eastAsia="zh-CN"/>
        </w:rPr>
        <w:t>市、区（县）住房和城乡建设部门应当会同有关部门，根据控制性详细规划、城市更新专项规划，结合城市体检评估结果，组织划定城市更新片区，编制更新片区策划方案，报本级人民政府批准。</w:t>
      </w:r>
    </w:p>
    <w:p w14:paraId="512560D7">
      <w:pPr>
        <w:keepNext w:val="0"/>
        <w:keepLines w:val="0"/>
        <w:pageBreakBefore w:val="0"/>
        <w:numPr>
          <w:ilvl w:val="0"/>
          <w:numId w:val="0"/>
        </w:numPr>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划定城市更新片区应当综合考虑区域现状、未来发展定位、兵地融合需求、存量更新资源、公共要素配置等因素，原则上相对成片连片。</w:t>
      </w:r>
    </w:p>
    <w:p w14:paraId="04E8CFF8">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rPr>
      </w:pPr>
      <w:r>
        <w:rPr>
          <w:rFonts w:hint="eastAsia" w:ascii="方正黑体_GBK" w:eastAsia="方正黑体_GBK"/>
          <w:sz w:val="32"/>
          <w:szCs w:val="32"/>
          <w:lang w:val="en-US" w:eastAsia="zh-CN"/>
        </w:rPr>
        <w:t>第十二条【</w:t>
      </w:r>
      <w:bookmarkStart w:id="7" w:name="_Hlk214362850"/>
      <w:r>
        <w:rPr>
          <w:rFonts w:hint="eastAsia" w:ascii="方正黑体_GBK" w:eastAsia="方正黑体_GBK"/>
          <w:sz w:val="32"/>
          <w:szCs w:val="32"/>
          <w:lang w:val="en-US" w:eastAsia="zh-CN"/>
        </w:rPr>
        <w:t>城市更新项目库</w:t>
      </w:r>
      <w:bookmarkEnd w:id="7"/>
      <w:r>
        <w:rPr>
          <w:rFonts w:hint="eastAsia" w:ascii="方正黑体_GBK" w:eastAsia="方正黑体_GBK"/>
          <w:sz w:val="32"/>
          <w:szCs w:val="32"/>
          <w:lang w:val="en-US" w:eastAsia="zh-CN"/>
        </w:rPr>
        <w:t>、年度实施计划】</w:t>
      </w:r>
      <w:r>
        <w:rPr>
          <w:rFonts w:hint="eastAsia" w:ascii="方正仿宋_GBK" w:eastAsia="方正仿宋_GBK"/>
          <w:sz w:val="32"/>
          <w:szCs w:val="32"/>
        </w:rPr>
        <w:t>本市建立健全城市更新项目库，实行常态申报和动态调整。片区策划方案确定的城市更新项目应当纳入项目库。物业权利人可以向区</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县</w:t>
      </w:r>
      <w:r>
        <w:rPr>
          <w:rFonts w:hint="eastAsia" w:ascii="方正仿宋_GBK" w:eastAsia="方正仿宋_GBK"/>
          <w:sz w:val="32"/>
          <w:szCs w:val="32"/>
          <w:lang w:eastAsia="zh-CN"/>
        </w:rPr>
        <w:t>）</w:t>
      </w:r>
      <w:r>
        <w:rPr>
          <w:rFonts w:hint="eastAsia" w:ascii="方正仿宋_GBK" w:eastAsia="方正仿宋_GBK"/>
          <w:sz w:val="32"/>
          <w:szCs w:val="32"/>
        </w:rPr>
        <w:t>住房</w:t>
      </w:r>
      <w:r>
        <w:rPr>
          <w:rFonts w:hint="eastAsia" w:ascii="方正仿宋_GBK" w:eastAsia="方正仿宋_GBK"/>
          <w:sz w:val="32"/>
          <w:szCs w:val="32"/>
          <w:lang w:val="en-US" w:eastAsia="zh-CN"/>
        </w:rPr>
        <w:t>和城乡</w:t>
      </w:r>
      <w:r>
        <w:rPr>
          <w:rFonts w:hint="eastAsia" w:ascii="方正仿宋_GBK" w:eastAsia="方正仿宋_GBK"/>
          <w:sz w:val="32"/>
          <w:szCs w:val="32"/>
        </w:rPr>
        <w:t>建设部门申报城市更新项目，经评估后按照规定纳入项目库。</w:t>
      </w:r>
    </w:p>
    <w:p w14:paraId="72AD67BC">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市住房和城乡建设部门应当会同自然资源、财政、发展</w:t>
      </w:r>
      <w:r>
        <w:rPr>
          <w:rFonts w:hint="eastAsia" w:ascii="方正仿宋_GBK" w:eastAsia="方正仿宋_GBK"/>
          <w:sz w:val="32"/>
          <w:szCs w:val="32"/>
          <w:lang w:val="en-US" w:eastAsia="zh-CN"/>
        </w:rPr>
        <w:t>和</w:t>
      </w:r>
      <w:r>
        <w:rPr>
          <w:rFonts w:hint="eastAsia" w:ascii="方正仿宋_GBK" w:eastAsia="方正仿宋_GBK"/>
          <w:sz w:val="32"/>
          <w:szCs w:val="32"/>
        </w:rPr>
        <w:t>改革</w:t>
      </w:r>
      <w:r>
        <w:rPr>
          <w:rFonts w:hint="eastAsia" w:ascii="方正仿宋_GBK" w:eastAsia="方正仿宋_GBK"/>
          <w:sz w:val="32"/>
          <w:szCs w:val="32"/>
          <w:lang w:val="en-US" w:eastAsia="zh-CN"/>
        </w:rPr>
        <w:t>等</w:t>
      </w:r>
      <w:r>
        <w:rPr>
          <w:rFonts w:hint="eastAsia" w:ascii="方正仿宋_GBK" w:eastAsia="方正仿宋_GBK"/>
          <w:sz w:val="32"/>
          <w:szCs w:val="32"/>
        </w:rPr>
        <w:t>有关部门</w:t>
      </w:r>
      <w:r>
        <w:rPr>
          <w:rFonts w:hint="eastAsia" w:ascii="方正仿宋_GBK" w:eastAsia="方正仿宋_GBK"/>
          <w:sz w:val="32"/>
          <w:szCs w:val="32"/>
          <w:lang w:eastAsia="zh-CN"/>
        </w:rPr>
        <w:t>，</w:t>
      </w:r>
      <w:r>
        <w:rPr>
          <w:rFonts w:hint="eastAsia" w:ascii="方正仿宋_GBK" w:eastAsia="方正仿宋_GBK"/>
          <w:sz w:val="32"/>
          <w:szCs w:val="32"/>
        </w:rPr>
        <w:t>以城市更新项目库为基础，编制城市更新年度实施计划，按照相关程序批准后实施。</w:t>
      </w:r>
    </w:p>
    <w:p w14:paraId="529C009D">
      <w:pPr>
        <w:keepNext w:val="0"/>
        <w:keepLines w:val="0"/>
        <w:pageBreakBefore w:val="0"/>
        <w:kinsoku/>
        <w:wordWrap/>
        <w:overflowPunct w:val="0"/>
        <w:topLinePunct w:val="0"/>
        <w:autoSpaceDE/>
        <w:autoSpaceDN/>
        <w:bidi w:val="0"/>
        <w:adjustRightInd/>
        <w:snapToGrid/>
        <w:spacing w:after="0" w:line="560" w:lineRule="exact"/>
        <w:jc w:val="center"/>
        <w:textAlignment w:val="auto"/>
        <w:rPr>
          <w:rFonts w:ascii="方正仿宋_GBK" w:eastAsia="方正仿宋_GBK"/>
          <w:sz w:val="32"/>
          <w:szCs w:val="32"/>
        </w:rPr>
      </w:pPr>
      <w:bookmarkStart w:id="8" w:name="_Hlk216369458"/>
      <w:r>
        <w:rPr>
          <w:rFonts w:hint="eastAsia" w:ascii="方正黑体_GBK" w:eastAsia="方正黑体_GBK"/>
          <w:sz w:val="32"/>
          <w:szCs w:val="32"/>
        </w:rPr>
        <w:t>第三章 城市更新实施</w:t>
      </w:r>
      <w:bookmarkEnd w:id="8"/>
    </w:p>
    <w:p w14:paraId="45D07272">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ascii="方正仿宋_GBK" w:eastAsia="方正仿宋_GBK"/>
          <w:sz w:val="32"/>
          <w:szCs w:val="32"/>
        </w:rPr>
      </w:pPr>
      <w:r>
        <w:rPr>
          <w:rFonts w:hint="eastAsia" w:ascii="方正黑体_GBK" w:eastAsia="方正黑体_GBK"/>
          <w:sz w:val="32"/>
          <w:szCs w:val="32"/>
        </w:rPr>
        <w:t>第十</w:t>
      </w:r>
      <w:r>
        <w:rPr>
          <w:rFonts w:hint="eastAsia" w:ascii="方正黑体_GBK" w:eastAsia="方正黑体_GBK"/>
          <w:sz w:val="32"/>
          <w:szCs w:val="32"/>
          <w:lang w:val="en-US" w:eastAsia="zh-CN"/>
        </w:rPr>
        <w:t>三</w:t>
      </w:r>
      <w:r>
        <w:rPr>
          <w:rFonts w:hint="eastAsia" w:ascii="方正黑体_GBK" w:eastAsia="方正黑体_GBK"/>
          <w:sz w:val="32"/>
          <w:szCs w:val="32"/>
        </w:rPr>
        <w:t>条  【物业权利人权</w:t>
      </w:r>
      <w:r>
        <w:rPr>
          <w:rFonts w:hint="eastAsia" w:ascii="方正黑体_GBK" w:eastAsia="方正黑体_GBK"/>
          <w:sz w:val="32"/>
          <w:szCs w:val="32"/>
          <w:lang w:val="en-US" w:eastAsia="zh-CN"/>
        </w:rPr>
        <w:t>利</w:t>
      </w:r>
      <w:r>
        <w:rPr>
          <w:rFonts w:hint="eastAsia" w:ascii="方正黑体_GBK" w:eastAsia="方正黑体_GBK"/>
          <w:sz w:val="32"/>
          <w:szCs w:val="32"/>
        </w:rPr>
        <w:t>】</w:t>
      </w:r>
      <w:r>
        <w:rPr>
          <w:rFonts w:hint="eastAsia" w:ascii="方正仿宋_GBK" w:eastAsia="方正仿宋_GBK"/>
          <w:sz w:val="32"/>
          <w:szCs w:val="32"/>
        </w:rPr>
        <w:t>物业权利人在城市更新活动中，享有下列权利：</w:t>
      </w:r>
    </w:p>
    <w:p w14:paraId="68C354AE">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（一）向本</w:t>
      </w:r>
      <w:r>
        <w:rPr>
          <w:rFonts w:hint="eastAsia" w:ascii="方正仿宋_GBK" w:eastAsia="方正仿宋_GBK"/>
          <w:sz w:val="32"/>
          <w:szCs w:val="32"/>
          <w:lang w:val="en-US" w:eastAsia="zh-CN"/>
        </w:rPr>
        <w:t>级</w:t>
      </w:r>
      <w:r>
        <w:rPr>
          <w:rFonts w:hint="eastAsia" w:ascii="方正仿宋_GBK" w:eastAsia="方正仿宋_GBK"/>
          <w:sz w:val="32"/>
          <w:szCs w:val="32"/>
        </w:rPr>
        <w:t>人民政府及其有关部门提出更新需求和建议；</w:t>
      </w:r>
    </w:p>
    <w:p w14:paraId="28948C2D">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（二）自行或者委托进行更新，也可以与经营主体合作进行更新；</w:t>
      </w:r>
    </w:p>
    <w:p w14:paraId="65D26294">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（三）城市更新实施过程中对物业共用部位、共用设施设备和相关场地使用情况享有知情权和监督权；</w:t>
      </w:r>
    </w:p>
    <w:p w14:paraId="531CA580">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（四）法律、法规规定的其他权利。</w:t>
      </w:r>
    </w:p>
    <w:p w14:paraId="0D060242">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ascii="方正仿宋_GBK" w:eastAsia="方正仿宋_GBK"/>
          <w:sz w:val="32"/>
          <w:szCs w:val="32"/>
        </w:rPr>
      </w:pPr>
      <w:r>
        <w:rPr>
          <w:rFonts w:hint="eastAsia" w:ascii="方正黑体_GBK" w:eastAsia="方正黑体_GBK"/>
          <w:sz w:val="32"/>
          <w:szCs w:val="32"/>
        </w:rPr>
        <w:t>第十</w:t>
      </w:r>
      <w:r>
        <w:rPr>
          <w:rFonts w:hint="eastAsia" w:ascii="方正黑体_GBK" w:eastAsia="方正黑体_GBK"/>
          <w:sz w:val="32"/>
          <w:szCs w:val="32"/>
          <w:lang w:val="en-US" w:eastAsia="zh-CN"/>
        </w:rPr>
        <w:t>四</w:t>
      </w:r>
      <w:r>
        <w:rPr>
          <w:rFonts w:hint="eastAsia" w:ascii="方正黑体_GBK" w:eastAsia="方正黑体_GBK"/>
          <w:sz w:val="32"/>
          <w:szCs w:val="32"/>
        </w:rPr>
        <w:t>条  【物业权利人义务】</w:t>
      </w:r>
      <w:r>
        <w:rPr>
          <w:rFonts w:hint="eastAsia" w:ascii="方正仿宋_GBK" w:eastAsia="方正仿宋_GBK"/>
          <w:sz w:val="32"/>
          <w:szCs w:val="32"/>
        </w:rPr>
        <w:t>物业权利人在城市更新活动中，</w:t>
      </w:r>
      <w:r>
        <w:rPr>
          <w:rFonts w:ascii="方正仿宋_GBK" w:eastAsia="方正仿宋_GBK"/>
          <w:sz w:val="32"/>
          <w:szCs w:val="32"/>
        </w:rPr>
        <w:t>应当遵守下列义务</w:t>
      </w:r>
      <w:r>
        <w:rPr>
          <w:rFonts w:hint="eastAsia" w:ascii="方正仿宋_GBK" w:eastAsia="方正仿宋_GBK"/>
          <w:sz w:val="32"/>
          <w:szCs w:val="32"/>
        </w:rPr>
        <w:t>：</w:t>
      </w:r>
    </w:p>
    <w:p w14:paraId="3A9160E3">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（一）城市更新有关法律、法规规定和制度要求；</w:t>
      </w:r>
    </w:p>
    <w:p w14:paraId="763EC62B">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（二）配合有关部门组织开展的城市更新相关现状调查、意愿调查等工作，提供相关资料；</w:t>
      </w:r>
    </w:p>
    <w:p w14:paraId="61455A6D">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（三）履行业主义务，参与共有部分的管理，对共同决定事项进行协商，执行业主依法作出的共同决定；</w:t>
      </w:r>
    </w:p>
    <w:p w14:paraId="3CAAFCB6">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（四）执行经本人同意或者业主共同决定报有关部门依法审查通过的更新项目实施方案，做好配合工作。</w:t>
      </w:r>
    </w:p>
    <w:p w14:paraId="06107D85">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rPr>
      </w:pPr>
      <w:r>
        <w:rPr>
          <w:rFonts w:hint="eastAsia" w:ascii="方正黑体_GBK" w:eastAsia="方正黑体_GBK"/>
          <w:sz w:val="32"/>
          <w:szCs w:val="32"/>
        </w:rPr>
        <w:t>第十</w:t>
      </w:r>
      <w:r>
        <w:rPr>
          <w:rFonts w:hint="eastAsia" w:ascii="方正黑体_GBK" w:eastAsia="方正黑体_GBK"/>
          <w:sz w:val="32"/>
          <w:szCs w:val="32"/>
          <w:lang w:val="en-US" w:eastAsia="zh-CN"/>
        </w:rPr>
        <w:t>五</w:t>
      </w:r>
      <w:r>
        <w:rPr>
          <w:rFonts w:hint="eastAsia" w:ascii="方正黑体_GBK" w:eastAsia="方正黑体_GBK"/>
          <w:sz w:val="32"/>
          <w:szCs w:val="32"/>
        </w:rPr>
        <w:t>条 【</w:t>
      </w:r>
      <w:r>
        <w:rPr>
          <w:rFonts w:hint="eastAsia" w:ascii="方正黑体_GBK" w:eastAsia="方正黑体_GBK"/>
          <w:sz w:val="32"/>
          <w:szCs w:val="32"/>
          <w:lang w:val="en-US" w:eastAsia="zh-CN"/>
        </w:rPr>
        <w:t>确定</w:t>
      </w:r>
      <w:r>
        <w:rPr>
          <w:rFonts w:hint="eastAsia" w:ascii="方正黑体_GBK" w:eastAsia="方正黑体_GBK"/>
          <w:sz w:val="32"/>
          <w:szCs w:val="32"/>
        </w:rPr>
        <w:t xml:space="preserve">实施主体】 </w:t>
      </w:r>
      <w:r>
        <w:rPr>
          <w:rFonts w:hint="eastAsia" w:ascii="方正仿宋_GBK" w:eastAsia="方正仿宋_GBK"/>
          <w:sz w:val="32"/>
          <w:szCs w:val="32"/>
        </w:rPr>
        <w:t>城市更新项目应当确定实施主体。涉及单一物业权利人的，物业权利人自行确定实施主体。涉及多个物业权利人的，协商一致后共同确定实施主体。无法协商一致，涉及业主共同决定事项的，由业主依法表决确定实施主体。</w:t>
      </w:r>
    </w:p>
    <w:p w14:paraId="28311D7A">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城市更新项目权属关系复杂，无法依据上述规则确定实施主体，但是涉及法律法规规定的公共利益、公共安全等情况确需更新的，可以充分征询物业权利人、利害关系人意见，依法采取招标等方式确定实施主体。</w:t>
      </w:r>
    </w:p>
    <w:p w14:paraId="0DD45838">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lang w:val="en-US" w:eastAsia="zh-CN"/>
        </w:rPr>
      </w:pPr>
      <w:bookmarkStart w:id="9" w:name="_Hlk215765627"/>
      <w:bookmarkStart w:id="10" w:name="OLE_LINK19"/>
      <w:r>
        <w:rPr>
          <w:rFonts w:hint="eastAsia" w:ascii="方正黑体_GBK" w:eastAsia="方正黑体_GBK"/>
          <w:sz w:val="32"/>
          <w:szCs w:val="32"/>
        </w:rPr>
        <w:t>第十</w:t>
      </w:r>
      <w:r>
        <w:rPr>
          <w:rFonts w:hint="eastAsia" w:ascii="方正黑体_GBK" w:eastAsia="方正黑体_GBK"/>
          <w:sz w:val="32"/>
          <w:szCs w:val="32"/>
          <w:lang w:val="en-US" w:eastAsia="zh-CN"/>
        </w:rPr>
        <w:t>六</w:t>
      </w:r>
      <w:r>
        <w:rPr>
          <w:rFonts w:hint="eastAsia" w:ascii="方正黑体_GBK" w:eastAsia="方正黑体_GBK"/>
          <w:sz w:val="32"/>
          <w:szCs w:val="32"/>
        </w:rPr>
        <w:t>条 【</w:t>
      </w:r>
      <w:r>
        <w:rPr>
          <w:rFonts w:hint="eastAsia" w:ascii="方正黑体_GBK" w:eastAsia="方正黑体_GBK"/>
          <w:sz w:val="32"/>
          <w:szCs w:val="32"/>
          <w:lang w:val="en-US" w:eastAsia="zh-CN"/>
        </w:rPr>
        <w:t>项目</w:t>
      </w:r>
      <w:r>
        <w:rPr>
          <w:rFonts w:hint="eastAsia" w:ascii="方正黑体_GBK" w:eastAsia="方正黑体_GBK"/>
          <w:sz w:val="32"/>
          <w:szCs w:val="32"/>
        </w:rPr>
        <w:t xml:space="preserve">实施方案】 </w:t>
      </w:r>
      <w:r>
        <w:rPr>
          <w:rFonts w:hint="eastAsia" w:ascii="方正仿宋_GBK" w:eastAsia="方正仿宋_GBK"/>
          <w:sz w:val="32"/>
          <w:szCs w:val="32"/>
          <w:lang w:val="en-US" w:eastAsia="zh-CN"/>
        </w:rPr>
        <w:t>城市更新项目实施主体应当编制项目实施方案，明确更新范围、更新方式、更新内容、设计方案、建设计划、成本测算、效益分析、资金筹措、产权办理、运营模式等内容。</w:t>
      </w:r>
    </w:p>
    <w:p w14:paraId="688EC6E0">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住房和城乡建设部门应当会同有关部门对项目实施方案进行指导。涉及公共安全、公共利益或者重大复杂的城市更新项目，住房和城乡建设部门应当会同有关部门对项目实施方案进行联合审查。</w:t>
      </w:r>
    </w:p>
    <w:bookmarkEnd w:id="9"/>
    <w:bookmarkEnd w:id="10"/>
    <w:p w14:paraId="70CE515A">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黑体_GBK" w:eastAsia="方正黑体_GBK"/>
          <w:sz w:val="32"/>
          <w:szCs w:val="32"/>
        </w:rPr>
      </w:pPr>
      <w:r>
        <w:rPr>
          <w:rFonts w:hint="eastAsia" w:ascii="方正黑体_GBK" w:eastAsia="方正黑体_GBK"/>
          <w:sz w:val="32"/>
          <w:szCs w:val="32"/>
          <w:lang w:val="en-US" w:eastAsia="zh-CN"/>
        </w:rPr>
        <w:t>第十七条 【手续办理】</w:t>
      </w:r>
      <w:bookmarkStart w:id="11" w:name="_Hlk215675787"/>
      <w:r>
        <w:rPr>
          <w:rFonts w:hint="eastAsia" w:ascii="方正黑体_GBK" w:eastAsia="方正黑体_GBK"/>
          <w:sz w:val="32"/>
          <w:szCs w:val="32"/>
          <w:lang w:val="en-US" w:eastAsia="zh-CN"/>
        </w:rPr>
        <w:t xml:space="preserve"> </w:t>
      </w:r>
      <w:r>
        <w:rPr>
          <w:rFonts w:hint="eastAsia" w:ascii="方正仿宋_GBK" w:eastAsia="方正仿宋_GBK"/>
          <w:sz w:val="32"/>
          <w:szCs w:val="32"/>
          <w:lang w:val="en-US" w:eastAsia="zh-CN"/>
        </w:rPr>
        <w:t>实施主体应当按照城市更新项目实施方案开展城市更新，依法办理相关手续。城市更新项目实施方案已包含相关审批内容且符合要求的，有关部门应当按照优化营商环境的要求，进一步简化审批材料、缩减审批时限、优化审批环节，提高审批效能。</w:t>
      </w:r>
    </w:p>
    <w:bookmarkEnd w:id="11"/>
    <w:p w14:paraId="073F460D">
      <w:pPr>
        <w:pStyle w:val="18"/>
        <w:keepNext w:val="0"/>
        <w:keepLines w:val="0"/>
        <w:pageBreakBefore w:val="0"/>
        <w:widowControl/>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Calibri" w:eastAsia="方正仿宋_GBK" w:cs="Times New Roman"/>
          <w:kern w:val="2"/>
          <w:sz w:val="32"/>
          <w:szCs w:val="32"/>
          <w:lang w:val="en-US" w:eastAsia="zh-CN" w:bidi="ar-SA"/>
        </w:rPr>
      </w:pPr>
      <w:r>
        <w:rPr>
          <w:rFonts w:hint="eastAsia" w:ascii="方正黑体_GBK" w:eastAsia="方正黑体_GBK"/>
          <w:sz w:val="32"/>
          <w:szCs w:val="32"/>
          <w:highlight w:val="none"/>
        </w:rPr>
        <w:t>第</w:t>
      </w:r>
      <w:r>
        <w:rPr>
          <w:rFonts w:hint="eastAsia" w:ascii="方正黑体_GBK" w:eastAsia="方正黑体_GBK"/>
          <w:sz w:val="32"/>
          <w:szCs w:val="32"/>
          <w:highlight w:val="none"/>
          <w:lang w:val="en-US" w:eastAsia="zh-CN"/>
        </w:rPr>
        <w:t>十八</w:t>
      </w:r>
      <w:r>
        <w:rPr>
          <w:rFonts w:hint="eastAsia" w:ascii="方正黑体_GBK" w:eastAsia="方正黑体_GBK"/>
          <w:sz w:val="32"/>
          <w:szCs w:val="32"/>
          <w:highlight w:val="none"/>
        </w:rPr>
        <w:t xml:space="preserve">条 【涉及搬迁的情况】 </w:t>
      </w:r>
      <w:r>
        <w:rPr>
          <w:rFonts w:hint="eastAsia" w:ascii="方正仿宋_GBK" w:hAnsi="Calibri" w:eastAsia="方正仿宋_GBK" w:cs="Times New Roman"/>
          <w:kern w:val="2"/>
          <w:sz w:val="32"/>
          <w:szCs w:val="32"/>
          <w:lang w:val="en-US" w:eastAsia="zh-CN" w:bidi="ar-SA"/>
        </w:rPr>
        <w:t>在城市更新过程中物业权利人确需搬迁的，市、区（县）级人民政府确定的房屋征收部门依法与需搬迁的物业权利人协商一致后签订补偿协议，明确房屋产权调换、货币补偿等方式。</w:t>
      </w:r>
    </w:p>
    <w:p w14:paraId="3C69BD99">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hAnsi="Calibri" w:eastAsia="方正仿宋_GBK" w:cs="Times New Roman"/>
          <w:kern w:val="2"/>
          <w:sz w:val="32"/>
          <w:szCs w:val="32"/>
          <w:lang w:val="en-US" w:eastAsia="zh-CN" w:bidi="ar-SA"/>
        </w:rPr>
      </w:pPr>
      <w:r>
        <w:rPr>
          <w:rFonts w:hint="eastAsia" w:ascii="方正黑体_GBK" w:eastAsia="方正黑体_GBK"/>
          <w:sz w:val="32"/>
          <w:szCs w:val="32"/>
        </w:rPr>
        <w:t>第</w:t>
      </w:r>
      <w:r>
        <w:rPr>
          <w:rFonts w:hint="eastAsia" w:ascii="方正黑体_GBK" w:eastAsia="方正黑体_GBK"/>
          <w:sz w:val="32"/>
          <w:szCs w:val="32"/>
          <w:lang w:val="en-US" w:eastAsia="zh-CN"/>
        </w:rPr>
        <w:t>十九</w:t>
      </w:r>
      <w:r>
        <w:rPr>
          <w:rFonts w:hint="eastAsia" w:ascii="方正黑体_GBK" w:eastAsia="方正黑体_GBK"/>
          <w:sz w:val="32"/>
          <w:szCs w:val="32"/>
        </w:rPr>
        <w:t>条 【</w:t>
      </w:r>
      <w:bookmarkStart w:id="12" w:name="_Hlk214363052"/>
      <w:r>
        <w:rPr>
          <w:rFonts w:hint="eastAsia" w:ascii="方正黑体_GBK" w:eastAsia="方正黑体_GBK"/>
          <w:sz w:val="32"/>
          <w:szCs w:val="32"/>
          <w:lang w:val="en-US" w:eastAsia="zh-CN"/>
        </w:rPr>
        <w:t>危旧房、</w:t>
      </w:r>
      <w:r>
        <w:rPr>
          <w:rFonts w:hint="eastAsia" w:ascii="方正黑体_GBK" w:eastAsia="方正黑体_GBK"/>
          <w:sz w:val="32"/>
          <w:szCs w:val="32"/>
        </w:rPr>
        <w:t>老旧小区、城中村改造</w:t>
      </w:r>
      <w:bookmarkEnd w:id="12"/>
      <w:r>
        <w:rPr>
          <w:rFonts w:hint="eastAsia" w:ascii="方正黑体_GBK" w:eastAsia="方正黑体_GBK"/>
          <w:sz w:val="32"/>
          <w:szCs w:val="32"/>
        </w:rPr>
        <w:t>】</w:t>
      </w:r>
      <w:r>
        <w:rPr>
          <w:rFonts w:hint="eastAsia" w:ascii="方正仿宋_GBK" w:hAnsi="Calibri" w:eastAsia="方正仿宋_GBK" w:cs="Times New Roman"/>
          <w:kern w:val="2"/>
          <w:sz w:val="32"/>
          <w:szCs w:val="32"/>
          <w:lang w:val="en-US" w:eastAsia="zh-CN" w:bidi="ar-SA"/>
        </w:rPr>
        <w:t>实施危险住房改造更新的，应当按照有关规定以加固、改建、重建等方式进行更新。支持老旧住房自主更新、原拆原建。</w:t>
      </w:r>
    </w:p>
    <w:p w14:paraId="268EDBE7">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hAnsi="Calibri" w:eastAsia="方正仿宋_GBK" w:cs="Times New Roman"/>
          <w:kern w:val="2"/>
          <w:sz w:val="32"/>
          <w:szCs w:val="32"/>
          <w:lang w:val="en-US" w:eastAsia="zh-CN" w:bidi="ar-SA"/>
        </w:rPr>
      </w:pPr>
      <w:r>
        <w:rPr>
          <w:rFonts w:hint="eastAsia" w:ascii="方正仿宋_GBK" w:hAnsi="Calibri" w:eastAsia="方正仿宋_GBK" w:cs="Times New Roman"/>
          <w:kern w:val="2"/>
          <w:sz w:val="32"/>
          <w:szCs w:val="32"/>
          <w:lang w:val="en-US" w:eastAsia="zh-CN" w:bidi="ar-SA"/>
        </w:rPr>
        <w:t>实施老旧小区更新的，应当结合本市地域气候特征，循序渐进推动建立多民族相互嵌入式的社会结构和社区环境</w:t>
      </w:r>
      <w:r>
        <w:rPr>
          <w:rFonts w:hint="eastAsia" w:ascii="方正仿宋_GBK" w:eastAsia="方正仿宋_GBK" w:cs="Times New Roman"/>
          <w:kern w:val="2"/>
          <w:sz w:val="32"/>
          <w:szCs w:val="32"/>
          <w:lang w:val="en-US" w:eastAsia="zh-CN" w:bidi="ar-SA"/>
        </w:rPr>
        <w:t>，</w:t>
      </w:r>
      <w:r>
        <w:rPr>
          <w:rFonts w:hint="eastAsia" w:ascii="方正仿宋_GBK" w:hAnsi="Calibri" w:eastAsia="方正仿宋_GBK" w:cs="Times New Roman"/>
          <w:kern w:val="2"/>
          <w:sz w:val="32"/>
          <w:szCs w:val="32"/>
          <w:lang w:val="en-US" w:eastAsia="zh-CN" w:bidi="ar-SA"/>
        </w:rPr>
        <w:t>完善消防、燃气、供水、排水、供电、供热、通信、停车、充电等基础设施，具备条件的应当增设养老、助餐、文化体育、托育托幼等公共服务设施，为居民生活提供便利，提升居住环境。</w:t>
      </w:r>
    </w:p>
    <w:p w14:paraId="4D8A76A3">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hAnsi="Calibri" w:eastAsia="方正仿宋_GBK" w:cs="Times New Roman"/>
          <w:kern w:val="2"/>
          <w:sz w:val="32"/>
          <w:szCs w:val="32"/>
          <w:lang w:val="en-US" w:eastAsia="zh-CN" w:bidi="ar-SA"/>
        </w:rPr>
      </w:pPr>
      <w:r>
        <w:rPr>
          <w:rFonts w:hint="eastAsia" w:ascii="方正仿宋_GBK" w:hAnsi="Calibri" w:eastAsia="方正仿宋_GBK" w:cs="Times New Roman"/>
          <w:kern w:val="2"/>
          <w:sz w:val="32"/>
          <w:szCs w:val="32"/>
          <w:lang w:val="en-US" w:eastAsia="zh-CN" w:bidi="ar-SA"/>
        </w:rPr>
        <w:t>实施城中村改造更新的，应当采取拆除新建、整治提升、拆整结合等方式，消除安全隐患，改善居住条件。</w:t>
      </w:r>
    </w:p>
    <w:p w14:paraId="52B88C0F">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hAnsi="Calibri" w:eastAsia="方正仿宋_GBK" w:cs="Times New Roman"/>
          <w:kern w:val="2"/>
          <w:sz w:val="32"/>
          <w:szCs w:val="32"/>
          <w:lang w:val="en-US" w:eastAsia="zh-CN" w:bidi="ar-SA"/>
        </w:rPr>
      </w:pPr>
      <w:r>
        <w:rPr>
          <w:rFonts w:hint="eastAsia" w:ascii="方正黑体_GBK" w:eastAsia="方正黑体_GBK"/>
          <w:sz w:val="32"/>
          <w:szCs w:val="32"/>
        </w:rPr>
        <w:t>第二十条</w:t>
      </w:r>
      <w:r>
        <w:rPr>
          <w:rFonts w:hint="eastAsia" w:ascii="方正黑体_GBK" w:eastAsia="方正黑体_GBK"/>
          <w:sz w:val="32"/>
          <w:szCs w:val="32"/>
          <w:lang w:val="en-US" w:eastAsia="zh-CN"/>
        </w:rPr>
        <w:t xml:space="preserve"> </w:t>
      </w:r>
      <w:r>
        <w:rPr>
          <w:rFonts w:hint="eastAsia" w:ascii="方正黑体_GBK" w:eastAsia="方正黑体_GBK"/>
          <w:sz w:val="32"/>
          <w:szCs w:val="32"/>
        </w:rPr>
        <w:t>【</w:t>
      </w:r>
      <w:bookmarkStart w:id="13" w:name="_Hlk214363062"/>
      <w:r>
        <w:rPr>
          <w:rFonts w:hint="eastAsia" w:ascii="方正黑体_GBK" w:eastAsia="方正黑体_GBK"/>
          <w:sz w:val="32"/>
          <w:szCs w:val="32"/>
        </w:rPr>
        <w:t>老旧街区</w:t>
      </w:r>
      <w:r>
        <w:rPr>
          <w:rFonts w:hint="eastAsia" w:ascii="方正黑体_GBK" w:eastAsia="方正黑体_GBK"/>
          <w:sz w:val="32"/>
          <w:szCs w:val="32"/>
          <w:lang w:val="en-US" w:eastAsia="zh-CN"/>
        </w:rPr>
        <w:t>等</w:t>
      </w:r>
      <w:r>
        <w:rPr>
          <w:rFonts w:hint="eastAsia" w:ascii="方正黑体_GBK" w:eastAsia="方正黑体_GBK"/>
          <w:sz w:val="32"/>
          <w:szCs w:val="32"/>
        </w:rPr>
        <w:t>改造</w:t>
      </w:r>
      <w:bookmarkEnd w:id="13"/>
      <w:r>
        <w:rPr>
          <w:rFonts w:hint="eastAsia" w:ascii="方正黑体_GBK" w:eastAsia="方正黑体_GBK"/>
          <w:sz w:val="32"/>
          <w:szCs w:val="32"/>
        </w:rPr>
        <w:t>】</w:t>
      </w:r>
      <w:r>
        <w:rPr>
          <w:rFonts w:hint="eastAsia" w:ascii="方正仿宋_GBK" w:hAnsi="Calibri" w:eastAsia="方正仿宋_GBK" w:cs="Times New Roman"/>
          <w:kern w:val="2"/>
          <w:sz w:val="32"/>
          <w:szCs w:val="32"/>
          <w:lang w:val="en-US" w:eastAsia="zh-CN" w:bidi="ar-SA"/>
        </w:rPr>
        <w:t>实施老旧街区、老旧商业区等更新的，应当整合利用存量低效产业空间，完善配套服务设施，发展新产业、新业态，聚集创新资源，培育生产、消费新场景。</w:t>
      </w:r>
    </w:p>
    <w:p w14:paraId="22174A32">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hAnsi="Calibri" w:eastAsia="方正仿宋_GBK" w:cs="Times New Roman"/>
          <w:kern w:val="2"/>
          <w:sz w:val="32"/>
          <w:szCs w:val="32"/>
          <w:lang w:val="en-US" w:eastAsia="zh-CN" w:bidi="ar-SA"/>
        </w:rPr>
      </w:pPr>
      <w:r>
        <w:rPr>
          <w:rFonts w:hint="eastAsia" w:ascii="方正仿宋_GBK" w:hAnsi="Calibri" w:eastAsia="方正仿宋_GBK" w:cs="Times New Roman"/>
          <w:kern w:val="2"/>
          <w:sz w:val="32"/>
          <w:szCs w:val="32"/>
          <w:lang w:val="en-US" w:eastAsia="zh-CN" w:bidi="ar-SA"/>
        </w:rPr>
        <w:t>实施低效楼宇、传统商业设施等更新的，应当加强存量房屋改造利用，推动建筑功能转换和混合使用，鼓励根据实际需求合理转换为文化、体育、教育、医疗、社会福利等功能。</w:t>
      </w:r>
    </w:p>
    <w:p w14:paraId="7B7C855C">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黑体_GBK" w:eastAsia="方正黑体_GBK"/>
          <w:sz w:val="32"/>
          <w:szCs w:val="32"/>
          <w:lang w:val="en-US" w:eastAsia="zh-CN"/>
        </w:rPr>
      </w:pPr>
      <w:r>
        <w:rPr>
          <w:rFonts w:hint="eastAsia" w:ascii="方正黑体_GBK" w:eastAsia="方正黑体_GBK"/>
          <w:sz w:val="32"/>
          <w:szCs w:val="32"/>
        </w:rPr>
        <w:t>第二十</w:t>
      </w:r>
      <w:r>
        <w:rPr>
          <w:rFonts w:hint="eastAsia" w:ascii="方正黑体_GBK" w:eastAsia="方正黑体_GBK"/>
          <w:sz w:val="32"/>
          <w:szCs w:val="32"/>
          <w:lang w:val="en-US" w:eastAsia="zh-CN"/>
        </w:rPr>
        <w:t>一</w:t>
      </w:r>
      <w:r>
        <w:rPr>
          <w:rFonts w:hint="eastAsia" w:ascii="方正黑体_GBK" w:eastAsia="方正黑体_GBK"/>
          <w:sz w:val="32"/>
          <w:szCs w:val="32"/>
        </w:rPr>
        <w:t>条 【</w:t>
      </w:r>
      <w:bookmarkStart w:id="14" w:name="_Hlk214363071"/>
      <w:r>
        <w:rPr>
          <w:rFonts w:hint="eastAsia" w:ascii="方正黑体_GBK" w:eastAsia="方正黑体_GBK"/>
          <w:sz w:val="32"/>
          <w:szCs w:val="32"/>
        </w:rPr>
        <w:t>老旧厂区</w:t>
      </w:r>
      <w:r>
        <w:rPr>
          <w:rFonts w:hint="eastAsia" w:ascii="方正黑体_GBK" w:eastAsia="方正黑体_GBK"/>
          <w:sz w:val="32"/>
          <w:szCs w:val="32"/>
          <w:lang w:val="en-US" w:eastAsia="zh-CN"/>
        </w:rPr>
        <w:t>等</w:t>
      </w:r>
      <w:r>
        <w:rPr>
          <w:rFonts w:hint="eastAsia" w:ascii="方正黑体_GBK" w:eastAsia="方正黑体_GBK"/>
          <w:sz w:val="32"/>
          <w:szCs w:val="32"/>
        </w:rPr>
        <w:t>改造</w:t>
      </w:r>
      <w:bookmarkEnd w:id="14"/>
      <w:r>
        <w:rPr>
          <w:rFonts w:hint="eastAsia" w:ascii="方正黑体_GBK" w:eastAsia="方正黑体_GBK"/>
          <w:sz w:val="32"/>
          <w:szCs w:val="32"/>
        </w:rPr>
        <w:t>】</w:t>
      </w:r>
      <w:bookmarkStart w:id="15" w:name="OLE_LINK76"/>
      <w:r>
        <w:rPr>
          <w:rFonts w:hint="eastAsia" w:ascii="方正仿宋_GBK" w:hAnsi="Calibri" w:eastAsia="方正仿宋_GBK" w:cs="Times New Roman"/>
          <w:kern w:val="2"/>
          <w:sz w:val="32"/>
          <w:szCs w:val="32"/>
          <w:lang w:val="en-US" w:eastAsia="zh-CN" w:bidi="ar-SA"/>
        </w:rPr>
        <w:t>实施老旧工业区、老旧厂房改造更新的，应当注重工业遗产保护和活化利用，对具有保留价值的厂房建筑按照相关要求进行维护修缮。支持对老旧厂房进行改造利用，发展创新创意产业。</w:t>
      </w:r>
      <w:bookmarkEnd w:id="15"/>
    </w:p>
    <w:p w14:paraId="0699B13B">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hAnsi="Calibri" w:eastAsia="方正仿宋_GBK" w:cs="Times New Roman"/>
          <w:kern w:val="2"/>
          <w:sz w:val="32"/>
          <w:szCs w:val="32"/>
          <w:lang w:val="en-US" w:eastAsia="zh-CN" w:bidi="ar-SA"/>
        </w:rPr>
      </w:pPr>
      <w:r>
        <w:rPr>
          <w:rFonts w:hint="eastAsia" w:ascii="方正黑体_GBK" w:eastAsia="方正黑体_GBK"/>
          <w:sz w:val="32"/>
          <w:szCs w:val="32"/>
        </w:rPr>
        <w:t>第二十</w:t>
      </w:r>
      <w:r>
        <w:rPr>
          <w:rFonts w:hint="eastAsia" w:ascii="方正黑体_GBK" w:eastAsia="方正黑体_GBK"/>
          <w:sz w:val="32"/>
          <w:szCs w:val="32"/>
          <w:lang w:val="en-US" w:eastAsia="zh-CN"/>
        </w:rPr>
        <w:t>二</w:t>
      </w:r>
      <w:r>
        <w:rPr>
          <w:rFonts w:hint="eastAsia" w:ascii="方正黑体_GBK" w:eastAsia="方正黑体_GBK"/>
          <w:sz w:val="32"/>
          <w:szCs w:val="32"/>
        </w:rPr>
        <w:t>条 【</w:t>
      </w:r>
      <w:bookmarkStart w:id="16" w:name="_Hlk214363080"/>
      <w:r>
        <w:rPr>
          <w:rFonts w:hint="eastAsia" w:ascii="方正黑体_GBK" w:eastAsia="方正黑体_GBK"/>
          <w:sz w:val="32"/>
          <w:szCs w:val="32"/>
        </w:rPr>
        <w:t>基础设施改造</w:t>
      </w:r>
      <w:bookmarkEnd w:id="16"/>
      <w:r>
        <w:rPr>
          <w:rFonts w:hint="eastAsia" w:ascii="方正黑体_GBK" w:eastAsia="方正黑体_GBK"/>
          <w:sz w:val="32"/>
          <w:szCs w:val="32"/>
        </w:rPr>
        <w:t>】</w:t>
      </w:r>
      <w:r>
        <w:rPr>
          <w:rFonts w:hint="eastAsia" w:ascii="方正仿宋_GBK" w:hAnsi="Calibri" w:eastAsia="方正仿宋_GBK" w:cs="Times New Roman"/>
          <w:kern w:val="2"/>
          <w:sz w:val="32"/>
          <w:szCs w:val="32"/>
          <w:lang w:val="en-US" w:eastAsia="zh-CN" w:bidi="ar-SA"/>
        </w:rPr>
        <w:t>实施城市基础设施更新改造的，应当优化城市基础设施布局、结构、功能，推进城市基础设施数字化、智能化改造，建设智能高效的新型城市基础设施。优化城市交通网络，打通道路微循环，提高道路通达性，统筹规划建设网约配送服务配套设施，完善非机动车道、临时停靠点位及配送服务站点布局，保障通行与作业空间，补齐交通设施短板。完善市政供给体系，推进市政管线管网以及综合管廊建设数字化改造和智能化管理。加强环境卫生、排水防涝、污水收集处理和再生利用等设施建设改造。完善应急指挥、处置和救援体系建设，提高城市安全风险防控和应急救援能力。</w:t>
      </w:r>
    </w:p>
    <w:p w14:paraId="1996D8C9">
      <w:pPr>
        <w:pStyle w:val="18"/>
        <w:keepNext w:val="0"/>
        <w:keepLines w:val="0"/>
        <w:pageBreakBefore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Calibri" w:eastAsia="方正仿宋_GBK" w:cs="Times New Roman"/>
          <w:kern w:val="2"/>
          <w:sz w:val="32"/>
          <w:szCs w:val="32"/>
          <w:lang w:val="en-US" w:eastAsia="zh-CN" w:bidi="ar-SA"/>
        </w:rPr>
      </w:pPr>
      <w:r>
        <w:rPr>
          <w:rFonts w:hint="eastAsia" w:ascii="方正黑体_GBK" w:eastAsia="方正黑体_GBK"/>
          <w:sz w:val="32"/>
          <w:szCs w:val="32"/>
        </w:rPr>
        <w:t>第二十</w:t>
      </w:r>
      <w:r>
        <w:rPr>
          <w:rFonts w:hint="eastAsia" w:ascii="方正黑体_GBK" w:eastAsia="方正黑体_GBK"/>
          <w:sz w:val="32"/>
          <w:szCs w:val="32"/>
          <w:lang w:val="en-US" w:eastAsia="zh-CN"/>
        </w:rPr>
        <w:t>三</w:t>
      </w:r>
      <w:r>
        <w:rPr>
          <w:rFonts w:hint="eastAsia" w:ascii="方正黑体_GBK" w:eastAsia="方正黑体_GBK"/>
          <w:sz w:val="32"/>
          <w:szCs w:val="32"/>
        </w:rPr>
        <w:t>条 【</w:t>
      </w:r>
      <w:bookmarkStart w:id="17" w:name="_Hlk214363088"/>
      <w:r>
        <w:rPr>
          <w:rFonts w:hint="eastAsia" w:ascii="方正黑体_GBK" w:eastAsia="方正黑体_GBK"/>
          <w:sz w:val="32"/>
          <w:szCs w:val="32"/>
        </w:rPr>
        <w:t>公共空间改造</w:t>
      </w:r>
      <w:bookmarkEnd w:id="17"/>
      <w:r>
        <w:rPr>
          <w:rFonts w:hint="eastAsia" w:ascii="方正黑体_GBK" w:eastAsia="方正黑体_GBK"/>
          <w:sz w:val="32"/>
          <w:szCs w:val="32"/>
        </w:rPr>
        <w:t>】</w:t>
      </w:r>
      <w:r>
        <w:rPr>
          <w:rFonts w:hint="eastAsia" w:ascii="方正仿宋_GBK" w:hAnsi="Calibri" w:eastAsia="方正仿宋_GBK" w:cs="Times New Roman"/>
          <w:kern w:val="2"/>
          <w:sz w:val="32"/>
          <w:szCs w:val="32"/>
          <w:lang w:val="en-US" w:eastAsia="zh-CN" w:bidi="ar-SA"/>
        </w:rPr>
        <w:t>实施公共空间类更新的，应当落实海绵城市建设理念，统筹绿色空间、滨水空间、桥下空间、慢行系统等，节约集约利用土地，加强建设用地土壤污染风险管控和修复，提高城市空间资源利用效率，改善环境品质与风貌特色。</w:t>
      </w:r>
    </w:p>
    <w:p w14:paraId="07DE95AF">
      <w:pPr>
        <w:pStyle w:val="18"/>
        <w:keepNext w:val="0"/>
        <w:keepLines w:val="0"/>
        <w:pageBreakBefore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eastAsia="方正黑体_GBK"/>
          <w:sz w:val="32"/>
          <w:szCs w:val="32"/>
        </w:rPr>
      </w:pPr>
      <w:r>
        <w:rPr>
          <w:rFonts w:hint="eastAsia" w:ascii="方正仿宋_GBK" w:hAnsi="Calibri" w:eastAsia="方正仿宋_GBK" w:cs="Times New Roman"/>
          <w:kern w:val="2"/>
          <w:sz w:val="32"/>
          <w:szCs w:val="32"/>
          <w:lang w:val="en-US" w:eastAsia="zh-CN" w:bidi="ar-SA"/>
        </w:rPr>
        <w:t>鼓励按照应急避难场所建设要求，对学校、文体场馆、公园绿地等空间进行更新改造，提升公共场所应急避难服务能力。</w:t>
      </w:r>
    </w:p>
    <w:p w14:paraId="39473E6E">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hAnsi="Calibri" w:eastAsia="方正仿宋_GBK" w:cs="Times New Roman"/>
          <w:kern w:val="2"/>
          <w:sz w:val="32"/>
          <w:szCs w:val="32"/>
          <w:lang w:val="en-US" w:eastAsia="zh-CN" w:bidi="ar-SA"/>
        </w:rPr>
      </w:pPr>
      <w:r>
        <w:rPr>
          <w:rFonts w:hint="eastAsia" w:ascii="方正黑体_GBK" w:eastAsia="方正黑体_GBK"/>
          <w:sz w:val="32"/>
          <w:szCs w:val="32"/>
        </w:rPr>
        <w:t>第二十</w:t>
      </w:r>
      <w:r>
        <w:rPr>
          <w:rFonts w:hint="eastAsia" w:ascii="方正黑体_GBK" w:eastAsia="方正黑体_GBK"/>
          <w:sz w:val="32"/>
          <w:szCs w:val="32"/>
          <w:lang w:val="en-US" w:eastAsia="zh-CN"/>
        </w:rPr>
        <w:t>四</w:t>
      </w:r>
      <w:r>
        <w:rPr>
          <w:rFonts w:hint="eastAsia" w:ascii="方正黑体_GBK" w:eastAsia="方正黑体_GBK"/>
          <w:sz w:val="32"/>
          <w:szCs w:val="32"/>
        </w:rPr>
        <w:t>条 【保护传承】</w:t>
      </w:r>
      <w:r>
        <w:rPr>
          <w:rFonts w:hint="eastAsia" w:ascii="方正仿宋_GBK" w:hAnsi="Calibri" w:eastAsia="方正仿宋_GBK" w:cs="Times New Roman"/>
          <w:kern w:val="2"/>
          <w:sz w:val="32"/>
          <w:szCs w:val="32"/>
          <w:lang w:val="en-US" w:eastAsia="zh-CN" w:bidi="ar-SA"/>
        </w:rPr>
        <w:t>实施历史文化街区更新的，应当保持老城格局和街巷肌理，采用小规模、渐进式、微改造等更新方式，彰显和延续地方历史文化特色。</w:t>
      </w:r>
    </w:p>
    <w:p w14:paraId="762DEEB0">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hAnsi="Calibri" w:eastAsia="方正仿宋_GBK" w:cs="Times New Roman"/>
          <w:kern w:val="2"/>
          <w:sz w:val="32"/>
          <w:szCs w:val="32"/>
          <w:lang w:val="en-US" w:eastAsia="zh-CN" w:bidi="ar-SA"/>
        </w:rPr>
      </w:pPr>
      <w:r>
        <w:rPr>
          <w:rFonts w:hint="eastAsia" w:ascii="方正仿宋_GBK" w:hAnsi="Calibri" w:eastAsia="方正仿宋_GBK" w:cs="Times New Roman"/>
          <w:kern w:val="2"/>
          <w:sz w:val="32"/>
          <w:szCs w:val="32"/>
          <w:lang w:val="en-US" w:eastAsia="zh-CN" w:bidi="ar-SA"/>
        </w:rPr>
        <w:t>实施历史建筑更新的，应当根据不同时期、不同类型的特点，以体现其核心价值的外观、结构和构件等为重点，通过及时加固修缮、活化利用等方式实施保护更新。</w:t>
      </w:r>
    </w:p>
    <w:p w14:paraId="4C0648A0">
      <w:pPr>
        <w:keepNext w:val="0"/>
        <w:keepLines w:val="0"/>
        <w:pageBreakBefore w:val="0"/>
        <w:kinsoku/>
        <w:wordWrap/>
        <w:overflowPunct w:val="0"/>
        <w:topLinePunct w:val="0"/>
        <w:autoSpaceDE/>
        <w:autoSpaceDN/>
        <w:bidi w:val="0"/>
        <w:adjustRightInd/>
        <w:snapToGrid/>
        <w:spacing w:after="0" w:line="560" w:lineRule="exact"/>
        <w:jc w:val="center"/>
        <w:textAlignment w:val="auto"/>
        <w:rPr>
          <w:rFonts w:ascii="方正黑体_GBK" w:eastAsia="方正黑体_GBK"/>
          <w:sz w:val="32"/>
          <w:szCs w:val="32"/>
        </w:rPr>
      </w:pPr>
      <w:r>
        <w:rPr>
          <w:rFonts w:hint="eastAsia" w:ascii="方正黑体_GBK" w:eastAsia="方正黑体_GBK"/>
          <w:sz w:val="32"/>
          <w:szCs w:val="32"/>
        </w:rPr>
        <w:t>第四章 城市更新保障</w:t>
      </w:r>
    </w:p>
    <w:p w14:paraId="4EFD54A4">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hAnsi="Calibri" w:eastAsia="方正仿宋_GBK" w:cs="Times New Roman"/>
          <w:kern w:val="2"/>
          <w:sz w:val="32"/>
          <w:szCs w:val="32"/>
          <w:lang w:val="en-US" w:eastAsia="zh-CN" w:bidi="ar-SA"/>
        </w:rPr>
      </w:pPr>
      <w:r>
        <w:rPr>
          <w:rFonts w:hint="eastAsia" w:ascii="方正黑体_GBK" w:eastAsia="方正黑体_GBK"/>
          <w:sz w:val="32"/>
          <w:szCs w:val="32"/>
        </w:rPr>
        <w:t>第二十</w:t>
      </w:r>
      <w:r>
        <w:rPr>
          <w:rFonts w:hint="eastAsia" w:ascii="方正黑体_GBK" w:eastAsia="方正黑体_GBK"/>
          <w:sz w:val="32"/>
          <w:szCs w:val="32"/>
          <w:lang w:val="en-US" w:eastAsia="zh-CN"/>
        </w:rPr>
        <w:t>五</w:t>
      </w:r>
      <w:r>
        <w:rPr>
          <w:rFonts w:hint="eastAsia" w:ascii="方正黑体_GBK" w:eastAsia="方正黑体_GBK"/>
          <w:sz w:val="32"/>
          <w:szCs w:val="32"/>
        </w:rPr>
        <w:t>条 【资金保障】</w:t>
      </w:r>
      <w:r>
        <w:rPr>
          <w:rFonts w:hint="eastAsia" w:ascii="方正仿宋_GBK" w:hAnsi="Calibri" w:eastAsia="方正仿宋_GBK" w:cs="Times New Roman"/>
          <w:kern w:val="2"/>
          <w:sz w:val="32"/>
          <w:szCs w:val="32"/>
          <w:lang w:val="en-US" w:eastAsia="zh-CN" w:bidi="ar-SA"/>
        </w:rPr>
        <w:t>市、区（县）人民政府应当建立财政支持、社会力量参与、产权人共担、金融服务保障的城市更新项目资金多主体筹措机制。</w:t>
      </w:r>
    </w:p>
    <w:p w14:paraId="57B1EC1A">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hAnsi="Calibri" w:eastAsia="方正仿宋_GBK" w:cs="Times New Roman"/>
          <w:kern w:val="2"/>
          <w:sz w:val="32"/>
          <w:szCs w:val="32"/>
          <w:lang w:val="en-US" w:eastAsia="zh-CN" w:bidi="ar-SA"/>
        </w:rPr>
      </w:pPr>
      <w:r>
        <w:rPr>
          <w:rFonts w:hint="eastAsia" w:ascii="方正仿宋_GBK" w:hAnsi="Calibri" w:eastAsia="方正仿宋_GBK" w:cs="Times New Roman"/>
          <w:kern w:val="2"/>
          <w:sz w:val="32"/>
          <w:szCs w:val="32"/>
          <w:lang w:val="en-US" w:eastAsia="zh-CN" w:bidi="ar-SA"/>
        </w:rPr>
        <w:t>市、区（县）人民政府应当加大财政投入，推进相关资金整合和统筹使用，重点用于安全隐患消除、市政基础设施和公共服务设施提升、低效产业用地提质增效、历史文化保护传承等方面的项目。</w:t>
      </w:r>
    </w:p>
    <w:p w14:paraId="2E5BA287">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黑体_GBK" w:eastAsia="方正黑体_GBK"/>
          <w:sz w:val="32"/>
          <w:szCs w:val="32"/>
        </w:rPr>
      </w:pPr>
      <w:r>
        <w:rPr>
          <w:rFonts w:hint="eastAsia" w:ascii="方正黑体_GBK" w:eastAsia="方正黑体_GBK"/>
          <w:sz w:val="32"/>
          <w:szCs w:val="32"/>
        </w:rPr>
        <w:t>第</w:t>
      </w:r>
      <w:r>
        <w:rPr>
          <w:rFonts w:hint="eastAsia" w:ascii="方正黑体_GBK" w:eastAsia="方正黑体_GBK"/>
          <w:sz w:val="32"/>
          <w:szCs w:val="32"/>
          <w:lang w:val="en-US" w:eastAsia="zh-CN"/>
        </w:rPr>
        <w:t>二十六</w:t>
      </w:r>
      <w:r>
        <w:rPr>
          <w:rFonts w:hint="eastAsia" w:ascii="方正黑体_GBK" w:eastAsia="方正黑体_GBK"/>
          <w:sz w:val="32"/>
          <w:szCs w:val="32"/>
        </w:rPr>
        <w:t>条 【税收优惠】</w:t>
      </w:r>
      <w:r>
        <w:rPr>
          <w:rFonts w:hint="eastAsia" w:ascii="方正仿宋_GBK" w:hAnsi="Calibri" w:eastAsia="方正仿宋_GBK" w:cs="Times New Roman"/>
          <w:kern w:val="2"/>
          <w:sz w:val="32"/>
          <w:szCs w:val="32"/>
          <w:lang w:val="en-US" w:eastAsia="zh-CN" w:bidi="ar-SA"/>
        </w:rPr>
        <w:t>对符合国家相关政策的城市更新项目，按照国家规定享受相关行政事业性收费、政府性基金、税收减免等优惠扶持政策。</w:t>
      </w:r>
    </w:p>
    <w:p w14:paraId="4D946168">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hAnsi="Calibri" w:eastAsia="方正仿宋_GBK" w:cs="Times New Roman"/>
          <w:kern w:val="2"/>
          <w:sz w:val="32"/>
          <w:szCs w:val="32"/>
          <w:lang w:val="en-US" w:eastAsia="zh-CN" w:bidi="ar-SA"/>
        </w:rPr>
      </w:pPr>
      <w:bookmarkStart w:id="18" w:name="_Hlk215766033"/>
      <w:r>
        <w:rPr>
          <w:rFonts w:hint="eastAsia" w:ascii="方正黑体_GBK" w:eastAsia="方正黑体_GBK"/>
          <w:sz w:val="32"/>
          <w:szCs w:val="32"/>
        </w:rPr>
        <w:t>第</w:t>
      </w:r>
      <w:r>
        <w:rPr>
          <w:rFonts w:hint="eastAsia" w:ascii="方正黑体_GBK" w:eastAsia="方正黑体_GBK"/>
          <w:sz w:val="32"/>
          <w:szCs w:val="32"/>
          <w:lang w:val="en-US" w:eastAsia="zh-CN"/>
        </w:rPr>
        <w:t>二十七</w:t>
      </w:r>
      <w:r>
        <w:rPr>
          <w:rFonts w:hint="eastAsia" w:ascii="方正黑体_GBK" w:eastAsia="方正黑体_GBK"/>
          <w:sz w:val="32"/>
          <w:szCs w:val="32"/>
        </w:rPr>
        <w:t>条 【金融支持】</w:t>
      </w:r>
      <w:r>
        <w:rPr>
          <w:rFonts w:hint="eastAsia" w:ascii="方正仿宋_GBK" w:hAnsi="Calibri" w:eastAsia="方正仿宋_GBK" w:cs="Times New Roman"/>
          <w:kern w:val="2"/>
          <w:sz w:val="32"/>
          <w:szCs w:val="32"/>
          <w:lang w:val="en-US" w:eastAsia="zh-CN" w:bidi="ar-SA"/>
        </w:rPr>
        <w:t>鼓励金融机构依法开发多样化金融产品和服务创新，用于支持城市更新项目建设。</w:t>
      </w:r>
    </w:p>
    <w:p w14:paraId="304B2AB6">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hAnsi="Calibri" w:eastAsia="方正仿宋_GBK" w:cs="Times New Roman"/>
          <w:kern w:val="2"/>
          <w:sz w:val="32"/>
          <w:szCs w:val="32"/>
          <w:lang w:val="en-US" w:eastAsia="zh-CN" w:bidi="ar-SA"/>
        </w:rPr>
      </w:pPr>
      <w:r>
        <w:rPr>
          <w:rFonts w:hint="eastAsia" w:ascii="方正仿宋_GBK" w:hAnsi="Calibri" w:eastAsia="方正仿宋_GBK" w:cs="Times New Roman"/>
          <w:kern w:val="2"/>
          <w:sz w:val="32"/>
          <w:szCs w:val="32"/>
          <w:lang w:val="en-US" w:eastAsia="zh-CN" w:bidi="ar-SA"/>
        </w:rPr>
        <w:t>鼓励政策性银行和商业银行按照有关规定为城市更新项目实施主体提供长周期、低利率信贷支持。</w:t>
      </w:r>
    </w:p>
    <w:p w14:paraId="31D137E0">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黑体_GBK" w:eastAsia="方正黑体_GBK"/>
          <w:sz w:val="32"/>
          <w:szCs w:val="32"/>
        </w:rPr>
      </w:pPr>
      <w:bookmarkStart w:id="19" w:name="_Hlk215766204"/>
      <w:r>
        <w:rPr>
          <w:rFonts w:hint="eastAsia" w:ascii="方正黑体_GBK" w:eastAsia="方正黑体_GBK"/>
          <w:sz w:val="32"/>
          <w:szCs w:val="32"/>
        </w:rPr>
        <w:t>第</w:t>
      </w:r>
      <w:r>
        <w:rPr>
          <w:rFonts w:hint="eastAsia" w:ascii="方正黑体_GBK" w:eastAsia="方正黑体_GBK"/>
          <w:sz w:val="32"/>
          <w:szCs w:val="32"/>
          <w:lang w:val="en-US" w:eastAsia="zh-CN"/>
        </w:rPr>
        <w:t>二十八</w:t>
      </w:r>
      <w:r>
        <w:rPr>
          <w:rFonts w:hint="eastAsia" w:ascii="方正黑体_GBK" w:eastAsia="方正黑体_GBK"/>
          <w:sz w:val="32"/>
          <w:szCs w:val="32"/>
        </w:rPr>
        <w:t>条 【不低于现状条件实施】</w:t>
      </w:r>
      <w:r>
        <w:rPr>
          <w:rFonts w:hint="eastAsia" w:ascii="方正仿宋_GBK" w:hAnsi="Calibri" w:eastAsia="方正仿宋_GBK" w:cs="Times New Roman"/>
          <w:kern w:val="2"/>
          <w:sz w:val="32"/>
          <w:szCs w:val="32"/>
          <w:lang w:val="en-US" w:eastAsia="zh-CN" w:bidi="ar-SA"/>
        </w:rPr>
        <w:t>城市更新项目应当符合现行的规划建设标准和规范。城市更新中建筑间距、建筑退距、建筑密度、日照标准、绿地率、停车位等确实无法达到现行标准和规范要求的特殊类型更新项目，在保障公共安全、维护相关利害关系人合法权益的前提下，可以按照不低于现状条件为底线进行更新。</w:t>
      </w:r>
    </w:p>
    <w:bookmarkEnd w:id="18"/>
    <w:p w14:paraId="1D610C46">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cs="Times New Roman"/>
          <w:sz w:val="32"/>
          <w:szCs w:val="32"/>
        </w:rPr>
      </w:pPr>
      <w:r>
        <w:rPr>
          <w:rFonts w:hint="eastAsia" w:ascii="方正黑体_GBK" w:eastAsia="方正黑体_GBK"/>
          <w:sz w:val="32"/>
          <w:szCs w:val="32"/>
        </w:rPr>
        <w:t>第</w:t>
      </w:r>
      <w:r>
        <w:rPr>
          <w:rFonts w:hint="eastAsia" w:ascii="方正黑体_GBK" w:eastAsia="方正黑体_GBK"/>
          <w:sz w:val="32"/>
          <w:szCs w:val="32"/>
          <w:lang w:val="en-US" w:eastAsia="zh-CN"/>
        </w:rPr>
        <w:t>二十九</w:t>
      </w:r>
      <w:r>
        <w:rPr>
          <w:rFonts w:hint="eastAsia" w:ascii="方正黑体_GBK" w:eastAsia="方正黑体_GBK"/>
          <w:sz w:val="32"/>
          <w:szCs w:val="32"/>
        </w:rPr>
        <w:t>条 【土地供应】</w:t>
      </w:r>
      <w:r>
        <w:rPr>
          <w:rFonts w:hint="eastAsia" w:ascii="方正仿宋_GBK" w:eastAsia="方正仿宋_GBK" w:cs="Times New Roman"/>
          <w:sz w:val="32"/>
          <w:szCs w:val="32"/>
        </w:rPr>
        <w:t>城市更新项目涉及土地出让的，依据法律规定采取划拨、租赁、招标、拍卖、挂牌、协议出让等方式办理供地手续。对改造项目中已批未用的零星土地，在符合国土空间规划及相关法律法规的前提下，可与周边用地整合开发利用，涉及经营性用途的可采取协议出让方式办理手续。</w:t>
      </w:r>
    </w:p>
    <w:p w14:paraId="606C3AD5">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cs="Times New Roman"/>
          <w:sz w:val="32"/>
          <w:szCs w:val="32"/>
        </w:rPr>
      </w:pPr>
      <w:r>
        <w:rPr>
          <w:rFonts w:hint="eastAsia" w:ascii="方正仿宋_GBK" w:eastAsia="方正仿宋_GBK" w:cs="Times New Roman"/>
          <w:sz w:val="32"/>
          <w:szCs w:val="32"/>
        </w:rPr>
        <w:t>城市更新项目需要缴纳或者补缴土地价款的，应当以市场评估价为基础，并考虑土地整理、移交的公益用地或者建筑、配建的基础设施或者公共服务设施以及多地块联动改造等成本，综合确定土地价款。</w:t>
      </w:r>
    </w:p>
    <w:p w14:paraId="7E1856F9">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rPr>
      </w:pPr>
      <w:r>
        <w:rPr>
          <w:rFonts w:hint="eastAsia" w:ascii="方正黑体_GBK" w:eastAsia="方正黑体_GBK"/>
          <w:sz w:val="32"/>
          <w:szCs w:val="32"/>
        </w:rPr>
        <w:t>第三</w:t>
      </w:r>
      <w:r>
        <w:rPr>
          <w:rFonts w:hint="eastAsia" w:ascii="方正黑体_GBK" w:eastAsia="方正黑体_GBK"/>
          <w:sz w:val="32"/>
          <w:szCs w:val="32"/>
          <w:lang w:val="en-US" w:eastAsia="zh-CN"/>
        </w:rPr>
        <w:t>十</w:t>
      </w:r>
      <w:r>
        <w:rPr>
          <w:rFonts w:hint="eastAsia" w:ascii="方正黑体_GBK" w:eastAsia="方正黑体_GBK"/>
          <w:sz w:val="32"/>
          <w:szCs w:val="32"/>
        </w:rPr>
        <w:t xml:space="preserve">条 【低效产业用地】 </w:t>
      </w:r>
      <w:r>
        <w:rPr>
          <w:rFonts w:hint="eastAsia" w:ascii="方正仿宋_GBK" w:eastAsia="方正仿宋_GBK"/>
          <w:sz w:val="32"/>
          <w:szCs w:val="32"/>
        </w:rPr>
        <w:t>城市更新应当加快推进低效用地盘活利用。市人民政府应当明确低效用地的认定标准，建立低效用地再开发激励、约束机制。</w:t>
      </w:r>
    </w:p>
    <w:p w14:paraId="1342C357">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鼓励国有土地使用权人依法按照程序自行或者以转让、入股等方式更新改造低效用地。依法收回国有土地使用权以及法律、行政法规禁止擅自转让的情形除外。</w:t>
      </w:r>
    </w:p>
    <w:bookmarkEnd w:id="19"/>
    <w:p w14:paraId="391D135B">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黑体_GBK" w:eastAsia="方正黑体_GBK"/>
          <w:sz w:val="32"/>
          <w:szCs w:val="32"/>
        </w:rPr>
      </w:pPr>
      <w:bookmarkStart w:id="20" w:name="_Hlk215766145"/>
      <w:r>
        <w:rPr>
          <w:rFonts w:hint="eastAsia" w:ascii="方正黑体_GBK" w:eastAsia="方正黑体_GBK"/>
          <w:sz w:val="32"/>
          <w:szCs w:val="32"/>
        </w:rPr>
        <w:t>第三十</w:t>
      </w:r>
      <w:r>
        <w:rPr>
          <w:rFonts w:hint="eastAsia" w:ascii="方正黑体_GBK" w:eastAsia="方正黑体_GBK"/>
          <w:sz w:val="32"/>
          <w:szCs w:val="32"/>
          <w:lang w:val="en-US" w:eastAsia="zh-CN"/>
        </w:rPr>
        <w:t>一</w:t>
      </w:r>
      <w:r>
        <w:rPr>
          <w:rFonts w:hint="eastAsia" w:ascii="方正黑体_GBK" w:eastAsia="方正黑体_GBK"/>
          <w:sz w:val="32"/>
          <w:szCs w:val="32"/>
        </w:rPr>
        <w:t>条 【过渡期政策】</w:t>
      </w:r>
      <w:r>
        <w:rPr>
          <w:rFonts w:hint="eastAsia" w:ascii="方正仿宋_GBK" w:eastAsia="方正仿宋_GBK" w:cs="Times New Roman"/>
          <w:sz w:val="32"/>
          <w:szCs w:val="32"/>
        </w:rPr>
        <w:t xml:space="preserve"> 城市更新项目经批准利用存量房产和土地，用于发展国家、自治区、市支持的新业态，在不改变用地主体的条件下，在国家规定的过渡期内，可以享受按照原用途、原土地权利类型使用土地的过渡期政策。</w:t>
      </w:r>
    </w:p>
    <w:bookmarkEnd w:id="20"/>
    <w:p w14:paraId="135BF73E">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cs="Times New Roman"/>
          <w:sz w:val="32"/>
          <w:szCs w:val="32"/>
        </w:rPr>
      </w:pPr>
      <w:r>
        <w:rPr>
          <w:rFonts w:hint="eastAsia" w:ascii="方正黑体_GBK" w:eastAsia="方正黑体_GBK"/>
          <w:sz w:val="32"/>
          <w:szCs w:val="32"/>
        </w:rPr>
        <w:t>第三十</w:t>
      </w:r>
      <w:r>
        <w:rPr>
          <w:rFonts w:hint="eastAsia" w:ascii="方正黑体_GBK" w:eastAsia="方正黑体_GBK"/>
          <w:sz w:val="32"/>
          <w:szCs w:val="32"/>
          <w:lang w:val="en-US" w:eastAsia="zh-CN"/>
        </w:rPr>
        <w:t>二</w:t>
      </w:r>
      <w:r>
        <w:rPr>
          <w:rFonts w:hint="eastAsia" w:ascii="方正黑体_GBK" w:eastAsia="方正黑体_GBK"/>
          <w:sz w:val="32"/>
          <w:szCs w:val="32"/>
        </w:rPr>
        <w:t>条 【不动产手续办理】</w:t>
      </w:r>
      <w:r>
        <w:rPr>
          <w:rFonts w:hint="eastAsia" w:ascii="方正仿宋_GBK" w:eastAsia="方正仿宋_GBK" w:cs="Times New Roman"/>
          <w:sz w:val="32"/>
          <w:szCs w:val="32"/>
        </w:rPr>
        <w:t>城市更新范围内无审批手续、审批手续不全或者现状与原审批不符的建筑，区</w:t>
      </w:r>
      <w:r>
        <w:rPr>
          <w:rFonts w:hint="eastAsia" w:ascii="方正仿宋_GBK" w:eastAsia="方正仿宋_GBK" w:cs="Times New Roman"/>
          <w:sz w:val="32"/>
          <w:szCs w:val="32"/>
          <w:lang w:eastAsia="zh-CN"/>
        </w:rPr>
        <w:t>（</w:t>
      </w:r>
      <w:r>
        <w:rPr>
          <w:rFonts w:hint="eastAsia" w:ascii="方正仿宋_GBK" w:eastAsia="方正仿宋_GBK" w:cs="Times New Roman"/>
          <w:sz w:val="32"/>
          <w:szCs w:val="32"/>
        </w:rPr>
        <w:t>县</w:t>
      </w:r>
      <w:r>
        <w:rPr>
          <w:rFonts w:hint="eastAsia" w:ascii="方正仿宋_GBK" w:eastAsia="方正仿宋_GBK" w:cs="Times New Roman"/>
          <w:sz w:val="32"/>
          <w:szCs w:val="32"/>
          <w:lang w:eastAsia="zh-CN"/>
        </w:rPr>
        <w:t>）</w:t>
      </w:r>
      <w:r>
        <w:rPr>
          <w:rFonts w:hint="eastAsia" w:ascii="方正仿宋_GBK" w:eastAsia="方正仿宋_GBK" w:cs="Times New Roman"/>
          <w:sz w:val="32"/>
          <w:szCs w:val="32"/>
        </w:rPr>
        <w:t>人民政府应当组织有关部门进行调查、认定，并依法予以处理。</w:t>
      </w:r>
    </w:p>
    <w:p w14:paraId="7004D14D">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cs="Times New Roman"/>
          <w:sz w:val="32"/>
          <w:szCs w:val="32"/>
        </w:rPr>
      </w:pPr>
      <w:r>
        <w:rPr>
          <w:rFonts w:hint="eastAsia" w:ascii="方正仿宋_GBK" w:eastAsia="方正仿宋_GBK" w:cs="Times New Roman"/>
          <w:sz w:val="32"/>
          <w:szCs w:val="32"/>
        </w:rPr>
        <w:t>城市更新项目应当权属清楚、界址清晰、面积准确，实施更新后依法办理不动产登记。</w:t>
      </w:r>
    </w:p>
    <w:p w14:paraId="12C6A265">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cs="Times New Roman"/>
          <w:sz w:val="32"/>
          <w:szCs w:val="32"/>
        </w:rPr>
      </w:pPr>
      <w:r>
        <w:rPr>
          <w:rFonts w:hint="eastAsia" w:ascii="方正黑体_GBK" w:eastAsia="方正黑体_GBK"/>
          <w:sz w:val="32"/>
          <w:szCs w:val="32"/>
        </w:rPr>
        <w:t>第三十</w:t>
      </w:r>
      <w:r>
        <w:rPr>
          <w:rFonts w:hint="eastAsia" w:ascii="方正黑体_GBK" w:eastAsia="方正黑体_GBK"/>
          <w:sz w:val="32"/>
          <w:szCs w:val="32"/>
          <w:lang w:val="en-US" w:eastAsia="zh-CN"/>
        </w:rPr>
        <w:t>三</w:t>
      </w:r>
      <w:r>
        <w:rPr>
          <w:rFonts w:hint="eastAsia" w:ascii="方正黑体_GBK" w:eastAsia="方正黑体_GBK"/>
          <w:sz w:val="32"/>
          <w:szCs w:val="32"/>
        </w:rPr>
        <w:t>条 【消防设计】</w:t>
      </w:r>
      <w:r>
        <w:rPr>
          <w:rFonts w:hint="eastAsia" w:ascii="方正仿宋_GBK" w:eastAsia="方正仿宋_GBK" w:cs="Times New Roman"/>
          <w:sz w:val="32"/>
          <w:szCs w:val="32"/>
        </w:rPr>
        <w:t>城市更新涉及既有建筑和老旧街区改造利用的，应当符合法律法规和有关消防技术标准要求，确保消防安全。</w:t>
      </w:r>
    </w:p>
    <w:p w14:paraId="67E6EC8D">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cs="Times New Roman"/>
          <w:sz w:val="32"/>
          <w:szCs w:val="32"/>
        </w:rPr>
      </w:pPr>
      <w:r>
        <w:rPr>
          <w:rFonts w:hint="eastAsia" w:ascii="方正仿宋_GBK" w:eastAsia="方正仿宋_GBK" w:cs="Times New Roman"/>
          <w:sz w:val="32"/>
          <w:szCs w:val="32"/>
        </w:rPr>
        <w:t>既有建筑改造利用不改变使用功能、不增加建筑面积的，应当执行现行消防技术标准；确实无法执行的，可以通过采用新技术、新工艺、新材料等消防技术措施确保消防安全，但不得低于原建造时的消防安全水平。老旧街区改造利用可以采取建设智慧消防系统、优化消防给水设施、拓宽疏散通道、规划临时避难区域、设置小型消防站等措施，提升消防安全水平。</w:t>
      </w:r>
    </w:p>
    <w:p w14:paraId="601D677E">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仿宋_GBK" w:eastAsia="方正仿宋_GBK" w:cs="Times New Roman"/>
          <w:sz w:val="32"/>
          <w:szCs w:val="32"/>
        </w:rPr>
      </w:pPr>
      <w:r>
        <w:rPr>
          <w:rFonts w:hint="eastAsia" w:ascii="方正仿宋_GBK" w:eastAsia="方正仿宋_GBK" w:cs="Times New Roman"/>
          <w:sz w:val="32"/>
          <w:szCs w:val="32"/>
        </w:rPr>
        <w:t>特殊建设工程符合规定情形的，应当依法依规开展特殊消防设计专家评审。</w:t>
      </w:r>
    </w:p>
    <w:p w14:paraId="5935ED67">
      <w:pPr>
        <w:keepNext w:val="0"/>
        <w:keepLines w:val="0"/>
        <w:pageBreakBefore w:val="0"/>
        <w:kinsoku/>
        <w:wordWrap/>
        <w:overflowPunct w:val="0"/>
        <w:topLinePunct w:val="0"/>
        <w:autoSpaceDE/>
        <w:autoSpaceDN/>
        <w:bidi w:val="0"/>
        <w:adjustRightInd/>
        <w:snapToGrid/>
        <w:spacing w:beforeAutospacing="0" w:after="0" w:afterAutospacing="0" w:line="560" w:lineRule="exact"/>
        <w:ind w:firstLine="640" w:firstLineChars="200"/>
        <w:textAlignment w:val="auto"/>
        <w:rPr>
          <w:rFonts w:hint="eastAsia" w:ascii="方正仿宋_GBK" w:eastAsia="方正仿宋_GBK"/>
          <w:sz w:val="32"/>
          <w:szCs w:val="32"/>
        </w:rPr>
      </w:pPr>
      <w:bookmarkStart w:id="21" w:name="_Hlk216888841"/>
      <w:r>
        <w:rPr>
          <w:rFonts w:hint="eastAsia" w:ascii="方正黑体_GBK" w:eastAsia="方正黑体_GBK"/>
          <w:sz w:val="32"/>
          <w:szCs w:val="32"/>
        </w:rPr>
        <w:t>第</w:t>
      </w:r>
      <w:r>
        <w:rPr>
          <w:rFonts w:hint="eastAsia" w:ascii="方正黑体_GBK" w:eastAsia="方正黑体_GBK"/>
          <w:sz w:val="32"/>
          <w:szCs w:val="32"/>
          <w:lang w:val="en-US" w:eastAsia="zh-CN"/>
        </w:rPr>
        <w:t>三十四</w:t>
      </w:r>
      <w:r>
        <w:rPr>
          <w:rFonts w:hint="eastAsia" w:ascii="方正黑体_GBK" w:eastAsia="方正黑体_GBK"/>
          <w:sz w:val="32"/>
          <w:szCs w:val="32"/>
        </w:rPr>
        <w:t>条 【地上地下分层开发】</w:t>
      </w:r>
      <w:r>
        <w:rPr>
          <w:rFonts w:hint="eastAsia" w:ascii="方正仿宋_GBK" w:eastAsia="方正仿宋_GBK"/>
          <w:sz w:val="32"/>
          <w:szCs w:val="32"/>
        </w:rPr>
        <w:t>鼓励在符合规范要求的前提下，采取分层开发的方式，合理利用地上、地下空间补充建设城市公共服务设施，并依法办理不动产登记。</w:t>
      </w:r>
    </w:p>
    <w:p w14:paraId="725C6101">
      <w:pPr>
        <w:keepNext w:val="0"/>
        <w:keepLines w:val="0"/>
        <w:pageBreakBefore w:val="0"/>
        <w:kinsoku/>
        <w:wordWrap/>
        <w:overflowPunct w:val="0"/>
        <w:topLinePunct w:val="0"/>
        <w:autoSpaceDE/>
        <w:autoSpaceDN/>
        <w:bidi w:val="0"/>
        <w:adjustRightInd/>
        <w:snapToGrid/>
        <w:spacing w:beforeAutospacing="0" w:after="0" w:afterAutospacing="0"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lang w:val="en-US" w:eastAsia="zh-CN"/>
        </w:rPr>
        <w:t>鼓励</w:t>
      </w:r>
      <w:r>
        <w:rPr>
          <w:rFonts w:hint="eastAsia" w:ascii="方正仿宋_GBK" w:eastAsia="方正仿宋_GBK"/>
          <w:sz w:val="32"/>
          <w:szCs w:val="32"/>
        </w:rPr>
        <w:t>将符合要求的地下空间用于便民服务设施、公共服务设施，补充完善街区服务功能。</w:t>
      </w:r>
    </w:p>
    <w:bookmarkEnd w:id="21"/>
    <w:p w14:paraId="1EB35A8D">
      <w:pPr>
        <w:pStyle w:val="18"/>
        <w:keepNext w:val="0"/>
        <w:keepLines w:val="0"/>
        <w:pageBreakBefore w:val="0"/>
        <w:widowControl/>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黑体" w:cs="黑体"/>
          <w:kern w:val="2"/>
          <w:sz w:val="32"/>
          <w:szCs w:val="32"/>
          <w:u w:val="none"/>
        </w:rPr>
      </w:pPr>
      <w:bookmarkStart w:id="22" w:name="OLE_LINK86"/>
      <w:bookmarkStart w:id="23" w:name="OLE_LINK21"/>
      <w:bookmarkStart w:id="24" w:name="OLE_LINK41"/>
      <w:r>
        <w:rPr>
          <w:rFonts w:hint="eastAsia" w:ascii="Times New Roman" w:hAnsi="Times New Roman" w:eastAsia="黑体" w:cs="黑体"/>
          <w:kern w:val="2"/>
          <w:sz w:val="32"/>
          <w:szCs w:val="32"/>
          <w:u w:val="none"/>
        </w:rPr>
        <w:t>第</w:t>
      </w:r>
      <w:r>
        <w:rPr>
          <w:rFonts w:hint="eastAsia" w:ascii="Times New Roman" w:hAnsi="Times New Roman" w:eastAsia="黑体" w:cs="黑体"/>
          <w:kern w:val="2"/>
          <w:sz w:val="32"/>
          <w:szCs w:val="32"/>
          <w:u w:val="none"/>
          <w:lang w:val="en-US" w:eastAsia="zh-CN"/>
        </w:rPr>
        <w:t>三十五</w:t>
      </w:r>
      <w:r>
        <w:rPr>
          <w:rFonts w:hint="eastAsia" w:ascii="Times New Roman" w:hAnsi="Times New Roman" w:eastAsia="黑体" w:cs="黑体"/>
          <w:kern w:val="2"/>
          <w:sz w:val="32"/>
          <w:szCs w:val="32"/>
          <w:u w:val="none"/>
        </w:rPr>
        <w:t>条 【自主更新】</w:t>
      </w:r>
      <w:r>
        <w:rPr>
          <w:rFonts w:hint="eastAsia" w:ascii="方正仿宋_GBK" w:hAnsi="Calibri" w:eastAsia="方正仿宋_GBK" w:cs="Times New Roman"/>
          <w:kern w:val="2"/>
          <w:sz w:val="32"/>
          <w:szCs w:val="32"/>
          <w:lang w:val="en-US" w:eastAsia="zh-CN" w:bidi="ar-SA"/>
        </w:rPr>
        <w:t>在实施城市更新项目中，对危房实施翻改建、老旧小区房屋所有权人自主更新拆除新建的，为了满足居民生活刚性需求，可以结合房屋实际状况优化设计方案，对于新增加面积部分，应当按要求依法缴纳土地费用。对符合相关条件的项目，可适当提高容积率、增配公共服务设施。</w:t>
      </w:r>
    </w:p>
    <w:bookmarkEnd w:id="22"/>
    <w:p w14:paraId="07835F65">
      <w:pPr>
        <w:keepNext w:val="0"/>
        <w:keepLines w:val="0"/>
        <w:pageBreakBefore w:val="0"/>
        <w:kinsoku/>
        <w:wordWrap/>
        <w:overflowPunct w:val="0"/>
        <w:topLinePunct w:val="0"/>
        <w:autoSpaceDE/>
        <w:autoSpaceDN/>
        <w:bidi w:val="0"/>
        <w:adjustRightInd/>
        <w:snapToGrid/>
        <w:spacing w:beforeAutospacing="0" w:after="0" w:afterAutospacing="0" w:line="560" w:lineRule="exact"/>
        <w:ind w:firstLine="640" w:firstLineChars="200"/>
        <w:textAlignment w:val="auto"/>
        <w:rPr>
          <w:rFonts w:hint="eastAsia" w:ascii="方正黑体_GBK" w:eastAsia="方正黑体_GBK"/>
          <w:sz w:val="32"/>
          <w:szCs w:val="32"/>
        </w:rPr>
      </w:pPr>
      <w:r>
        <w:rPr>
          <w:rFonts w:hint="eastAsia" w:ascii="方正黑体_GBK" w:eastAsia="方正黑体_GBK"/>
          <w:sz w:val="32"/>
          <w:szCs w:val="32"/>
        </w:rPr>
        <w:t>第</w:t>
      </w:r>
      <w:r>
        <w:rPr>
          <w:rFonts w:hint="eastAsia" w:ascii="方正黑体_GBK" w:eastAsia="方正黑体_GBK"/>
          <w:sz w:val="32"/>
          <w:szCs w:val="32"/>
          <w:lang w:val="en-US" w:eastAsia="zh-CN"/>
        </w:rPr>
        <w:t>三十六</w:t>
      </w:r>
      <w:r>
        <w:rPr>
          <w:rFonts w:hint="eastAsia" w:ascii="方正黑体_GBK" w:eastAsia="方正黑体_GBK"/>
          <w:sz w:val="32"/>
          <w:szCs w:val="32"/>
        </w:rPr>
        <w:t>条 【房屋全生命周期安全管理】</w:t>
      </w:r>
      <w:r>
        <w:rPr>
          <w:rFonts w:hint="eastAsia" w:ascii="方正仿宋_GBK" w:hAnsi="Calibri" w:eastAsia="方正仿宋_GBK" w:cs="Times New Roman"/>
          <w:kern w:val="2"/>
          <w:sz w:val="32"/>
          <w:szCs w:val="32"/>
          <w:lang w:val="en-US" w:eastAsia="zh-CN" w:bidi="ar-SA"/>
        </w:rPr>
        <w:t>本市建立房屋全生命周期安全管理制度。市住房城乡建设部门应当会同有关部门推动完善房屋安全体检、房屋安全管理资金、房屋质量安全保险等相关制度措施，强化房屋全生命周期安全管理。</w:t>
      </w:r>
    </w:p>
    <w:bookmarkEnd w:id="23"/>
    <w:bookmarkEnd w:id="24"/>
    <w:p w14:paraId="6F76C91F">
      <w:pPr>
        <w:keepNext w:val="0"/>
        <w:keepLines w:val="0"/>
        <w:pageBreakBefore w:val="0"/>
        <w:kinsoku/>
        <w:wordWrap/>
        <w:overflowPunct w:val="0"/>
        <w:topLinePunct w:val="0"/>
        <w:autoSpaceDE/>
        <w:autoSpaceDN/>
        <w:bidi w:val="0"/>
        <w:adjustRightInd/>
        <w:snapToGrid/>
        <w:spacing w:after="0" w:line="560" w:lineRule="exact"/>
        <w:jc w:val="center"/>
        <w:textAlignment w:val="auto"/>
        <w:rPr>
          <w:rFonts w:hint="eastAsia" w:ascii="方正黑体_GBK" w:eastAsia="方正黑体_GBK"/>
          <w:sz w:val="32"/>
          <w:szCs w:val="32"/>
          <w:lang w:eastAsia="zh-CN"/>
        </w:rPr>
      </w:pPr>
      <w:r>
        <w:rPr>
          <w:rFonts w:hint="eastAsia" w:ascii="方正黑体_GBK" w:eastAsia="方正黑体_GBK"/>
          <w:sz w:val="32"/>
          <w:szCs w:val="32"/>
        </w:rPr>
        <w:t xml:space="preserve">第五章 </w:t>
      </w:r>
      <w:r>
        <w:rPr>
          <w:rFonts w:hint="eastAsia" w:ascii="方正黑体_GBK" w:eastAsia="方正黑体_GBK"/>
          <w:sz w:val="32"/>
          <w:szCs w:val="32"/>
          <w:lang w:val="en-US" w:eastAsia="zh-CN"/>
        </w:rPr>
        <w:t>法律责任</w:t>
      </w:r>
    </w:p>
    <w:p w14:paraId="37871E69">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hint="eastAsia" w:ascii="方正黑体_GBK" w:eastAsia="方正黑体_GBK"/>
          <w:sz w:val="32"/>
          <w:szCs w:val="32"/>
        </w:rPr>
      </w:pPr>
      <w:r>
        <w:rPr>
          <w:rFonts w:hint="eastAsia" w:ascii="方正黑体_GBK" w:eastAsia="方正黑体_GBK"/>
          <w:sz w:val="32"/>
          <w:szCs w:val="32"/>
        </w:rPr>
        <w:t>第</w:t>
      </w:r>
      <w:r>
        <w:rPr>
          <w:rFonts w:hint="eastAsia" w:ascii="方正黑体_GBK" w:eastAsia="方正黑体_GBK"/>
          <w:sz w:val="32"/>
          <w:szCs w:val="32"/>
          <w:lang w:val="en-US" w:eastAsia="zh-CN"/>
        </w:rPr>
        <w:t>三十七</w:t>
      </w:r>
      <w:r>
        <w:rPr>
          <w:rFonts w:hint="eastAsia" w:ascii="方正黑体_GBK" w:eastAsia="方正黑体_GBK"/>
          <w:sz w:val="32"/>
          <w:szCs w:val="32"/>
        </w:rPr>
        <w:t>条 【法律责任一】</w:t>
      </w:r>
      <w:r>
        <w:rPr>
          <w:rFonts w:hint="eastAsia" w:ascii="方正仿宋_GBK" w:hAnsi="Calibri" w:eastAsia="方正仿宋_GBK" w:cs="Times New Roman"/>
          <w:kern w:val="2"/>
          <w:sz w:val="32"/>
          <w:szCs w:val="32"/>
          <w:lang w:val="en-US" w:eastAsia="zh-CN" w:bidi="ar-SA"/>
        </w:rPr>
        <w:t xml:space="preserve"> 国家机关及其工作人员在</w:t>
      </w:r>
      <w:r>
        <w:rPr>
          <w:rFonts w:hint="eastAsia" w:ascii="方正仿宋_GBK" w:eastAsia="方正仿宋_GBK" w:cs="Times New Roman"/>
          <w:kern w:val="2"/>
          <w:sz w:val="32"/>
          <w:szCs w:val="32"/>
          <w:lang w:val="en-US" w:eastAsia="zh-CN" w:bidi="ar-SA"/>
        </w:rPr>
        <w:t>城市更新</w:t>
      </w:r>
      <w:r>
        <w:rPr>
          <w:rFonts w:hint="eastAsia" w:ascii="方正仿宋_GBK" w:hAnsi="Calibri" w:eastAsia="方正仿宋_GBK" w:cs="Times New Roman"/>
          <w:kern w:val="2"/>
          <w:sz w:val="32"/>
          <w:szCs w:val="32"/>
          <w:lang w:val="en-US" w:eastAsia="zh-CN" w:bidi="ar-SA"/>
        </w:rPr>
        <w:t>工作中不履行或者不正确履行职责的,由有关机关或者所在单位责令改正;情节严重的,对直接负责的主管人员和其他直接责任人员依法给予处分;构成犯罪的,依法追究刑事责任。</w:t>
      </w:r>
    </w:p>
    <w:p w14:paraId="1E3B6E7D">
      <w:pPr>
        <w:pStyle w:val="18"/>
        <w:keepNext w:val="0"/>
        <w:keepLines w:val="0"/>
        <w:pageBreakBefore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Calibri" w:eastAsia="方正仿宋_GBK" w:cs="Times New Roman"/>
          <w:kern w:val="2"/>
          <w:sz w:val="32"/>
          <w:szCs w:val="32"/>
          <w:lang w:val="en-US" w:eastAsia="zh-CN" w:bidi="ar-SA"/>
        </w:rPr>
      </w:pPr>
      <w:r>
        <w:rPr>
          <w:rFonts w:hint="eastAsia" w:ascii="方正黑体_GBK" w:hAnsi="Times New Roman" w:eastAsia="方正黑体_GBK" w:cs="仿宋_GB2312"/>
          <w:sz w:val="32"/>
          <w:szCs w:val="32"/>
        </w:rPr>
        <w:t>第</w:t>
      </w:r>
      <w:r>
        <w:rPr>
          <w:rFonts w:hint="eastAsia" w:ascii="方正黑体_GBK" w:hAnsi="Times New Roman" w:eastAsia="方正黑体_GBK" w:cs="仿宋_GB2312"/>
          <w:sz w:val="32"/>
          <w:szCs w:val="32"/>
          <w:lang w:val="en-US" w:eastAsia="zh-CN"/>
        </w:rPr>
        <w:t>三十八</w:t>
      </w:r>
      <w:r>
        <w:rPr>
          <w:rFonts w:hint="eastAsia" w:ascii="方正黑体_GBK" w:hAnsi="Times New Roman" w:eastAsia="方正黑体_GBK" w:cs="仿宋_GB2312"/>
          <w:sz w:val="32"/>
          <w:szCs w:val="32"/>
        </w:rPr>
        <w:t>条 【法律责任二】</w:t>
      </w:r>
      <w:r>
        <w:rPr>
          <w:rFonts w:hint="eastAsia" w:ascii="方正仿宋_GBK" w:hAnsi="Calibri" w:eastAsia="方正仿宋_GBK" w:cs="Times New Roman"/>
          <w:kern w:val="2"/>
          <w:sz w:val="32"/>
          <w:szCs w:val="32"/>
          <w:lang w:val="en-US" w:eastAsia="zh-CN" w:bidi="ar-SA"/>
        </w:rPr>
        <w:t>违反本条例规定的行为，法律、法规已规定法律责任的，从其规定。</w:t>
      </w:r>
    </w:p>
    <w:p w14:paraId="02D3CF85">
      <w:pPr>
        <w:pStyle w:val="18"/>
        <w:keepNext w:val="0"/>
        <w:keepLines w:val="0"/>
        <w:pageBreakBefore w:val="0"/>
        <w:kinsoku/>
        <w:wordWrap/>
        <w:overflowPunct w:val="0"/>
        <w:topLinePunct w:val="0"/>
        <w:autoSpaceDE/>
        <w:autoSpaceDN/>
        <w:bidi w:val="0"/>
        <w:adjustRightInd/>
        <w:snapToGrid/>
        <w:spacing w:beforeAutospacing="0" w:afterAutospacing="0" w:line="560" w:lineRule="exact"/>
        <w:jc w:val="center"/>
        <w:textAlignment w:val="auto"/>
      </w:pPr>
      <w:r>
        <w:rPr>
          <w:rFonts w:hint="eastAsia" w:ascii="方正黑体_GBK" w:hAnsi="Times New Roman" w:eastAsia="方正黑体_GBK" w:cs="仿宋_GB2312"/>
          <w:sz w:val="32"/>
          <w:szCs w:val="32"/>
        </w:rPr>
        <w:t>第六章　附　则</w:t>
      </w:r>
    </w:p>
    <w:p w14:paraId="4AF809B6">
      <w:pPr>
        <w:keepNext w:val="0"/>
        <w:keepLines w:val="0"/>
        <w:pageBreakBefore w:val="0"/>
        <w:kinsoku/>
        <w:wordWrap/>
        <w:overflowPunct w:val="0"/>
        <w:topLinePunct w:val="0"/>
        <w:autoSpaceDE/>
        <w:autoSpaceDN/>
        <w:bidi w:val="0"/>
        <w:adjustRightInd/>
        <w:snapToGrid/>
        <w:spacing w:after="0" w:line="560" w:lineRule="exact"/>
        <w:ind w:firstLine="640" w:firstLineChars="200"/>
        <w:textAlignment w:val="auto"/>
        <w:rPr>
          <w:rFonts w:eastAsia="方正仿宋_GBK"/>
          <w:sz w:val="32"/>
        </w:rPr>
      </w:pPr>
      <w:r>
        <w:rPr>
          <w:rFonts w:ascii="Times New Roman" w:hAnsi="Times New Roman" w:eastAsia="方正黑体_GBK"/>
          <w:sz w:val="32"/>
          <w:szCs w:val="32"/>
        </w:rPr>
        <w:t>第</w:t>
      </w:r>
      <w:r>
        <w:rPr>
          <w:rFonts w:hint="eastAsia" w:ascii="Times New Roman" w:hAnsi="Times New Roman" w:eastAsia="方正黑体_GBK"/>
          <w:sz w:val="32"/>
          <w:szCs w:val="32"/>
          <w:lang w:val="en-US" w:eastAsia="zh-CN"/>
        </w:rPr>
        <w:t>三十九</w:t>
      </w:r>
      <w:r>
        <w:rPr>
          <w:rFonts w:ascii="Times New Roman" w:hAnsi="Times New Roman" w:eastAsia="方正黑体_GBK"/>
          <w:sz w:val="32"/>
          <w:szCs w:val="32"/>
        </w:rPr>
        <w:t>条  【施行日期】</w:t>
      </w:r>
      <w:r>
        <w:rPr>
          <w:rFonts w:ascii="Times New Roman" w:hAnsi="Times New Roman" w:eastAsia="方正仿宋_GBK"/>
          <w:sz w:val="32"/>
          <w:szCs w:val="32"/>
        </w:rPr>
        <w:t>本条例自2026年 月 日起施行</w:t>
      </w:r>
      <w:r>
        <w:rPr>
          <w:rFonts w:hint="eastAsia" w:ascii="Times New Roman" w:hAnsi="Times New Roman" w:eastAsia="方正仿宋_GBK"/>
          <w:sz w:val="32"/>
          <w:szCs w:val="32"/>
          <w:lang w:eastAsia="zh-CN"/>
        </w:rPr>
        <w:t>。</w:t>
      </w:r>
    </w:p>
    <w:sectPr>
      <w:footerReference r:id="rId5" w:type="default"/>
      <w:pgSz w:w="11906" w:h="16838"/>
      <w:pgMar w:top="2098" w:right="1531" w:bottom="1985"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crosoftYaHei-Bold">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A0629">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-228600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0AE43">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8pt;height:144pt;width:144pt;mso-position-horizontal:outside;mso-position-horizontal-relative:margin;mso-wrap-style:none;z-index:251659264;mso-width-relative:page;mso-height-relative:page;" filled="f" stroked="f" coordsize="21600,21600" o:gfxdata="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gizZlnY6p3l&#10;EToq5u3qGCBgp2sUpVdi0ArT1nVmeBlxnP/cd1GPf4P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Y41njUAAAACAEAAA8AAAAAAAAAAQAgAAAAIgAAAGRycy9kb3ducmV2LnhtbFBLAQIUABQAAAAI&#10;AIdO4kCM1w58KgIAAFUEAAAOAAAAAAAAAAEAIAAAACMBAABkcnMvZTJvRG9jLnhtbFBLBQYAAAAA&#10;BgAGAFkBAAC/BQAAAAA=&#10;">
              <v:fill on="f" focussize="0,0"/>
              <v:stroke on="f" weight="0.5pt"/>
              <v:imagedata o:title=""/>
              <o:lock v:ext="edit" aspectratio="f"/>
              <v:textbox inset="0mm,0mm,0mm,0mm" style="mso-fit-shape-to-text:t;">
                <w:txbxContent>
                  <w:p w14:paraId="1FA0AE43">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366CF"/>
    <w:multiLevelType w:val="singleLevel"/>
    <w:tmpl w:val="8EB366CF"/>
    <w:lvl w:ilvl="0" w:tentative="0">
      <w:start w:val="1"/>
      <w:numFmt w:val="chineseCounting"/>
      <w:suff w:val="space"/>
      <w:lvlText w:val="第%1条"/>
      <w:lvlJc w:val="left"/>
      <w:rPr>
        <w:rFonts w:hint="eastAsia" w:ascii="黑体" w:hAnsi="黑体" w:eastAsia="黑体" w:cs="黑体"/>
      </w:rPr>
    </w:lvl>
  </w:abstractNum>
  <w:abstractNum w:abstractNumId="1">
    <w:nsid w:val="36092628"/>
    <w:multiLevelType w:val="multilevel"/>
    <w:tmpl w:val="36092628"/>
    <w:lvl w:ilvl="0" w:tentative="0">
      <w:start w:val="1"/>
      <w:numFmt w:val="japaneseCounting"/>
      <w:lvlText w:val="第%1章"/>
      <w:lvlJc w:val="left"/>
      <w:pPr>
        <w:ind w:left="1118" w:hanging="1118"/>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477"/>
    <w:rsid w:val="00014EF9"/>
    <w:rsid w:val="000278A8"/>
    <w:rsid w:val="00033615"/>
    <w:rsid w:val="00037397"/>
    <w:rsid w:val="000649CD"/>
    <w:rsid w:val="000759CD"/>
    <w:rsid w:val="000948B0"/>
    <w:rsid w:val="00095916"/>
    <w:rsid w:val="000D0BB9"/>
    <w:rsid w:val="000F7791"/>
    <w:rsid w:val="00100CAA"/>
    <w:rsid w:val="00102DD0"/>
    <w:rsid w:val="00141068"/>
    <w:rsid w:val="001739B0"/>
    <w:rsid w:val="001745DA"/>
    <w:rsid w:val="001955FD"/>
    <w:rsid w:val="001A792F"/>
    <w:rsid w:val="001D3E74"/>
    <w:rsid w:val="001E3087"/>
    <w:rsid w:val="00201A20"/>
    <w:rsid w:val="00203E4C"/>
    <w:rsid w:val="002068D3"/>
    <w:rsid w:val="00213762"/>
    <w:rsid w:val="00286E1A"/>
    <w:rsid w:val="002A4E2C"/>
    <w:rsid w:val="002D3A58"/>
    <w:rsid w:val="002E674D"/>
    <w:rsid w:val="003049A0"/>
    <w:rsid w:val="00324B02"/>
    <w:rsid w:val="00334CEB"/>
    <w:rsid w:val="0037582B"/>
    <w:rsid w:val="003762A8"/>
    <w:rsid w:val="003954AF"/>
    <w:rsid w:val="003A27DF"/>
    <w:rsid w:val="003E7A67"/>
    <w:rsid w:val="00421257"/>
    <w:rsid w:val="00424307"/>
    <w:rsid w:val="004449F3"/>
    <w:rsid w:val="004745F2"/>
    <w:rsid w:val="0048257C"/>
    <w:rsid w:val="00491052"/>
    <w:rsid w:val="00524C65"/>
    <w:rsid w:val="005306D0"/>
    <w:rsid w:val="00591BD2"/>
    <w:rsid w:val="005B2948"/>
    <w:rsid w:val="005B5ACD"/>
    <w:rsid w:val="006033AD"/>
    <w:rsid w:val="006A434D"/>
    <w:rsid w:val="006C2477"/>
    <w:rsid w:val="0070512D"/>
    <w:rsid w:val="007608CA"/>
    <w:rsid w:val="00760C43"/>
    <w:rsid w:val="00771FA1"/>
    <w:rsid w:val="007B25B0"/>
    <w:rsid w:val="007B7512"/>
    <w:rsid w:val="007C24DE"/>
    <w:rsid w:val="007E055B"/>
    <w:rsid w:val="007E7184"/>
    <w:rsid w:val="008040B1"/>
    <w:rsid w:val="00806CFC"/>
    <w:rsid w:val="00810A6E"/>
    <w:rsid w:val="008145D3"/>
    <w:rsid w:val="0082186B"/>
    <w:rsid w:val="008335FF"/>
    <w:rsid w:val="008534E0"/>
    <w:rsid w:val="00881891"/>
    <w:rsid w:val="008B512D"/>
    <w:rsid w:val="008C1B41"/>
    <w:rsid w:val="00912437"/>
    <w:rsid w:val="0092589C"/>
    <w:rsid w:val="00986D5F"/>
    <w:rsid w:val="009909A0"/>
    <w:rsid w:val="00991588"/>
    <w:rsid w:val="009B0FE7"/>
    <w:rsid w:val="009F158A"/>
    <w:rsid w:val="009F40F1"/>
    <w:rsid w:val="00A1616F"/>
    <w:rsid w:val="00A21801"/>
    <w:rsid w:val="00A41D7F"/>
    <w:rsid w:val="00A463C2"/>
    <w:rsid w:val="00AA78A7"/>
    <w:rsid w:val="00AC64A4"/>
    <w:rsid w:val="00AD1F39"/>
    <w:rsid w:val="00AD708F"/>
    <w:rsid w:val="00AD7E8D"/>
    <w:rsid w:val="00B066C8"/>
    <w:rsid w:val="00B15204"/>
    <w:rsid w:val="00B25F22"/>
    <w:rsid w:val="00B7296F"/>
    <w:rsid w:val="00B85069"/>
    <w:rsid w:val="00BC4810"/>
    <w:rsid w:val="00C05871"/>
    <w:rsid w:val="00C24B41"/>
    <w:rsid w:val="00C37200"/>
    <w:rsid w:val="00C9306B"/>
    <w:rsid w:val="00D04708"/>
    <w:rsid w:val="00D24C75"/>
    <w:rsid w:val="00D26026"/>
    <w:rsid w:val="00D42F86"/>
    <w:rsid w:val="00D93FB7"/>
    <w:rsid w:val="00DA0827"/>
    <w:rsid w:val="00E22FEA"/>
    <w:rsid w:val="00E502E6"/>
    <w:rsid w:val="00E6509A"/>
    <w:rsid w:val="00E675FE"/>
    <w:rsid w:val="00E80988"/>
    <w:rsid w:val="00EE3B46"/>
    <w:rsid w:val="00F0756E"/>
    <w:rsid w:val="00F104BE"/>
    <w:rsid w:val="00F212A3"/>
    <w:rsid w:val="00F4676D"/>
    <w:rsid w:val="00F47BFA"/>
    <w:rsid w:val="00F53962"/>
    <w:rsid w:val="00F82E7F"/>
    <w:rsid w:val="00FA4BC6"/>
    <w:rsid w:val="01CC715B"/>
    <w:rsid w:val="03097D53"/>
    <w:rsid w:val="030F648B"/>
    <w:rsid w:val="033577D7"/>
    <w:rsid w:val="03822CFE"/>
    <w:rsid w:val="03890896"/>
    <w:rsid w:val="03D06AC9"/>
    <w:rsid w:val="04F17DE4"/>
    <w:rsid w:val="05940AC6"/>
    <w:rsid w:val="059A3F8E"/>
    <w:rsid w:val="06856A1D"/>
    <w:rsid w:val="06E405C9"/>
    <w:rsid w:val="06FB0D56"/>
    <w:rsid w:val="076C5C4E"/>
    <w:rsid w:val="08736FF4"/>
    <w:rsid w:val="08F60E09"/>
    <w:rsid w:val="096171CC"/>
    <w:rsid w:val="0969226A"/>
    <w:rsid w:val="09FF72F4"/>
    <w:rsid w:val="09FF7E17"/>
    <w:rsid w:val="0A817C9A"/>
    <w:rsid w:val="0B4D36BB"/>
    <w:rsid w:val="0B944F9E"/>
    <w:rsid w:val="0C0A5AA7"/>
    <w:rsid w:val="0CC86D0F"/>
    <w:rsid w:val="0DBA6710"/>
    <w:rsid w:val="0E835C06"/>
    <w:rsid w:val="0F2033CB"/>
    <w:rsid w:val="0FAB4792"/>
    <w:rsid w:val="0FCE623B"/>
    <w:rsid w:val="10361AE5"/>
    <w:rsid w:val="10E176C3"/>
    <w:rsid w:val="10F24F06"/>
    <w:rsid w:val="1196579D"/>
    <w:rsid w:val="11DB06BC"/>
    <w:rsid w:val="121C0EEB"/>
    <w:rsid w:val="123F764C"/>
    <w:rsid w:val="12B2654B"/>
    <w:rsid w:val="12F0731D"/>
    <w:rsid w:val="14BD07D5"/>
    <w:rsid w:val="14CD0907"/>
    <w:rsid w:val="164E5516"/>
    <w:rsid w:val="166056E6"/>
    <w:rsid w:val="16E82A20"/>
    <w:rsid w:val="17BD570F"/>
    <w:rsid w:val="18452B6C"/>
    <w:rsid w:val="185D2611"/>
    <w:rsid w:val="186B6C62"/>
    <w:rsid w:val="192E7DCB"/>
    <w:rsid w:val="19392CD2"/>
    <w:rsid w:val="19BC4814"/>
    <w:rsid w:val="19D71DA9"/>
    <w:rsid w:val="1A716CBC"/>
    <w:rsid w:val="1A986BDD"/>
    <w:rsid w:val="1AA36BB4"/>
    <w:rsid w:val="1ADA75C2"/>
    <w:rsid w:val="1BD417C5"/>
    <w:rsid w:val="1CB034A1"/>
    <w:rsid w:val="1CCD5E5A"/>
    <w:rsid w:val="1D39150D"/>
    <w:rsid w:val="1DA769B6"/>
    <w:rsid w:val="1DF02929"/>
    <w:rsid w:val="1E34479D"/>
    <w:rsid w:val="1EDA0820"/>
    <w:rsid w:val="1FD05202"/>
    <w:rsid w:val="1FD664AC"/>
    <w:rsid w:val="218336A1"/>
    <w:rsid w:val="22837AA1"/>
    <w:rsid w:val="228E4DC3"/>
    <w:rsid w:val="23A853C7"/>
    <w:rsid w:val="25A33D2E"/>
    <w:rsid w:val="25A92647"/>
    <w:rsid w:val="26192BC5"/>
    <w:rsid w:val="2674624B"/>
    <w:rsid w:val="26CF1507"/>
    <w:rsid w:val="276A29B8"/>
    <w:rsid w:val="27B60972"/>
    <w:rsid w:val="28575EB1"/>
    <w:rsid w:val="298917BB"/>
    <w:rsid w:val="2A825E7A"/>
    <w:rsid w:val="2AB8479E"/>
    <w:rsid w:val="2B91322F"/>
    <w:rsid w:val="2BBE74E2"/>
    <w:rsid w:val="2BF9135A"/>
    <w:rsid w:val="2C1A3AF0"/>
    <w:rsid w:val="2D134149"/>
    <w:rsid w:val="2E4513B4"/>
    <w:rsid w:val="2EC722B6"/>
    <w:rsid w:val="30836316"/>
    <w:rsid w:val="325A3E25"/>
    <w:rsid w:val="3313157F"/>
    <w:rsid w:val="33382BA0"/>
    <w:rsid w:val="33E84405"/>
    <w:rsid w:val="33F65284"/>
    <w:rsid w:val="34065833"/>
    <w:rsid w:val="341C23BE"/>
    <w:rsid w:val="34FA4579"/>
    <w:rsid w:val="3579793F"/>
    <w:rsid w:val="35B22251"/>
    <w:rsid w:val="36325501"/>
    <w:rsid w:val="366D4B8F"/>
    <w:rsid w:val="36C26992"/>
    <w:rsid w:val="36F54AC4"/>
    <w:rsid w:val="3748291F"/>
    <w:rsid w:val="37EE32C1"/>
    <w:rsid w:val="37FC5ED4"/>
    <w:rsid w:val="383331BF"/>
    <w:rsid w:val="3A677274"/>
    <w:rsid w:val="3B234955"/>
    <w:rsid w:val="3B264132"/>
    <w:rsid w:val="3C4940A3"/>
    <w:rsid w:val="3CC6526A"/>
    <w:rsid w:val="3D066478"/>
    <w:rsid w:val="3D263EFE"/>
    <w:rsid w:val="3ECA1318"/>
    <w:rsid w:val="3F122516"/>
    <w:rsid w:val="400B7397"/>
    <w:rsid w:val="40161AFD"/>
    <w:rsid w:val="404818A1"/>
    <w:rsid w:val="40A03ACE"/>
    <w:rsid w:val="40D84122"/>
    <w:rsid w:val="41283B3A"/>
    <w:rsid w:val="41592E26"/>
    <w:rsid w:val="416E311B"/>
    <w:rsid w:val="4305067F"/>
    <w:rsid w:val="43F839F3"/>
    <w:rsid w:val="44A973E3"/>
    <w:rsid w:val="44B53002"/>
    <w:rsid w:val="45C71643"/>
    <w:rsid w:val="45CF605B"/>
    <w:rsid w:val="464669A0"/>
    <w:rsid w:val="46A4212A"/>
    <w:rsid w:val="46D732A0"/>
    <w:rsid w:val="47042B75"/>
    <w:rsid w:val="47440636"/>
    <w:rsid w:val="47485CB3"/>
    <w:rsid w:val="474C0E13"/>
    <w:rsid w:val="476B4E24"/>
    <w:rsid w:val="48223A23"/>
    <w:rsid w:val="48505C81"/>
    <w:rsid w:val="48DC68DF"/>
    <w:rsid w:val="4966538E"/>
    <w:rsid w:val="4989645F"/>
    <w:rsid w:val="4A2D4613"/>
    <w:rsid w:val="4A7A7858"/>
    <w:rsid w:val="4AC8528D"/>
    <w:rsid w:val="4B023934"/>
    <w:rsid w:val="4B813EB0"/>
    <w:rsid w:val="4C250720"/>
    <w:rsid w:val="4D467EC5"/>
    <w:rsid w:val="4E542B0B"/>
    <w:rsid w:val="4E641F2B"/>
    <w:rsid w:val="4F915118"/>
    <w:rsid w:val="4FAF4E93"/>
    <w:rsid w:val="4FC426AD"/>
    <w:rsid w:val="5043296B"/>
    <w:rsid w:val="50D3638B"/>
    <w:rsid w:val="51112598"/>
    <w:rsid w:val="51130DF6"/>
    <w:rsid w:val="51784976"/>
    <w:rsid w:val="52825F8B"/>
    <w:rsid w:val="53963229"/>
    <w:rsid w:val="53DE6642"/>
    <w:rsid w:val="53F023B6"/>
    <w:rsid w:val="54531A5C"/>
    <w:rsid w:val="54AE6FDD"/>
    <w:rsid w:val="54F448F7"/>
    <w:rsid w:val="54F539C4"/>
    <w:rsid w:val="55F778F2"/>
    <w:rsid w:val="56604CB9"/>
    <w:rsid w:val="56D57BC4"/>
    <w:rsid w:val="572F762F"/>
    <w:rsid w:val="576F5263"/>
    <w:rsid w:val="57C210E0"/>
    <w:rsid w:val="5835523D"/>
    <w:rsid w:val="58472D43"/>
    <w:rsid w:val="58953AAF"/>
    <w:rsid w:val="58D519A0"/>
    <w:rsid w:val="58FB53FA"/>
    <w:rsid w:val="597A4F3F"/>
    <w:rsid w:val="59FE1466"/>
    <w:rsid w:val="5A1E3792"/>
    <w:rsid w:val="5A5B515A"/>
    <w:rsid w:val="5AE65F83"/>
    <w:rsid w:val="5BC43158"/>
    <w:rsid w:val="5C266529"/>
    <w:rsid w:val="5C96072C"/>
    <w:rsid w:val="5D376039"/>
    <w:rsid w:val="5DB31446"/>
    <w:rsid w:val="5E36322E"/>
    <w:rsid w:val="5F6F0D69"/>
    <w:rsid w:val="5FCB7B31"/>
    <w:rsid w:val="61161505"/>
    <w:rsid w:val="613A2509"/>
    <w:rsid w:val="61BA031D"/>
    <w:rsid w:val="63CA5EC1"/>
    <w:rsid w:val="6403600A"/>
    <w:rsid w:val="653E4EF6"/>
    <w:rsid w:val="676141CE"/>
    <w:rsid w:val="67C46853"/>
    <w:rsid w:val="683B64CF"/>
    <w:rsid w:val="68711DCE"/>
    <w:rsid w:val="6A703B39"/>
    <w:rsid w:val="6B243EA1"/>
    <w:rsid w:val="6B7034D7"/>
    <w:rsid w:val="6BB34269"/>
    <w:rsid w:val="6BC20AB8"/>
    <w:rsid w:val="6BF93B63"/>
    <w:rsid w:val="6CC006DD"/>
    <w:rsid w:val="6D856562"/>
    <w:rsid w:val="6E3B6A4F"/>
    <w:rsid w:val="6F084596"/>
    <w:rsid w:val="6F6D7885"/>
    <w:rsid w:val="70563686"/>
    <w:rsid w:val="709E3DA1"/>
    <w:rsid w:val="71464971"/>
    <w:rsid w:val="7285137F"/>
    <w:rsid w:val="72C8549B"/>
    <w:rsid w:val="72CE10EC"/>
    <w:rsid w:val="735A2F1C"/>
    <w:rsid w:val="744011BA"/>
    <w:rsid w:val="74DB344E"/>
    <w:rsid w:val="75412B9C"/>
    <w:rsid w:val="766F3739"/>
    <w:rsid w:val="76B26248"/>
    <w:rsid w:val="76CC6C32"/>
    <w:rsid w:val="770B5EB1"/>
    <w:rsid w:val="78030831"/>
    <w:rsid w:val="78872FBC"/>
    <w:rsid w:val="78E0542E"/>
    <w:rsid w:val="7A0770A1"/>
    <w:rsid w:val="7B4D12BE"/>
    <w:rsid w:val="7C105077"/>
    <w:rsid w:val="7C304E11"/>
    <w:rsid w:val="7C900BC8"/>
    <w:rsid w:val="7DB94747"/>
    <w:rsid w:val="7DE60446"/>
    <w:rsid w:val="7EB53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480" w:after="80"/>
      <w:jc w:val="left"/>
      <w:outlineLvl w:val="0"/>
    </w:pPr>
    <w:rPr>
      <w:rFonts w:asciiTheme="majorHAnsi" w:hAnsiTheme="majorHAnsi" w:eastAsiaTheme="majorEastAsia" w:cstheme="majorBidi"/>
      <w:color w:val="376092" w:themeColor="accent1" w:themeShade="BF"/>
      <w:sz w:val="48"/>
      <w:szCs w:val="48"/>
      <w14:ligatures w14:val="standardContextual"/>
    </w:rPr>
  </w:style>
  <w:style w:type="paragraph" w:styleId="4">
    <w:name w:val="heading 2"/>
    <w:basedOn w:val="1"/>
    <w:next w:val="1"/>
    <w:link w:val="30"/>
    <w:semiHidden/>
    <w:unhideWhenUsed/>
    <w:qFormat/>
    <w:uiPriority w:val="9"/>
    <w:pPr>
      <w:keepNext/>
      <w:keepLines/>
      <w:spacing w:before="160" w:after="80"/>
      <w:jc w:val="left"/>
      <w:outlineLvl w:val="1"/>
    </w:pPr>
    <w:rPr>
      <w:rFonts w:asciiTheme="majorHAnsi" w:hAnsiTheme="majorHAnsi" w:eastAsiaTheme="majorEastAsia" w:cstheme="majorBidi"/>
      <w:color w:val="376092" w:themeColor="accent1" w:themeShade="BF"/>
      <w:sz w:val="40"/>
      <w:szCs w:val="40"/>
      <w14:ligatures w14:val="standardContextual"/>
    </w:rPr>
  </w:style>
  <w:style w:type="paragraph" w:styleId="5">
    <w:name w:val="heading 3"/>
    <w:basedOn w:val="1"/>
    <w:next w:val="1"/>
    <w:link w:val="31"/>
    <w:semiHidden/>
    <w:unhideWhenUsed/>
    <w:qFormat/>
    <w:uiPriority w:val="9"/>
    <w:pPr>
      <w:keepNext/>
      <w:keepLines/>
      <w:spacing w:before="160" w:after="80"/>
      <w:jc w:val="left"/>
      <w:outlineLvl w:val="2"/>
    </w:pPr>
    <w:rPr>
      <w:rFonts w:asciiTheme="majorHAnsi" w:hAnsiTheme="majorHAnsi" w:eastAsiaTheme="majorEastAsia" w:cstheme="majorBidi"/>
      <w:color w:val="376092" w:themeColor="accent1" w:themeShade="BF"/>
      <w:sz w:val="32"/>
      <w:szCs w:val="32"/>
      <w14:ligatures w14:val="standardContextual"/>
    </w:rPr>
  </w:style>
  <w:style w:type="paragraph" w:styleId="6">
    <w:name w:val="heading 4"/>
    <w:basedOn w:val="1"/>
    <w:next w:val="1"/>
    <w:link w:val="32"/>
    <w:semiHidden/>
    <w:unhideWhenUsed/>
    <w:qFormat/>
    <w:uiPriority w:val="9"/>
    <w:pPr>
      <w:keepNext/>
      <w:keepLines/>
      <w:spacing w:before="80" w:after="40"/>
      <w:jc w:val="left"/>
      <w:outlineLvl w:val="3"/>
    </w:pPr>
    <w:rPr>
      <w:rFonts w:asciiTheme="minorHAnsi" w:hAnsiTheme="minorHAnsi" w:eastAsiaTheme="minorEastAsia" w:cstheme="majorBidi"/>
      <w:color w:val="376092" w:themeColor="accent1" w:themeShade="BF"/>
      <w:sz w:val="28"/>
      <w:szCs w:val="28"/>
      <w14:ligatures w14:val="standardContextual"/>
    </w:rPr>
  </w:style>
  <w:style w:type="paragraph" w:styleId="7">
    <w:name w:val="heading 5"/>
    <w:basedOn w:val="1"/>
    <w:next w:val="1"/>
    <w:link w:val="33"/>
    <w:semiHidden/>
    <w:unhideWhenUsed/>
    <w:qFormat/>
    <w:uiPriority w:val="9"/>
    <w:pPr>
      <w:keepNext/>
      <w:keepLines/>
      <w:spacing w:before="80" w:after="40"/>
      <w:jc w:val="left"/>
      <w:outlineLvl w:val="4"/>
    </w:pPr>
    <w:rPr>
      <w:rFonts w:asciiTheme="minorHAnsi" w:hAnsiTheme="minorHAnsi" w:eastAsiaTheme="minorEastAsia" w:cstheme="majorBidi"/>
      <w:color w:val="376092" w:themeColor="accent1" w:themeShade="BF"/>
      <w:sz w:val="24"/>
      <w14:ligatures w14:val="standardContextual"/>
    </w:rPr>
  </w:style>
  <w:style w:type="paragraph" w:styleId="8">
    <w:name w:val="heading 6"/>
    <w:basedOn w:val="1"/>
    <w:next w:val="1"/>
    <w:link w:val="34"/>
    <w:semiHidden/>
    <w:unhideWhenUsed/>
    <w:qFormat/>
    <w:uiPriority w:val="9"/>
    <w:pPr>
      <w:keepNext/>
      <w:keepLines/>
      <w:spacing w:before="40" w:after="0"/>
      <w:jc w:val="left"/>
      <w:outlineLvl w:val="5"/>
    </w:pPr>
    <w:rPr>
      <w:rFonts w:asciiTheme="minorHAnsi" w:hAnsiTheme="minorHAnsi" w:eastAsiaTheme="minorEastAsia" w:cstheme="majorBidi"/>
      <w:b/>
      <w:bCs/>
      <w:color w:val="376092" w:themeColor="accent1" w:themeShade="BF"/>
      <w:sz w:val="22"/>
      <w14:ligatures w14:val="standardContextual"/>
    </w:rPr>
  </w:style>
  <w:style w:type="paragraph" w:styleId="9">
    <w:name w:val="heading 7"/>
    <w:basedOn w:val="1"/>
    <w:next w:val="1"/>
    <w:link w:val="35"/>
    <w:semiHidden/>
    <w:unhideWhenUsed/>
    <w:qFormat/>
    <w:uiPriority w:val="9"/>
    <w:pPr>
      <w:keepNext/>
      <w:keepLines/>
      <w:spacing w:before="40" w:after="0"/>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8"/>
    <w:basedOn w:val="1"/>
    <w:next w:val="1"/>
    <w:link w:val="36"/>
    <w:semiHidden/>
    <w:unhideWhenUsed/>
    <w:qFormat/>
    <w:uiPriority w:val="9"/>
    <w:pPr>
      <w:keepNext/>
      <w:keepLines/>
      <w:spacing w:after="0"/>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1">
    <w:name w:val="heading 9"/>
    <w:basedOn w:val="1"/>
    <w:next w:val="1"/>
    <w:link w:val="37"/>
    <w:semiHidden/>
    <w:unhideWhenUsed/>
    <w:qFormat/>
    <w:uiPriority w:val="9"/>
    <w:pPr>
      <w:keepNext/>
      <w:keepLines/>
      <w:spacing w:after="0"/>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unhideWhenUsed/>
    <w:qFormat/>
    <w:uiPriority w:val="99"/>
    <w:pPr>
      <w:tabs>
        <w:tab w:val="center" w:pos="4153"/>
        <w:tab w:val="right" w:pos="8306"/>
      </w:tabs>
      <w:snapToGrid w:val="0"/>
      <w:jc w:val="left"/>
    </w:pPr>
    <w:rPr>
      <w:sz w:val="18"/>
      <w:szCs w:val="18"/>
    </w:rPr>
  </w:style>
  <w:style w:type="paragraph" w:styleId="12">
    <w:name w:val="Body Text"/>
    <w:basedOn w:val="1"/>
    <w:next w:val="1"/>
    <w:link w:val="26"/>
    <w:unhideWhenUsed/>
    <w:qFormat/>
    <w:uiPriority w:val="0"/>
    <w:pPr>
      <w:spacing w:after="120"/>
    </w:pPr>
    <w:rPr>
      <w:rFonts w:ascii="Times New Roman" w:hAnsi="Times New Roman"/>
    </w:rPr>
  </w:style>
  <w:style w:type="paragraph" w:styleId="13">
    <w:name w:val="Body Text Indent"/>
    <w:basedOn w:val="1"/>
    <w:next w:val="1"/>
    <w:link w:val="47"/>
    <w:qFormat/>
    <w:uiPriority w:val="0"/>
    <w:pPr>
      <w:tabs>
        <w:tab w:val="left" w:pos="330"/>
      </w:tabs>
      <w:spacing w:after="0" w:line="580" w:lineRule="exact"/>
      <w:ind w:firstLine="640"/>
    </w:pPr>
    <w:rPr>
      <w:rFonts w:asciiTheme="minorHAnsi" w:hAnsiTheme="minorHAnsi" w:eastAsiaTheme="minorEastAsia" w:cstheme="minorBidi"/>
    </w:rPr>
  </w:style>
  <w:style w:type="paragraph" w:styleId="14">
    <w:name w:val="toc 3"/>
    <w:basedOn w:val="1"/>
    <w:next w:val="1"/>
    <w:qFormat/>
    <w:uiPriority w:val="0"/>
    <w:pPr>
      <w:snapToGrid w:val="0"/>
      <w:spacing w:line="312" w:lineRule="auto"/>
      <w:ind w:left="200" w:leftChars="200" w:firstLine="200" w:firstLineChars="200"/>
    </w:pPr>
    <w:rPr>
      <w:rFonts w:ascii="Times New Roman" w:hAnsi="Times New Roman" w:eastAsia="仿宋"/>
      <w:bCs/>
      <w:sz w:val="28"/>
      <w:szCs w:val="2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spacing w:beforeAutospacing="1" w:after="0" w:afterAutospacing="1"/>
      <w:jc w:val="left"/>
    </w:pPr>
    <w:rPr>
      <w:rFonts w:asciiTheme="minorHAnsi" w:hAnsiTheme="minorHAnsi" w:eastAsiaTheme="minorEastAsia"/>
      <w:kern w:val="0"/>
      <w:sz w:val="24"/>
    </w:rPr>
  </w:style>
  <w:style w:type="paragraph" w:styleId="19">
    <w:name w:val="Title"/>
    <w:basedOn w:val="1"/>
    <w:next w:val="1"/>
    <w:link w:val="39"/>
    <w:qFormat/>
    <w:uiPriority w:val="10"/>
    <w:pPr>
      <w:spacing w:after="80" w:line="240" w:lineRule="auto"/>
      <w:contextualSpacing/>
      <w:jc w:val="center"/>
    </w:pPr>
    <w:rPr>
      <w:rFonts w:asciiTheme="majorHAnsi" w:hAnsiTheme="majorHAnsi" w:eastAsiaTheme="majorEastAsia" w:cstheme="majorBidi"/>
      <w:spacing w:val="-10"/>
      <w:kern w:val="28"/>
      <w:sz w:val="56"/>
      <w:szCs w:val="56"/>
      <w14:ligatures w14:val="standardContextual"/>
    </w:rPr>
  </w:style>
  <w:style w:type="paragraph" w:styleId="20">
    <w:name w:val="Body Text First Indent 2"/>
    <w:basedOn w:val="13"/>
    <w:next w:val="13"/>
    <w:link w:val="48"/>
    <w:qFormat/>
    <w:uiPriority w:val="0"/>
    <w:pPr>
      <w:ind w:firstLine="420" w:firstLineChars="200"/>
    </w:pPr>
    <w:rPr>
      <w:rFonts w:eastAsia="仿宋_GB2312"/>
    </w:rPr>
  </w:style>
  <w:style w:type="table" w:styleId="22">
    <w:name w:val="Table Grid"/>
    <w:basedOn w:val="21"/>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customStyle="1" w:styleId="25">
    <w:name w:val="页脚 字符"/>
    <w:basedOn w:val="23"/>
    <w:link w:val="2"/>
    <w:qFormat/>
    <w:uiPriority w:val="99"/>
    <w:rPr>
      <w:rFonts w:ascii="Calibri" w:hAnsi="Calibri" w:eastAsia="宋体" w:cs="Times New Roman"/>
      <w:sz w:val="18"/>
      <w:szCs w:val="18"/>
    </w:rPr>
  </w:style>
  <w:style w:type="character" w:customStyle="1" w:styleId="26">
    <w:name w:val="正文文本 字符"/>
    <w:basedOn w:val="23"/>
    <w:link w:val="12"/>
    <w:qFormat/>
    <w:uiPriority w:val="0"/>
    <w:rPr>
      <w:rFonts w:ascii="Times New Roman" w:hAnsi="Times New Roman" w:eastAsia="宋体" w:cs="Times New Roman"/>
      <w:szCs w:val="24"/>
    </w:rPr>
  </w:style>
  <w:style w:type="character" w:customStyle="1" w:styleId="27">
    <w:name w:val="页眉 字符"/>
    <w:basedOn w:val="23"/>
    <w:link w:val="15"/>
    <w:qFormat/>
    <w:uiPriority w:val="99"/>
    <w:rPr>
      <w:rFonts w:ascii="Calibri" w:hAnsi="Calibri" w:eastAsia="宋体" w:cs="Times New Roman"/>
      <w:sz w:val="18"/>
      <w:szCs w:val="18"/>
    </w:rPr>
  </w:style>
  <w:style w:type="paragraph" w:styleId="28">
    <w:name w:val="List Paragraph"/>
    <w:basedOn w:val="1"/>
    <w:qFormat/>
    <w:uiPriority w:val="34"/>
    <w:pPr>
      <w:ind w:left="720"/>
      <w:contextualSpacing/>
      <w:jc w:val="left"/>
    </w:pPr>
    <w:rPr>
      <w:rFonts w:asciiTheme="minorHAnsi" w:hAnsiTheme="minorHAnsi" w:eastAsiaTheme="minorEastAsia" w:cstheme="minorBidi"/>
      <w:sz w:val="22"/>
      <w14:ligatures w14:val="standardContextual"/>
    </w:rPr>
  </w:style>
  <w:style w:type="character" w:customStyle="1" w:styleId="29">
    <w:name w:val="标题 1 字符"/>
    <w:basedOn w:val="23"/>
    <w:link w:val="3"/>
    <w:qFormat/>
    <w:uiPriority w:val="9"/>
    <w:rPr>
      <w:rFonts w:asciiTheme="majorHAnsi" w:hAnsiTheme="majorHAnsi" w:eastAsiaTheme="majorEastAsia" w:cstheme="majorBidi"/>
      <w:color w:val="376092" w:themeColor="accent1" w:themeShade="BF"/>
      <w:kern w:val="2"/>
      <w:sz w:val="48"/>
      <w:szCs w:val="48"/>
      <w14:ligatures w14:val="standardContextual"/>
    </w:rPr>
  </w:style>
  <w:style w:type="character" w:customStyle="1" w:styleId="30">
    <w:name w:val="标题 2 字符"/>
    <w:basedOn w:val="23"/>
    <w:link w:val="4"/>
    <w:semiHidden/>
    <w:qFormat/>
    <w:uiPriority w:val="9"/>
    <w:rPr>
      <w:rFonts w:asciiTheme="majorHAnsi" w:hAnsiTheme="majorHAnsi" w:eastAsiaTheme="majorEastAsia" w:cstheme="majorBidi"/>
      <w:color w:val="376092" w:themeColor="accent1" w:themeShade="BF"/>
      <w:kern w:val="2"/>
      <w:sz w:val="40"/>
      <w:szCs w:val="40"/>
      <w14:ligatures w14:val="standardContextual"/>
    </w:rPr>
  </w:style>
  <w:style w:type="character" w:customStyle="1" w:styleId="31">
    <w:name w:val="标题 3 字符"/>
    <w:basedOn w:val="23"/>
    <w:link w:val="5"/>
    <w:semiHidden/>
    <w:qFormat/>
    <w:uiPriority w:val="9"/>
    <w:rPr>
      <w:rFonts w:asciiTheme="majorHAnsi" w:hAnsiTheme="majorHAnsi" w:eastAsiaTheme="majorEastAsia" w:cstheme="majorBidi"/>
      <w:color w:val="376092" w:themeColor="accent1" w:themeShade="BF"/>
      <w:kern w:val="2"/>
      <w:sz w:val="32"/>
      <w:szCs w:val="32"/>
      <w14:ligatures w14:val="standardContextual"/>
    </w:rPr>
  </w:style>
  <w:style w:type="character" w:customStyle="1" w:styleId="32">
    <w:name w:val="标题 4 字符"/>
    <w:basedOn w:val="23"/>
    <w:link w:val="6"/>
    <w:semiHidden/>
    <w:qFormat/>
    <w:uiPriority w:val="9"/>
    <w:rPr>
      <w:rFonts w:asciiTheme="minorHAnsi" w:hAnsiTheme="minorHAnsi" w:eastAsiaTheme="minorEastAsia" w:cstheme="majorBidi"/>
      <w:color w:val="376092" w:themeColor="accent1" w:themeShade="BF"/>
      <w:kern w:val="2"/>
      <w:sz w:val="28"/>
      <w:szCs w:val="28"/>
      <w14:ligatures w14:val="standardContextual"/>
    </w:rPr>
  </w:style>
  <w:style w:type="character" w:customStyle="1" w:styleId="33">
    <w:name w:val="标题 5 字符"/>
    <w:basedOn w:val="23"/>
    <w:link w:val="7"/>
    <w:semiHidden/>
    <w:qFormat/>
    <w:uiPriority w:val="9"/>
    <w:rPr>
      <w:rFonts w:asciiTheme="minorHAnsi" w:hAnsiTheme="minorHAnsi" w:eastAsiaTheme="minorEastAsia" w:cstheme="majorBidi"/>
      <w:color w:val="376092" w:themeColor="accent1" w:themeShade="BF"/>
      <w:kern w:val="2"/>
      <w:sz w:val="24"/>
      <w:szCs w:val="24"/>
      <w14:ligatures w14:val="standardContextual"/>
    </w:rPr>
  </w:style>
  <w:style w:type="character" w:customStyle="1" w:styleId="34">
    <w:name w:val="标题 6 字符"/>
    <w:basedOn w:val="23"/>
    <w:link w:val="8"/>
    <w:semiHidden/>
    <w:qFormat/>
    <w:uiPriority w:val="9"/>
    <w:rPr>
      <w:rFonts w:asciiTheme="minorHAnsi" w:hAnsiTheme="minorHAnsi" w:eastAsiaTheme="minorEastAsia" w:cstheme="majorBidi"/>
      <w:b/>
      <w:bCs/>
      <w:color w:val="376092" w:themeColor="accent1" w:themeShade="BF"/>
      <w:kern w:val="2"/>
      <w:sz w:val="22"/>
      <w:szCs w:val="24"/>
      <w14:ligatures w14:val="standardContextual"/>
    </w:rPr>
  </w:style>
  <w:style w:type="character" w:customStyle="1" w:styleId="35">
    <w:name w:val="标题 7 字符"/>
    <w:basedOn w:val="23"/>
    <w:link w:val="9"/>
    <w:semiHidden/>
    <w:qFormat/>
    <w:uiPriority w:val="9"/>
    <w:rPr>
      <w:rFonts w:asciiTheme="minorHAnsi" w:hAnsiTheme="minorHAnsi" w:eastAsiaTheme="minorEastAsia" w:cstheme="majorBidi"/>
      <w:b/>
      <w:bCs/>
      <w:color w:val="595959" w:themeColor="text1" w:themeTint="A6"/>
      <w:kern w:val="2"/>
      <w:sz w:val="22"/>
      <w:szCs w:val="24"/>
      <w14:textFill>
        <w14:solidFill>
          <w14:schemeClr w14:val="tx1">
            <w14:lumMod w14:val="65000"/>
            <w14:lumOff w14:val="35000"/>
          </w14:schemeClr>
        </w14:solidFill>
      </w14:textFill>
      <w14:ligatures w14:val="standardContextual"/>
    </w:rPr>
  </w:style>
  <w:style w:type="character" w:customStyle="1" w:styleId="36">
    <w:name w:val="标题 8 字符"/>
    <w:basedOn w:val="23"/>
    <w:link w:val="10"/>
    <w:semiHidden/>
    <w:qFormat/>
    <w:uiPriority w:val="9"/>
    <w:rPr>
      <w:rFonts w:asciiTheme="minorHAnsi" w:hAnsiTheme="minorHAnsi" w:eastAsiaTheme="minorEastAsia" w:cstheme="majorBidi"/>
      <w:color w:val="595959" w:themeColor="text1" w:themeTint="A6"/>
      <w:kern w:val="2"/>
      <w:sz w:val="22"/>
      <w:szCs w:val="24"/>
      <w14:textFill>
        <w14:solidFill>
          <w14:schemeClr w14:val="tx1">
            <w14:lumMod w14:val="65000"/>
            <w14:lumOff w14:val="35000"/>
          </w14:schemeClr>
        </w14:solidFill>
      </w14:textFill>
      <w14:ligatures w14:val="standardContextual"/>
    </w:rPr>
  </w:style>
  <w:style w:type="character" w:customStyle="1" w:styleId="37">
    <w:name w:val="标题 9 字符"/>
    <w:basedOn w:val="23"/>
    <w:link w:val="11"/>
    <w:semiHidden/>
    <w:qFormat/>
    <w:uiPriority w:val="9"/>
    <w:rPr>
      <w:rFonts w:asciiTheme="minorHAnsi" w:hAnsiTheme="minorHAnsi" w:eastAsiaTheme="majorEastAsia" w:cstheme="majorBidi"/>
      <w:color w:val="595959" w:themeColor="text1" w:themeTint="A6"/>
      <w:kern w:val="2"/>
      <w:sz w:val="22"/>
      <w:szCs w:val="24"/>
      <w14:textFill>
        <w14:solidFill>
          <w14:schemeClr w14:val="tx1">
            <w14:lumMod w14:val="65000"/>
            <w14:lumOff w14:val="35000"/>
          </w14:schemeClr>
        </w14:solidFill>
      </w14:textFill>
      <w14:ligatures w14:val="standardContextual"/>
    </w:rPr>
  </w:style>
  <w:style w:type="character" w:customStyle="1" w:styleId="38">
    <w:name w:val="副标题 字符"/>
    <w:basedOn w:val="23"/>
    <w:link w:val="16"/>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character" w:customStyle="1" w:styleId="39">
    <w:name w:val="标题 字符"/>
    <w:basedOn w:val="23"/>
    <w:link w:val="19"/>
    <w:qFormat/>
    <w:uiPriority w:val="10"/>
    <w:rPr>
      <w:rFonts w:asciiTheme="majorHAnsi" w:hAnsiTheme="majorHAnsi" w:eastAsiaTheme="majorEastAsia" w:cstheme="majorBidi"/>
      <w:spacing w:val="-10"/>
      <w:kern w:val="28"/>
      <w:sz w:val="56"/>
      <w:szCs w:val="56"/>
      <w14:ligatures w14:val="standardContextual"/>
    </w:rPr>
  </w:style>
  <w:style w:type="paragraph" w:styleId="40">
    <w:name w:val="Quote"/>
    <w:basedOn w:val="1"/>
    <w:next w:val="1"/>
    <w:link w:val="41"/>
    <w:qFormat/>
    <w:uiPriority w:val="29"/>
    <w:pPr>
      <w:spacing w:before="160"/>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41">
    <w:name w:val="引用 字符"/>
    <w:basedOn w:val="23"/>
    <w:link w:val="40"/>
    <w:qFormat/>
    <w:uiPriority w:val="29"/>
    <w:rPr>
      <w:rFonts w:asciiTheme="minorHAnsi" w:hAnsiTheme="minorHAnsi" w:eastAsiaTheme="minorEastAsia" w:cstheme="minorBidi"/>
      <w:i/>
      <w:iCs/>
      <w:color w:val="404040" w:themeColor="text1" w:themeTint="BF"/>
      <w:kern w:val="2"/>
      <w:sz w:val="22"/>
      <w:szCs w:val="24"/>
      <w14:textFill>
        <w14:solidFill>
          <w14:schemeClr w14:val="tx1">
            <w14:lumMod w14:val="75000"/>
            <w14:lumOff w14:val="25000"/>
          </w14:schemeClr>
        </w14:solidFill>
      </w14:textFill>
      <w14:ligatures w14:val="standardContextual"/>
    </w:rPr>
  </w:style>
  <w:style w:type="character" w:customStyle="1" w:styleId="42">
    <w:name w:val="明显强调1"/>
    <w:basedOn w:val="23"/>
    <w:qFormat/>
    <w:uiPriority w:val="21"/>
    <w:rPr>
      <w:i/>
      <w:iCs/>
      <w:color w:val="376092" w:themeColor="accent1" w:themeShade="BF"/>
    </w:rPr>
  </w:style>
  <w:style w:type="paragraph" w:styleId="43">
    <w:name w:val="Intense Quote"/>
    <w:basedOn w:val="1"/>
    <w:next w:val="1"/>
    <w:link w:val="44"/>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rFonts w:asciiTheme="minorHAnsi" w:hAnsiTheme="minorHAnsi" w:eastAsiaTheme="minorEastAsia" w:cstheme="minorBidi"/>
      <w:i/>
      <w:iCs/>
      <w:color w:val="376092" w:themeColor="accent1" w:themeShade="BF"/>
      <w:sz w:val="22"/>
      <w14:ligatures w14:val="standardContextual"/>
    </w:rPr>
  </w:style>
  <w:style w:type="character" w:customStyle="1" w:styleId="44">
    <w:name w:val="明显引用 字符"/>
    <w:basedOn w:val="23"/>
    <w:link w:val="43"/>
    <w:qFormat/>
    <w:uiPriority w:val="30"/>
    <w:rPr>
      <w:rFonts w:asciiTheme="minorHAnsi" w:hAnsiTheme="minorHAnsi" w:eastAsiaTheme="minorEastAsia" w:cstheme="minorBidi"/>
      <w:i/>
      <w:iCs/>
      <w:color w:val="376092" w:themeColor="accent1" w:themeShade="BF"/>
      <w:kern w:val="2"/>
      <w:sz w:val="22"/>
      <w:szCs w:val="24"/>
      <w14:ligatures w14:val="standardContextual"/>
    </w:rPr>
  </w:style>
  <w:style w:type="character" w:customStyle="1" w:styleId="45">
    <w:name w:val="明显参考1"/>
    <w:basedOn w:val="23"/>
    <w:qFormat/>
    <w:uiPriority w:val="32"/>
    <w:rPr>
      <w:b/>
      <w:bCs/>
      <w:smallCaps/>
      <w:color w:val="376092" w:themeColor="accent1" w:themeShade="BF"/>
      <w:spacing w:val="5"/>
    </w:rPr>
  </w:style>
  <w:style w:type="paragraph" w:customStyle="1" w:styleId="46">
    <w:name w:val="修订1"/>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47">
    <w:name w:val="正文文本缩进 字符"/>
    <w:basedOn w:val="23"/>
    <w:link w:val="13"/>
    <w:qFormat/>
    <w:uiPriority w:val="0"/>
    <w:rPr>
      <w:rFonts w:asciiTheme="minorHAnsi" w:hAnsiTheme="minorHAnsi" w:eastAsiaTheme="minorEastAsia" w:cstheme="minorBidi"/>
      <w:kern w:val="2"/>
      <w:sz w:val="21"/>
      <w:szCs w:val="24"/>
    </w:rPr>
  </w:style>
  <w:style w:type="character" w:customStyle="1" w:styleId="48">
    <w:name w:val="正文文本首行缩进 2 字符"/>
    <w:basedOn w:val="47"/>
    <w:link w:val="20"/>
    <w:qFormat/>
    <w:uiPriority w:val="0"/>
    <w:rPr>
      <w:rFonts w:eastAsia="仿宋_GB2312" w:asciiTheme="minorHAnsi" w:hAnsiTheme="minorHAnsi" w:cstheme="minorBidi"/>
      <w:kern w:val="2"/>
      <w:sz w:val="21"/>
      <w:szCs w:val="24"/>
    </w:rPr>
  </w:style>
  <w:style w:type="character" w:customStyle="1" w:styleId="49">
    <w:name w:val="fontstyle01"/>
    <w:basedOn w:val="23"/>
    <w:qFormat/>
    <w:uiPriority w:val="0"/>
    <w:rPr>
      <w:rFonts w:hint="eastAsia" w:ascii="黑体" w:hAnsi="黑体" w:eastAsia="黑体"/>
      <w:color w:val="000000"/>
      <w:sz w:val="24"/>
      <w:szCs w:val="24"/>
    </w:rPr>
  </w:style>
  <w:style w:type="character" w:customStyle="1" w:styleId="50">
    <w:name w:val="fontstyle21"/>
    <w:basedOn w:val="23"/>
    <w:qFormat/>
    <w:uiPriority w:val="0"/>
    <w:rPr>
      <w:rFonts w:hint="eastAsia" w:ascii="仿宋" w:hAnsi="仿宋" w:eastAsia="仿宋"/>
      <w:color w:val="000000"/>
      <w:sz w:val="24"/>
      <w:szCs w:val="24"/>
    </w:rPr>
  </w:style>
  <w:style w:type="character" w:customStyle="1" w:styleId="51">
    <w:name w:val="fontstyle11"/>
    <w:basedOn w:val="23"/>
    <w:qFormat/>
    <w:uiPriority w:val="0"/>
    <w:rPr>
      <w:rFonts w:hint="default" w:ascii="MicrosoftYaHei-Bold" w:hAnsi="MicrosoftYaHei-Bold"/>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5555</Words>
  <Characters>5558</Characters>
  <Lines>1299</Lines>
  <Paragraphs>896</Paragraphs>
  <TotalTime>25</TotalTime>
  <ScaleCrop>false</ScaleCrop>
  <LinksUpToDate>false</LinksUpToDate>
  <CharactersWithSpaces>5617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2025-03-10T08:58:00Z</dcterms:created>
  <dc:creator>Administrator</dc:creator>
  <cp:lastModifiedBy>孙莉</cp:lastModifiedBy>
  <cp:lastPrinted>2026-01-28T06:06:00Z</cp:lastPrinted>
  <dcterms:modified xsi:type="dcterms:W3CDTF">2026-03-06T11:18:06Z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eyJoZGlkIjoiODExY2U1MzJlZDg5NDdlZDc4ZmI1YWFlN2VhYmEyMjUiLCJ1c2VySWQiOiIyNTAxMjQ0NjQifQ==</vt:lpwstr>
  </property>
  <property fmtid="{D5CDD505-2E9C-101B-9397-08002B2CF9AE}" pid="4" name="ICV">
    <vt:lpwstr>4A48F48696E64FFDAE442CF2F7334747_13</vt:lpwstr>
  </property>
</Properties>
</file>