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sz w:val="32"/>
          <w:szCs w:val="32"/>
        </w:rPr>
      </w:pPr>
    </w:p>
    <w:p>
      <w:pPr>
        <w:jc w:val="center"/>
        <w:rPr>
          <w:rFonts w:hint="eastAsia" w:ascii="方正小标宋_GBK" w:hAnsi="宋体" w:eastAsia="方正小标宋_GBK"/>
          <w:sz w:val="44"/>
          <w:szCs w:val="44"/>
        </w:rPr>
      </w:pPr>
    </w:p>
    <w:p>
      <w:pPr>
        <w:jc w:val="center"/>
        <w:rPr>
          <w:rFonts w:hint="eastAsia" w:ascii="方正小标宋_GBK" w:hAnsi="宋体" w:eastAsia="方正小标宋_GBK"/>
          <w:sz w:val="44"/>
          <w:szCs w:val="44"/>
        </w:rPr>
      </w:pPr>
    </w:p>
    <w:p>
      <w:pPr>
        <w:jc w:val="center"/>
        <w:rPr>
          <w:rFonts w:hint="eastAsia" w:ascii="方正小标宋_GBK" w:hAnsi="宋体" w:eastAsia="方正小标宋_GBK"/>
          <w:sz w:val="44"/>
          <w:szCs w:val="44"/>
        </w:rPr>
      </w:pPr>
    </w:p>
    <w:p>
      <w:pPr>
        <w:jc w:val="center"/>
        <w:rPr>
          <w:rFonts w:hint="eastAsia" w:ascii="方正小标宋_GBK" w:hAnsi="宋体" w:eastAsia="方正小标宋_GBK"/>
          <w:sz w:val="44"/>
          <w:szCs w:val="44"/>
        </w:rPr>
      </w:pPr>
    </w:p>
    <w:p>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乌鲁木齐市医疗保障事业发展中心</w:t>
      </w:r>
    </w:p>
    <w:p>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（一）承担全市医疗保障的参保登记、待遇支付、协议签订、资金结算和乌鲁木齐市跨省、疆内异地就医备案及资金结算等经办服务工作。</w:t>
      </w:r>
    </w:p>
    <w:p>
      <w:pPr>
        <w:spacing w:line="580" w:lineRule="exact"/>
        <w:ind w:firstLine="640"/>
        <w:jc w:val="both"/>
      </w:pPr>
      <w:r>
        <w:rPr>
          <w:rFonts w:ascii="仿宋_GB2312" w:hAnsi="仿宋_GB2312" w:eastAsia="仿宋_GB2312"/>
          <w:sz w:val="32"/>
        </w:rPr>
        <w:t>（二）承担全市医疗保障信息化建设的实施和运行维护工作。</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乌鲁木齐市医疗保障事业发展中心无下属预算单位。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2025年度收入总计2,017.84万元，</w:t>
      </w:r>
      <w:r>
        <w:rPr>
          <w:rFonts w:ascii="仿宋_GB2312" w:hAnsi="仿宋_GB2312" w:eastAsia="仿宋_GB2312"/>
          <w:b w:val="0"/>
          <w:sz w:val="32"/>
        </w:rPr>
        <w:t>其中：本年收入合计2,017.84万元，使用非财政拨款结余（含专用结余）0.00万元，年初结转和结余0.00万元。</w:t>
      </w:r>
    </w:p>
    <w:p>
      <w:pPr>
        <w:spacing w:line="580" w:lineRule="exact"/>
        <w:ind w:firstLine="640"/>
        <w:jc w:val="both"/>
      </w:pPr>
      <w:r>
        <w:rPr>
          <w:rFonts w:ascii="仿宋_GB2312" w:hAnsi="仿宋_GB2312" w:eastAsia="仿宋_GB2312"/>
          <w:b/>
          <w:sz w:val="32"/>
        </w:rPr>
        <w:t>2025年度支出总计2,017.84万元，</w:t>
      </w:r>
      <w:r>
        <w:rPr>
          <w:rFonts w:ascii="仿宋_GB2312" w:hAnsi="仿宋_GB2312" w:eastAsia="仿宋_GB2312"/>
          <w:b w:val="0"/>
          <w:sz w:val="32"/>
        </w:rPr>
        <w:t>其中：本年支出合计2,017.84万元，结余分配0.00万元，年末结转和结余0.00万元。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增加231.33万元，增长12.95%，主要原因是：本年在职人员增加，在职人员工资调增、社保、公积金基数调增，人员经费增加。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本年收入2,017.84万元，</w:t>
      </w:r>
      <w:r>
        <w:rPr>
          <w:rFonts w:ascii="仿宋_GB2312" w:hAnsi="仿宋_GB2312" w:eastAsia="仿宋_GB2312"/>
          <w:b w:val="0"/>
          <w:sz w:val="32"/>
        </w:rPr>
        <w:t>其中：财政拨款收入2,017.84万元，占100.00%；上级补助收入0.00万元，占0.00%；事业收入0.00万元，占0.00%；经营收入0.00万元，占0.00%；附属单位上缴收入0.00万元，占0.00%；其他收入0.00万元，占0.00%。</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本年支出2,017.84万元，</w:t>
      </w:r>
      <w:r>
        <w:rPr>
          <w:rFonts w:ascii="仿宋_GB2312" w:hAnsi="仿宋_GB2312" w:eastAsia="仿宋_GB2312"/>
          <w:b w:val="0"/>
          <w:sz w:val="32"/>
        </w:rPr>
        <w:t>其中：基本支出1,736.52万元，占86.06%；项目支出281.33万元，占13.94%；上缴上级支出0.00万元，占0.00%；经营支出0.00万元，占0.00%；对附属单位补助支出0.00万元，占0.00%。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2025年度财政拨款收入总计2,017.84万元，</w:t>
      </w:r>
      <w:r>
        <w:rPr>
          <w:rFonts w:ascii="仿宋_GB2312" w:hAnsi="仿宋_GB2312" w:eastAsia="仿宋_GB2312"/>
          <w:b w:val="0"/>
          <w:sz w:val="32"/>
        </w:rPr>
        <w:t>其中：年初财政拨款结转和结余0.00万元，本年财政拨款收入2,017.84万元。</w:t>
      </w:r>
      <w:r>
        <w:rPr>
          <w:rFonts w:ascii="仿宋_GB2312" w:hAnsi="仿宋_GB2312" w:eastAsia="仿宋_GB2312"/>
          <w:b/>
          <w:sz w:val="32"/>
        </w:rPr>
        <w:t>财政拨款支出总计2,017.84万元，</w:t>
      </w:r>
      <w:r>
        <w:rPr>
          <w:rFonts w:ascii="仿宋_GB2312" w:hAnsi="仿宋_GB2312" w:eastAsia="仿宋_GB2312"/>
          <w:b w:val="0"/>
          <w:sz w:val="32"/>
        </w:rPr>
        <w:t>其中：年末财政拨款结转和结余0.00万元，本年财政拨款支出2,017.84万元。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增加231.33万元，增长12.95%，主要原因是：本年在职人员增加，在职人员工资调增、社保、公积金基数调增，人员经费增加。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年初预算数1,619.03万元，决算数2,017.84万元，预决算差异率24.63%，主要原因是：年中追加人员工资、社保、公积金基数调增部分资金，年中追加医疗费用周转金补助资金项目，导致预决算存在差异。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事业发展等重点支出，体现在有关支出科目中。</w:t>
      </w:r>
    </w:p>
    <w:p>
      <w:pPr>
        <w:spacing w:line="580" w:lineRule="exact"/>
        <w:ind w:firstLine="640"/>
        <w:jc w:val="both"/>
      </w:pPr>
      <w:r>
        <w:rPr>
          <w:rFonts w:ascii="仿宋_GB2312" w:hAnsi="仿宋_GB2312" w:eastAsia="仿宋_GB2312"/>
          <w:b w:val="0"/>
          <w:sz w:val="32"/>
        </w:rPr>
        <w:t>按照支出功能分类，卫生健康支出（类）医疗保障管理事务（款）行政运行（项）的支出占本年财政拨款支出总额的比重最高，2025年度决算数为850.87万元，占比42.17%，主要用于人员工资福利、日常公用经费。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2025年度一般公共预算财政拨款支出2,017.84万元，</w:t>
      </w:r>
      <w:r>
        <w:rPr>
          <w:rFonts w:ascii="仿宋_GB2312" w:hAnsi="仿宋_GB2312" w:eastAsia="仿宋_GB2312"/>
          <w:b w:val="0"/>
          <w:sz w:val="32"/>
        </w:rPr>
        <w:t>占本年支出合计的100.00%。</w:t>
      </w:r>
      <w:r>
        <w:rPr>
          <w:rFonts w:ascii="仿宋_GB2312" w:hAnsi="仿宋_GB2312" w:eastAsia="仿宋_GB2312"/>
          <w:b/>
          <w:sz w:val="32"/>
        </w:rPr>
        <w:t>与上年相比，</w:t>
      </w:r>
      <w:r>
        <w:rPr>
          <w:rFonts w:ascii="仿宋_GB2312" w:hAnsi="仿宋_GB2312" w:eastAsia="仿宋_GB2312"/>
          <w:b w:val="0"/>
          <w:sz w:val="32"/>
        </w:rPr>
        <w:t>增加231.33万元，增长12.95%，主要原因是：本年在职人员增加，相关人员经费增加，本年增加医疗费用周转金补助资金项目。</w:t>
      </w:r>
      <w:r>
        <w:rPr>
          <w:rFonts w:ascii="仿宋_GB2312" w:hAnsi="仿宋_GB2312" w:eastAsia="仿宋_GB2312"/>
          <w:b/>
          <w:sz w:val="32"/>
        </w:rPr>
        <w:t>与年初预算相比，</w:t>
      </w:r>
      <w:r>
        <w:rPr>
          <w:rFonts w:ascii="仿宋_GB2312" w:hAnsi="仿宋_GB2312" w:eastAsia="仿宋_GB2312"/>
          <w:b w:val="0"/>
          <w:sz w:val="32"/>
        </w:rPr>
        <w:t>年初预算数1,619.03万元，决算数2,017.84万元，预决算差异率24.63%，主要原因是：年中追加人员工资、社保、公积金基数调增部分资金，年中追加医疗费用周转金补助资金项目，导致预决算存在差异。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1.社会保障和就业支出（类）217.95万元，占10.80%。</w:t>
      </w:r>
    </w:p>
    <w:p>
      <w:pPr>
        <w:spacing w:line="580" w:lineRule="exact"/>
        <w:ind w:firstLine="640"/>
        <w:jc w:val="both"/>
      </w:pPr>
      <w:r>
        <w:rPr>
          <w:rFonts w:ascii="仿宋_GB2312" w:hAnsi="仿宋_GB2312" w:eastAsia="仿宋_GB2312"/>
          <w:b w:val="0"/>
          <w:sz w:val="32"/>
        </w:rPr>
        <w:t>2.卫生健康支出（类）1,799.89万元，占89.20%。</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1.社会保障和就业支出（类）行政事业单位养老支出（款）行政单位离退休（项）：支出决算数为4.50万元，比上年决算增加2.70万元，增长150.00%，主要原因是：本年退休人员增加，退休费支出增加。</w:t>
      </w:r>
    </w:p>
    <w:p>
      <w:pPr>
        <w:spacing w:line="580" w:lineRule="exact"/>
        <w:ind w:firstLine="640"/>
        <w:jc w:val="both"/>
      </w:pPr>
      <w:r>
        <w:rPr>
          <w:rFonts w:ascii="仿宋_GB2312" w:hAnsi="仿宋_GB2312" w:eastAsia="仿宋_GB2312"/>
          <w:b w:val="0"/>
          <w:sz w:val="32"/>
        </w:rPr>
        <w:t>2.社会保障和就业支出（类）行政事业单位养老支出（款）机关事业单位基本养老保险缴费支出（项）：支出决算数为164.30万元，比上年决算增加13.87万元，增长9.22%，主要原因是：本年在职人员增加，养老保险缴费较上年增加。</w:t>
      </w:r>
    </w:p>
    <w:p>
      <w:pPr>
        <w:spacing w:line="580" w:lineRule="exact"/>
        <w:ind w:firstLine="640"/>
        <w:jc w:val="both"/>
      </w:pPr>
      <w:r>
        <w:rPr>
          <w:rFonts w:ascii="仿宋_GB2312" w:hAnsi="仿宋_GB2312" w:eastAsia="仿宋_GB2312"/>
          <w:b w:val="0"/>
          <w:sz w:val="32"/>
        </w:rPr>
        <w:t>3.社会保障和就业支出（类）行政事业单位养老支出（款）机关事业单位职业年金缴费支出（项）：支出决算数为49.15万元，比上年决算增加28.57万元，增长138.82%，主要原因是：本年新增退休人员，职业年金缴费支出增加。</w:t>
      </w:r>
    </w:p>
    <w:p>
      <w:pPr>
        <w:spacing w:line="580" w:lineRule="exact"/>
        <w:ind w:firstLine="640"/>
        <w:jc w:val="both"/>
      </w:pPr>
      <w:r>
        <w:rPr>
          <w:rFonts w:ascii="仿宋_GB2312" w:hAnsi="仿宋_GB2312" w:eastAsia="仿宋_GB2312"/>
          <w:b w:val="0"/>
          <w:sz w:val="32"/>
        </w:rPr>
        <w:t>4.卫生健康支出（类）医疗救助（款）其他医疗救助支出（项）：支出决算数为183.30万元，比上年决算增加135.30万元，增长281.88%，主要原因是：本年增加医疗费用周转金补助资金项目，导致经费较上年有所增加。</w:t>
      </w:r>
    </w:p>
    <w:p>
      <w:pPr>
        <w:spacing w:line="580" w:lineRule="exact"/>
        <w:ind w:firstLine="640"/>
        <w:jc w:val="both"/>
      </w:pPr>
      <w:r>
        <w:rPr>
          <w:rFonts w:ascii="仿宋_GB2312" w:hAnsi="仿宋_GB2312" w:eastAsia="仿宋_GB2312"/>
          <w:b w:val="0"/>
          <w:sz w:val="32"/>
        </w:rPr>
        <w:t>5.卫生健康支出（类）医疗保障管理事务（款）行政运行（项）：支出决算数为850.87万元，比上年决算增加27.95万元，增长3.40%，主要原因是：本年在职人员工资调增，导致相关人员经费较上年有所增加。</w:t>
      </w:r>
    </w:p>
    <w:p>
      <w:pPr>
        <w:spacing w:line="580" w:lineRule="exact"/>
        <w:ind w:firstLine="640"/>
        <w:jc w:val="both"/>
      </w:pPr>
      <w:r>
        <w:rPr>
          <w:rFonts w:ascii="仿宋_GB2312" w:hAnsi="仿宋_GB2312" w:eastAsia="仿宋_GB2312"/>
          <w:b w:val="0"/>
          <w:sz w:val="32"/>
        </w:rPr>
        <w:t>6.卫生健康支出（类）医疗保障管理事务（款）医疗保障经办事务（项）：支出决算数为0.00万元，比上年决算减少61.22万元，下降100.00%，主要原因是：本年功能科目调整，中央财政医疗服务与保障能力提升补助项目从医疗保障经办事务（项）调整至其他医疗保障管理事务支出（项），导致经费较上年减少。</w:t>
      </w:r>
    </w:p>
    <w:p>
      <w:pPr>
        <w:spacing w:line="580" w:lineRule="exact"/>
        <w:ind w:firstLine="640"/>
        <w:jc w:val="both"/>
      </w:pPr>
      <w:r>
        <w:rPr>
          <w:rFonts w:ascii="仿宋_GB2312" w:hAnsi="仿宋_GB2312" w:eastAsia="仿宋_GB2312"/>
          <w:b w:val="0"/>
          <w:sz w:val="32"/>
        </w:rPr>
        <w:t>7.卫生健康支出（类）医疗保障管理事务（款）事业运行（项）：支出决算数为667.69万元，比上年决算增加46.01万元，增长7.40%，主要原因是：本年新增在职人员，人员经费增加，导致经费较上年有所增加。</w:t>
      </w:r>
    </w:p>
    <w:p>
      <w:pPr>
        <w:spacing w:line="580" w:lineRule="exact"/>
        <w:ind w:firstLine="640"/>
        <w:jc w:val="both"/>
      </w:pPr>
      <w:r>
        <w:rPr>
          <w:rFonts w:ascii="仿宋_GB2312" w:hAnsi="仿宋_GB2312" w:eastAsia="仿宋_GB2312"/>
          <w:b w:val="0"/>
          <w:sz w:val="32"/>
        </w:rPr>
        <w:t>8.卫生健康支出（类）医疗保障管理事务（款）其他医疗保障管理事务支出（项）：支出决算数为98.03万元，比上年决算增加38.14万元，增长63.68%，主要原因是：本年功能科目调整，中央财政医疗服务与保障能力提升补助项目从医疗保障经办事务（项）调整至其他医疗保障管理事务支出（项），导致经费较上年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2025年度一般公共预算财政拨款基本支出1,736.52万元，其中：</w:t>
      </w:r>
      <w:r>
        <w:rPr>
          <w:rFonts w:ascii="仿宋_GB2312" w:hAnsi="仿宋_GB2312" w:eastAsia="仿宋_GB2312"/>
          <w:b/>
          <w:sz w:val="32"/>
        </w:rPr>
        <w:t>人员经费1,631.65万元，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包括：基本工资、津贴补贴、奖金、绩效工资、机关事业单位基本养老保险缴费、职业年金缴费、职工基本医疗保险缴费、公务员医疗补助缴费、其他社会保障缴费、住房公积金、退休费、生活补助。</w:t>
      </w:r>
    </w:p>
    <w:p>
      <w:pPr>
        <w:spacing w:line="580" w:lineRule="exact"/>
        <w:ind w:firstLine="640"/>
        <w:jc w:val="both"/>
      </w:pPr>
      <w:r>
        <w:rPr>
          <w:rFonts w:ascii="仿宋_GB2312" w:hAnsi="仿宋_GB2312" w:eastAsia="仿宋_GB2312"/>
          <w:b/>
          <w:sz w:val="32"/>
        </w:rPr>
        <w:t>公用经费104.87万元，</w:t>
      </w:r>
      <w:r>
        <w:rPr>
          <w:rFonts w:ascii="仿宋_GB2312" w:hAnsi="仿宋_GB2312" w:eastAsia="仿宋_GB2312"/>
          <w:b w:val="0"/>
          <w:sz w:val="32"/>
        </w:rPr>
        <w:t>包括：办公费、印刷费、邮电费、差旅费、工会经费、福利费、其他商品和服务支出。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2025年度财政拨款“三公”经费支出0.00万元，</w:t>
      </w:r>
      <w:r>
        <w:rPr>
          <w:rFonts w:ascii="仿宋_GB2312" w:hAnsi="仿宋_GB2312" w:eastAsia="仿宋_GB2312"/>
          <w:b w:val="0"/>
          <w:sz w:val="32"/>
        </w:rPr>
        <w:t>比上年增加0.00万元，增长0.00%，主要原因是：2024年与2025年均无财政拨款“三公”经费支出。其中：因公出国（境）费用支出0.00万元，占0.00%，比上年增加0.00万元，增长0.00%，主要原因是：2024年与2025年均无因公出国（境）费用支出。公务用车购置及运行维护费支出0.00万元，占0.00%，比上年增加0.00万元，增长0.00%，主要原因是：2024年与2025年均无公务用车购置及运行维护费支出。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0.00万元，其中：公务用车购置费0.00万元，公务用车运行维护费0.00万元。公务用车运行维护费开支内容包括本单位无公务用车运行维护费。公务用车购置数0辆，公务用车保有量0辆。国有资产占用情况中固定资产车辆0辆，与公务用车保有量差异原因是：本单位无公务用车保有量和固定资产车辆。</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0.00万元，决算数0.00万元，预决算差异率0.00%，主要原因是：本单位无财政拨款“三公”经费。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0.00万元，决算数0.00万元，预决算差异率0.00%，主要原因是：本单位无公务用车运行维护费。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2025年度乌鲁木齐市医疗保障事业发展中心（事业单位）公用经费支出104.87万元，比上年减少20.31万元，下降16.22%，主要原因是：本年减少办公取暖费、电费经费，导致公用经费减少。</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2025年度政府采购支出总额26.49万元，其中：政府采购货物支出4.49万元、政府采购工程支出0.00万元、政府采购服务支出22.00万元。</w:t>
      </w:r>
    </w:p>
    <w:p>
      <w:pPr>
        <w:spacing w:line="580" w:lineRule="exact"/>
        <w:ind w:firstLine="640"/>
        <w:jc w:val="both"/>
      </w:pPr>
      <w:r>
        <w:rPr>
          <w:rFonts w:ascii="仿宋_GB2312" w:hAnsi="仿宋_GB2312" w:eastAsia="仿宋_GB2312"/>
          <w:b w:val="0"/>
          <w:sz w:val="32"/>
        </w:rPr>
        <w:t>授予中小企业合同金额24.62万元，占政府采购支出总额的92.94%，其中：授予小微企业合同金额22.00万元，占政府采购支出总额的83.05%。</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0辆，价值0.00万元，其中：副部（省）级及以上领导用车0辆、主要负责人用车0辆、机要通信用车0辆、应急保障用车0辆、执法执勤用车0辆、特种专业技术用车0辆、离退休干部服务用车0辆、其他用车0辆，其他用车主要是：本单位无其他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预算绩效评价项目5个，全年预算数281.51万元，全年执行数277.93万元。预算绩效管理取得的成效：一是预算绩效理念持续深化，“花钱必问效、无效必问责”的意识逐步贯穿预算编制、执行、监管全过程，各单位绩效主体责任进一步压实；二是绩效目标管理更加规范，绩效目标设定的科学性、可量化水平不断提升，实现预算资金与绩效目标同步申报、同步审核；三是绩效监控与评价作用有效发挥，常态化开展绩效运行监控和项目评价，及时发现资金使用短板并督促整改；四是绩效结果应用力度持续加大，评价结果作为预算安排、政策调整的重要依据，低效无效资金得到压减，财政资源配置效率和使用效益稳步提高。发现的问题及原因：一是绩效意识仍有短板，部分单位重资金争取、轻绩效管理，绩效目标编制不够贴合实际，指标设置偏笼统、可量化程度不足；二是绩效运行监控不够到位，对项目实施过程跟踪研判不及时，未能及时预警资金滞缓、实施偏差等问题；三是绩效评价质量有待提升，自评工作存在流于形式现象，评价深度不足，问题剖析不够透彻；四是绩效结果运用不够充分，绩效评价结果与预算安排挂钩力度偏弱，低效资金整改闭环机制还需进一步完善。下一步改进措施：一是强化绩效理念宣贯，压实各预算单位主体责任，规范绩效目标编审，提升指标设置的精准性、可量化性，从源头夯实绩效管理基础；二是做实绩效运行监控，对项目资金执行情况开展动态跟踪预警，及时纠偏项目实施和资金使用中的偏差；三是提升绩效评价质效，严格自评审核，深化重点项目评价，坚持客观写实查摆问题；四是健全绩效结果运用机制，强化评价结果与预算安排、政策调整挂钩，完善问题整改闭环管理，持续提升财政资金使用效益。具体附项目支出绩效自评表。</w:t>
      </w:r>
    </w:p>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Style w:val="8"/>
        <w:tblW w:w="8306" w:type="dxa"/>
        <w:tblInd w:w="0" w:type="dxa"/>
        <w:tblLayout w:type="fixed"/>
        <w:tblCellMar>
          <w:top w:w="36" w:type="dxa"/>
          <w:left w:w="36" w:type="dxa"/>
          <w:bottom w:w="36" w:type="dxa"/>
          <w:right w:w="36" w:type="dxa"/>
        </w:tblCellMar>
      </w:tblPr>
      <w:tblGrid>
        <w:gridCol w:w="614"/>
        <w:gridCol w:w="614"/>
        <w:gridCol w:w="597"/>
        <w:gridCol w:w="881"/>
        <w:gridCol w:w="1660"/>
        <w:gridCol w:w="559"/>
        <w:gridCol w:w="284"/>
        <w:gridCol w:w="520"/>
        <w:gridCol w:w="412"/>
        <w:gridCol w:w="464"/>
        <w:gridCol w:w="614"/>
        <w:gridCol w:w="473"/>
        <w:gridCol w:w="614"/>
      </w:tblGrid>
      <w:tr>
        <w:tblPrEx>
          <w:tblLayout w:type="fixed"/>
          <w:tblCellMar>
            <w:top w:w="36" w:type="dxa"/>
            <w:left w:w="36" w:type="dxa"/>
            <w:bottom w:w="36" w:type="dxa"/>
            <w:right w:w="36" w:type="dxa"/>
          </w:tblCellMar>
        </w:tblPrEx>
        <w:trPr>
          <w:trHeight w:val="420"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i w:val="0"/>
                <w:sz w:val="18"/>
              </w:rPr>
              <w:t>项目支出绩效自评表</w:t>
            </w:r>
          </w:p>
        </w:tc>
      </w:tr>
      <w:tr>
        <w:tblPrEx>
          <w:tblLayout w:type="fixed"/>
          <w:tblCellMar>
            <w:top w:w="36" w:type="dxa"/>
            <w:left w:w="36" w:type="dxa"/>
            <w:bottom w:w="36" w:type="dxa"/>
            <w:right w:w="36" w:type="dxa"/>
          </w:tblCellMar>
        </w:tblPrEx>
        <w:trPr>
          <w:trHeight w:val="400"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(2025年度)</w:t>
            </w:r>
          </w:p>
        </w:tc>
      </w:tr>
      <w:tr>
        <w:tblPrEx>
          <w:tblLayout w:type="fixed"/>
          <w:tblCellMar>
            <w:top w:w="36" w:type="dxa"/>
            <w:left w:w="36" w:type="dxa"/>
            <w:bottom w:w="36" w:type="dxa"/>
            <w:right w:w="36" w:type="dxa"/>
          </w:tblCellMar>
        </w:tblPrEx>
        <w:trPr>
          <w:trHeight w:val="499" w:hRule="atLeast"/>
        </w:trPr>
        <w:tc>
          <w:tcPr>
            <w:tcW w:w="12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项目名称</w:t>
            </w:r>
          </w:p>
        </w:tc>
        <w:tc>
          <w:tcPr>
            <w:tcW w:w="7078"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2025年稽核费</w:t>
            </w:r>
          </w:p>
        </w:tc>
      </w:tr>
      <w:tr>
        <w:tblPrEx>
          <w:tblLayout w:type="fixed"/>
          <w:tblCellMar>
            <w:top w:w="36" w:type="dxa"/>
            <w:left w:w="36" w:type="dxa"/>
            <w:bottom w:w="36" w:type="dxa"/>
            <w:right w:w="36" w:type="dxa"/>
          </w:tblCellMar>
        </w:tblPrEx>
        <w:trPr>
          <w:trHeight w:val="499" w:hRule="atLeast"/>
        </w:trPr>
        <w:tc>
          <w:tcPr>
            <w:tcW w:w="12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主管部门</w:t>
            </w:r>
          </w:p>
        </w:tc>
        <w:tc>
          <w:tcPr>
            <w:tcW w:w="14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乌鲁木齐市医疗保障局</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实施单位</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乌鲁木齐市医疗保障事业发展中心</w:t>
            </w:r>
          </w:p>
        </w:tc>
      </w:tr>
      <w:tr>
        <w:tblPrEx>
          <w:tblLayout w:type="fixed"/>
          <w:tblCellMar>
            <w:top w:w="36" w:type="dxa"/>
            <w:left w:w="36" w:type="dxa"/>
            <w:bottom w:w="36" w:type="dxa"/>
            <w:right w:w="36" w:type="dxa"/>
          </w:tblCellMar>
        </w:tblPrEx>
        <w:trPr>
          <w:trHeight w:val="499" w:hRule="atLeast"/>
        </w:trPr>
        <w:tc>
          <w:tcPr>
            <w:tcW w:w="122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项目资金
（万元）</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年初预算数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全年预算数</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全年执行数</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分值</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执行率</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得分</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年度资金总额</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24.05</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13.78</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13.78</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10.00分</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其中：当年财政拨款</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24.05</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13.78</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13.78</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其他资金</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年度总体目标</w:t>
            </w:r>
          </w:p>
        </w:tc>
        <w:tc>
          <w:tcPr>
            <w:tcW w:w="3752"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预期目标</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实际完成情况</w:t>
            </w:r>
          </w:p>
        </w:tc>
      </w:tr>
      <w:tr>
        <w:tblPrEx>
          <w:tblLayout w:type="fixed"/>
          <w:tblCellMar>
            <w:top w:w="36" w:type="dxa"/>
            <w:left w:w="36" w:type="dxa"/>
            <w:bottom w:w="36" w:type="dxa"/>
            <w:right w:w="36" w:type="dxa"/>
          </w:tblCellMar>
        </w:tblPrEx>
        <w:trPr>
          <w:trHeight w:val="243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3752" w:type="dxa"/>
            <w:gridSpan w:val="4"/>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租赁车辆对本地定点医药机构进行核查。</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截至2025年底，该项目实际完成租赁稽核用车企业数量1家，按时年度检查任务，定点医疗机构检查覆盖率100%，定点零售药店检查覆盖率100%，项目实际支出13.78万元，通过项目实施加大对医疗费用真实性进行核实有效保障了医保基金安全。</w:t>
            </w:r>
          </w:p>
        </w:tc>
      </w:tr>
      <w:tr>
        <w:tblPrEx>
          <w:tblLayout w:type="fixed"/>
          <w:tblCellMar>
            <w:top w:w="36" w:type="dxa"/>
            <w:left w:w="36" w:type="dxa"/>
            <w:bottom w:w="36" w:type="dxa"/>
            <w:right w:w="36" w:type="dxa"/>
          </w:tblCellMar>
        </w:tblPrEx>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一级指标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二级指标</w:t>
            </w:r>
          </w:p>
        </w:tc>
        <w:tc>
          <w:tcPr>
            <w:tcW w:w="88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三级指标</w:t>
            </w:r>
          </w:p>
        </w:tc>
        <w:tc>
          <w:tcPr>
            <w:tcW w:w="166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年度指标值</w:t>
            </w:r>
          </w:p>
        </w:tc>
        <w:tc>
          <w:tcPr>
            <w:tcW w:w="843" w:type="dxa"/>
            <w:gridSpan w:val="2"/>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分值</w:t>
            </w:r>
          </w:p>
        </w:tc>
        <w:tc>
          <w:tcPr>
            <w:tcW w:w="520"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得分</w:t>
            </w:r>
          </w:p>
        </w:tc>
        <w:tc>
          <w:tcPr>
            <w:tcW w:w="41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实际完成值</w:t>
            </w:r>
          </w:p>
        </w:tc>
        <w:tc>
          <w:tcPr>
            <w:tcW w:w="107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偏差原因分析及改进措施</w:t>
            </w:r>
          </w:p>
        </w:tc>
        <w:tc>
          <w:tcPr>
            <w:tcW w:w="47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完成率</w:t>
            </w: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指标性质</w:t>
            </w:r>
          </w:p>
        </w:tc>
      </w:tr>
      <w:tr>
        <w:tblPrEx>
          <w:tblLayout w:type="fixed"/>
          <w:tblCellMar>
            <w:top w:w="36" w:type="dxa"/>
            <w:left w:w="36" w:type="dxa"/>
            <w:bottom w:w="36" w:type="dxa"/>
            <w:right w:w="36" w:type="dxa"/>
          </w:tblCellMar>
        </w:tblPrEx>
        <w:trPr>
          <w:trHeight w:val="345"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66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4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2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412"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07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47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r>
      <w:tr>
        <w:tblPrEx>
          <w:tblLayout w:type="fixed"/>
          <w:tblCellMar>
            <w:top w:w="36" w:type="dxa"/>
            <w:left w:w="36" w:type="dxa"/>
            <w:bottom w:w="36" w:type="dxa"/>
            <w:right w:w="36" w:type="dxa"/>
          </w:tblCellMar>
        </w:tblPrEx>
        <w:trPr>
          <w:trHeight w:val="580" w:hRule="atLeast"/>
        </w:trPr>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年度绩效指标完成情况</w:t>
            </w: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产出指标</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数量指标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租赁稽核用车企业数量</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=1家</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=1家</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质量指标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定点医疗机构检查覆盖率</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&gt;=95%</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定点医疗机构检查覆盖率目标值95%，全年检查全年检查定点医药机构覆盖率100%，因此完成年度检查任务，实际值完成100%，产生偏差5.26%。</w:t>
            </w: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定点零售药店检查覆盖率</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&gt;=95%</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定点零售药店检查覆盖率目标值95%，全年检查全年检查定点医药机构覆盖率100%，因此完成年度检查任务，实际值完成100%，产生偏差5.26%。</w:t>
            </w: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时效指标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年度检查任务按时完成率</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&gt;=95%</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年度检查任务均按时完成目标值95%，全年检查全年检查定点医药机构覆盖率100%，因此完成年度检查任务，实际值完成100%，产生偏差5.26%。</w:t>
            </w: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成本指标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经济成本指标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定点机构检查租赁车辆费用</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&lt;=13.78万元</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=13.78万元</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租赁稽核用车单价</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&lt;=520元/次</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=520元/次</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效益指标</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社会效益指标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加大对医疗费用真实性进行核实保障医保基金安全</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有效保障</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基本达成目标</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定性</w:t>
            </w:r>
          </w:p>
        </w:tc>
      </w:tr>
      <w:tr>
        <w:tblPrEx>
          <w:tblLayout w:type="fixed"/>
          <w:tblCellMar>
            <w:top w:w="36" w:type="dxa"/>
            <w:left w:w="36" w:type="dxa"/>
            <w:bottom w:w="36" w:type="dxa"/>
            <w:right w:w="36" w:type="dxa"/>
          </w:tblCellMar>
        </w:tblPrEx>
        <w:trPr>
          <w:trHeight w:val="499" w:hRule="atLeast"/>
        </w:trPr>
        <w:tc>
          <w:tcPr>
            <w:tcW w:w="4366"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总分</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r>
    </w:tbl>
    <w:p>
      <w:r>
        <w:br w:type="page"/>
      </w:r>
    </w:p>
    <w:tbl>
      <w:tblPr>
        <w:tblStyle w:val="8"/>
        <w:tblW w:w="8306" w:type="dxa"/>
        <w:tblInd w:w="0" w:type="dxa"/>
        <w:tblLayout w:type="fixed"/>
        <w:tblCellMar>
          <w:top w:w="36" w:type="dxa"/>
          <w:left w:w="36" w:type="dxa"/>
          <w:bottom w:w="36" w:type="dxa"/>
          <w:right w:w="36" w:type="dxa"/>
        </w:tblCellMar>
      </w:tblPr>
      <w:tblGrid>
        <w:gridCol w:w="614"/>
        <w:gridCol w:w="614"/>
        <w:gridCol w:w="597"/>
        <w:gridCol w:w="881"/>
        <w:gridCol w:w="1660"/>
        <w:gridCol w:w="559"/>
        <w:gridCol w:w="284"/>
        <w:gridCol w:w="520"/>
        <w:gridCol w:w="412"/>
        <w:gridCol w:w="464"/>
        <w:gridCol w:w="614"/>
        <w:gridCol w:w="473"/>
        <w:gridCol w:w="614"/>
      </w:tblGrid>
      <w:tr>
        <w:tblPrEx>
          <w:tblLayout w:type="fixed"/>
          <w:tblCellMar>
            <w:top w:w="36" w:type="dxa"/>
            <w:left w:w="36" w:type="dxa"/>
            <w:bottom w:w="36" w:type="dxa"/>
            <w:right w:w="36" w:type="dxa"/>
          </w:tblCellMar>
        </w:tblPrEx>
        <w:trPr>
          <w:trHeight w:val="420"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i w:val="0"/>
                <w:sz w:val="18"/>
              </w:rPr>
              <w:t>项目支出绩效自评表</w:t>
            </w:r>
          </w:p>
        </w:tc>
      </w:tr>
      <w:tr>
        <w:tblPrEx>
          <w:tblLayout w:type="fixed"/>
          <w:tblCellMar>
            <w:top w:w="36" w:type="dxa"/>
            <w:left w:w="36" w:type="dxa"/>
            <w:bottom w:w="36" w:type="dxa"/>
            <w:right w:w="36" w:type="dxa"/>
          </w:tblCellMar>
        </w:tblPrEx>
        <w:trPr>
          <w:trHeight w:val="400"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(2025年度)</w:t>
            </w:r>
          </w:p>
        </w:tc>
      </w:tr>
      <w:tr>
        <w:tblPrEx>
          <w:tblLayout w:type="fixed"/>
          <w:tblCellMar>
            <w:top w:w="36" w:type="dxa"/>
            <w:left w:w="36" w:type="dxa"/>
            <w:bottom w:w="36" w:type="dxa"/>
            <w:right w:w="36" w:type="dxa"/>
          </w:tblCellMar>
        </w:tblPrEx>
        <w:trPr>
          <w:trHeight w:val="499" w:hRule="atLeast"/>
        </w:trPr>
        <w:tc>
          <w:tcPr>
            <w:tcW w:w="12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项目名称</w:t>
            </w:r>
          </w:p>
        </w:tc>
        <w:tc>
          <w:tcPr>
            <w:tcW w:w="7078"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2025年综合业务费</w:t>
            </w:r>
          </w:p>
        </w:tc>
      </w:tr>
      <w:tr>
        <w:tblPrEx>
          <w:tblLayout w:type="fixed"/>
          <w:tblCellMar>
            <w:top w:w="36" w:type="dxa"/>
            <w:left w:w="36" w:type="dxa"/>
            <w:bottom w:w="36" w:type="dxa"/>
            <w:right w:w="36" w:type="dxa"/>
          </w:tblCellMar>
        </w:tblPrEx>
        <w:trPr>
          <w:trHeight w:val="499" w:hRule="atLeast"/>
        </w:trPr>
        <w:tc>
          <w:tcPr>
            <w:tcW w:w="12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主管部门</w:t>
            </w:r>
          </w:p>
        </w:tc>
        <w:tc>
          <w:tcPr>
            <w:tcW w:w="14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乌鲁木齐市医疗保障局</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实施单位</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乌鲁木齐市医疗保障事业发展中心</w:t>
            </w:r>
          </w:p>
        </w:tc>
      </w:tr>
      <w:tr>
        <w:tblPrEx>
          <w:tblLayout w:type="fixed"/>
          <w:tblCellMar>
            <w:top w:w="36" w:type="dxa"/>
            <w:left w:w="36" w:type="dxa"/>
            <w:bottom w:w="36" w:type="dxa"/>
            <w:right w:w="36" w:type="dxa"/>
          </w:tblCellMar>
        </w:tblPrEx>
        <w:trPr>
          <w:trHeight w:val="499" w:hRule="atLeast"/>
        </w:trPr>
        <w:tc>
          <w:tcPr>
            <w:tcW w:w="122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项目资金
（万元）</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年初预算数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全年预算数</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全年执行数</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分值</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执行率</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得分</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年度资金总额</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57.39</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56.24</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56.23</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99.98%</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10.00分</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其中：当年财政拨款</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57.39</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56.24</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56.23</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其他资金</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年度总体目标</w:t>
            </w:r>
          </w:p>
        </w:tc>
        <w:tc>
          <w:tcPr>
            <w:tcW w:w="3752"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预期目标</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实际完成情况</w:t>
            </w:r>
          </w:p>
        </w:tc>
      </w:tr>
      <w:tr>
        <w:tblPrEx>
          <w:tblLayout w:type="fixed"/>
          <w:tblCellMar>
            <w:top w:w="36" w:type="dxa"/>
            <w:left w:w="36" w:type="dxa"/>
            <w:bottom w:w="36" w:type="dxa"/>
            <w:right w:w="36" w:type="dxa"/>
          </w:tblCellMar>
        </w:tblPrEx>
        <w:trPr>
          <w:trHeight w:val="243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3752" w:type="dxa"/>
            <w:gridSpan w:val="4"/>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1.完成医保骨干网链路连接；2.办公设备信息安全运维；3.公务用车租赁及加油费。</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截至2025年底，该项目实际完成租赁公务用车数量3辆，医保骨干网链路数量25条，信息安全运维项目1个，医保骨干网正常运行率100%，项目实际支出56.23万元，通过项目实施保证医保经办业务正常运行。</w:t>
            </w:r>
          </w:p>
        </w:tc>
      </w:tr>
      <w:tr>
        <w:tblPrEx>
          <w:tblLayout w:type="fixed"/>
          <w:tblCellMar>
            <w:top w:w="36" w:type="dxa"/>
            <w:left w:w="36" w:type="dxa"/>
            <w:bottom w:w="36" w:type="dxa"/>
            <w:right w:w="36" w:type="dxa"/>
          </w:tblCellMar>
        </w:tblPrEx>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一级指标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二级指标</w:t>
            </w:r>
          </w:p>
        </w:tc>
        <w:tc>
          <w:tcPr>
            <w:tcW w:w="88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三级指标</w:t>
            </w:r>
          </w:p>
        </w:tc>
        <w:tc>
          <w:tcPr>
            <w:tcW w:w="166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年度指标值</w:t>
            </w:r>
          </w:p>
        </w:tc>
        <w:tc>
          <w:tcPr>
            <w:tcW w:w="843" w:type="dxa"/>
            <w:gridSpan w:val="2"/>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分值</w:t>
            </w:r>
          </w:p>
        </w:tc>
        <w:tc>
          <w:tcPr>
            <w:tcW w:w="520"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得分</w:t>
            </w:r>
          </w:p>
        </w:tc>
        <w:tc>
          <w:tcPr>
            <w:tcW w:w="41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实际完成值</w:t>
            </w:r>
          </w:p>
        </w:tc>
        <w:tc>
          <w:tcPr>
            <w:tcW w:w="107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偏差原因分析及改进措施</w:t>
            </w:r>
          </w:p>
        </w:tc>
        <w:tc>
          <w:tcPr>
            <w:tcW w:w="47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完成率</w:t>
            </w: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指标性质</w:t>
            </w:r>
          </w:p>
        </w:tc>
      </w:tr>
      <w:tr>
        <w:tblPrEx>
          <w:tblLayout w:type="fixed"/>
          <w:tblCellMar>
            <w:top w:w="36" w:type="dxa"/>
            <w:left w:w="36" w:type="dxa"/>
            <w:bottom w:w="36" w:type="dxa"/>
            <w:right w:w="36" w:type="dxa"/>
          </w:tblCellMar>
        </w:tblPrEx>
        <w:trPr>
          <w:trHeight w:val="345"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66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4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2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412"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07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47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r>
      <w:tr>
        <w:tblPrEx>
          <w:tblLayout w:type="fixed"/>
          <w:tblCellMar>
            <w:top w:w="36" w:type="dxa"/>
            <w:left w:w="36" w:type="dxa"/>
            <w:bottom w:w="36" w:type="dxa"/>
            <w:right w:w="36" w:type="dxa"/>
          </w:tblCellMar>
        </w:tblPrEx>
        <w:trPr>
          <w:trHeight w:val="580" w:hRule="atLeast"/>
        </w:trPr>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年度绩效指标完成情况</w:t>
            </w: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产出指标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数量指标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租赁公务用车数量</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=2辆</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=3辆</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因本单位无固定资产车辆，经机关事务管理局及财政局同意本年度租赁3辆公务用车。</w:t>
            </w: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150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医保骨干网链路数量</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&gt;=24条</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=25条</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根据水区政务要求，新增一处经办服务点，增加水区分中心医保骨干网主用电路1条。</w:t>
            </w: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信息安全运维项目</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=1个</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=1个</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质量指标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医保骨干网正常运行率</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时效指标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经费支付及时率</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=99.98%</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经费支付及时率：已支付经费56.23万元÷应支付经费56.24万元=99.98%。</w:t>
            </w: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99.98</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成本指标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经济成本指标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租赁公务用车成本</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&lt;=11.63万元</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=11.63万元</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租赁公务用车加油成本</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&lt;=4.68万元</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=4.68万元</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医保骨干网链路项目成本</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&lt;=34.56万元</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=34.56万元</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设备运维成本</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&lt;=5.37万元</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=5.36万元</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效益指标</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社会效益指标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保证经办业务正常运行</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基本保证</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基本达成目标</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定性</w:t>
            </w:r>
          </w:p>
        </w:tc>
      </w:tr>
      <w:tr>
        <w:tblPrEx>
          <w:tblLayout w:type="fixed"/>
          <w:tblCellMar>
            <w:top w:w="36" w:type="dxa"/>
            <w:left w:w="36" w:type="dxa"/>
            <w:bottom w:w="36" w:type="dxa"/>
            <w:right w:w="36" w:type="dxa"/>
          </w:tblCellMar>
        </w:tblPrEx>
        <w:trPr>
          <w:trHeight w:val="499" w:hRule="atLeast"/>
        </w:trPr>
        <w:tc>
          <w:tcPr>
            <w:tcW w:w="4366"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总分</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r>
    </w:tbl>
    <w:p>
      <w:r>
        <w:br w:type="page"/>
      </w:r>
    </w:p>
    <w:tbl>
      <w:tblPr>
        <w:tblStyle w:val="8"/>
        <w:tblW w:w="8306" w:type="dxa"/>
        <w:tblInd w:w="0" w:type="dxa"/>
        <w:tblLayout w:type="fixed"/>
        <w:tblCellMar>
          <w:top w:w="36" w:type="dxa"/>
          <w:left w:w="36" w:type="dxa"/>
          <w:bottom w:w="36" w:type="dxa"/>
          <w:right w:w="36" w:type="dxa"/>
        </w:tblCellMar>
      </w:tblPr>
      <w:tblGrid>
        <w:gridCol w:w="614"/>
        <w:gridCol w:w="614"/>
        <w:gridCol w:w="597"/>
        <w:gridCol w:w="881"/>
        <w:gridCol w:w="1660"/>
        <w:gridCol w:w="559"/>
        <w:gridCol w:w="284"/>
        <w:gridCol w:w="520"/>
        <w:gridCol w:w="412"/>
        <w:gridCol w:w="464"/>
        <w:gridCol w:w="614"/>
        <w:gridCol w:w="473"/>
        <w:gridCol w:w="614"/>
      </w:tblGrid>
      <w:tr>
        <w:tblPrEx>
          <w:tblLayout w:type="fixed"/>
          <w:tblCellMar>
            <w:top w:w="36" w:type="dxa"/>
            <w:left w:w="36" w:type="dxa"/>
            <w:bottom w:w="36" w:type="dxa"/>
            <w:right w:w="36" w:type="dxa"/>
          </w:tblCellMar>
        </w:tblPrEx>
        <w:trPr>
          <w:trHeight w:val="420"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i w:val="0"/>
                <w:sz w:val="18"/>
              </w:rPr>
              <w:t>项目支出绩效自评表</w:t>
            </w:r>
          </w:p>
        </w:tc>
      </w:tr>
      <w:tr>
        <w:tblPrEx>
          <w:tblLayout w:type="fixed"/>
          <w:tblCellMar>
            <w:top w:w="36" w:type="dxa"/>
            <w:left w:w="36" w:type="dxa"/>
            <w:bottom w:w="36" w:type="dxa"/>
            <w:right w:w="36" w:type="dxa"/>
          </w:tblCellMar>
        </w:tblPrEx>
        <w:trPr>
          <w:trHeight w:val="400"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(2025年度)</w:t>
            </w:r>
          </w:p>
        </w:tc>
      </w:tr>
      <w:tr>
        <w:tblPrEx>
          <w:tblLayout w:type="fixed"/>
          <w:tblCellMar>
            <w:top w:w="36" w:type="dxa"/>
            <w:left w:w="36" w:type="dxa"/>
            <w:bottom w:w="36" w:type="dxa"/>
            <w:right w:w="36" w:type="dxa"/>
          </w:tblCellMar>
        </w:tblPrEx>
        <w:trPr>
          <w:trHeight w:val="499" w:hRule="atLeast"/>
        </w:trPr>
        <w:tc>
          <w:tcPr>
            <w:tcW w:w="12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项目名称</w:t>
            </w:r>
          </w:p>
        </w:tc>
        <w:tc>
          <w:tcPr>
            <w:tcW w:w="7078"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关于下达2025年提高自治区财政供养离休人员医疗费用周转金补助资金的通知</w:t>
            </w:r>
          </w:p>
        </w:tc>
      </w:tr>
      <w:tr>
        <w:tblPrEx>
          <w:tblLayout w:type="fixed"/>
          <w:tblCellMar>
            <w:top w:w="36" w:type="dxa"/>
            <w:left w:w="36" w:type="dxa"/>
            <w:bottom w:w="36" w:type="dxa"/>
            <w:right w:w="36" w:type="dxa"/>
          </w:tblCellMar>
        </w:tblPrEx>
        <w:trPr>
          <w:trHeight w:val="499" w:hRule="atLeast"/>
        </w:trPr>
        <w:tc>
          <w:tcPr>
            <w:tcW w:w="12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主管部门</w:t>
            </w:r>
          </w:p>
        </w:tc>
        <w:tc>
          <w:tcPr>
            <w:tcW w:w="14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乌鲁木齐市医疗保障局</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实施单位</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乌鲁木齐市医疗保障事业发展中心</w:t>
            </w:r>
          </w:p>
        </w:tc>
      </w:tr>
      <w:tr>
        <w:tblPrEx>
          <w:tblLayout w:type="fixed"/>
          <w:tblCellMar>
            <w:top w:w="36" w:type="dxa"/>
            <w:left w:w="36" w:type="dxa"/>
            <w:bottom w:w="36" w:type="dxa"/>
            <w:right w:w="36" w:type="dxa"/>
          </w:tblCellMar>
        </w:tblPrEx>
        <w:trPr>
          <w:trHeight w:val="499" w:hRule="atLeast"/>
        </w:trPr>
        <w:tc>
          <w:tcPr>
            <w:tcW w:w="122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项目资金
（万元）</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年初预算数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全年预算数</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全年执行数</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分值</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执行率</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得分</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年度资金总额</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127.30</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127.30</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125.30</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98.43%</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9.84分</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其中：当年财政拨款</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127.30</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127.30</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125.30</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其他资金</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年度总体目标</w:t>
            </w:r>
          </w:p>
        </w:tc>
        <w:tc>
          <w:tcPr>
            <w:tcW w:w="3752"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预期目标</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实际完成情况</w:t>
            </w:r>
          </w:p>
        </w:tc>
      </w:tr>
      <w:tr>
        <w:tblPrEx>
          <w:tblLayout w:type="fixed"/>
          <w:tblCellMar>
            <w:top w:w="36" w:type="dxa"/>
            <w:left w:w="36" w:type="dxa"/>
            <w:bottom w:w="36" w:type="dxa"/>
            <w:right w:w="36" w:type="dxa"/>
          </w:tblCellMar>
        </w:tblPrEx>
        <w:trPr>
          <w:trHeight w:val="243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3752" w:type="dxa"/>
            <w:gridSpan w:val="4"/>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通过对离休人员提高周转金保障，实现：1.离休人员待遇享受人数不超过316人.2.年初将离休人员周转金及时发放到位，保障离休人员及时享受医保待遇。3.继续落实提高离休人员医疗费定额奖励机制，按政策规定合理使用离休基金。</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截至2025年底，该项目实际完成311名离休人员周转金发放，其中：抗战时期离休干部待遇享受人数9人，解放战争离休干部（建国前工人）待遇享受人数302人，医疗保险待遇发放准确率达100%，项目实际支出125.3万元，通过项目实施保障离休人员及时享受医保待遇。落实提高离休人员医疗费定额奖励机制，按政策规定合理使用离休基金。</w:t>
            </w:r>
          </w:p>
        </w:tc>
      </w:tr>
      <w:tr>
        <w:tblPrEx>
          <w:tblLayout w:type="fixed"/>
          <w:tblCellMar>
            <w:top w:w="36" w:type="dxa"/>
            <w:left w:w="36" w:type="dxa"/>
            <w:bottom w:w="36" w:type="dxa"/>
            <w:right w:w="36" w:type="dxa"/>
          </w:tblCellMar>
        </w:tblPrEx>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一级指标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二级指标</w:t>
            </w:r>
          </w:p>
        </w:tc>
        <w:tc>
          <w:tcPr>
            <w:tcW w:w="88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三级指标</w:t>
            </w:r>
          </w:p>
        </w:tc>
        <w:tc>
          <w:tcPr>
            <w:tcW w:w="166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年度指标值</w:t>
            </w:r>
          </w:p>
        </w:tc>
        <w:tc>
          <w:tcPr>
            <w:tcW w:w="843" w:type="dxa"/>
            <w:gridSpan w:val="2"/>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分值</w:t>
            </w:r>
          </w:p>
        </w:tc>
        <w:tc>
          <w:tcPr>
            <w:tcW w:w="520"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得分</w:t>
            </w:r>
          </w:p>
        </w:tc>
        <w:tc>
          <w:tcPr>
            <w:tcW w:w="41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实际完成值</w:t>
            </w:r>
          </w:p>
        </w:tc>
        <w:tc>
          <w:tcPr>
            <w:tcW w:w="107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偏差原因分析及改进措施</w:t>
            </w:r>
          </w:p>
        </w:tc>
        <w:tc>
          <w:tcPr>
            <w:tcW w:w="47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完成率</w:t>
            </w: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指标性质</w:t>
            </w:r>
          </w:p>
        </w:tc>
      </w:tr>
      <w:tr>
        <w:tblPrEx>
          <w:tblLayout w:type="fixed"/>
          <w:tblCellMar>
            <w:top w:w="36" w:type="dxa"/>
            <w:left w:w="36" w:type="dxa"/>
            <w:bottom w:w="36" w:type="dxa"/>
            <w:right w:w="36" w:type="dxa"/>
          </w:tblCellMar>
        </w:tblPrEx>
        <w:trPr>
          <w:trHeight w:val="345"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66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4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2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412"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07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47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r>
      <w:tr>
        <w:tblPrEx>
          <w:tblLayout w:type="fixed"/>
          <w:tblCellMar>
            <w:top w:w="36" w:type="dxa"/>
            <w:left w:w="36" w:type="dxa"/>
            <w:bottom w:w="36" w:type="dxa"/>
            <w:right w:w="36" w:type="dxa"/>
          </w:tblCellMar>
        </w:tblPrEx>
        <w:trPr>
          <w:trHeight w:val="580" w:hRule="atLeast"/>
        </w:trPr>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年度绩效指标完成情况</w:t>
            </w: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产出指标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数量指标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抗战时期离休干部待遇享受人数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&lt;=9人</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=9人</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解放战争离休干部（建国前工人）待遇享受人数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&lt;=307人</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=302人</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4人死亡，1人无法确定生存状态</w:t>
            </w: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质量指标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医疗保险待遇发放准确率</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下拨经费符合相关政策规定比率</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时效指标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及时发放，按标准足额保障离休人员享受医保待遇</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成本指标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经济成本指标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抗战时期离休人员医疗补助费用提高标准</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=0.50万元/年/人</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=0.5万元/年/人</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解放战争（建国前工人）离休人员医疗补助费用提高标准</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=0.40万元/年/人</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=0.4万元/年/人</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效益指标</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社会效益指标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基金使用符合政策规定，充分发挥社会保障的职能作用</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持续推动</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20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20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基本达成目标</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定性</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满意度指标</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满意度指标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医疗保险待遇享受人员满意度</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&gt;=98%</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提高周转金补助资金标准</w:t>
            </w: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499" w:hRule="atLeast"/>
        </w:trPr>
        <w:tc>
          <w:tcPr>
            <w:tcW w:w="4366"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总分</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99.84</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r>
    </w:tbl>
    <w:p>
      <w:r>
        <w:br w:type="page"/>
      </w:r>
    </w:p>
    <w:tbl>
      <w:tblPr>
        <w:tblStyle w:val="8"/>
        <w:tblW w:w="8306" w:type="dxa"/>
        <w:tblInd w:w="0" w:type="dxa"/>
        <w:tblLayout w:type="fixed"/>
        <w:tblCellMar>
          <w:top w:w="36" w:type="dxa"/>
          <w:left w:w="36" w:type="dxa"/>
          <w:bottom w:w="36" w:type="dxa"/>
          <w:right w:w="36" w:type="dxa"/>
        </w:tblCellMar>
      </w:tblPr>
      <w:tblGrid>
        <w:gridCol w:w="614"/>
        <w:gridCol w:w="614"/>
        <w:gridCol w:w="597"/>
        <w:gridCol w:w="881"/>
        <w:gridCol w:w="1660"/>
        <w:gridCol w:w="559"/>
        <w:gridCol w:w="284"/>
        <w:gridCol w:w="520"/>
        <w:gridCol w:w="412"/>
        <w:gridCol w:w="464"/>
        <w:gridCol w:w="614"/>
        <w:gridCol w:w="473"/>
        <w:gridCol w:w="614"/>
      </w:tblGrid>
      <w:tr>
        <w:tblPrEx>
          <w:tblLayout w:type="fixed"/>
          <w:tblCellMar>
            <w:top w:w="36" w:type="dxa"/>
            <w:left w:w="36" w:type="dxa"/>
            <w:bottom w:w="36" w:type="dxa"/>
            <w:right w:w="36" w:type="dxa"/>
          </w:tblCellMar>
        </w:tblPrEx>
        <w:trPr>
          <w:trHeight w:val="420"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i w:val="0"/>
                <w:sz w:val="18"/>
              </w:rPr>
              <w:t>项目支出绩效自评表</w:t>
            </w:r>
          </w:p>
        </w:tc>
      </w:tr>
      <w:tr>
        <w:tblPrEx>
          <w:tblLayout w:type="fixed"/>
          <w:tblCellMar>
            <w:top w:w="36" w:type="dxa"/>
            <w:left w:w="36" w:type="dxa"/>
            <w:bottom w:w="36" w:type="dxa"/>
            <w:right w:w="36" w:type="dxa"/>
          </w:tblCellMar>
        </w:tblPrEx>
        <w:trPr>
          <w:trHeight w:val="400"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(2025年度)</w:t>
            </w:r>
          </w:p>
        </w:tc>
      </w:tr>
      <w:tr>
        <w:tblPrEx>
          <w:tblLayout w:type="fixed"/>
          <w:tblCellMar>
            <w:top w:w="36" w:type="dxa"/>
            <w:left w:w="36" w:type="dxa"/>
            <w:bottom w:w="36" w:type="dxa"/>
            <w:right w:w="36" w:type="dxa"/>
          </w:tblCellMar>
        </w:tblPrEx>
        <w:trPr>
          <w:trHeight w:val="499" w:hRule="atLeast"/>
        </w:trPr>
        <w:tc>
          <w:tcPr>
            <w:tcW w:w="12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项目名称</w:t>
            </w:r>
          </w:p>
        </w:tc>
        <w:tc>
          <w:tcPr>
            <w:tcW w:w="7078"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困难人群长护险资助缴费</w:t>
            </w:r>
          </w:p>
        </w:tc>
      </w:tr>
      <w:tr>
        <w:tblPrEx>
          <w:tblLayout w:type="fixed"/>
          <w:tblCellMar>
            <w:top w:w="36" w:type="dxa"/>
            <w:left w:w="36" w:type="dxa"/>
            <w:bottom w:w="36" w:type="dxa"/>
            <w:right w:w="36" w:type="dxa"/>
          </w:tblCellMar>
        </w:tblPrEx>
        <w:trPr>
          <w:trHeight w:val="499" w:hRule="atLeast"/>
        </w:trPr>
        <w:tc>
          <w:tcPr>
            <w:tcW w:w="12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主管部门</w:t>
            </w:r>
          </w:p>
        </w:tc>
        <w:tc>
          <w:tcPr>
            <w:tcW w:w="14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乌鲁木齐市医疗保障局</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实施单位</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乌鲁木齐市医疗保障事业发展中心</w:t>
            </w:r>
          </w:p>
        </w:tc>
      </w:tr>
      <w:tr>
        <w:tblPrEx>
          <w:tblLayout w:type="fixed"/>
          <w:tblCellMar>
            <w:top w:w="36" w:type="dxa"/>
            <w:left w:w="36" w:type="dxa"/>
            <w:bottom w:w="36" w:type="dxa"/>
            <w:right w:w="36" w:type="dxa"/>
          </w:tblCellMar>
        </w:tblPrEx>
        <w:trPr>
          <w:trHeight w:val="499" w:hRule="atLeast"/>
        </w:trPr>
        <w:tc>
          <w:tcPr>
            <w:tcW w:w="122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项目资金
（万元）</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年初预算数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全年预算数</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全年执行数</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分值</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执行率</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得分</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年度资金总额</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48.00</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56.00</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54.60</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97.50%</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9.75分</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其中：当年财政拨款</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48.00</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56.00</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54.60</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其他资金</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年度总体目标</w:t>
            </w:r>
          </w:p>
        </w:tc>
        <w:tc>
          <w:tcPr>
            <w:tcW w:w="3752"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预期目标</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实际完成情况</w:t>
            </w:r>
          </w:p>
        </w:tc>
      </w:tr>
      <w:tr>
        <w:tblPrEx>
          <w:tblLayout w:type="fixed"/>
          <w:tblCellMar>
            <w:top w:w="36" w:type="dxa"/>
            <w:left w:w="36" w:type="dxa"/>
            <w:bottom w:w="36" w:type="dxa"/>
            <w:right w:w="36" w:type="dxa"/>
          </w:tblCellMar>
        </w:tblPrEx>
        <w:trPr>
          <w:trHeight w:val="243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3752" w:type="dxa"/>
            <w:gridSpan w:val="4"/>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1、全年资助参加城乡居民长期护理保险大于1.59万人；                                                                                 2、通过完善制度、加强监管实现居民长护基金的规范管理；                                                                                                                                                                                                                        3、加强居民长护险的执行实施，让更多的失能参保人员享受到居民长护险带</w:t>
            </w:r>
            <w:r>
              <w:rPr>
                <w:rFonts w:hint="eastAsia" w:ascii="宋体" w:hAnsi="宋体" w:cs="宋体"/>
                <w:b w:val="0"/>
                <w:i w:val="0"/>
                <w:sz w:val="18"/>
                <w:lang w:eastAsia="zh-CN"/>
              </w:rPr>
              <w:t>来</w:t>
            </w:r>
            <w:r>
              <w:rPr>
                <w:rFonts w:ascii="宋体" w:hAnsi="宋体" w:eastAsia="宋体" w:cs="宋体"/>
                <w:b w:val="0"/>
                <w:i w:val="0"/>
                <w:sz w:val="18"/>
              </w:rPr>
              <w:t>的福利。</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截至2025年底，该项目实际完成城乡居民长期护理保险资助参保1.59万人，其中：第一类资助参保人数0.23万人，第二类资助参保人数1.3万人，第三类资助参保人数0.06万人，项目实际支出54.60万元，通过项目实施让更多的失能参保人员享受到居民长护险带</w:t>
            </w:r>
            <w:r>
              <w:rPr>
                <w:rFonts w:hint="eastAsia" w:ascii="宋体" w:hAnsi="宋体" w:cs="宋体"/>
                <w:b w:val="0"/>
                <w:i w:val="0"/>
                <w:sz w:val="18"/>
                <w:lang w:eastAsia="zh-CN"/>
              </w:rPr>
              <w:t>来</w:t>
            </w:r>
            <w:bookmarkStart w:id="0" w:name="_GoBack"/>
            <w:bookmarkEnd w:id="0"/>
            <w:r>
              <w:rPr>
                <w:rFonts w:ascii="宋体" w:hAnsi="宋体" w:eastAsia="宋体" w:cs="宋体"/>
                <w:b w:val="0"/>
                <w:i w:val="0"/>
                <w:sz w:val="18"/>
              </w:rPr>
              <w:t>的福利。</w:t>
            </w:r>
          </w:p>
        </w:tc>
      </w:tr>
      <w:tr>
        <w:tblPrEx>
          <w:tblLayout w:type="fixed"/>
          <w:tblCellMar>
            <w:top w:w="36" w:type="dxa"/>
            <w:left w:w="36" w:type="dxa"/>
            <w:bottom w:w="36" w:type="dxa"/>
            <w:right w:w="36" w:type="dxa"/>
          </w:tblCellMar>
        </w:tblPrEx>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一级指标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二级指标</w:t>
            </w:r>
          </w:p>
        </w:tc>
        <w:tc>
          <w:tcPr>
            <w:tcW w:w="88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三级指标</w:t>
            </w:r>
          </w:p>
        </w:tc>
        <w:tc>
          <w:tcPr>
            <w:tcW w:w="166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年度指标值</w:t>
            </w:r>
          </w:p>
        </w:tc>
        <w:tc>
          <w:tcPr>
            <w:tcW w:w="843" w:type="dxa"/>
            <w:gridSpan w:val="2"/>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分值</w:t>
            </w:r>
          </w:p>
        </w:tc>
        <w:tc>
          <w:tcPr>
            <w:tcW w:w="520"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得分</w:t>
            </w:r>
          </w:p>
        </w:tc>
        <w:tc>
          <w:tcPr>
            <w:tcW w:w="41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实际完成值</w:t>
            </w:r>
          </w:p>
        </w:tc>
        <w:tc>
          <w:tcPr>
            <w:tcW w:w="107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偏差原因分析及改进措施</w:t>
            </w:r>
          </w:p>
        </w:tc>
        <w:tc>
          <w:tcPr>
            <w:tcW w:w="47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完成率</w:t>
            </w: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指标性质</w:t>
            </w:r>
          </w:p>
        </w:tc>
      </w:tr>
      <w:tr>
        <w:tblPrEx>
          <w:tblLayout w:type="fixed"/>
          <w:tblCellMar>
            <w:top w:w="36" w:type="dxa"/>
            <w:left w:w="36" w:type="dxa"/>
            <w:bottom w:w="36" w:type="dxa"/>
            <w:right w:w="36" w:type="dxa"/>
          </w:tblCellMar>
        </w:tblPrEx>
        <w:trPr>
          <w:trHeight w:val="345"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66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4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2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412"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07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47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r>
      <w:tr>
        <w:tblPrEx>
          <w:tblLayout w:type="fixed"/>
          <w:tblCellMar>
            <w:top w:w="36" w:type="dxa"/>
            <w:left w:w="36" w:type="dxa"/>
            <w:bottom w:w="36" w:type="dxa"/>
            <w:right w:w="36" w:type="dxa"/>
          </w:tblCellMar>
        </w:tblPrEx>
        <w:trPr>
          <w:trHeight w:val="580" w:hRule="atLeast"/>
        </w:trPr>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年度绩效指标完成情况</w:t>
            </w: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产出指标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数量指标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第一类资助参保人数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&gt;=0.23万人</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=0.23万人</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第二类资助参保人数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&gt;=1.3万人</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=1.3万人</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第三类资助参保人数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&gt;=0.06万人</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=0.06万人</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质量指标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全日制居家护理补偿率</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&gt;=50%</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=53.27%</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严格按照文件规定，按照重度失能人员等级给予补偿</w:t>
            </w: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全日制定点机构护理补偿率</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&gt;=45%</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=48.95%</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严格按照文件规定，按照重度失能人员等级给予补偿</w:t>
            </w: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时效指标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资助资金发放及时率</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效益指标</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社会效益指标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困难群众医疗费负担减轻程度</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有效缓解</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基本达成目标</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定性</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满意度指标</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满意度指标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困难人群满意度</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&gt;=90%</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加大对困难人群医保政策宣讲力度</w:t>
            </w: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499" w:hRule="atLeast"/>
        </w:trPr>
        <w:tc>
          <w:tcPr>
            <w:tcW w:w="4366"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总分</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99.75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r>
    </w:tbl>
    <w:p>
      <w:r>
        <w:br w:type="page"/>
      </w:r>
    </w:p>
    <w:tbl>
      <w:tblPr>
        <w:tblStyle w:val="8"/>
        <w:tblW w:w="8306" w:type="dxa"/>
        <w:tblInd w:w="0" w:type="dxa"/>
        <w:tblLayout w:type="fixed"/>
        <w:tblCellMar>
          <w:top w:w="36" w:type="dxa"/>
          <w:left w:w="36" w:type="dxa"/>
          <w:bottom w:w="36" w:type="dxa"/>
          <w:right w:w="36" w:type="dxa"/>
        </w:tblCellMar>
      </w:tblPr>
      <w:tblGrid>
        <w:gridCol w:w="614"/>
        <w:gridCol w:w="614"/>
        <w:gridCol w:w="597"/>
        <w:gridCol w:w="881"/>
        <w:gridCol w:w="1660"/>
        <w:gridCol w:w="559"/>
        <w:gridCol w:w="284"/>
        <w:gridCol w:w="520"/>
        <w:gridCol w:w="412"/>
        <w:gridCol w:w="464"/>
        <w:gridCol w:w="614"/>
        <w:gridCol w:w="473"/>
        <w:gridCol w:w="614"/>
      </w:tblGrid>
      <w:tr>
        <w:tblPrEx>
          <w:tblLayout w:type="fixed"/>
          <w:tblCellMar>
            <w:top w:w="36" w:type="dxa"/>
            <w:left w:w="36" w:type="dxa"/>
            <w:bottom w:w="36" w:type="dxa"/>
            <w:right w:w="36" w:type="dxa"/>
          </w:tblCellMar>
        </w:tblPrEx>
        <w:trPr>
          <w:trHeight w:val="420"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i w:val="0"/>
                <w:sz w:val="18"/>
              </w:rPr>
              <w:t>项目支出绩效自评表</w:t>
            </w:r>
          </w:p>
        </w:tc>
      </w:tr>
      <w:tr>
        <w:tblPrEx>
          <w:tblLayout w:type="fixed"/>
          <w:tblCellMar>
            <w:top w:w="36" w:type="dxa"/>
            <w:left w:w="36" w:type="dxa"/>
            <w:bottom w:w="36" w:type="dxa"/>
            <w:right w:w="36" w:type="dxa"/>
          </w:tblCellMar>
        </w:tblPrEx>
        <w:trPr>
          <w:trHeight w:val="400"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(2025年度)</w:t>
            </w:r>
          </w:p>
        </w:tc>
      </w:tr>
      <w:tr>
        <w:tblPrEx>
          <w:tblLayout w:type="fixed"/>
          <w:tblCellMar>
            <w:top w:w="36" w:type="dxa"/>
            <w:left w:w="36" w:type="dxa"/>
            <w:bottom w:w="36" w:type="dxa"/>
            <w:right w:w="36" w:type="dxa"/>
          </w:tblCellMar>
        </w:tblPrEx>
        <w:trPr>
          <w:trHeight w:val="499" w:hRule="atLeast"/>
        </w:trPr>
        <w:tc>
          <w:tcPr>
            <w:tcW w:w="12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项目名称</w:t>
            </w:r>
          </w:p>
        </w:tc>
        <w:tc>
          <w:tcPr>
            <w:tcW w:w="7078"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辅助履职人员支出</w:t>
            </w:r>
          </w:p>
        </w:tc>
      </w:tr>
      <w:tr>
        <w:tblPrEx>
          <w:tblLayout w:type="fixed"/>
          <w:tblCellMar>
            <w:top w:w="36" w:type="dxa"/>
            <w:left w:w="36" w:type="dxa"/>
            <w:bottom w:w="36" w:type="dxa"/>
            <w:right w:w="36" w:type="dxa"/>
          </w:tblCellMar>
        </w:tblPrEx>
        <w:trPr>
          <w:trHeight w:val="499" w:hRule="atLeast"/>
        </w:trPr>
        <w:tc>
          <w:tcPr>
            <w:tcW w:w="12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主管部门</w:t>
            </w:r>
          </w:p>
        </w:tc>
        <w:tc>
          <w:tcPr>
            <w:tcW w:w="14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乌鲁木齐市医疗保障局</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实施单位</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乌鲁木齐市医疗保障事业发展中心</w:t>
            </w:r>
          </w:p>
        </w:tc>
      </w:tr>
      <w:tr>
        <w:tblPrEx>
          <w:tblLayout w:type="fixed"/>
          <w:tblCellMar>
            <w:top w:w="36" w:type="dxa"/>
            <w:left w:w="36" w:type="dxa"/>
            <w:bottom w:w="36" w:type="dxa"/>
            <w:right w:w="36" w:type="dxa"/>
          </w:tblCellMar>
        </w:tblPrEx>
        <w:trPr>
          <w:trHeight w:val="499" w:hRule="atLeast"/>
        </w:trPr>
        <w:tc>
          <w:tcPr>
            <w:tcW w:w="122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项目资金
（万元）</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年初预算数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全年预算数</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全年执行数</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分值</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执行率</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得分</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年度资金总额</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28.56</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28.19</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28.02</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99.40%</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9.94分</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其中：当年财政拨款</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28.56</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28.19</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28.02</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其他资金</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年度总体目标</w:t>
            </w:r>
          </w:p>
        </w:tc>
        <w:tc>
          <w:tcPr>
            <w:tcW w:w="3752"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预期目标</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实际完成情况</w:t>
            </w:r>
          </w:p>
        </w:tc>
      </w:tr>
      <w:tr>
        <w:tblPrEx>
          <w:tblLayout w:type="fixed"/>
          <w:tblCellMar>
            <w:top w:w="36" w:type="dxa"/>
            <w:left w:w="36" w:type="dxa"/>
            <w:bottom w:w="36" w:type="dxa"/>
            <w:right w:w="36" w:type="dxa"/>
          </w:tblCellMar>
        </w:tblPrEx>
        <w:trPr>
          <w:trHeight w:val="243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3752" w:type="dxa"/>
            <w:gridSpan w:val="4"/>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聘请专家4名就慢性病诊断标准及专业资料进行把关。</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截至2025年底，该项目实际完成后勤辅助人员数量4人，后勤辅助人员到岗率95.83%，项目实际支出28.02万元，通过项目实施促进单位工作有序开展，加对全市慢性病历及医保稽核、现金报销附加病历开展专业评估，有效保证了慢病审核的准确率从而保障医保基金安全。</w:t>
            </w:r>
          </w:p>
        </w:tc>
      </w:tr>
      <w:tr>
        <w:tblPrEx>
          <w:tblLayout w:type="fixed"/>
          <w:tblCellMar>
            <w:top w:w="36" w:type="dxa"/>
            <w:left w:w="36" w:type="dxa"/>
            <w:bottom w:w="36" w:type="dxa"/>
            <w:right w:w="36" w:type="dxa"/>
          </w:tblCellMar>
        </w:tblPrEx>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一级指标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二级指标</w:t>
            </w:r>
          </w:p>
        </w:tc>
        <w:tc>
          <w:tcPr>
            <w:tcW w:w="88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三级指标</w:t>
            </w:r>
          </w:p>
        </w:tc>
        <w:tc>
          <w:tcPr>
            <w:tcW w:w="166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年度指标值</w:t>
            </w:r>
          </w:p>
        </w:tc>
        <w:tc>
          <w:tcPr>
            <w:tcW w:w="843" w:type="dxa"/>
            <w:gridSpan w:val="2"/>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分值</w:t>
            </w:r>
          </w:p>
        </w:tc>
        <w:tc>
          <w:tcPr>
            <w:tcW w:w="520"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得分</w:t>
            </w:r>
          </w:p>
        </w:tc>
        <w:tc>
          <w:tcPr>
            <w:tcW w:w="41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实际完成值</w:t>
            </w:r>
          </w:p>
        </w:tc>
        <w:tc>
          <w:tcPr>
            <w:tcW w:w="107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偏差原因分析及改进措施</w:t>
            </w:r>
          </w:p>
        </w:tc>
        <w:tc>
          <w:tcPr>
            <w:tcW w:w="47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完成率</w:t>
            </w: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指标性质</w:t>
            </w:r>
          </w:p>
        </w:tc>
      </w:tr>
      <w:tr>
        <w:tblPrEx>
          <w:tblLayout w:type="fixed"/>
          <w:tblCellMar>
            <w:top w:w="36" w:type="dxa"/>
            <w:left w:w="36" w:type="dxa"/>
            <w:bottom w:w="36" w:type="dxa"/>
            <w:right w:w="36" w:type="dxa"/>
          </w:tblCellMar>
        </w:tblPrEx>
        <w:trPr>
          <w:trHeight w:val="345"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66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4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2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412"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07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47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r>
      <w:tr>
        <w:tblPrEx>
          <w:tblLayout w:type="fixed"/>
          <w:tblCellMar>
            <w:top w:w="36" w:type="dxa"/>
            <w:left w:w="36" w:type="dxa"/>
            <w:bottom w:w="36" w:type="dxa"/>
            <w:right w:w="36" w:type="dxa"/>
          </w:tblCellMar>
        </w:tblPrEx>
        <w:trPr>
          <w:trHeight w:val="580" w:hRule="atLeast"/>
        </w:trPr>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年度绩效指标完成情况</w:t>
            </w: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产出指标</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数量指标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后勤辅助人员数量</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=4人</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20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20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=4人</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质量指标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后勤辅助人员到岗率</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&gt;=90%</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=95.83%</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因1月和9月分别有1名专家请假，导致未能全勤，其余月份均为全勤，实际到岗率=实际出勤人次46人次÷全勤人次48人次（全勤为4人次/月*12月）=95.83%，与目标值产生偏差6.47%。</w:t>
            </w: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时效指标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资金发放及时率（%）</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1月、9月分别有专家请假，劳务费发放按照出勤天数进行计算，因此有未执行的金额。</w:t>
            </w: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成本指标</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经济成本指标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后勤辅助人员每月工资小计</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&lt;=2.34万元</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20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20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=2.34万元</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效益指标</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社会效益指标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促进单位工作有序开展</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有效促进</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基本达成目标</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定性</w:t>
            </w:r>
          </w:p>
        </w:tc>
      </w:tr>
      <w:tr>
        <w:tblPrEx>
          <w:tblLayout w:type="fixed"/>
          <w:tblCellMar>
            <w:top w:w="36" w:type="dxa"/>
            <w:left w:w="36" w:type="dxa"/>
            <w:bottom w:w="36" w:type="dxa"/>
            <w:right w:w="36" w:type="dxa"/>
          </w:tblCellMar>
        </w:tblPrEx>
        <w:trPr>
          <w:trHeight w:val="499" w:hRule="atLeast"/>
        </w:trPr>
        <w:tc>
          <w:tcPr>
            <w:tcW w:w="4366"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总分</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99.94</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600" w:lineRule="exact"/>
        <w:jc w:val="center"/>
        <w:outlineLvl w:val="0"/>
      </w:pPr>
      <w:r>
        <w:rPr>
          <w:rFonts w:ascii="黑体" w:hAnsi="黑体" w:eastAsia="黑体"/>
          <w:sz w:val="32"/>
        </w:rPr>
        <w:t>第三部分 专业名词解释</w:t>
      </w:r>
    </w:p>
    <w:p>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autoSpaceDE w:val="0"/>
        <w:autoSpaceDN w:val="0"/>
        <w:spacing w:line="600" w:lineRule="exact"/>
        <w:ind w:firstLine="640" w:firstLineChars="200"/>
      </w:pPr>
      <w:r>
        <w:rPr>
          <w:rFonts w:ascii="仿宋_GB2312" w:hAnsi="仿宋_GB2312" w:eastAsia="仿宋_GB2312"/>
          <w:b w:val="0"/>
          <w:sz w:val="32"/>
        </w:rPr>
        <w:t>一、《收入支出决算总表》</w:t>
      </w:r>
    </w:p>
    <w:p>
      <w:pPr>
        <w:autoSpaceDE w:val="0"/>
        <w:autoSpaceDN w:val="0"/>
        <w:spacing w:line="600" w:lineRule="exact"/>
        <w:ind w:firstLine="640" w:firstLineChars="200"/>
      </w:pPr>
      <w:r>
        <w:rPr>
          <w:rFonts w:ascii="仿宋_GB2312" w:hAnsi="仿宋_GB2312" w:eastAsia="仿宋_GB2312"/>
          <w:b w:val="0"/>
          <w:sz w:val="32"/>
        </w:rPr>
        <w:t>二、《收入决算表》</w:t>
      </w:r>
    </w:p>
    <w:p>
      <w:pPr>
        <w:autoSpaceDE w:val="0"/>
        <w:autoSpaceDN w:val="0"/>
        <w:spacing w:line="600" w:lineRule="exact"/>
        <w:ind w:firstLine="640" w:firstLineChars="200"/>
      </w:pPr>
      <w:r>
        <w:rPr>
          <w:rFonts w:ascii="仿宋_GB2312" w:hAnsi="仿宋_GB2312" w:eastAsia="仿宋_GB2312"/>
          <w:b w:val="0"/>
          <w:sz w:val="32"/>
        </w:rPr>
        <w:t>三、《支出决算表》</w:t>
      </w:r>
    </w:p>
    <w:p>
      <w:pPr>
        <w:autoSpaceDE w:val="0"/>
        <w:autoSpaceDN w:val="0"/>
        <w:spacing w:line="600" w:lineRule="exact"/>
        <w:ind w:firstLine="640" w:firstLineChars="200"/>
      </w:pPr>
      <w:r>
        <w:rPr>
          <w:rFonts w:ascii="仿宋_GB2312" w:hAnsi="仿宋_GB2312" w:eastAsia="仿宋_GB2312"/>
          <w:b w:val="0"/>
          <w:sz w:val="32"/>
        </w:rPr>
        <w:t>四、《财政拨款收入支出决算总表》</w:t>
      </w:r>
    </w:p>
    <w:p>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pPr>
        <w:autoSpaceDE w:val="0"/>
        <w:autoSpaceDN w:val="0"/>
        <w:spacing w:line="600" w:lineRule="exact"/>
        <w:ind w:firstLine="640" w:firstLineChars="200"/>
      </w:pPr>
    </w:p>
    <w:p>
      <w:pPr>
        <w:autoSpaceDE w:val="0"/>
        <w:autoSpaceDN w:val="0"/>
        <w:spacing w:line="600" w:lineRule="exact"/>
        <w:ind w:firstLine="640" w:firstLineChars="200"/>
      </w:pPr>
    </w:p>
    <w:p>
      <w:pPr>
        <w:autoSpaceDE w:val="0"/>
        <w:autoSpaceDN w:val="0"/>
        <w:spacing w:line="600" w:lineRule="exact"/>
        <w:ind w:firstLine="640" w:firstLineChars="200"/>
      </w:pPr>
    </w:p>
    <w:p>
      <w:pPr>
        <w:autoSpaceDE w:val="0"/>
        <w:autoSpaceDN w:val="0"/>
        <w:spacing w:line="600" w:lineRule="exact"/>
        <w:ind w:firstLine="640" w:firstLineChars="200"/>
      </w:pPr>
    </w:p>
    <w:p>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D15D703-5E8B-446F-93E1-71D35E30D546}"/>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embedRegular r:id="rId2" w:fontKey="{308776E6-9F24-49B2-AF67-E00963B5B815}"/>
  </w:font>
  <w:font w:name="仿宋_GB2312">
    <w:panose1 w:val="02010609030101010101"/>
    <w:charset w:val="86"/>
    <w:family w:val="modern"/>
    <w:pitch w:val="default"/>
    <w:sig w:usb0="00000001" w:usb1="080E0000" w:usb2="00000000" w:usb3="00000000" w:csb0="00040000" w:csb1="00000000"/>
    <w:embedRegular r:id="rId3" w:fontKey="{FEC40224-542A-49D9-A47E-9EC34AA0B963}"/>
  </w:font>
  <w:font w:name="楷体_GB2312">
    <w:panose1 w:val="02010609030101010101"/>
    <w:charset w:val="86"/>
    <w:family w:val="auto"/>
    <w:pitch w:val="default"/>
    <w:sig w:usb0="00000001" w:usb1="080E0000" w:usb2="00000000" w:usb3="00000000" w:csb0="00040000" w:csb1="00000000"/>
    <w:embedRegular r:id="rId4" w:fontKey="{8F9EFCB9-B560-41CC-8F16-5C01469F4E6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ql5uc8AAAAFAQAADwAAAAAAAAABACAAAAAiAAAAZHJzL2Rvd25yZXYueG1sUEsBAhQAFAAAAAgA&#10;h07iQBbUj9C8AQAAZAMAAA4AAAAAAAAAAQAgAAAAHgEAAGRycy9lMm9Eb2MueG1sUEsFBgAAAAAG&#10;AAYAWQEAAEwFAAAAAA==&#10;">
              <v:fill on="f" focussize="0,0"/>
              <v:stroke on="f"/>
              <v:imagedata o:title=""/>
              <o:lock v:ext="edit" aspectratio="f"/>
              <v:textbox inset="0mm,0mm,0mm,0mm" style="mso-fit-shape-to-text:t;">
                <w:txbxContent>
                  <w:p>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2A80AB5"/>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10</TotalTime>
  <ScaleCrop>false</ScaleCrop>
  <LinksUpToDate>false</LinksUpToDate>
  <CharactersWithSpaces>543</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Administrator</cp:lastModifiedBy>
  <cp:lastPrinted>2024-07-22T11:58:00Z</cp:lastPrinted>
  <dcterms:modified xsi:type="dcterms:W3CDTF">2026-09-21T12:10:57Z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