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乌鲁木齐市医疗保障局（本级）</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（一）贯彻执行国家、自治区和我市有关医疗保障工作的方针、政策和法律、法规，起草有关地方性法规、规章草案和政策措施，拟订医疗保障中长期规划和年度计划，并组织实施和监督检查。</w:t>
      </w:r>
    </w:p>
    <w:p>
      <w:pPr>
        <w:spacing w:line="580" w:lineRule="exact"/>
        <w:ind w:firstLine="640"/>
        <w:jc w:val="both"/>
      </w:pPr>
      <w:r>
        <w:rPr>
          <w:rFonts w:ascii="仿宋_GB2312" w:hAnsi="仿宋_GB2312" w:eastAsia="仿宋_GB2312"/>
          <w:sz w:val="32"/>
        </w:rPr>
        <w:t>（二）贯彻实施国家和自治区医疗保险、生育保险、医疗救助等医疗保障制度；拟订大额医疗补助、公务员医疗补助、企事业单位补充医疗保险、离休人员和优抚对象医疗保障等政策、管理办法并组织实施；拟订并组织实施我市医疗保险、生育保险等政策。</w:t>
      </w:r>
    </w:p>
    <w:p>
      <w:pPr>
        <w:spacing w:line="580" w:lineRule="exact"/>
        <w:ind w:firstLine="640"/>
        <w:jc w:val="both"/>
      </w:pPr>
      <w:r>
        <w:rPr>
          <w:rFonts w:ascii="仿宋_GB2312" w:hAnsi="仿宋_GB2312" w:eastAsia="仿宋_GB2312"/>
          <w:sz w:val="32"/>
        </w:rPr>
        <w:t>（三）组织制定并实施医疗保障基金监督管理办法，建立健全医疗保障基金安全防控机制，承担推进医疗保障基金支付方式改革工作，编制全市医疗保障基金预决算草案。</w:t>
      </w:r>
    </w:p>
    <w:p>
      <w:pPr>
        <w:spacing w:line="580" w:lineRule="exact"/>
        <w:ind w:firstLine="640"/>
        <w:jc w:val="both"/>
      </w:pPr>
      <w:r>
        <w:rPr>
          <w:rFonts w:ascii="仿宋_GB2312" w:hAnsi="仿宋_GB2312" w:eastAsia="仿宋_GB2312"/>
          <w:sz w:val="32"/>
        </w:rPr>
        <w:t>（四）组织拟订医疗保障筹资和待遇政策，完善动态调整机制，统筹城乡医疗保障待遇标准，建立健全与筹资水平相适应的待遇调整机制；拟订贯彻长期护理保险制度改革的方案并组织实施。</w:t>
      </w:r>
    </w:p>
    <w:p>
      <w:pPr>
        <w:spacing w:line="580" w:lineRule="exact"/>
        <w:ind w:firstLine="640"/>
        <w:jc w:val="both"/>
      </w:pPr>
      <w:r>
        <w:rPr>
          <w:rFonts w:ascii="仿宋_GB2312" w:hAnsi="仿宋_GB2312" w:eastAsia="仿宋_GB2312"/>
          <w:sz w:val="32"/>
        </w:rPr>
        <w:t>（五）贯彻实施药品、医用耗材价格和医疗服务项目、医疗服务设施收费等政策，并监督实施；拟订药品、医用耗材的招标采购政策，并监督实施；建立医保支付医药服务价格合理确定和动态调整机制，建立市场主导的社会医药服务价格形成机制，建立医药服务价格信息监测和信息发布制度，指导药品、医用耗材招标采购工作。</w:t>
      </w:r>
    </w:p>
    <w:p>
      <w:pPr>
        <w:spacing w:line="580" w:lineRule="exact"/>
        <w:ind w:firstLine="640"/>
        <w:jc w:val="both"/>
      </w:pPr>
      <w:r>
        <w:rPr>
          <w:rFonts w:ascii="仿宋_GB2312" w:hAnsi="仿宋_GB2312" w:eastAsia="仿宋_GB2312"/>
          <w:sz w:val="32"/>
        </w:rPr>
        <w:t>（六）贯彻执行药品、医用耗材、医疗服务项目、医疗服务设施等医保目录和支付标准，建立动态调整机制。</w:t>
      </w:r>
    </w:p>
    <w:p>
      <w:pPr>
        <w:spacing w:line="580" w:lineRule="exact"/>
        <w:ind w:firstLine="640"/>
        <w:jc w:val="both"/>
      </w:pPr>
      <w:r>
        <w:rPr>
          <w:rFonts w:ascii="仿宋_GB2312" w:hAnsi="仿宋_GB2312" w:eastAsia="仿宋_GB2312"/>
          <w:sz w:val="32"/>
        </w:rPr>
        <w:t>（七）制定点医药机构协议和支付管理办法并组织实施，建立健全医疗保障信用评价体系和信息披露制度，监督管理纳入医保范围内的医疗服务行为和医疗费用，依法查处医疗保障、生育保险领域违法违规行为。</w:t>
      </w:r>
    </w:p>
    <w:p>
      <w:pPr>
        <w:spacing w:line="580" w:lineRule="exact"/>
        <w:ind w:firstLine="640"/>
        <w:jc w:val="both"/>
      </w:pPr>
      <w:r>
        <w:rPr>
          <w:rFonts w:ascii="仿宋_GB2312" w:hAnsi="仿宋_GB2312" w:eastAsia="仿宋_GB2312"/>
          <w:sz w:val="32"/>
        </w:rPr>
        <w:t>（八）负责医疗保障经办管理、公共服务体系和信息化建设；贯彻落实国家跨省异地就医管理和费用结算政策，落实自治区疆内异地就医和费用结算政策；建立健全医疗保障关系转移接续制度；指导医疗保障经办机构开展业务工作。</w:t>
      </w:r>
    </w:p>
    <w:p>
      <w:pPr>
        <w:spacing w:line="580" w:lineRule="exact"/>
        <w:ind w:firstLine="640"/>
        <w:jc w:val="both"/>
      </w:pPr>
      <w:r>
        <w:rPr>
          <w:rFonts w:ascii="仿宋_GB2312" w:hAnsi="仿宋_GB2312" w:eastAsia="仿宋_GB2312"/>
          <w:sz w:val="32"/>
        </w:rPr>
        <w:t>（九）承办市委、市人民政府交办的其他事项。</w:t>
      </w:r>
    </w:p>
    <w:p>
      <w:pPr>
        <w:spacing w:line="580" w:lineRule="exact"/>
        <w:ind w:firstLine="640"/>
        <w:jc w:val="both"/>
      </w:pPr>
      <w:r>
        <w:rPr>
          <w:rFonts w:ascii="仿宋_GB2312" w:hAnsi="仿宋_GB2312" w:eastAsia="仿宋_GB2312"/>
          <w:sz w:val="32"/>
        </w:rPr>
        <w:t>（十）职能转变。市医疗保障局应完善统一的城乡居民基本医疗保险制度和大病保险制度，建立健全覆盖全民、城乡统筹的多层次医疗保障体系，不断提高医疗保障水平，确保医保资金合理使用、安全可控，推进医疗、医保、医药“三医联动”改革，更好保障人民群众就医需求、减轻医药费用负担。</w:t>
      </w:r>
    </w:p>
    <w:p>
      <w:pPr>
        <w:spacing w:line="580" w:lineRule="exact"/>
        <w:ind w:firstLine="640"/>
        <w:jc w:val="both"/>
      </w:pPr>
      <w:r>
        <w:rPr>
          <w:rFonts w:ascii="仿宋_GB2312" w:hAnsi="仿宋_GB2312" w:eastAsia="仿宋_GB2312"/>
          <w:sz w:val="32"/>
        </w:rPr>
        <w:t>（十一）与市卫生健康委员会的有关职责分工。市卫生健康委员会、市医疗保障局等部门在医疗、医保、医药等方面加强制度、政策衔接，建立沟通协商机制，协同推进改革，提高医疗资源使用效率和医疗保障水平。</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乌鲁木齐市医疗保障局（本级）无下属预算单位。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2025年度收入总计1,175.19万元，</w:t>
      </w:r>
      <w:r>
        <w:rPr>
          <w:rFonts w:ascii="仿宋_GB2312" w:hAnsi="仿宋_GB2312" w:eastAsia="仿宋_GB2312"/>
          <w:b w:val="0"/>
          <w:sz w:val="32"/>
        </w:rPr>
        <w:t>其中：本年收入合计1,175.19万元，使用非财政拨款结余（含专用结余）0.00万元，年初结转和结余0.00万元。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2025年度支出总计1,175.19万元，</w:t>
      </w:r>
      <w:r>
        <w:rPr>
          <w:rFonts w:ascii="仿宋_GB2312" w:hAnsi="仿宋_GB2312" w:eastAsia="仿宋_GB2312"/>
          <w:b w:val="0"/>
          <w:sz w:val="32"/>
        </w:rPr>
        <w:t>其中：本年支出合计1,175.19万元，结余分配0.00万元，年末结转和结余0.00万元。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减少52.90万元，下降4.31%，主要原因是：本年减少综合业务费项目、中央财政医疗服务与保障能力提升补助项目资金。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本年收入1,175.19万元，</w:t>
      </w:r>
      <w:r>
        <w:rPr>
          <w:rFonts w:ascii="仿宋_GB2312" w:hAnsi="仿宋_GB2312" w:eastAsia="仿宋_GB2312"/>
          <w:b w:val="0"/>
          <w:sz w:val="32"/>
        </w:rPr>
        <w:t>其中：财政拨款收入1,175.19万元，占100.00%；上级补助收入0.00万元，占0.00%；事业收入0.00万元，占0.00%；经营收入0.00万元，占0.00%；附属单位上缴收入0.00万元，占0.00%；其他收入0.00万元，占0.00%。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本年支出1,175.19万元，</w:t>
      </w:r>
      <w:r>
        <w:rPr>
          <w:rFonts w:ascii="仿宋_GB2312" w:hAnsi="仿宋_GB2312" w:eastAsia="仿宋_GB2312"/>
          <w:b w:val="0"/>
          <w:sz w:val="32"/>
        </w:rPr>
        <w:t>其中：基本支出478.39万元，占40.71%；项目支出696.80万元，占59.29%；上缴上级支出0.00万元，占0.00%；经营支出0.00万元，占0.00%；对附属单位补助支出0.00万元，占0.00%。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2025年度财政拨款收入总计1,175.19万元，</w:t>
      </w:r>
      <w:r>
        <w:rPr>
          <w:rFonts w:ascii="仿宋_GB2312" w:hAnsi="仿宋_GB2312" w:eastAsia="仿宋_GB2312"/>
          <w:b w:val="0"/>
          <w:sz w:val="32"/>
        </w:rPr>
        <w:t>其中：年初财政拨款结转和结余0.00万元，本年财政拨款收入1,175.19万元。</w:t>
      </w:r>
      <w:r>
        <w:rPr>
          <w:rFonts w:ascii="仿宋_GB2312" w:hAnsi="仿宋_GB2312" w:eastAsia="仿宋_GB2312"/>
          <w:b/>
          <w:sz w:val="32"/>
        </w:rPr>
        <w:t>财政拨款支出总计1,175.19万元，</w:t>
      </w:r>
      <w:r>
        <w:rPr>
          <w:rFonts w:ascii="仿宋_GB2312" w:hAnsi="仿宋_GB2312" w:eastAsia="仿宋_GB2312"/>
          <w:b w:val="0"/>
          <w:sz w:val="32"/>
        </w:rPr>
        <w:t>其中：年末财政拨款结转和结余0.00万元，本年财政拨款支出1,175.19万元。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减少52.90万元，下降4.31%，主要原因是：本年减少中央财政医疗服务与保障能力提升补助资金项目资金。</w:t>
      </w:r>
      <w:r>
        <w:rPr>
          <w:rFonts w:ascii="仿宋_GB2312" w:hAnsi="仿宋_GB2312" w:eastAsia="仿宋_GB2312"/>
          <w:b/>
          <w:sz w:val="32"/>
        </w:rPr>
        <w:t>与年初预算相比，</w:t>
      </w:r>
      <w:r>
        <w:rPr>
          <w:rFonts w:ascii="仿宋_GB2312" w:hAnsi="仿宋_GB2312" w:eastAsia="仿宋_GB2312"/>
          <w:b w:val="0"/>
          <w:sz w:val="32"/>
        </w:rPr>
        <w:t>年初预算数1,014.46万元，决算数1,175.19万元，预决算差异率15.84%，主要原因是：本年在职人员增加，年中追加人员经费及人员工资、社保、公积金基数调增部分资金，年中追加2022年中央财政医疗服务与保障能力提升补助资金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事业发展等重点支出，体现在有关支出科目中。</w:t>
      </w:r>
    </w:p>
    <w:p>
      <w:pPr>
        <w:spacing w:line="580" w:lineRule="exact"/>
        <w:ind w:firstLine="640"/>
        <w:jc w:val="both"/>
      </w:pPr>
      <w:r>
        <w:rPr>
          <w:rFonts w:ascii="仿宋_GB2312" w:hAnsi="仿宋_GB2312" w:eastAsia="仿宋_GB2312"/>
          <w:b w:val="0"/>
          <w:sz w:val="32"/>
        </w:rPr>
        <w:t>按照支出功能分类，卫生健康支出（类）医疗保障管理事务（款）行政运行（项）的支出占本年财政拨款支出总额的比重最高，2025年度决算数为415.37万元，占比35.34%，主要用于人员工资福利、日常公用经费。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2025年度一般公共预算财政拨款支出1,175.19万元，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减少52.90万元，下降4.31%，主要原因是：本年减少综合业务费项目、中央财政医疗服务与保障能力提升补助项目资金。</w:t>
      </w:r>
      <w:r>
        <w:rPr>
          <w:rFonts w:ascii="仿宋_GB2312" w:hAnsi="仿宋_GB2312" w:eastAsia="仿宋_GB2312"/>
          <w:b/>
          <w:sz w:val="32"/>
        </w:rPr>
        <w:t>与年初预算相比，</w:t>
      </w:r>
      <w:r>
        <w:rPr>
          <w:rFonts w:ascii="仿宋_GB2312" w:hAnsi="仿宋_GB2312" w:eastAsia="仿宋_GB2312"/>
          <w:b w:val="0"/>
          <w:sz w:val="32"/>
        </w:rPr>
        <w:t>年初预算数1,014.46万元，决算数1,175.19万元，预决算差异率15.84%，主要原因是：本年在职人员增加，年中追加人员经费及人员工资、社保、公积金基数调增部分资金，年中追加2022年中央财政医疗服务与保障能力提升补助资金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1.社会保障和就业支出（类）63.02万元，占5.36%。</w:t>
      </w:r>
    </w:p>
    <w:p>
      <w:pPr>
        <w:spacing w:line="580" w:lineRule="exact"/>
        <w:ind w:firstLine="640"/>
        <w:jc w:val="both"/>
      </w:pPr>
      <w:r>
        <w:rPr>
          <w:rFonts w:ascii="仿宋_GB2312" w:hAnsi="仿宋_GB2312" w:eastAsia="仿宋_GB2312"/>
          <w:b w:val="0"/>
          <w:sz w:val="32"/>
        </w:rPr>
        <w:t>2.卫生健康支出（类）1,112.17万元，占94.64%。</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1.科学技术支出（类）其他科学技术支出（款）其他科学技术支出（项）：支出决算数为0.00万元，比上年决算减少2.34万元，下降100.00%，主要原因是：本年减少替代工作经费。</w:t>
      </w:r>
    </w:p>
    <w:p>
      <w:pPr>
        <w:spacing w:line="580" w:lineRule="exact"/>
        <w:ind w:firstLine="640"/>
        <w:jc w:val="both"/>
      </w:pPr>
      <w:r>
        <w:rPr>
          <w:rFonts w:ascii="仿宋_GB2312" w:hAnsi="仿宋_GB2312" w:eastAsia="仿宋_GB2312"/>
          <w:b w:val="0"/>
          <w:sz w:val="32"/>
        </w:rPr>
        <w:t>2.社会保障和就业支出（类）行政事业单位养老支出（款）行政单位离退休（项）：支出决算数为3.47万元，比上年决算增加1.68万元，增长93.85%，主要原因是：本年退休人员增加，退休费支出增加。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43.59万元，比上年决算增加5.03万元，增长13.04%，主要原因是：本年在职人员增加，养老保险缴费较上年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15.95万元，比上年决算增加7.33万元，增长85.03%，主要原因是：本年新增退休人员，职业年金缴费支出增加。</w:t>
      </w:r>
    </w:p>
    <w:p>
      <w:pPr>
        <w:spacing w:line="580" w:lineRule="exact"/>
        <w:ind w:firstLine="640"/>
        <w:jc w:val="both"/>
      </w:pPr>
      <w:r>
        <w:rPr>
          <w:rFonts w:ascii="仿宋_GB2312" w:hAnsi="仿宋_GB2312" w:eastAsia="仿宋_GB2312"/>
          <w:b w:val="0"/>
          <w:sz w:val="32"/>
        </w:rPr>
        <w:t>5.卫生健康支出（类）医疗保障管理事务（款）行政运行（项）：支出决算数为415.37万元，比上年决算增加53.78万元，增长14.87%，主要原因是：本年新增在职人员，人员经费增加，导致经费较上年有所增加。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6.卫生健康支出（类）医疗保障管理事务（款）一般行政管理事务（项）：支出决算数为10.89万元，比上年决算减少89.43万元，下降89.14%，主要原因是：本年综合业务费项目减少，导致经费较上年有所减少。</w:t>
      </w:r>
    </w:p>
    <w:p>
      <w:pPr>
        <w:spacing w:line="580" w:lineRule="exact"/>
        <w:ind w:firstLine="640"/>
        <w:jc w:val="both"/>
      </w:pPr>
      <w:r>
        <w:rPr>
          <w:rFonts w:ascii="仿宋_GB2312" w:hAnsi="仿宋_GB2312" w:eastAsia="仿宋_GB2312"/>
          <w:b w:val="0"/>
          <w:sz w:val="32"/>
        </w:rPr>
        <w:t>7.卫生健康支出（类）医疗保障管理事务（款）信息化建设（项）：支出决算数为239.08万元，比上年决算减少187.95万元，下降44.01%，主要原因是：本年功能科目调整，中央财政医疗服务与保障能力提升补助项目从信息化建设（项）调整至其他医疗保障管理事务支出（项），导致经费较上年减少。</w:t>
      </w:r>
    </w:p>
    <w:p>
      <w:pPr>
        <w:spacing w:line="580" w:lineRule="exact"/>
        <w:ind w:firstLine="640"/>
        <w:jc w:val="both"/>
      </w:pPr>
      <w:r>
        <w:rPr>
          <w:rFonts w:ascii="仿宋_GB2312" w:hAnsi="仿宋_GB2312" w:eastAsia="仿宋_GB2312"/>
          <w:b w:val="0"/>
          <w:sz w:val="32"/>
        </w:rPr>
        <w:t>8.卫生健康支出（类）医疗保障管理事务（款）医疗保障政策管理（项）：支出决算数为36.54万元，比上年决算减少127.66万元，下降77.75%，主要原因是：本年功能科目调整，中央财政医疗服务与保障能力提升补助项目从医疗保障政策管理（项）至其他医疗保障管理事务支出（项），导致经费较上年减少。</w:t>
      </w:r>
    </w:p>
    <w:p>
      <w:pPr>
        <w:spacing w:line="580" w:lineRule="exact"/>
        <w:ind w:firstLine="640"/>
        <w:jc w:val="both"/>
      </w:pPr>
      <w:r>
        <w:rPr>
          <w:rFonts w:ascii="仿宋_GB2312" w:hAnsi="仿宋_GB2312" w:eastAsia="仿宋_GB2312"/>
          <w:b w:val="0"/>
          <w:sz w:val="32"/>
        </w:rPr>
        <w:t>9.卫生健康支出（类）医疗保障管理事务（款）医疗保障经办事务（项）：支出决算数为14.97万元，比上年决算减少60.89万元，下降80.27%，主要原因是：本年减少自治区财政全民参保及医疗服务经费补助项目。</w:t>
      </w:r>
    </w:p>
    <w:p>
      <w:pPr>
        <w:spacing w:line="580" w:lineRule="exact"/>
        <w:ind w:firstLine="640"/>
        <w:jc w:val="both"/>
      </w:pPr>
      <w:r>
        <w:rPr>
          <w:rFonts w:ascii="仿宋_GB2312" w:hAnsi="仿宋_GB2312" w:eastAsia="仿宋_GB2312"/>
          <w:b w:val="0"/>
          <w:sz w:val="32"/>
        </w:rPr>
        <w:t>10.卫生健康支出（类）医疗保障管理事务（款）其他医疗保障管理事务支出（项）：支出决算数为148.62万元，比上年决算增加148.45万元，增长87,323.53%，主要原因是：本年功能科目调整，中央财政医疗服务与保障能力提升补助项目从医疗保障政策管理（项）、医疗保障经办事务（项）调整至其他医疗保障管理事务支出（项），导致经费较上年增加。</w:t>
      </w:r>
    </w:p>
    <w:p>
      <w:pPr>
        <w:spacing w:line="580" w:lineRule="exact"/>
        <w:ind w:firstLine="640"/>
        <w:jc w:val="both"/>
      </w:pPr>
      <w:r>
        <w:rPr>
          <w:rFonts w:ascii="仿宋_GB2312" w:hAnsi="仿宋_GB2312" w:eastAsia="仿宋_GB2312"/>
          <w:b w:val="0"/>
          <w:sz w:val="32"/>
        </w:rPr>
        <w:t>11.卫生健康支出（类）中医药事务（款）中医（民族医）药专项（项）：支出决算数为246.70万元，比上年决算增加199.10万元，增长418.28%，主要原因是：本年度增加中央医疗服务与保障能力提升（中医药事业传承与发展部分）补助项目，导致经费较上年有所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2025年度一般公共预算财政拨款基本支出478.39万元，其中：</w:t>
      </w:r>
      <w:r>
        <w:rPr>
          <w:rFonts w:ascii="仿宋_GB2312" w:hAnsi="仿宋_GB2312" w:eastAsia="仿宋_GB2312"/>
          <w:b/>
          <w:sz w:val="32"/>
        </w:rPr>
        <w:t>人员经费441.72万元，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包括：基本工资、津贴补贴、奖金、机关事业单位基本养老保险缴费、职业年金缴费、职工基本医疗保险缴费、公务员医疗补助缴费、其他社会保障缴费、住房公积金、退休费、生活补助。</w:t>
      </w:r>
    </w:p>
    <w:p>
      <w:pPr>
        <w:spacing w:line="580" w:lineRule="exact"/>
        <w:ind w:firstLine="640"/>
        <w:jc w:val="both"/>
      </w:pPr>
      <w:r>
        <w:rPr>
          <w:rFonts w:ascii="仿宋_GB2312" w:hAnsi="仿宋_GB2312" w:eastAsia="仿宋_GB2312"/>
          <w:b/>
          <w:sz w:val="32"/>
        </w:rPr>
        <w:t>公用经费36.67万元，</w:t>
      </w:r>
      <w:r>
        <w:rPr>
          <w:rFonts w:ascii="仿宋_GB2312" w:hAnsi="仿宋_GB2312" w:eastAsia="仿宋_GB2312"/>
          <w:b w:val="0"/>
          <w:sz w:val="32"/>
        </w:rPr>
        <w:t>包括：办公费、邮电费、取暖费、差旅费、租赁费、工会经费、福利费。</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公务用车购置及运行维护费支出0.00万元，占0.00%，比上年增加0.00万元，增长0.00%，主要原因是：2024年与2025年均无公务用车购置及运行维护费支出。</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2025年度乌鲁木齐市医疗保障局（本级）（行政单位和参照公务员法管理事业单位）机关运行经费支出36.67万元，比上年增加4.90万元，增长15.42%，主要原因是：本年增加公用取暖费经费，导致公用经费增加。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2025年度政府采购支出总额236.37万元，其中：政府采购货物支出4.49万元、政府采购工程支出0.00万元、政府采购服务支出231.88万元。</w:t>
      </w:r>
    </w:p>
    <w:p>
      <w:pPr>
        <w:spacing w:line="580" w:lineRule="exact"/>
        <w:ind w:firstLine="640"/>
        <w:jc w:val="both"/>
      </w:pPr>
      <w:r>
        <w:rPr>
          <w:rFonts w:ascii="仿宋_GB2312" w:hAnsi="仿宋_GB2312" w:eastAsia="仿宋_GB2312"/>
          <w:b w:val="0"/>
          <w:sz w:val="32"/>
        </w:rPr>
        <w:t>授予中小企业合同金额236.37万元，占政府采购支出总额的100.00%，其中：授予小微企业合同金额79.68万元，占政府采购支出总额的33.71%。</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预算绩效评价项目7个，全年预算数741.73万元，全年执行数705.94万元。预算绩效管理取得的成效：一是预算绩效理念持续深化，“花钱必问效、无效必问责”的意识逐步贯穿预算编制、执行、监管全过程，各单位绩效主体责任进一步压实；二是绩效目标管理更加规范，绩效目标设定的科学性、可量化水平不断提升，实现预算资金与绩效目标同步申报、同步审核；三是绩效监控与评价作用有效发挥，常态化开展绩效运行监控和项目评价，及时发现资金使用短板并督促整改；四是绩效结果应用力度持续加大，评价结果作为预算安排、政策调整的重要依据，低效无效资金得到压减，财政资源配置效率和使用效益稳步提高。发现的问题及原因：一是绩效意识仍有短板，部分单位重资金争取、轻绩效管理，绩效目标编制不够贴合实际，指标设置偏笼统、可量化程度不足；二是绩效运行监控不够到位，对项目实施过程跟踪研判不及时，未能及时预警资金滞缓、实施偏差等问题；三是绩效评价质量有待提升，自评工作存在流于形式现象，评价深度不足，问题剖析不够透彻；四是绩效结果运用不够充分，绩效评价结果与预算安排挂钩力度偏弱，低效资金整改闭环机制还需进一步完善。下一步改进措施：一是强化绩效理念宣贯，压实各预算单位主体责任，规范绩效目标编审，提升指标设置的精准性、可量化性，从源头夯实绩效管理基础；二是做实绩效运行监控，对项目资金执行情况开展动态跟踪预警，及时纠偏项目实施和资金使用中的偏差；三是提升绩效评价质效，严格自评审核，深化重点项目评价，坚持客观写实查摆问题；四是健全绩效结果运用机制，强化评价结果与预算安排、政策调整挂钩，完善问题整改闭环管理，持续提升财政资金使用效益。具体附项目支出绩效自评表。</w:t>
      </w:r>
    </w:p>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2023年医疗服务与保障能力提升补助资金</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乌鲁木齐市医疗保障局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乌鲁木齐市医疗保障局（本级）</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225.38</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269.18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239.08</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88.82%</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8.88分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225.38</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269.18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239.08</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1.完成DRG质控局端-院端一体化建设。2.做好医药价格监测。3.药品耗材招采工作。4.完成定点医药机构全面推广线上、线下相结合的便民支付应用。5.DRG支付方式改革经办项目尾款支付。</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完成DRG质控局端-院端一体化建设项目1项，价格监测系统建设项目1项，药品耗材招采项目1项，互联网+便民支付应用建设项目1项，DRG支付方式改革经办项目1项，项目实际支出239.08万元，通过项目实患者负担切实减轻，就医体验持续优化。</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DRG质控局端-院端一体化建设项目</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价格监测系统建设项目</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药品耗材招采项目</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互联网+便民支付应用建设项目</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DRG支付方式改革经办项目</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医保移动支付结算率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0.83</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截至2025年12月底全疆医保移动支付结算率8.4%，乌鲁木齐地区结算率为5%，因本地区开展了更多种支付便捷的方式，例如刷脸支付，亲情支付等，产生了偏差83.33%。</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16.67</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项目资金支付及时率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4.44</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=88.82%</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因项目未达到支付条件财政收回统筹使用30.1万元，所以项目资金支付及时率为已支付经费239.08万元÷应支付经费269.18万元=88.82%，产生了偏差11.18%。</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88.82</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为参保人提供良好的医药服务</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因项目未质保金达到支付时间，因此产生偏差10%。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2024年乌鲁木齐市中医药传承创新发展示范试点项目</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乌鲁木齐市医疗保障局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乌鲁木齐市医疗保障局（本级）</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为2025年中医特色模拟付费支付方案提供医保支付相关数据基础和技术支持，探索实施中医诊疗服务多元付费模式。</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建立中医支付方式改革相关功能模块1个，初步形成符合乌鲁木齐特色的中医医保支付方案1个，建立中医优势病种数量61个，组织相关部门召开专题工作会议1次，项目实际支出197万元，通过项目实施医保管理、审核及经办效率显著提升，结算更加透明公正，医疗资源配置持续优化，中医药特色支付更加科学规范。</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建立中医支付方式改革相关功能模块</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初步形成符合乌鲁木齐特色的中医医保支付方案</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建立中医优势病种数量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偏差原因：前期对中医优势病种摸排不全面，低估临床实际应用，指标设定偏保守。改进措施：动态调研病种，结合临床优化指标，完善台账管理</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组织相关部门召开专题工作会议</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使用中医病种结算数据制定的医保支付标准</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服务期限</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=2025年1月1日-2026年12月31日</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2025年12月30日</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探索符合中医创新的医保支付方式，引导中医医疗向更有“价值疗效”方向发展，降低患者医疗负担</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有效降低</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医疗机构满意度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2025年中央医疗服务与保障能力提升（中医药事业传承与发展部分）补助资金</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乌鲁木齐市医疗保障局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乌鲁木齐市医疗保障局（本级）</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49.70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49.70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1.编制中医优势病种独特的评价标准体系1个； 
2.建成中医优势病种质量管理系统软件著作权1个。</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完成课题成果2个，组建专家团队数量1个，建立中医优势病种质量管理系统1个，组织相关部门召开专题工作会议1次，项目实际支付金额49.7万元，实现病种申请、评价、公示、执行、跟踪、评估全生命周期信息化管理，涵盖病种维护、多维度遴选评价、医疗机构申请审核公示、关键事件记录及付费情况监测等功能，可通过数据指标与可视化图表为医保部门提供直观分析。</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课题成果</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组建专家团队数量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建立中医优势病种质量管理系统</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组织相关部门召开专题工作会议</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课题成果验收合格率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2025年12月31日</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=2025年12月31日</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探索符合本地中医药特点的医保支付标准与质量管理</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有效获得</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医疗机构满意度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99.94</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2025年中央财政医疗服务与保障能力提升补助资金</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乌鲁木齐市医疗保障局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乌鲁木齐市医疗保障局（本级）</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163.15</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97.11%</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9.71分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163.15</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购买医疗保障基金监管服务方式，积极引入商业保险机构等第三方力量参与医保基金监管，提升我市基金监管专业化水平和监管效能，完成国家和自治区年度医疗保障基金监管任务，满足新时期医保基金监管现实需要。一是购买第三方服务协助对乌鲁木齐市辖区内的一级及以下无床位的医疗机构开展现场核查，包括病历审核、进销存核查、分析数据、处理疑点等；二是购买第三方服务协助对乌鲁木齐市辖区内的三级、二级医疗机构自查自纠“回头看”检查、抽查复查工作，包括病历审核、进销存核查、分析数据、处理疑点等；三是通过印制宣传品，制作医保宣传视频，做好基本医疗保险参保长效机制创新综合试点工作。</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采购基金监管第三方服务项目数量2个，全民参宣保传次数2次，配合医保宣传员巡回演讲拍摄视频数量2部，宣传印刷品种类8种，全年完成对定点医药机构的健全覆盖监督检查，项目实际支出163.15万元，通过项目实施提升医保基金监管能力，以及提升全市经办队伍能力，提高经办服务水平。</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组织相关部门召开购买医疗保险医药监督服务项目会议</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基金监管第三方服务项目数量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=2项</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=2项</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政府采购率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全民参宣保传次数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配合医保宣传元巡回演讲拍摄视频数量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=2部</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=2部</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宣传印刷品种类</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&gt;=6种</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=8种</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按照实际宣传的种类进行印刷，实际印刷种类大于计划印刷种类，产生偏差。</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133.33</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定点医疗机构现场检查覆盖率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定点零售药店现场检查覆盖率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资金拨付及时性</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提升医保基金监管能力</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提升全市经办队伍能力，提高经办服务水平</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经办机构满意度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=99.99%</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99.71</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2025年打击欺诈骗取医疗保障基金行为举报奖励</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乌鲁木齐市医疗保障局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乌鲁木齐市医疗保障局（本级）</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2.66</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2.66</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2.66</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2.66</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2.66</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2.66</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完成2025年欺诈骗保基金举报案件审核及奖励金发放工作。</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完成2起欺诈骗保行为举报奖励案件数，举报欺诈骗保行为举报奖励人数2人，及时足额发放奖励资金26618元。通过规范兑现奖励，有力激发社会监督积极性，基金监管社会效益显著提升，切实筑牢医保基金安全防线。</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欺诈骗保行为举报奖励案件数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=2起</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=2起</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欺诈骗保行为举报奖励人数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欺诈骗保行为举报奖励发放准确率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欺诈骗保行为举报奖励发放及时性</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欺诈骗保举报奖励领取时限</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自通知日期起60日内</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自通知日期起60日内</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欺诈骗保行为举报奖励金额</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=26618元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=26618元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有效举报欺诈骗取医疗保障基金行为，切实保障基金安全。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2025年综合业务费</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乌鲁木齐市医疗保障局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乌鲁木齐市医疗保障局（本级）</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13.28</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10.89</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10.89</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13.28</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10.89</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10.89</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6.21万元用于公务用车租赁及4.68万元加油费用。</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完成租赁公务用车数量2辆，租赁公务用车时间12个月，租赁车辆正常运行率100%，项目实际支出10.89万元，通过项目实施保证医保经办业务正常运行，实现公车使用效率与成本管控的双重提升。</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租赁公务用车数量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=2辆</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租赁公务用车时间</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=12个月</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=12个月</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租赁车辆正常运行率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租赁公务用车成本</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&lt;=6.21万元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=6.21万元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租赁公务用车加油成本</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&lt;=4.68万元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=4.68万元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保证经办业务正常运行</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基本保证</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2025年自治区全民参保及医疗服务经费</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乌鲁木齐市医疗保障局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乌鲁木齐市医疗保障局（本级）</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43.46</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98.77%</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9.88分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43.46</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一、用于广播电台宣传费用15万元。
二、用于维护“乌鲁木齐医疗保障”公众号，进行医保政策宣传，预计使用经费20万元。
三、用于聘请法律顾问，负责各类行政诉讼案件，追缴医保金的案件，预计使用经费6万元。
四、用于印刷医保相关制度文件，预计使用经费3万元。</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全民参保人数269.73万人，开通电台宣传数量3个，维护医保公众号1个，聘请法律顾问1个，印刷医保相关制度文件1批，项目实际支出43.46万元，通过项目实施，提升参保就医及时性减轻参保人员就医经济负担。</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全民参保人数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&gt;=262万人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=269.73万人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全民参保补助区（县、市）数量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=8区（县、市）</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=8区（县、市）</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电台宣传数量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医保公众号维护项目</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聘请法律顾问</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印刷医保相关制度文件</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当年财政补助资金到位率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按时报送各项社会保险基金季报数据及分析</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每季度结束后的15日内</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减轻参保人员就医经济负担</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有效减轻</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医疗保险参保人员满意度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