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1F26F"/>
    <w:p w14:paraId="2DE7FBB5">
      <w:pPr>
        <w:spacing w:line="560" w:lineRule="exact"/>
        <w:ind w:firstLine="0" w:firstLineChars="0"/>
        <w:rPr>
          <w:rFonts w:ascii="Times New Roman" w:hAnsi="Times New Roman" w:eastAsia="黑体" w:cs="Times New Roman"/>
          <w:b/>
          <w:kern w:val="0"/>
          <w:sz w:val="50"/>
          <w:szCs w:val="50"/>
          <w:lang w:bidi="en-US"/>
        </w:rPr>
      </w:pPr>
    </w:p>
    <w:p w14:paraId="3F93B396">
      <w:pPr>
        <w:spacing w:line="560" w:lineRule="exact"/>
        <w:ind w:firstLine="0" w:firstLineChars="0"/>
        <w:rPr>
          <w:rFonts w:ascii="Times New Roman" w:hAnsi="Times New Roman" w:eastAsia="黑体" w:cs="Times New Roman"/>
          <w:b/>
          <w:kern w:val="0"/>
          <w:sz w:val="50"/>
          <w:szCs w:val="50"/>
          <w:lang w:bidi="en-US"/>
        </w:rPr>
      </w:pPr>
    </w:p>
    <w:p w14:paraId="0875A6E2">
      <w:pPr>
        <w:spacing w:line="560" w:lineRule="exact"/>
        <w:ind w:firstLine="0" w:firstLineChars="0"/>
        <w:jc w:val="center"/>
        <w:rPr>
          <w:rFonts w:ascii="Times New Roman" w:hAnsi="Times New Roman" w:eastAsia="黑体" w:cs="Times New Roman"/>
          <w:b/>
          <w:kern w:val="0"/>
          <w:sz w:val="50"/>
          <w:szCs w:val="50"/>
          <w:lang w:bidi="en-US"/>
        </w:rPr>
      </w:pPr>
    </w:p>
    <w:p w14:paraId="6E35B8CC">
      <w:pPr>
        <w:spacing w:line="560" w:lineRule="exact"/>
        <w:ind w:firstLine="0" w:firstLineChars="0"/>
        <w:jc w:val="center"/>
        <w:rPr>
          <w:rFonts w:ascii="Times New Roman" w:hAnsi="Times New Roman" w:cs="Times New Roman"/>
          <w:b/>
          <w:sz w:val="44"/>
          <w:szCs w:val="44"/>
        </w:rPr>
      </w:pPr>
      <w:r>
        <w:rPr>
          <w:rFonts w:ascii="Times New Roman" w:hAnsi="Times New Roman" w:cs="Times New Roman"/>
          <w:b/>
          <w:sz w:val="44"/>
          <w:szCs w:val="44"/>
        </w:rPr>
        <w:t>财政项目支出绩效评价报告</w:t>
      </w:r>
    </w:p>
    <w:p w14:paraId="0ACF3D9D">
      <w:pPr>
        <w:spacing w:line="560" w:lineRule="exact"/>
        <w:ind w:firstLine="0" w:firstLineChars="0"/>
        <w:jc w:val="center"/>
        <w:rPr>
          <w:rFonts w:ascii="Times New Roman" w:hAnsi="Times New Roman" w:eastAsia="黑体" w:cs="Times New Roman"/>
          <w:b/>
          <w:kern w:val="0"/>
          <w:sz w:val="50"/>
          <w:szCs w:val="50"/>
          <w:lang w:bidi="en-US"/>
        </w:rPr>
      </w:pPr>
    </w:p>
    <w:p w14:paraId="47F80DCB">
      <w:pPr>
        <w:spacing w:line="560" w:lineRule="exact"/>
        <w:ind w:firstLine="0" w:firstLineChars="0"/>
        <w:jc w:val="center"/>
        <w:rPr>
          <w:rFonts w:ascii="Times New Roman" w:hAnsi="Times New Roman" w:eastAsia="黑体" w:cs="Times New Roman"/>
          <w:b/>
          <w:kern w:val="0"/>
          <w:sz w:val="50"/>
          <w:szCs w:val="50"/>
          <w:lang w:bidi="en-US"/>
        </w:rPr>
      </w:pPr>
    </w:p>
    <w:p w14:paraId="6E442051">
      <w:pPr>
        <w:spacing w:line="560" w:lineRule="exact"/>
        <w:ind w:firstLine="0" w:firstLineChars="0"/>
        <w:jc w:val="center"/>
        <w:rPr>
          <w:rFonts w:ascii="Times New Roman" w:hAnsi="Times New Roman" w:eastAsia="黑体" w:cs="Times New Roman"/>
          <w:b/>
          <w:kern w:val="0"/>
          <w:sz w:val="50"/>
          <w:szCs w:val="50"/>
          <w:lang w:bidi="en-US"/>
        </w:rPr>
      </w:pPr>
    </w:p>
    <w:p w14:paraId="6EA37098">
      <w:pPr>
        <w:spacing w:line="560" w:lineRule="exact"/>
        <w:ind w:firstLine="0" w:firstLineChars="0"/>
        <w:jc w:val="center"/>
        <w:rPr>
          <w:rFonts w:ascii="Times New Roman" w:hAnsi="Times New Roman" w:eastAsia="黑体" w:cs="Times New Roman"/>
          <w:b/>
          <w:kern w:val="0"/>
          <w:sz w:val="50"/>
          <w:szCs w:val="50"/>
          <w:lang w:bidi="en-US"/>
        </w:rPr>
      </w:pPr>
    </w:p>
    <w:p w14:paraId="5B3BC6EC">
      <w:pPr>
        <w:spacing w:line="560" w:lineRule="exact"/>
        <w:ind w:firstLine="0" w:firstLineChars="0"/>
        <w:jc w:val="center"/>
        <w:rPr>
          <w:rFonts w:ascii="Times New Roman" w:hAnsi="Times New Roman" w:eastAsia="黑体" w:cs="Times New Roman"/>
          <w:b/>
          <w:kern w:val="0"/>
          <w:sz w:val="50"/>
          <w:szCs w:val="50"/>
          <w:lang w:bidi="en-US"/>
        </w:rPr>
      </w:pPr>
    </w:p>
    <w:p w14:paraId="4B397CE2">
      <w:pPr>
        <w:spacing w:line="560" w:lineRule="exact"/>
        <w:ind w:firstLine="0" w:firstLineChars="0"/>
        <w:jc w:val="center"/>
        <w:rPr>
          <w:rFonts w:ascii="Times New Roman" w:hAnsi="Times New Roman" w:eastAsia="黑体" w:cs="Times New Roman"/>
          <w:b/>
          <w:kern w:val="0"/>
          <w:sz w:val="50"/>
          <w:szCs w:val="50"/>
          <w:lang w:bidi="en-US"/>
        </w:rPr>
      </w:pPr>
    </w:p>
    <w:p w14:paraId="5E5DC40B">
      <w:pPr>
        <w:spacing w:line="560" w:lineRule="exact"/>
        <w:ind w:firstLine="0" w:firstLineChars="0"/>
        <w:jc w:val="center"/>
        <w:rPr>
          <w:rFonts w:ascii="Times New Roman" w:hAnsi="Times New Roman" w:cs="Times New Roman"/>
          <w:kern w:val="0"/>
          <w:sz w:val="30"/>
          <w:szCs w:val="30"/>
          <w:lang w:bidi="en-US"/>
        </w:rPr>
      </w:pPr>
    </w:p>
    <w:p w14:paraId="2C25F1F5">
      <w:pPr>
        <w:spacing w:line="560" w:lineRule="exact"/>
        <w:ind w:firstLine="640"/>
        <w:jc w:val="left"/>
        <w:rPr>
          <w:rFonts w:ascii="Times New Roman" w:hAnsi="Times New Roman" w:cs="Times New Roman"/>
          <w:kern w:val="0"/>
          <w:sz w:val="32"/>
          <w:szCs w:val="32"/>
          <w:lang w:bidi="en-US"/>
        </w:rPr>
      </w:pPr>
      <w:r>
        <w:rPr>
          <w:rFonts w:ascii="Times New Roman" w:hAnsi="Times New Roman" w:cs="Times New Roman"/>
          <w:kern w:val="0"/>
          <w:sz w:val="32"/>
          <w:szCs w:val="32"/>
          <w:lang w:bidi="en-US"/>
        </w:rPr>
        <w:t>项目名称：乌鲁木齐市自然灾害应急能力提升工程</w:t>
      </w:r>
    </w:p>
    <w:p w14:paraId="1DF2493A">
      <w:pPr>
        <w:spacing w:line="560" w:lineRule="exact"/>
        <w:ind w:firstLine="2240" w:firstLineChars="700"/>
        <w:jc w:val="left"/>
        <w:rPr>
          <w:rFonts w:ascii="Times New Roman" w:hAnsi="Times New Roman" w:cs="Times New Roman"/>
          <w:kern w:val="0"/>
          <w:sz w:val="32"/>
          <w:szCs w:val="32"/>
          <w:lang w:bidi="en-US"/>
        </w:rPr>
      </w:pPr>
      <w:r>
        <w:rPr>
          <w:rFonts w:ascii="Times New Roman" w:hAnsi="Times New Roman" w:cs="Times New Roman"/>
          <w:kern w:val="0"/>
          <w:sz w:val="32"/>
          <w:szCs w:val="32"/>
          <w:lang w:bidi="en-US"/>
        </w:rPr>
        <w:t xml:space="preserve">基层防灾项目 </w:t>
      </w:r>
    </w:p>
    <w:p w14:paraId="2A7523D5">
      <w:pPr>
        <w:spacing w:line="560" w:lineRule="exact"/>
        <w:ind w:firstLine="640"/>
        <w:jc w:val="left"/>
        <w:rPr>
          <w:rFonts w:ascii="Times New Roman" w:hAnsi="Times New Roman" w:cs="Times New Roman"/>
          <w:kern w:val="0"/>
          <w:sz w:val="32"/>
          <w:szCs w:val="32"/>
          <w:lang w:bidi="en-US"/>
        </w:rPr>
      </w:pPr>
      <w:r>
        <w:rPr>
          <w:rFonts w:ascii="Times New Roman" w:hAnsi="Times New Roman" w:cs="Times New Roman"/>
          <w:kern w:val="0"/>
          <w:sz w:val="32"/>
          <w:szCs w:val="32"/>
          <w:lang w:bidi="en-US"/>
        </w:rPr>
        <w:t>项目单位：乌鲁木齐市应急管理局（乌鲁木齐市</w:t>
      </w:r>
    </w:p>
    <w:p w14:paraId="04B8F327">
      <w:pPr>
        <w:spacing w:line="560" w:lineRule="exact"/>
        <w:ind w:firstLine="2240" w:firstLineChars="700"/>
        <w:jc w:val="left"/>
        <w:rPr>
          <w:rFonts w:ascii="Times New Roman" w:hAnsi="Times New Roman" w:cs="Times New Roman"/>
          <w:kern w:val="0"/>
          <w:sz w:val="32"/>
          <w:szCs w:val="32"/>
          <w:lang w:bidi="en-US"/>
        </w:rPr>
      </w:pPr>
      <w:r>
        <w:rPr>
          <w:rFonts w:ascii="Times New Roman" w:hAnsi="Times New Roman" w:cs="Times New Roman"/>
          <w:kern w:val="0"/>
          <w:sz w:val="32"/>
          <w:szCs w:val="32"/>
          <w:lang w:bidi="en-US"/>
        </w:rPr>
        <w:t xml:space="preserve">矿山安全监督管理局） </w:t>
      </w:r>
    </w:p>
    <w:p w14:paraId="0A43D9CE">
      <w:pPr>
        <w:spacing w:line="560" w:lineRule="exact"/>
        <w:jc w:val="left"/>
        <w:rPr>
          <w:rFonts w:ascii="Times New Roman" w:hAnsi="Times New Roman" w:cs="Times New Roman"/>
          <w:kern w:val="0"/>
          <w:sz w:val="32"/>
          <w:szCs w:val="32"/>
          <w:lang w:bidi="en-US"/>
        </w:rPr>
      </w:pPr>
      <w:r>
        <w:rPr>
          <w:rFonts w:ascii="Times New Roman" w:hAnsi="Times New Roman" w:cs="Times New Roman"/>
          <w:kern w:val="0"/>
          <w:sz w:val="32"/>
          <w:szCs w:val="32"/>
          <w:lang w:bidi="en-US"/>
        </w:rPr>
        <w:t>主管部门：乌鲁木齐市应急管理局</w:t>
      </w:r>
    </w:p>
    <w:p w14:paraId="33622372">
      <w:pPr>
        <w:spacing w:line="560" w:lineRule="exact"/>
        <w:ind w:firstLine="0" w:firstLineChars="0"/>
        <w:rPr>
          <w:rFonts w:ascii="Times New Roman" w:hAnsi="Times New Roman" w:eastAsia="黑体" w:cs="Times New Roman"/>
          <w:b/>
          <w:kern w:val="0"/>
          <w:sz w:val="32"/>
          <w:szCs w:val="32"/>
          <w:lang w:bidi="en-US"/>
        </w:rPr>
      </w:pPr>
    </w:p>
    <w:p w14:paraId="02781B47">
      <w:pPr>
        <w:pStyle w:val="2"/>
      </w:pPr>
    </w:p>
    <w:p w14:paraId="03DD6808">
      <w:pPr>
        <w:spacing w:line="560" w:lineRule="exact"/>
        <w:ind w:firstLine="0" w:firstLineChars="0"/>
        <w:jc w:val="center"/>
        <w:rPr>
          <w:rFonts w:ascii="Times New Roman" w:hAnsi="Times New Roman" w:cs="Times New Roman"/>
          <w:kern w:val="0"/>
          <w:sz w:val="32"/>
          <w:szCs w:val="32"/>
          <w:lang w:bidi="en-US"/>
        </w:rPr>
      </w:pPr>
      <w:r>
        <w:rPr>
          <w:rFonts w:ascii="Times New Roman" w:hAnsi="Times New Roman" w:cs="Times New Roman"/>
          <w:kern w:val="0"/>
          <w:sz w:val="32"/>
          <w:szCs w:val="32"/>
          <w:lang w:bidi="en-US"/>
        </w:rPr>
        <w:t>2025年04月</w:t>
      </w:r>
    </w:p>
    <w:p w14:paraId="77F13FBE">
      <w:pPr>
        <w:spacing w:line="560" w:lineRule="exact"/>
        <w:ind w:firstLine="0" w:firstLineChars="0"/>
        <w:jc w:val="center"/>
        <w:rPr>
          <w:rFonts w:ascii="Times New Roman" w:hAnsi="Times New Roman" w:cs="Times New Roman"/>
          <w:kern w:val="0"/>
          <w:sz w:val="32"/>
          <w:szCs w:val="32"/>
          <w:lang w:bidi="en-US"/>
        </w:rPr>
      </w:pPr>
    </w:p>
    <w:p w14:paraId="5A204FF4">
      <w:pPr>
        <w:tabs>
          <w:tab w:val="left" w:pos="3324"/>
        </w:tabs>
        <w:spacing w:line="560" w:lineRule="exact"/>
        <w:ind w:firstLine="0" w:firstLineChars="0"/>
        <w:rPr>
          <w:rFonts w:ascii="Times New Roman" w:hAnsi="Times New Roman" w:cs="Times New Roman"/>
          <w:kern w:val="0"/>
          <w:sz w:val="32"/>
          <w:szCs w:val="32"/>
          <w:lang w:bidi="en-US"/>
        </w:rPr>
      </w:pPr>
      <w:r>
        <w:rPr>
          <w:rFonts w:ascii="Times New Roman" w:hAnsi="Times New Roman" w:cs="Times New Roman"/>
          <w:kern w:val="0"/>
          <w:sz w:val="32"/>
          <w:szCs w:val="32"/>
          <w:lang w:bidi="en-US"/>
        </w:rPr>
        <w:tab/>
      </w:r>
    </w:p>
    <w:p w14:paraId="64589C9B">
      <w:pPr>
        <w:spacing w:line="560" w:lineRule="exact"/>
        <w:ind w:firstLine="640"/>
        <w:rPr>
          <w:rFonts w:ascii="Times New Roman" w:hAnsi="Times New Roman" w:cs="Times New Roman"/>
          <w:kern w:val="0"/>
          <w:sz w:val="32"/>
          <w:szCs w:val="32"/>
          <w:lang w:bidi="en-US"/>
        </w:rPr>
      </w:pPr>
    </w:p>
    <w:sdt>
      <w:sdtPr>
        <w:rPr>
          <w:rFonts w:ascii="Times New Roman" w:hAnsi="Times New Roman" w:eastAsia="仿宋_GB2312" w:cs="Times New Roman"/>
          <w:color w:val="auto"/>
          <w:kern w:val="2"/>
          <w:sz w:val="28"/>
          <w:szCs w:val="22"/>
          <w:lang w:val="zh-CN"/>
        </w:rPr>
        <w:id w:val="-1822651860"/>
        <w:docPartObj>
          <w:docPartGallery w:val="Table of Contents"/>
          <w:docPartUnique/>
        </w:docPartObj>
      </w:sdtPr>
      <w:sdtEndPr>
        <w:rPr>
          <w:rFonts w:ascii="Times New Roman" w:hAnsi="Times New Roman" w:eastAsia="仿宋_GB2312" w:cs="Times New Roman"/>
          <w:b/>
          <w:bCs/>
          <w:color w:val="auto"/>
          <w:kern w:val="2"/>
          <w:sz w:val="28"/>
          <w:szCs w:val="22"/>
          <w:lang w:val="zh-CN"/>
        </w:rPr>
      </w:sdtEndPr>
      <w:sdtContent>
        <w:p w14:paraId="4E7BFF75">
          <w:pPr>
            <w:pStyle w:val="31"/>
            <w:spacing w:before="0" w:line="560" w:lineRule="exact"/>
            <w:ind w:firstLine="560"/>
            <w:jc w:val="center"/>
            <w:rPr>
              <w:rFonts w:ascii="Times New Roman" w:hAnsi="Times New Roman" w:cs="Times New Roman"/>
            </w:rPr>
          </w:pPr>
          <w:r>
            <w:rPr>
              <w:rFonts w:ascii="Times New Roman" w:hAnsi="Times New Roman" w:cs="Times New Roman"/>
              <w:lang w:val="zh-CN"/>
            </w:rPr>
            <w:t>目录</w:t>
          </w:r>
        </w:p>
        <w:p w14:paraId="6853A332">
          <w:pPr>
            <w:pStyle w:val="13"/>
            <w:tabs>
              <w:tab w:val="right" w:leader="dot" w:pos="8296"/>
            </w:tabs>
            <w:spacing w:line="560" w:lineRule="exact"/>
            <w:ind w:firstLine="560"/>
            <w:rPr>
              <w:rFonts w:ascii="Times New Roman" w:hAnsi="Times New Roman" w:cs="Times New Roman" w:eastAsiaTheme="minorEastAsia"/>
              <w:sz w:val="21"/>
            </w:rPr>
          </w:pPr>
          <w:r>
            <w:rPr>
              <w:rFonts w:ascii="Times New Roman" w:hAnsi="Times New Roman" w:cs="Times New Roman"/>
            </w:rPr>
            <w:fldChar w:fldCharType="begin"/>
          </w:r>
          <w:r>
            <w:rPr>
              <w:rFonts w:ascii="Times New Roman" w:hAnsi="Times New Roman" w:cs="Times New Roman"/>
            </w:rPr>
            <w:instrText xml:space="preserve">TOC \o "1-3" \h \z \u</w:instrText>
          </w:r>
          <w:r>
            <w:rPr>
              <w:rFonts w:ascii="Times New Roman" w:hAnsi="Times New Roman" w:cs="Times New Roman"/>
            </w:rPr>
            <w:fldChar w:fldCharType="separate"/>
          </w:r>
          <w:r>
            <w:fldChar w:fldCharType="begin"/>
          </w:r>
          <w:r>
            <w:instrText xml:space="preserve"> HYPERLINK \l "_Toc165277220" </w:instrText>
          </w:r>
          <w:r>
            <w:fldChar w:fldCharType="separate"/>
          </w:r>
          <w:r>
            <w:rPr>
              <w:rStyle w:val="18"/>
              <w:rFonts w:ascii="Times New Roman" w:hAnsi="Times New Roman" w:eastAsia="仿宋" w:cs="Times New Roman"/>
              <w:color w:val="0563C1" w:themeColor="hyperlink"/>
              <w:lang w:bidi="en-US"/>
              <w14:textFill>
                <w14:solidFill>
                  <w14:schemeClr w14:val="hlink"/>
                </w14:solidFill>
              </w14:textFill>
            </w:rPr>
            <w:t>一、基本情况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_Toc165277220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14:paraId="69B1EC02">
          <w:pPr>
            <w:pStyle w:val="3"/>
            <w:tabs>
              <w:tab w:val="right" w:leader="dot" w:pos="8296"/>
            </w:tabs>
            <w:spacing w:line="560" w:lineRule="exact"/>
            <w:ind w:left="560" w:firstLine="560"/>
            <w:rPr>
              <w:rFonts w:ascii="Times New Roman" w:hAnsi="Times New Roman" w:cs="Times New Roman" w:eastAsiaTheme="minorEastAsia"/>
              <w:sz w:val="21"/>
            </w:rPr>
          </w:pPr>
          <w:r>
            <w:fldChar w:fldCharType="begin"/>
          </w:r>
          <w:r>
            <w:instrText xml:space="preserve"> HYPERLINK \l "_Toc165277221" </w:instrText>
          </w:r>
          <w:r>
            <w:fldChar w:fldCharType="separate"/>
          </w:r>
          <w:r>
            <w:rPr>
              <w:rStyle w:val="18"/>
              <w:rFonts w:ascii="Times New Roman" w:hAnsi="Times New Roman" w:eastAsia="仿宋" w:cs="Times New Roman"/>
              <w:color w:val="0563C1" w:themeColor="hyperlink"/>
              <w:lang w:bidi="en-US"/>
              <w14:textFill>
                <w14:solidFill>
                  <w14:schemeClr w14:val="hlink"/>
                </w14:solidFill>
              </w14:textFill>
            </w:rPr>
            <w:t>（一）项目概况：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_Toc165277221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14:paraId="42B78221">
          <w:pPr>
            <w:pStyle w:val="8"/>
            <w:tabs>
              <w:tab w:val="right" w:leader="dot" w:pos="8296"/>
            </w:tabs>
            <w:spacing w:line="560" w:lineRule="exact"/>
            <w:ind w:left="1120" w:firstLine="560"/>
            <w:rPr>
              <w:rFonts w:ascii="Times New Roman" w:hAnsi="Times New Roman" w:cs="Times New Roman" w:eastAsiaTheme="minorEastAsia"/>
              <w:sz w:val="21"/>
            </w:rPr>
          </w:pPr>
          <w:r>
            <w:fldChar w:fldCharType="begin"/>
          </w:r>
          <w:r>
            <w:instrText xml:space="preserve"> HYPERLINK \l "_Toc165277222" </w:instrText>
          </w:r>
          <w:r>
            <w:fldChar w:fldCharType="separate"/>
          </w:r>
          <w:r>
            <w:rPr>
              <w:rStyle w:val="18"/>
              <w:rFonts w:ascii="Times New Roman" w:hAnsi="Times New Roman" w:cs="Times New Roman"/>
              <w:color w:val="0563C1" w:themeColor="hyperlink"/>
              <w14:textFill>
                <w14:solidFill>
                  <w14:schemeClr w14:val="hlink"/>
                </w14:solidFill>
              </w14:textFill>
            </w:rPr>
            <w:t>1．项目背景、主要内容及实施情况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_Toc165277222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14:paraId="3A7F5E1D">
          <w:pPr>
            <w:pStyle w:val="8"/>
            <w:tabs>
              <w:tab w:val="right" w:leader="dot" w:pos="8296"/>
            </w:tabs>
            <w:spacing w:line="560" w:lineRule="exact"/>
            <w:ind w:left="1120" w:firstLine="560"/>
            <w:rPr>
              <w:rFonts w:ascii="Times New Roman" w:hAnsi="Times New Roman" w:cs="Times New Roman" w:eastAsiaTheme="minorEastAsia"/>
              <w:sz w:val="21"/>
            </w:rPr>
          </w:pPr>
          <w:r>
            <w:fldChar w:fldCharType="begin"/>
          </w:r>
          <w:r>
            <w:instrText xml:space="preserve"> HYPERLINK \l "_Toc165277223" </w:instrText>
          </w:r>
          <w:r>
            <w:fldChar w:fldCharType="separate"/>
          </w:r>
          <w:r>
            <w:rPr>
              <w:rStyle w:val="18"/>
              <w:rFonts w:ascii="Times New Roman" w:hAnsi="Times New Roman" w:cs="Times New Roman"/>
              <w:color w:val="0563C1" w:themeColor="hyperlink"/>
              <w14:textFill>
                <w14:solidFill>
                  <w14:schemeClr w14:val="hlink"/>
                </w14:solidFill>
              </w14:textFill>
            </w:rPr>
            <w:t>2.资金投入和使用情况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_Toc165277223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14:paraId="3EC05611">
          <w:pPr>
            <w:pStyle w:val="3"/>
            <w:tabs>
              <w:tab w:val="right" w:leader="dot" w:pos="8296"/>
            </w:tabs>
            <w:spacing w:line="560" w:lineRule="exact"/>
            <w:ind w:left="560" w:firstLine="560"/>
            <w:rPr>
              <w:rFonts w:ascii="Times New Roman" w:hAnsi="Times New Roman" w:cs="Times New Roman" w:eastAsiaTheme="minorEastAsia"/>
              <w:sz w:val="21"/>
            </w:rPr>
          </w:pPr>
          <w:r>
            <w:fldChar w:fldCharType="begin"/>
          </w:r>
          <w:r>
            <w:instrText xml:space="preserve"> HYPERLINK \l "_Toc165277224" </w:instrText>
          </w:r>
          <w:r>
            <w:fldChar w:fldCharType="separate"/>
          </w:r>
          <w:r>
            <w:rPr>
              <w:rStyle w:val="18"/>
              <w:rFonts w:ascii="Times New Roman" w:hAnsi="Times New Roman" w:eastAsia="仿宋" w:cs="Times New Roman"/>
              <w:color w:val="0563C1" w:themeColor="hyperlink"/>
              <w:lang w:bidi="en-US"/>
              <w14:textFill>
                <w14:solidFill>
                  <w14:schemeClr w14:val="hlink"/>
                </w14:solidFill>
              </w14:textFill>
            </w:rPr>
            <w:t>（二）项目绩效目标：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_Toc165277224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14:paraId="423B1971">
          <w:pPr>
            <w:pStyle w:val="13"/>
            <w:tabs>
              <w:tab w:val="right" w:leader="dot" w:pos="8296"/>
            </w:tabs>
            <w:spacing w:line="560" w:lineRule="exact"/>
            <w:ind w:firstLine="560"/>
            <w:rPr>
              <w:rFonts w:ascii="Times New Roman" w:hAnsi="Times New Roman" w:cs="Times New Roman" w:eastAsiaTheme="minorEastAsia"/>
              <w:sz w:val="21"/>
            </w:rPr>
          </w:pPr>
          <w:r>
            <w:fldChar w:fldCharType="begin"/>
          </w:r>
          <w:r>
            <w:instrText xml:space="preserve"> HYPERLINK \l "_Toc165277225" </w:instrText>
          </w:r>
          <w:r>
            <w:fldChar w:fldCharType="separate"/>
          </w:r>
          <w:r>
            <w:rPr>
              <w:rStyle w:val="18"/>
              <w:rFonts w:ascii="Times New Roman" w:hAnsi="Times New Roman" w:eastAsia="仿宋" w:cs="Times New Roman"/>
              <w:color w:val="0563C1" w:themeColor="hyperlink"/>
              <w:lang w:bidi="en-US"/>
              <w14:textFill>
                <w14:solidFill>
                  <w14:schemeClr w14:val="hlink"/>
                </w14:solidFill>
              </w14:textFill>
            </w:rPr>
            <w:t>二、绩效评价工作开展情况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_Toc165277225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14:paraId="5E8E4E53">
          <w:pPr>
            <w:pStyle w:val="3"/>
            <w:tabs>
              <w:tab w:val="right" w:leader="dot" w:pos="8296"/>
            </w:tabs>
            <w:spacing w:line="560" w:lineRule="exact"/>
            <w:ind w:left="560" w:firstLine="560"/>
            <w:rPr>
              <w:rFonts w:ascii="Times New Roman" w:hAnsi="Times New Roman" w:cs="Times New Roman" w:eastAsiaTheme="minorEastAsia"/>
              <w:sz w:val="21"/>
            </w:rPr>
          </w:pPr>
          <w:r>
            <w:fldChar w:fldCharType="begin"/>
          </w:r>
          <w:r>
            <w:instrText xml:space="preserve"> HYPERLINK \l "_Toc165277226" </w:instrText>
          </w:r>
          <w:r>
            <w:fldChar w:fldCharType="separate"/>
          </w:r>
          <w:r>
            <w:rPr>
              <w:rStyle w:val="18"/>
              <w:rFonts w:ascii="Times New Roman" w:hAnsi="Times New Roman" w:eastAsia="仿宋" w:cs="Times New Roman"/>
              <w:color w:val="0563C1" w:themeColor="hyperlink"/>
              <w:lang w:bidi="en-US"/>
              <w14:textFill>
                <w14:solidFill>
                  <w14:schemeClr w14:val="hlink"/>
                </w14:solidFill>
              </w14:textFill>
            </w:rPr>
            <w:t>（一）绩效评价目的、对象和范围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_Toc165277226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14:paraId="473362C4">
          <w:pPr>
            <w:pStyle w:val="8"/>
            <w:tabs>
              <w:tab w:val="right" w:leader="dot" w:pos="8296"/>
            </w:tabs>
            <w:spacing w:line="560" w:lineRule="exact"/>
            <w:ind w:left="1120" w:firstLine="560"/>
            <w:rPr>
              <w:rFonts w:ascii="Times New Roman" w:hAnsi="Times New Roman" w:cs="Times New Roman" w:eastAsiaTheme="minorEastAsia"/>
              <w:sz w:val="21"/>
            </w:rPr>
          </w:pPr>
          <w:r>
            <w:fldChar w:fldCharType="begin"/>
          </w:r>
          <w:r>
            <w:instrText xml:space="preserve"> HYPERLINK \l "_Toc165277227" </w:instrText>
          </w:r>
          <w:r>
            <w:fldChar w:fldCharType="separate"/>
          </w:r>
          <w:r>
            <w:rPr>
              <w:rStyle w:val="18"/>
              <w:rFonts w:ascii="Times New Roman" w:hAnsi="Times New Roman" w:cs="Times New Roman"/>
              <w:color w:val="0563C1" w:themeColor="hyperlink"/>
              <w14:textFill>
                <w14:solidFill>
                  <w14:schemeClr w14:val="hlink"/>
                </w14:solidFill>
              </w14:textFill>
            </w:rPr>
            <w:t>1.绩效评价完整性</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_Toc165277227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14:paraId="7FE4D4A4">
          <w:pPr>
            <w:pStyle w:val="8"/>
            <w:tabs>
              <w:tab w:val="right" w:leader="dot" w:pos="8296"/>
            </w:tabs>
            <w:spacing w:line="560" w:lineRule="exact"/>
            <w:ind w:left="1120" w:firstLine="560"/>
            <w:rPr>
              <w:rFonts w:ascii="Times New Roman" w:hAnsi="Times New Roman" w:cs="Times New Roman" w:eastAsiaTheme="minorEastAsia"/>
              <w:sz w:val="21"/>
            </w:rPr>
          </w:pPr>
          <w:r>
            <w:fldChar w:fldCharType="begin"/>
          </w:r>
          <w:r>
            <w:instrText xml:space="preserve"> HYPERLINK \l "_Toc165277228" </w:instrText>
          </w:r>
          <w:r>
            <w:fldChar w:fldCharType="separate"/>
          </w:r>
          <w:r>
            <w:rPr>
              <w:rStyle w:val="18"/>
              <w:rFonts w:ascii="Times New Roman" w:hAnsi="Times New Roman" w:cs="Times New Roman"/>
              <w:color w:val="0563C1" w:themeColor="hyperlink"/>
              <w14:textFill>
                <w14:solidFill>
                  <w14:schemeClr w14:val="hlink"/>
                </w14:solidFill>
              </w14:textFill>
            </w:rPr>
            <w:t>2.评价目的</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_Toc165277228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14:paraId="1CB5CF35">
          <w:pPr>
            <w:pStyle w:val="8"/>
            <w:tabs>
              <w:tab w:val="right" w:leader="dot" w:pos="8296"/>
            </w:tabs>
            <w:spacing w:line="560" w:lineRule="exact"/>
            <w:ind w:left="1120" w:firstLine="560"/>
            <w:rPr>
              <w:rFonts w:ascii="Times New Roman" w:hAnsi="Times New Roman" w:cs="Times New Roman" w:eastAsiaTheme="minorEastAsia"/>
              <w:sz w:val="21"/>
            </w:rPr>
          </w:pPr>
          <w:r>
            <w:fldChar w:fldCharType="begin"/>
          </w:r>
          <w:r>
            <w:instrText xml:space="preserve"> HYPERLINK \l "_Toc165277229" </w:instrText>
          </w:r>
          <w:r>
            <w:fldChar w:fldCharType="separate"/>
          </w:r>
          <w:r>
            <w:rPr>
              <w:rStyle w:val="18"/>
              <w:rFonts w:ascii="Times New Roman" w:hAnsi="Times New Roman" w:cs="Times New Roman"/>
              <w:color w:val="0563C1" w:themeColor="hyperlink"/>
              <w14:textFill>
                <w14:solidFill>
                  <w14:schemeClr w14:val="hlink"/>
                </w14:solidFill>
              </w14:textFill>
            </w:rPr>
            <w:t>3.评价对象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_Toc165277229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14:paraId="658F1E27">
          <w:pPr>
            <w:pStyle w:val="8"/>
            <w:tabs>
              <w:tab w:val="right" w:leader="dot" w:pos="8296"/>
            </w:tabs>
            <w:spacing w:line="560" w:lineRule="exact"/>
            <w:ind w:left="1120" w:firstLine="560"/>
            <w:rPr>
              <w:rFonts w:ascii="Times New Roman" w:hAnsi="Times New Roman" w:cs="Times New Roman" w:eastAsiaTheme="minorEastAsia"/>
              <w:sz w:val="21"/>
            </w:rPr>
          </w:pPr>
          <w:r>
            <w:fldChar w:fldCharType="begin"/>
          </w:r>
          <w:r>
            <w:instrText xml:space="preserve"> HYPERLINK \l "_Toc165277230" </w:instrText>
          </w:r>
          <w:r>
            <w:fldChar w:fldCharType="separate"/>
          </w:r>
          <w:r>
            <w:rPr>
              <w:rStyle w:val="18"/>
              <w:rFonts w:ascii="Times New Roman" w:hAnsi="Times New Roman" w:cs="Times New Roman"/>
              <w:color w:val="0563C1" w:themeColor="hyperlink"/>
              <w14:textFill>
                <w14:solidFill>
                  <w14:schemeClr w14:val="hlink"/>
                </w14:solidFill>
              </w14:textFill>
            </w:rPr>
            <w:t>4.绩效评价范围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_Toc165277230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14:paraId="09F6110F">
          <w:pPr>
            <w:pStyle w:val="3"/>
            <w:tabs>
              <w:tab w:val="right" w:leader="dot" w:pos="8296"/>
            </w:tabs>
            <w:spacing w:line="560" w:lineRule="exact"/>
            <w:ind w:left="560" w:firstLine="560"/>
            <w:rPr>
              <w:rFonts w:ascii="Times New Roman" w:hAnsi="Times New Roman" w:cs="Times New Roman" w:eastAsiaTheme="minorEastAsia"/>
              <w:sz w:val="21"/>
            </w:rPr>
          </w:pPr>
          <w:r>
            <w:fldChar w:fldCharType="begin"/>
          </w:r>
          <w:r>
            <w:instrText xml:space="preserve"> HYPERLINK \l "_Toc165277231" </w:instrText>
          </w:r>
          <w:r>
            <w:fldChar w:fldCharType="separate"/>
          </w:r>
          <w:r>
            <w:rPr>
              <w:rStyle w:val="18"/>
              <w:rFonts w:ascii="Times New Roman" w:hAnsi="Times New Roman" w:eastAsia="仿宋" w:cs="Times New Roman"/>
              <w:color w:val="0563C1" w:themeColor="hyperlink"/>
              <w:lang w:bidi="en-US"/>
              <w14:textFill>
                <w14:solidFill>
                  <w14:schemeClr w14:val="hlink"/>
                </w14:solidFill>
              </w14:textFill>
            </w:rPr>
            <w:t>（二）绩效评价原则、指标体系、方法及标准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_Toc165277231 \h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rPr>
            <w:fldChar w:fldCharType="end"/>
          </w:r>
        </w:p>
        <w:p w14:paraId="5E09672C">
          <w:pPr>
            <w:pStyle w:val="8"/>
            <w:tabs>
              <w:tab w:val="right" w:leader="dot" w:pos="8296"/>
            </w:tabs>
            <w:spacing w:line="560" w:lineRule="exact"/>
            <w:ind w:left="1120" w:firstLine="560"/>
            <w:rPr>
              <w:rFonts w:ascii="Times New Roman" w:hAnsi="Times New Roman" w:cs="Times New Roman" w:eastAsiaTheme="minorEastAsia"/>
              <w:sz w:val="21"/>
            </w:rPr>
          </w:pPr>
          <w:r>
            <w:fldChar w:fldCharType="begin"/>
          </w:r>
          <w:r>
            <w:instrText xml:space="preserve"> HYPERLINK \l "_Toc165277232" </w:instrText>
          </w:r>
          <w:r>
            <w:fldChar w:fldCharType="separate"/>
          </w:r>
          <w:r>
            <w:rPr>
              <w:rStyle w:val="18"/>
              <w:rFonts w:ascii="Times New Roman" w:hAnsi="Times New Roman" w:cs="Times New Roman"/>
              <w:color w:val="0563C1" w:themeColor="hyperlink"/>
              <w14:textFill>
                <w14:solidFill>
                  <w14:schemeClr w14:val="hlink"/>
                </w14:solidFill>
              </w14:textFill>
            </w:rPr>
            <w:t>1.评价原则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_Toc165277232 \h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rPr>
            <w:fldChar w:fldCharType="end"/>
          </w:r>
        </w:p>
        <w:p w14:paraId="465E90B5">
          <w:pPr>
            <w:pStyle w:val="8"/>
            <w:tabs>
              <w:tab w:val="right" w:leader="dot" w:pos="8296"/>
            </w:tabs>
            <w:spacing w:line="560" w:lineRule="exact"/>
            <w:ind w:left="1120" w:firstLine="560"/>
            <w:rPr>
              <w:rFonts w:ascii="Times New Roman" w:hAnsi="Times New Roman" w:cs="Times New Roman" w:eastAsiaTheme="minorEastAsia"/>
              <w:sz w:val="21"/>
            </w:rPr>
          </w:pPr>
          <w:r>
            <w:fldChar w:fldCharType="begin"/>
          </w:r>
          <w:r>
            <w:instrText xml:space="preserve"> HYPERLINK \l "_Toc165277233" </w:instrText>
          </w:r>
          <w:r>
            <w:fldChar w:fldCharType="separate"/>
          </w:r>
          <w:r>
            <w:rPr>
              <w:rStyle w:val="18"/>
              <w:rFonts w:ascii="Times New Roman" w:hAnsi="Times New Roman" w:cs="Times New Roman"/>
              <w:color w:val="0563C1" w:themeColor="hyperlink"/>
              <w14:textFill>
                <w14:solidFill>
                  <w14:schemeClr w14:val="hlink"/>
                </w14:solidFill>
              </w14:textFill>
            </w:rPr>
            <w:t>2.评价指标体系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_Toc165277233 \h </w:instrText>
          </w:r>
          <w:r>
            <w:rPr>
              <w:rFonts w:ascii="Times New Roman" w:hAnsi="Times New Roman" w:cs="Times New Roman"/>
            </w:rPr>
            <w:fldChar w:fldCharType="separate"/>
          </w:r>
          <w:r>
            <w:rPr>
              <w:rFonts w:ascii="Times New Roman" w:hAnsi="Times New Roman" w:cs="Times New Roman"/>
            </w:rPr>
            <w:t>14</w:t>
          </w:r>
          <w:r>
            <w:rPr>
              <w:rFonts w:ascii="Times New Roman" w:hAnsi="Times New Roman" w:cs="Times New Roman"/>
            </w:rPr>
            <w:fldChar w:fldCharType="end"/>
          </w:r>
          <w:r>
            <w:rPr>
              <w:rFonts w:ascii="Times New Roman" w:hAnsi="Times New Roman" w:cs="Times New Roman"/>
            </w:rPr>
            <w:fldChar w:fldCharType="end"/>
          </w:r>
        </w:p>
        <w:p w14:paraId="2D26C9CF">
          <w:pPr>
            <w:pStyle w:val="8"/>
            <w:tabs>
              <w:tab w:val="right" w:leader="dot" w:pos="8296"/>
            </w:tabs>
            <w:spacing w:line="560" w:lineRule="exact"/>
            <w:ind w:left="1120" w:firstLine="560"/>
            <w:rPr>
              <w:rFonts w:ascii="Times New Roman" w:hAnsi="Times New Roman" w:cs="Times New Roman" w:eastAsiaTheme="minorEastAsia"/>
              <w:sz w:val="21"/>
            </w:rPr>
          </w:pPr>
          <w:r>
            <w:fldChar w:fldCharType="begin"/>
          </w:r>
          <w:r>
            <w:instrText xml:space="preserve"> HYPERLINK \l "_Toc165277234" </w:instrText>
          </w:r>
          <w:r>
            <w:fldChar w:fldCharType="separate"/>
          </w:r>
          <w:r>
            <w:rPr>
              <w:rStyle w:val="18"/>
              <w:rFonts w:ascii="Times New Roman" w:hAnsi="Times New Roman" w:cs="Times New Roman"/>
              <w:color w:val="0563C1" w:themeColor="hyperlink"/>
              <w14:textFill>
                <w14:solidFill>
                  <w14:schemeClr w14:val="hlink"/>
                </w14:solidFill>
              </w14:textFill>
            </w:rPr>
            <w:t>3.评价方法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_Toc165277234 \h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fldChar w:fldCharType="end"/>
          </w:r>
        </w:p>
        <w:p w14:paraId="3B247AA6">
          <w:pPr>
            <w:pStyle w:val="8"/>
            <w:tabs>
              <w:tab w:val="right" w:leader="dot" w:pos="8296"/>
            </w:tabs>
            <w:spacing w:line="560" w:lineRule="exact"/>
            <w:ind w:left="1120" w:firstLine="560"/>
            <w:rPr>
              <w:rFonts w:ascii="Times New Roman" w:hAnsi="Times New Roman" w:cs="Times New Roman" w:eastAsiaTheme="minorEastAsia"/>
              <w:sz w:val="21"/>
            </w:rPr>
          </w:pPr>
          <w:r>
            <w:fldChar w:fldCharType="begin"/>
          </w:r>
          <w:r>
            <w:instrText xml:space="preserve"> HYPERLINK \l "_Toc165277235" </w:instrText>
          </w:r>
          <w:r>
            <w:fldChar w:fldCharType="separate"/>
          </w:r>
          <w:r>
            <w:rPr>
              <w:rStyle w:val="18"/>
              <w:rFonts w:ascii="Times New Roman" w:hAnsi="Times New Roman" w:cs="Times New Roman"/>
              <w:color w:val="0563C1" w:themeColor="hyperlink"/>
              <w14:textFill>
                <w14:solidFill>
                  <w14:schemeClr w14:val="hlink"/>
                </w14:solidFill>
              </w14:textFill>
            </w:rPr>
            <w:t>4.评价标准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_Toc165277235 \h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r>
            <w:rPr>
              <w:rFonts w:ascii="Times New Roman" w:hAnsi="Times New Roman" w:cs="Times New Roman"/>
            </w:rPr>
            <w:fldChar w:fldCharType="end"/>
          </w:r>
        </w:p>
        <w:p w14:paraId="09885D03">
          <w:pPr>
            <w:pStyle w:val="3"/>
            <w:tabs>
              <w:tab w:val="right" w:leader="dot" w:pos="8296"/>
            </w:tabs>
            <w:spacing w:line="560" w:lineRule="exact"/>
            <w:ind w:left="560" w:firstLine="560"/>
            <w:rPr>
              <w:rFonts w:ascii="Times New Roman" w:hAnsi="Times New Roman" w:cs="Times New Roman" w:eastAsiaTheme="minorEastAsia"/>
              <w:sz w:val="21"/>
            </w:rPr>
          </w:pPr>
          <w:r>
            <w:fldChar w:fldCharType="begin"/>
          </w:r>
          <w:r>
            <w:instrText xml:space="preserve"> HYPERLINK \l "_Toc165277236" </w:instrText>
          </w:r>
          <w:r>
            <w:fldChar w:fldCharType="separate"/>
          </w:r>
          <w:r>
            <w:rPr>
              <w:rStyle w:val="18"/>
              <w:rFonts w:ascii="Times New Roman" w:hAnsi="Times New Roman" w:eastAsia="仿宋" w:cs="Times New Roman"/>
              <w:color w:val="0563C1" w:themeColor="hyperlink"/>
              <w:lang w:bidi="en-US"/>
              <w14:textFill>
                <w14:solidFill>
                  <w14:schemeClr w14:val="hlink"/>
                </w14:solidFill>
              </w14:textFill>
            </w:rPr>
            <w:t>（三）绩效评价工作过程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_Toc165277236 \h </w:instrText>
          </w:r>
          <w:r>
            <w:rPr>
              <w:rFonts w:ascii="Times New Roman" w:hAnsi="Times New Roman" w:cs="Times New Roman"/>
            </w:rPr>
            <w:fldChar w:fldCharType="separate"/>
          </w:r>
          <w:r>
            <w:rPr>
              <w:rFonts w:ascii="Times New Roman" w:hAnsi="Times New Roman" w:cs="Times New Roman"/>
            </w:rPr>
            <w:t>22</w:t>
          </w:r>
          <w:r>
            <w:rPr>
              <w:rFonts w:ascii="Times New Roman" w:hAnsi="Times New Roman" w:cs="Times New Roman"/>
            </w:rPr>
            <w:fldChar w:fldCharType="end"/>
          </w:r>
          <w:r>
            <w:rPr>
              <w:rFonts w:ascii="Times New Roman" w:hAnsi="Times New Roman" w:cs="Times New Roman"/>
            </w:rPr>
            <w:fldChar w:fldCharType="end"/>
          </w:r>
        </w:p>
        <w:p w14:paraId="1E477EAD">
          <w:pPr>
            <w:pStyle w:val="13"/>
            <w:tabs>
              <w:tab w:val="right" w:leader="dot" w:pos="8296"/>
            </w:tabs>
            <w:spacing w:line="560" w:lineRule="exact"/>
            <w:ind w:firstLine="560"/>
            <w:rPr>
              <w:rFonts w:ascii="Times New Roman" w:hAnsi="Times New Roman" w:cs="Times New Roman" w:eastAsiaTheme="minorEastAsia"/>
              <w:sz w:val="21"/>
            </w:rPr>
          </w:pPr>
          <w:r>
            <w:fldChar w:fldCharType="begin"/>
          </w:r>
          <w:r>
            <w:instrText xml:space="preserve"> HYPERLINK \l "_Toc165277237" </w:instrText>
          </w:r>
          <w:r>
            <w:fldChar w:fldCharType="separate"/>
          </w:r>
          <w:r>
            <w:rPr>
              <w:rStyle w:val="18"/>
              <w:rFonts w:ascii="Times New Roman" w:hAnsi="Times New Roman" w:eastAsia="仿宋" w:cs="Times New Roman"/>
              <w:color w:val="0563C1" w:themeColor="hyperlink"/>
              <w:lang w:bidi="en-US"/>
              <w14:textFill>
                <w14:solidFill>
                  <w14:schemeClr w14:val="hlink"/>
                </w14:solidFill>
              </w14:textFill>
            </w:rPr>
            <w:t>三、综合评价情况及评价结论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_Toc165277237 \h </w:instrText>
          </w:r>
          <w:r>
            <w:rPr>
              <w:rFonts w:ascii="Times New Roman" w:hAnsi="Times New Roman" w:cs="Times New Roman"/>
            </w:rPr>
            <w:fldChar w:fldCharType="separate"/>
          </w:r>
          <w:r>
            <w:rPr>
              <w:rFonts w:ascii="Times New Roman" w:hAnsi="Times New Roman" w:cs="Times New Roman"/>
            </w:rPr>
            <w:t>22</w:t>
          </w:r>
          <w:r>
            <w:rPr>
              <w:rFonts w:ascii="Times New Roman" w:hAnsi="Times New Roman" w:cs="Times New Roman"/>
            </w:rPr>
            <w:fldChar w:fldCharType="end"/>
          </w:r>
          <w:r>
            <w:rPr>
              <w:rFonts w:ascii="Times New Roman" w:hAnsi="Times New Roman" w:cs="Times New Roman"/>
            </w:rPr>
            <w:fldChar w:fldCharType="end"/>
          </w:r>
        </w:p>
        <w:p w14:paraId="584CECA5">
          <w:pPr>
            <w:pStyle w:val="3"/>
            <w:tabs>
              <w:tab w:val="right" w:leader="dot" w:pos="8296"/>
            </w:tabs>
            <w:spacing w:line="560" w:lineRule="exact"/>
            <w:ind w:left="560" w:firstLine="560"/>
            <w:rPr>
              <w:rFonts w:ascii="Times New Roman" w:hAnsi="Times New Roman" w:cs="Times New Roman" w:eastAsiaTheme="minorEastAsia"/>
              <w:sz w:val="21"/>
            </w:rPr>
          </w:pPr>
          <w:r>
            <w:fldChar w:fldCharType="begin"/>
          </w:r>
          <w:r>
            <w:instrText xml:space="preserve"> HYPERLINK \l "_Toc165277238" </w:instrText>
          </w:r>
          <w:r>
            <w:fldChar w:fldCharType="separate"/>
          </w:r>
          <w:r>
            <w:rPr>
              <w:rStyle w:val="18"/>
              <w:rFonts w:ascii="Times New Roman" w:hAnsi="Times New Roman" w:eastAsia="仿宋" w:cs="Times New Roman"/>
              <w:color w:val="0563C1" w:themeColor="hyperlink"/>
              <w:lang w:bidi="en-US"/>
              <w14:textFill>
                <w14:solidFill>
                  <w14:schemeClr w14:val="hlink"/>
                </w14:solidFill>
              </w14:textFill>
            </w:rPr>
            <w:t>（一）评价结论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_Toc165277238 \h </w:instrText>
          </w:r>
          <w:r>
            <w:rPr>
              <w:rFonts w:ascii="Times New Roman" w:hAnsi="Times New Roman" w:cs="Times New Roman"/>
            </w:rPr>
            <w:fldChar w:fldCharType="separate"/>
          </w:r>
          <w:r>
            <w:rPr>
              <w:rFonts w:ascii="Times New Roman" w:hAnsi="Times New Roman" w:cs="Times New Roman"/>
            </w:rPr>
            <w:t>22</w:t>
          </w:r>
          <w:r>
            <w:rPr>
              <w:rFonts w:ascii="Times New Roman" w:hAnsi="Times New Roman" w:cs="Times New Roman"/>
            </w:rPr>
            <w:fldChar w:fldCharType="end"/>
          </w:r>
          <w:r>
            <w:rPr>
              <w:rFonts w:ascii="Times New Roman" w:hAnsi="Times New Roman" w:cs="Times New Roman"/>
            </w:rPr>
            <w:fldChar w:fldCharType="end"/>
          </w:r>
        </w:p>
        <w:p w14:paraId="1776C051">
          <w:pPr>
            <w:pStyle w:val="3"/>
            <w:tabs>
              <w:tab w:val="right" w:leader="dot" w:pos="8296"/>
            </w:tabs>
            <w:spacing w:line="560" w:lineRule="exact"/>
            <w:ind w:left="560" w:firstLine="560"/>
            <w:rPr>
              <w:rFonts w:ascii="Times New Roman" w:hAnsi="Times New Roman" w:cs="Times New Roman" w:eastAsiaTheme="minorEastAsia"/>
              <w:sz w:val="21"/>
            </w:rPr>
          </w:pPr>
          <w:r>
            <w:fldChar w:fldCharType="begin"/>
          </w:r>
          <w:r>
            <w:instrText xml:space="preserve"> HYPERLINK \l "_Toc165277239" </w:instrText>
          </w:r>
          <w:r>
            <w:fldChar w:fldCharType="separate"/>
          </w:r>
          <w:r>
            <w:rPr>
              <w:rStyle w:val="18"/>
              <w:rFonts w:ascii="Times New Roman" w:hAnsi="Times New Roman" w:eastAsia="仿宋" w:cs="Times New Roman"/>
              <w:color w:val="0563C1" w:themeColor="hyperlink"/>
              <w:lang w:bidi="en-US"/>
              <w14:textFill>
                <w14:solidFill>
                  <w14:schemeClr w14:val="hlink"/>
                </w14:solidFill>
              </w14:textFill>
            </w:rPr>
            <w:t>（二）主要绩效</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_Toc165277239 \h </w:instrText>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r>
            <w:rPr>
              <w:rFonts w:ascii="Times New Roman" w:hAnsi="Times New Roman" w:cs="Times New Roman"/>
            </w:rPr>
            <w:fldChar w:fldCharType="end"/>
          </w:r>
        </w:p>
        <w:p w14:paraId="2F23C768">
          <w:pPr>
            <w:pStyle w:val="13"/>
            <w:tabs>
              <w:tab w:val="right" w:leader="dot" w:pos="8296"/>
            </w:tabs>
            <w:spacing w:line="560" w:lineRule="exact"/>
            <w:ind w:firstLine="560"/>
            <w:rPr>
              <w:rFonts w:ascii="Times New Roman" w:hAnsi="Times New Roman" w:cs="Times New Roman" w:eastAsiaTheme="minorEastAsia"/>
              <w:sz w:val="21"/>
            </w:rPr>
          </w:pPr>
          <w:r>
            <w:fldChar w:fldCharType="begin"/>
          </w:r>
          <w:r>
            <w:instrText xml:space="preserve"> HYPERLINK \l "_Toc165277240" </w:instrText>
          </w:r>
          <w:r>
            <w:fldChar w:fldCharType="separate"/>
          </w:r>
          <w:r>
            <w:rPr>
              <w:rStyle w:val="18"/>
              <w:rFonts w:ascii="Times New Roman" w:hAnsi="Times New Roman" w:eastAsia="仿宋" w:cs="Times New Roman"/>
              <w:color w:val="0563C1" w:themeColor="hyperlink"/>
              <w:lang w:bidi="en-US"/>
              <w14:textFill>
                <w14:solidFill>
                  <w14:schemeClr w14:val="hlink"/>
                </w14:solidFill>
              </w14:textFill>
            </w:rPr>
            <w:t>四、绩效评价指标分析</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_Toc165277240 \h </w:instrText>
          </w:r>
          <w:r>
            <w:rPr>
              <w:rFonts w:ascii="Times New Roman" w:hAnsi="Times New Roman" w:cs="Times New Roman"/>
            </w:rPr>
            <w:fldChar w:fldCharType="separate"/>
          </w:r>
          <w:r>
            <w:rPr>
              <w:rFonts w:ascii="Times New Roman" w:hAnsi="Times New Roman" w:cs="Times New Roman"/>
            </w:rPr>
            <w:t>25</w:t>
          </w:r>
          <w:r>
            <w:rPr>
              <w:rFonts w:ascii="Times New Roman" w:hAnsi="Times New Roman" w:cs="Times New Roman"/>
            </w:rPr>
            <w:fldChar w:fldCharType="end"/>
          </w:r>
          <w:r>
            <w:rPr>
              <w:rFonts w:ascii="Times New Roman" w:hAnsi="Times New Roman" w:cs="Times New Roman"/>
            </w:rPr>
            <w:fldChar w:fldCharType="end"/>
          </w:r>
        </w:p>
        <w:p w14:paraId="0F848C37">
          <w:pPr>
            <w:pStyle w:val="3"/>
            <w:tabs>
              <w:tab w:val="right" w:leader="dot" w:pos="8296"/>
            </w:tabs>
            <w:spacing w:line="560" w:lineRule="exact"/>
            <w:ind w:left="560" w:firstLine="560"/>
            <w:rPr>
              <w:rFonts w:ascii="Times New Roman" w:hAnsi="Times New Roman" w:cs="Times New Roman" w:eastAsiaTheme="minorEastAsia"/>
              <w:sz w:val="21"/>
            </w:rPr>
          </w:pPr>
          <w:r>
            <w:fldChar w:fldCharType="begin"/>
          </w:r>
          <w:r>
            <w:instrText xml:space="preserve"> HYPERLINK \l "_Toc165277241" </w:instrText>
          </w:r>
          <w:r>
            <w:fldChar w:fldCharType="separate"/>
          </w:r>
          <w:r>
            <w:rPr>
              <w:rStyle w:val="18"/>
              <w:rFonts w:ascii="Times New Roman" w:hAnsi="Times New Roman" w:eastAsia="仿宋" w:cs="Times New Roman"/>
              <w:color w:val="0563C1" w:themeColor="hyperlink"/>
              <w:lang w:bidi="en-US"/>
              <w14:textFill>
                <w14:solidFill>
                  <w14:schemeClr w14:val="hlink"/>
                </w14:solidFill>
              </w14:textFill>
            </w:rPr>
            <w:t>（一）项目决策情况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_Toc165277241 \h </w:instrText>
          </w:r>
          <w:r>
            <w:rPr>
              <w:rFonts w:ascii="Times New Roman" w:hAnsi="Times New Roman" w:cs="Times New Roman"/>
            </w:rPr>
            <w:fldChar w:fldCharType="separate"/>
          </w:r>
          <w:r>
            <w:rPr>
              <w:rFonts w:ascii="Times New Roman" w:hAnsi="Times New Roman" w:cs="Times New Roman"/>
            </w:rPr>
            <w:t>25</w:t>
          </w:r>
          <w:r>
            <w:rPr>
              <w:rFonts w:ascii="Times New Roman" w:hAnsi="Times New Roman" w:cs="Times New Roman"/>
            </w:rPr>
            <w:fldChar w:fldCharType="end"/>
          </w:r>
          <w:r>
            <w:rPr>
              <w:rFonts w:ascii="Times New Roman" w:hAnsi="Times New Roman" w:cs="Times New Roman"/>
            </w:rPr>
            <w:fldChar w:fldCharType="end"/>
          </w:r>
        </w:p>
        <w:p w14:paraId="56CBD5C0">
          <w:pPr>
            <w:pStyle w:val="8"/>
            <w:tabs>
              <w:tab w:val="right" w:leader="dot" w:pos="8296"/>
            </w:tabs>
            <w:spacing w:line="560" w:lineRule="exact"/>
            <w:ind w:left="1120" w:firstLine="560"/>
            <w:rPr>
              <w:rFonts w:ascii="Times New Roman" w:hAnsi="Times New Roman" w:cs="Times New Roman" w:eastAsiaTheme="minorEastAsia"/>
              <w:sz w:val="21"/>
            </w:rPr>
          </w:pPr>
          <w:r>
            <w:fldChar w:fldCharType="begin"/>
          </w:r>
          <w:r>
            <w:instrText xml:space="preserve"> HYPERLINK \l "_Toc165277242" </w:instrText>
          </w:r>
          <w:r>
            <w:fldChar w:fldCharType="separate"/>
          </w:r>
          <w:r>
            <w:rPr>
              <w:rStyle w:val="18"/>
              <w:rFonts w:ascii="Times New Roman" w:hAnsi="Times New Roman" w:cs="Times New Roman"/>
              <w:color w:val="0563C1" w:themeColor="hyperlink"/>
              <w14:textFill>
                <w14:solidFill>
                  <w14:schemeClr w14:val="hlink"/>
                </w14:solidFill>
              </w14:textFill>
            </w:rPr>
            <w:t>1.项目立项</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_Toc165277242 \h </w:instrText>
          </w:r>
          <w:r>
            <w:rPr>
              <w:rFonts w:ascii="Times New Roman" w:hAnsi="Times New Roman" w:cs="Times New Roman"/>
            </w:rPr>
            <w:fldChar w:fldCharType="separate"/>
          </w:r>
          <w:r>
            <w:rPr>
              <w:rFonts w:ascii="Times New Roman" w:hAnsi="Times New Roman" w:cs="Times New Roman"/>
            </w:rPr>
            <w:t>26</w:t>
          </w:r>
          <w:r>
            <w:rPr>
              <w:rFonts w:ascii="Times New Roman" w:hAnsi="Times New Roman" w:cs="Times New Roman"/>
            </w:rPr>
            <w:fldChar w:fldCharType="end"/>
          </w:r>
          <w:r>
            <w:rPr>
              <w:rFonts w:ascii="Times New Roman" w:hAnsi="Times New Roman" w:cs="Times New Roman"/>
            </w:rPr>
            <w:fldChar w:fldCharType="end"/>
          </w:r>
        </w:p>
        <w:p w14:paraId="54CD9322">
          <w:pPr>
            <w:pStyle w:val="8"/>
            <w:tabs>
              <w:tab w:val="right" w:leader="dot" w:pos="8296"/>
            </w:tabs>
            <w:spacing w:line="560" w:lineRule="exact"/>
            <w:ind w:left="1120" w:firstLine="560"/>
            <w:rPr>
              <w:rFonts w:ascii="Times New Roman" w:hAnsi="Times New Roman" w:cs="Times New Roman" w:eastAsiaTheme="minorEastAsia"/>
              <w:sz w:val="21"/>
            </w:rPr>
          </w:pPr>
          <w:r>
            <w:fldChar w:fldCharType="begin"/>
          </w:r>
          <w:r>
            <w:instrText xml:space="preserve"> HYPERLINK \l "_Toc165277243" </w:instrText>
          </w:r>
          <w:r>
            <w:fldChar w:fldCharType="separate"/>
          </w:r>
          <w:r>
            <w:rPr>
              <w:rStyle w:val="18"/>
              <w:rFonts w:ascii="Times New Roman" w:hAnsi="Times New Roman" w:cs="Times New Roman"/>
              <w:color w:val="0563C1" w:themeColor="hyperlink"/>
              <w14:textFill>
                <w14:solidFill>
                  <w14:schemeClr w14:val="hlink"/>
                </w14:solidFill>
              </w14:textFill>
            </w:rPr>
            <w:t>2.绩效目标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_Toc165277243 \h </w:instrText>
          </w:r>
          <w:r>
            <w:rPr>
              <w:rFonts w:ascii="Times New Roman" w:hAnsi="Times New Roman" w:cs="Times New Roman"/>
            </w:rPr>
            <w:fldChar w:fldCharType="separate"/>
          </w:r>
          <w:r>
            <w:rPr>
              <w:rFonts w:ascii="Times New Roman" w:hAnsi="Times New Roman" w:cs="Times New Roman"/>
            </w:rPr>
            <w:t>27</w:t>
          </w:r>
          <w:r>
            <w:rPr>
              <w:rFonts w:ascii="Times New Roman" w:hAnsi="Times New Roman" w:cs="Times New Roman"/>
            </w:rPr>
            <w:fldChar w:fldCharType="end"/>
          </w:r>
          <w:r>
            <w:rPr>
              <w:rFonts w:ascii="Times New Roman" w:hAnsi="Times New Roman" w:cs="Times New Roman"/>
            </w:rPr>
            <w:fldChar w:fldCharType="end"/>
          </w:r>
        </w:p>
        <w:p w14:paraId="697BAA4D">
          <w:pPr>
            <w:pStyle w:val="8"/>
            <w:tabs>
              <w:tab w:val="right" w:leader="dot" w:pos="8296"/>
            </w:tabs>
            <w:spacing w:line="560" w:lineRule="exact"/>
            <w:ind w:left="1120" w:firstLine="560"/>
            <w:rPr>
              <w:rFonts w:ascii="Times New Roman" w:hAnsi="Times New Roman" w:cs="Times New Roman" w:eastAsiaTheme="minorEastAsia"/>
              <w:sz w:val="21"/>
            </w:rPr>
          </w:pPr>
          <w:r>
            <w:fldChar w:fldCharType="begin"/>
          </w:r>
          <w:r>
            <w:instrText xml:space="preserve"> HYPERLINK \l "_Toc165277244" </w:instrText>
          </w:r>
          <w:r>
            <w:fldChar w:fldCharType="separate"/>
          </w:r>
          <w:r>
            <w:rPr>
              <w:rStyle w:val="18"/>
              <w:rFonts w:ascii="Times New Roman" w:hAnsi="Times New Roman" w:cs="Times New Roman"/>
              <w:color w:val="0563C1" w:themeColor="hyperlink"/>
              <w14:textFill>
                <w14:solidFill>
                  <w14:schemeClr w14:val="hlink"/>
                </w14:solidFill>
              </w14:textFill>
            </w:rPr>
            <w:t>3.资金投入</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_Toc165277244 \h </w:instrText>
          </w:r>
          <w:r>
            <w:rPr>
              <w:rFonts w:ascii="Times New Roman" w:hAnsi="Times New Roman" w:cs="Times New Roman"/>
            </w:rPr>
            <w:fldChar w:fldCharType="separate"/>
          </w:r>
          <w:r>
            <w:rPr>
              <w:rFonts w:ascii="Times New Roman" w:hAnsi="Times New Roman" w:cs="Times New Roman"/>
            </w:rPr>
            <w:t>28</w:t>
          </w:r>
          <w:r>
            <w:rPr>
              <w:rFonts w:ascii="Times New Roman" w:hAnsi="Times New Roman" w:cs="Times New Roman"/>
            </w:rPr>
            <w:fldChar w:fldCharType="end"/>
          </w:r>
          <w:r>
            <w:rPr>
              <w:rFonts w:ascii="Times New Roman" w:hAnsi="Times New Roman" w:cs="Times New Roman"/>
            </w:rPr>
            <w:fldChar w:fldCharType="end"/>
          </w:r>
        </w:p>
        <w:p w14:paraId="55B42BAE">
          <w:pPr>
            <w:pStyle w:val="3"/>
            <w:tabs>
              <w:tab w:val="right" w:leader="dot" w:pos="8296"/>
            </w:tabs>
            <w:spacing w:line="560" w:lineRule="exact"/>
            <w:ind w:left="560" w:firstLine="560"/>
            <w:rPr>
              <w:rFonts w:ascii="Times New Roman" w:hAnsi="Times New Roman" w:cs="Times New Roman" w:eastAsiaTheme="minorEastAsia"/>
              <w:sz w:val="21"/>
            </w:rPr>
          </w:pPr>
          <w:r>
            <w:fldChar w:fldCharType="begin"/>
          </w:r>
          <w:r>
            <w:instrText xml:space="preserve"> HYPERLINK \l "_Toc165277245" </w:instrText>
          </w:r>
          <w:r>
            <w:fldChar w:fldCharType="separate"/>
          </w:r>
          <w:r>
            <w:rPr>
              <w:rStyle w:val="18"/>
              <w:rFonts w:ascii="Times New Roman" w:hAnsi="Times New Roman" w:eastAsia="仿宋" w:cs="Times New Roman"/>
              <w:color w:val="0563C1" w:themeColor="hyperlink"/>
              <w:lang w:bidi="en-US"/>
              <w14:textFill>
                <w14:solidFill>
                  <w14:schemeClr w14:val="hlink"/>
                </w14:solidFill>
              </w14:textFill>
            </w:rPr>
            <w:t>（二）项目过程情况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_Toc165277245 \h </w:instrText>
          </w:r>
          <w:r>
            <w:rPr>
              <w:rFonts w:ascii="Times New Roman" w:hAnsi="Times New Roman" w:cs="Times New Roman"/>
            </w:rPr>
            <w:fldChar w:fldCharType="separate"/>
          </w:r>
          <w:r>
            <w:rPr>
              <w:rFonts w:ascii="Times New Roman" w:hAnsi="Times New Roman" w:cs="Times New Roman"/>
            </w:rPr>
            <w:t>28</w:t>
          </w:r>
          <w:r>
            <w:rPr>
              <w:rFonts w:ascii="Times New Roman" w:hAnsi="Times New Roman" w:cs="Times New Roman"/>
            </w:rPr>
            <w:fldChar w:fldCharType="end"/>
          </w:r>
          <w:r>
            <w:rPr>
              <w:rFonts w:ascii="Times New Roman" w:hAnsi="Times New Roman" w:cs="Times New Roman"/>
            </w:rPr>
            <w:fldChar w:fldCharType="end"/>
          </w:r>
        </w:p>
        <w:p w14:paraId="3EAFD662">
          <w:pPr>
            <w:pStyle w:val="8"/>
            <w:tabs>
              <w:tab w:val="right" w:leader="dot" w:pos="8296"/>
            </w:tabs>
            <w:spacing w:line="560" w:lineRule="exact"/>
            <w:ind w:left="1120" w:firstLine="560"/>
            <w:rPr>
              <w:rFonts w:ascii="Times New Roman" w:hAnsi="Times New Roman" w:cs="Times New Roman" w:eastAsiaTheme="minorEastAsia"/>
              <w:sz w:val="21"/>
            </w:rPr>
          </w:pPr>
          <w:r>
            <w:fldChar w:fldCharType="begin"/>
          </w:r>
          <w:r>
            <w:instrText xml:space="preserve"> HYPERLINK \l "_Toc165277246" </w:instrText>
          </w:r>
          <w:r>
            <w:fldChar w:fldCharType="separate"/>
          </w:r>
          <w:r>
            <w:rPr>
              <w:rStyle w:val="18"/>
              <w:rFonts w:ascii="Times New Roman" w:hAnsi="Times New Roman" w:cs="Times New Roman"/>
              <w:color w:val="0563C1" w:themeColor="hyperlink"/>
              <w14:textFill>
                <w14:solidFill>
                  <w14:schemeClr w14:val="hlink"/>
                </w14:solidFill>
              </w14:textFill>
            </w:rPr>
            <w:t>1.资金管理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_Toc165277246 \h </w:instrText>
          </w:r>
          <w:r>
            <w:rPr>
              <w:rFonts w:ascii="Times New Roman" w:hAnsi="Times New Roman" w:cs="Times New Roman"/>
            </w:rPr>
            <w:fldChar w:fldCharType="separate"/>
          </w:r>
          <w:r>
            <w:rPr>
              <w:rFonts w:ascii="Times New Roman" w:hAnsi="Times New Roman" w:cs="Times New Roman"/>
            </w:rPr>
            <w:t>28</w:t>
          </w:r>
          <w:r>
            <w:rPr>
              <w:rFonts w:ascii="Times New Roman" w:hAnsi="Times New Roman" w:cs="Times New Roman"/>
            </w:rPr>
            <w:fldChar w:fldCharType="end"/>
          </w:r>
          <w:r>
            <w:rPr>
              <w:rFonts w:ascii="Times New Roman" w:hAnsi="Times New Roman" w:cs="Times New Roman"/>
            </w:rPr>
            <w:fldChar w:fldCharType="end"/>
          </w:r>
        </w:p>
        <w:p w14:paraId="4060A43F">
          <w:pPr>
            <w:pStyle w:val="8"/>
            <w:tabs>
              <w:tab w:val="right" w:leader="dot" w:pos="8296"/>
            </w:tabs>
            <w:spacing w:line="560" w:lineRule="exact"/>
            <w:ind w:left="1120" w:firstLine="560"/>
            <w:rPr>
              <w:rFonts w:ascii="Times New Roman" w:hAnsi="Times New Roman" w:cs="Times New Roman" w:eastAsiaTheme="minorEastAsia"/>
              <w:sz w:val="21"/>
            </w:rPr>
          </w:pPr>
          <w:r>
            <w:fldChar w:fldCharType="begin"/>
          </w:r>
          <w:r>
            <w:instrText xml:space="preserve"> HYPERLINK \l "_Toc165277247" </w:instrText>
          </w:r>
          <w:r>
            <w:fldChar w:fldCharType="separate"/>
          </w:r>
          <w:r>
            <w:rPr>
              <w:rStyle w:val="18"/>
              <w:rFonts w:ascii="Times New Roman" w:hAnsi="Times New Roman" w:cs="Times New Roman"/>
              <w:color w:val="0563C1" w:themeColor="hyperlink"/>
              <w14:textFill>
                <w14:solidFill>
                  <w14:schemeClr w14:val="hlink"/>
                </w14:solidFill>
              </w14:textFill>
            </w:rPr>
            <w:t>2.组织实施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_Toc165277247 \h </w:instrText>
          </w:r>
          <w:r>
            <w:rPr>
              <w:rFonts w:ascii="Times New Roman" w:hAnsi="Times New Roman" w:cs="Times New Roman"/>
            </w:rPr>
            <w:fldChar w:fldCharType="separate"/>
          </w:r>
          <w:r>
            <w:rPr>
              <w:rFonts w:ascii="Times New Roman" w:hAnsi="Times New Roman" w:cs="Times New Roman"/>
            </w:rPr>
            <w:t>29</w:t>
          </w:r>
          <w:r>
            <w:rPr>
              <w:rFonts w:ascii="Times New Roman" w:hAnsi="Times New Roman" w:cs="Times New Roman"/>
            </w:rPr>
            <w:fldChar w:fldCharType="end"/>
          </w:r>
          <w:r>
            <w:rPr>
              <w:rFonts w:ascii="Times New Roman" w:hAnsi="Times New Roman" w:cs="Times New Roman"/>
            </w:rPr>
            <w:fldChar w:fldCharType="end"/>
          </w:r>
        </w:p>
        <w:p w14:paraId="34C6C83F">
          <w:pPr>
            <w:pStyle w:val="3"/>
            <w:tabs>
              <w:tab w:val="right" w:leader="dot" w:pos="8296"/>
            </w:tabs>
            <w:spacing w:line="560" w:lineRule="exact"/>
            <w:ind w:left="560" w:firstLine="560"/>
            <w:rPr>
              <w:rFonts w:ascii="Times New Roman" w:hAnsi="Times New Roman" w:cs="Times New Roman" w:eastAsiaTheme="minorEastAsia"/>
              <w:sz w:val="21"/>
            </w:rPr>
          </w:pPr>
          <w:r>
            <w:fldChar w:fldCharType="begin"/>
          </w:r>
          <w:r>
            <w:instrText xml:space="preserve"> HYPERLINK \l "_Toc165277248" </w:instrText>
          </w:r>
          <w:r>
            <w:fldChar w:fldCharType="separate"/>
          </w:r>
          <w:r>
            <w:rPr>
              <w:rStyle w:val="18"/>
              <w:rFonts w:ascii="Times New Roman" w:hAnsi="Times New Roman" w:eastAsia="仿宋" w:cs="Times New Roman"/>
              <w:color w:val="0563C1" w:themeColor="hyperlink"/>
              <w:lang w:bidi="en-US"/>
              <w14:textFill>
                <w14:solidFill>
                  <w14:schemeClr w14:val="hlink"/>
                </w14:solidFill>
              </w14:textFill>
            </w:rPr>
            <w:t>（三）项目产出情况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_Toc165277248 \h </w:instrText>
          </w:r>
          <w:r>
            <w:rPr>
              <w:rFonts w:ascii="Times New Roman" w:hAnsi="Times New Roman" w:cs="Times New Roman"/>
            </w:rPr>
            <w:fldChar w:fldCharType="separate"/>
          </w:r>
          <w:r>
            <w:rPr>
              <w:rFonts w:ascii="Times New Roman" w:hAnsi="Times New Roman" w:cs="Times New Roman"/>
            </w:rPr>
            <w:t>30</w:t>
          </w:r>
          <w:r>
            <w:rPr>
              <w:rFonts w:ascii="Times New Roman" w:hAnsi="Times New Roman" w:cs="Times New Roman"/>
            </w:rPr>
            <w:fldChar w:fldCharType="end"/>
          </w:r>
          <w:r>
            <w:rPr>
              <w:rFonts w:ascii="Times New Roman" w:hAnsi="Times New Roman" w:cs="Times New Roman"/>
            </w:rPr>
            <w:fldChar w:fldCharType="end"/>
          </w:r>
        </w:p>
        <w:p w14:paraId="00152255">
          <w:pPr>
            <w:pStyle w:val="8"/>
            <w:tabs>
              <w:tab w:val="right" w:leader="dot" w:pos="8296"/>
            </w:tabs>
            <w:spacing w:line="560" w:lineRule="exact"/>
            <w:ind w:left="1120" w:firstLine="560"/>
            <w:rPr>
              <w:rFonts w:ascii="Times New Roman" w:hAnsi="Times New Roman" w:cs="Times New Roman" w:eastAsiaTheme="minorEastAsia"/>
              <w:sz w:val="21"/>
            </w:rPr>
          </w:pPr>
          <w:r>
            <w:fldChar w:fldCharType="begin"/>
          </w:r>
          <w:r>
            <w:instrText xml:space="preserve"> HYPERLINK \l "_Toc165277249" </w:instrText>
          </w:r>
          <w:r>
            <w:fldChar w:fldCharType="separate"/>
          </w:r>
          <w:r>
            <w:rPr>
              <w:rStyle w:val="18"/>
              <w:rFonts w:ascii="Times New Roman" w:hAnsi="Times New Roman" w:cs="Times New Roman"/>
              <w:color w:val="0563C1" w:themeColor="hyperlink"/>
              <w14:textFill>
                <w14:solidFill>
                  <w14:schemeClr w14:val="hlink"/>
                </w14:solidFill>
              </w14:textFill>
            </w:rPr>
            <w:t>1.产出数量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_Toc165277249 \h </w:instrText>
          </w:r>
          <w:r>
            <w:rPr>
              <w:rFonts w:ascii="Times New Roman" w:hAnsi="Times New Roman" w:cs="Times New Roman"/>
            </w:rPr>
            <w:fldChar w:fldCharType="separate"/>
          </w:r>
          <w:r>
            <w:rPr>
              <w:rFonts w:ascii="Times New Roman" w:hAnsi="Times New Roman" w:cs="Times New Roman"/>
            </w:rPr>
            <w:t>30</w:t>
          </w:r>
          <w:r>
            <w:rPr>
              <w:rFonts w:ascii="Times New Roman" w:hAnsi="Times New Roman" w:cs="Times New Roman"/>
            </w:rPr>
            <w:fldChar w:fldCharType="end"/>
          </w:r>
          <w:r>
            <w:rPr>
              <w:rFonts w:ascii="Times New Roman" w:hAnsi="Times New Roman" w:cs="Times New Roman"/>
            </w:rPr>
            <w:fldChar w:fldCharType="end"/>
          </w:r>
        </w:p>
        <w:p w14:paraId="1A09F0D2">
          <w:pPr>
            <w:pStyle w:val="8"/>
            <w:tabs>
              <w:tab w:val="right" w:leader="dot" w:pos="8296"/>
            </w:tabs>
            <w:spacing w:line="560" w:lineRule="exact"/>
            <w:ind w:left="1120" w:firstLine="560"/>
            <w:rPr>
              <w:rFonts w:ascii="Times New Roman" w:hAnsi="Times New Roman" w:cs="Times New Roman" w:eastAsiaTheme="minorEastAsia"/>
              <w:sz w:val="21"/>
            </w:rPr>
          </w:pPr>
          <w:r>
            <w:fldChar w:fldCharType="begin"/>
          </w:r>
          <w:r>
            <w:instrText xml:space="preserve"> HYPERLINK \l "_Toc165277250" </w:instrText>
          </w:r>
          <w:r>
            <w:fldChar w:fldCharType="separate"/>
          </w:r>
          <w:r>
            <w:rPr>
              <w:rStyle w:val="18"/>
              <w:rFonts w:ascii="Times New Roman" w:hAnsi="Times New Roman" w:cs="Times New Roman"/>
              <w:color w:val="0563C1" w:themeColor="hyperlink"/>
              <w14:textFill>
                <w14:solidFill>
                  <w14:schemeClr w14:val="hlink"/>
                </w14:solidFill>
              </w14:textFill>
            </w:rPr>
            <w:t>2.产出质量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_Toc165277250 \h </w:instrText>
          </w:r>
          <w:r>
            <w:rPr>
              <w:rFonts w:ascii="Times New Roman" w:hAnsi="Times New Roman" w:cs="Times New Roman"/>
            </w:rPr>
            <w:fldChar w:fldCharType="separate"/>
          </w:r>
          <w:r>
            <w:rPr>
              <w:rFonts w:ascii="Times New Roman" w:hAnsi="Times New Roman" w:cs="Times New Roman"/>
            </w:rPr>
            <w:t>32</w:t>
          </w:r>
          <w:r>
            <w:rPr>
              <w:rFonts w:ascii="Times New Roman" w:hAnsi="Times New Roman" w:cs="Times New Roman"/>
            </w:rPr>
            <w:fldChar w:fldCharType="end"/>
          </w:r>
          <w:r>
            <w:rPr>
              <w:rFonts w:ascii="Times New Roman" w:hAnsi="Times New Roman" w:cs="Times New Roman"/>
            </w:rPr>
            <w:fldChar w:fldCharType="end"/>
          </w:r>
        </w:p>
        <w:p w14:paraId="13CF8298">
          <w:pPr>
            <w:pStyle w:val="8"/>
            <w:tabs>
              <w:tab w:val="right" w:leader="dot" w:pos="8296"/>
            </w:tabs>
            <w:spacing w:line="560" w:lineRule="exact"/>
            <w:ind w:left="1120" w:firstLine="560"/>
            <w:rPr>
              <w:rFonts w:ascii="Times New Roman" w:hAnsi="Times New Roman" w:cs="Times New Roman" w:eastAsiaTheme="minorEastAsia"/>
              <w:sz w:val="21"/>
            </w:rPr>
          </w:pPr>
          <w:r>
            <w:fldChar w:fldCharType="begin"/>
          </w:r>
          <w:r>
            <w:instrText xml:space="preserve"> HYPERLINK \l "_Toc165277251" </w:instrText>
          </w:r>
          <w:r>
            <w:fldChar w:fldCharType="separate"/>
          </w:r>
          <w:r>
            <w:rPr>
              <w:rStyle w:val="18"/>
              <w:rFonts w:ascii="Times New Roman" w:hAnsi="Times New Roman" w:cs="Times New Roman"/>
              <w:color w:val="0563C1" w:themeColor="hyperlink"/>
              <w14:textFill>
                <w14:solidFill>
                  <w14:schemeClr w14:val="hlink"/>
                </w14:solidFill>
              </w14:textFill>
            </w:rPr>
            <w:t>3.产出时效</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_Toc165277251 \h </w:instrText>
          </w:r>
          <w:r>
            <w:rPr>
              <w:rFonts w:ascii="Times New Roman" w:hAnsi="Times New Roman" w:cs="Times New Roman"/>
            </w:rPr>
            <w:fldChar w:fldCharType="separate"/>
          </w:r>
          <w:r>
            <w:rPr>
              <w:rFonts w:ascii="Times New Roman" w:hAnsi="Times New Roman" w:cs="Times New Roman"/>
            </w:rPr>
            <w:t>32</w:t>
          </w:r>
          <w:r>
            <w:rPr>
              <w:rFonts w:ascii="Times New Roman" w:hAnsi="Times New Roman" w:cs="Times New Roman"/>
            </w:rPr>
            <w:fldChar w:fldCharType="end"/>
          </w:r>
          <w:r>
            <w:rPr>
              <w:rFonts w:ascii="Times New Roman" w:hAnsi="Times New Roman" w:cs="Times New Roman"/>
            </w:rPr>
            <w:fldChar w:fldCharType="end"/>
          </w:r>
        </w:p>
        <w:p w14:paraId="497A8384">
          <w:pPr>
            <w:pStyle w:val="8"/>
            <w:tabs>
              <w:tab w:val="right" w:leader="dot" w:pos="8296"/>
            </w:tabs>
            <w:spacing w:line="560" w:lineRule="exact"/>
            <w:ind w:left="1120" w:firstLine="560"/>
            <w:rPr>
              <w:rFonts w:ascii="Times New Roman" w:hAnsi="Times New Roman" w:cs="Times New Roman" w:eastAsiaTheme="minorEastAsia"/>
              <w:sz w:val="21"/>
            </w:rPr>
          </w:pPr>
          <w:r>
            <w:fldChar w:fldCharType="begin"/>
          </w:r>
          <w:r>
            <w:instrText xml:space="preserve"> HYPERLINK \l "_Toc165277252" </w:instrText>
          </w:r>
          <w:r>
            <w:fldChar w:fldCharType="separate"/>
          </w:r>
          <w:r>
            <w:rPr>
              <w:rStyle w:val="18"/>
              <w:rFonts w:ascii="Times New Roman" w:hAnsi="Times New Roman" w:cs="Times New Roman"/>
              <w:color w:val="0563C1" w:themeColor="hyperlink"/>
              <w14:textFill>
                <w14:solidFill>
                  <w14:schemeClr w14:val="hlink"/>
                </w14:solidFill>
              </w14:textFill>
            </w:rPr>
            <w:t>4.产出成本</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_Toc165277252 \h </w:instrText>
          </w:r>
          <w:r>
            <w:rPr>
              <w:rFonts w:ascii="Times New Roman" w:hAnsi="Times New Roman" w:cs="Times New Roman"/>
            </w:rPr>
            <w:fldChar w:fldCharType="separate"/>
          </w:r>
          <w:r>
            <w:rPr>
              <w:rFonts w:ascii="Times New Roman" w:hAnsi="Times New Roman" w:cs="Times New Roman"/>
            </w:rPr>
            <w:t>32</w:t>
          </w:r>
          <w:r>
            <w:rPr>
              <w:rFonts w:ascii="Times New Roman" w:hAnsi="Times New Roman" w:cs="Times New Roman"/>
            </w:rPr>
            <w:fldChar w:fldCharType="end"/>
          </w:r>
          <w:r>
            <w:rPr>
              <w:rFonts w:ascii="Times New Roman" w:hAnsi="Times New Roman" w:cs="Times New Roman"/>
            </w:rPr>
            <w:fldChar w:fldCharType="end"/>
          </w:r>
        </w:p>
        <w:p w14:paraId="00F06300">
          <w:pPr>
            <w:pStyle w:val="3"/>
            <w:tabs>
              <w:tab w:val="right" w:leader="dot" w:pos="8296"/>
            </w:tabs>
            <w:spacing w:line="560" w:lineRule="exact"/>
            <w:ind w:left="560" w:firstLine="560"/>
            <w:rPr>
              <w:rFonts w:ascii="Times New Roman" w:hAnsi="Times New Roman" w:cs="Times New Roman" w:eastAsiaTheme="minorEastAsia"/>
              <w:sz w:val="21"/>
            </w:rPr>
          </w:pPr>
          <w:r>
            <w:fldChar w:fldCharType="begin"/>
          </w:r>
          <w:r>
            <w:instrText xml:space="preserve"> HYPERLINK \l "_Toc165277253" </w:instrText>
          </w:r>
          <w:r>
            <w:fldChar w:fldCharType="separate"/>
          </w:r>
          <w:r>
            <w:rPr>
              <w:rStyle w:val="18"/>
              <w:rFonts w:ascii="Times New Roman" w:hAnsi="Times New Roman" w:eastAsia="仿宋" w:cs="Times New Roman"/>
              <w:color w:val="0563C1" w:themeColor="hyperlink"/>
              <w:lang w:bidi="en-US"/>
              <w14:textFill>
                <w14:solidFill>
                  <w14:schemeClr w14:val="hlink"/>
                </w14:solidFill>
              </w14:textFill>
            </w:rPr>
            <w:t>（四）项目效益情况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_Toc165277253 \h </w:instrText>
          </w:r>
          <w:r>
            <w:rPr>
              <w:rFonts w:ascii="Times New Roman" w:hAnsi="Times New Roman" w:cs="Times New Roman"/>
            </w:rPr>
            <w:fldChar w:fldCharType="separate"/>
          </w:r>
          <w:r>
            <w:rPr>
              <w:rFonts w:ascii="Times New Roman" w:hAnsi="Times New Roman" w:cs="Times New Roman"/>
            </w:rPr>
            <w:t>32</w:t>
          </w:r>
          <w:r>
            <w:rPr>
              <w:rFonts w:ascii="Times New Roman" w:hAnsi="Times New Roman" w:cs="Times New Roman"/>
            </w:rPr>
            <w:fldChar w:fldCharType="end"/>
          </w:r>
          <w:r>
            <w:rPr>
              <w:rFonts w:ascii="Times New Roman" w:hAnsi="Times New Roman" w:cs="Times New Roman"/>
            </w:rPr>
            <w:fldChar w:fldCharType="end"/>
          </w:r>
        </w:p>
        <w:p w14:paraId="10BA0FAF">
          <w:pPr>
            <w:pStyle w:val="8"/>
            <w:tabs>
              <w:tab w:val="right" w:leader="dot" w:pos="8296"/>
            </w:tabs>
            <w:spacing w:line="560" w:lineRule="exact"/>
            <w:ind w:left="1120" w:firstLine="560"/>
            <w:rPr>
              <w:rFonts w:ascii="Times New Roman" w:hAnsi="Times New Roman" w:cs="Times New Roman" w:eastAsiaTheme="minorEastAsia"/>
              <w:sz w:val="21"/>
            </w:rPr>
          </w:pPr>
          <w:r>
            <w:fldChar w:fldCharType="begin"/>
          </w:r>
          <w:r>
            <w:instrText xml:space="preserve"> HYPERLINK \l "_Toc165277254" </w:instrText>
          </w:r>
          <w:r>
            <w:fldChar w:fldCharType="separate"/>
          </w:r>
          <w:r>
            <w:rPr>
              <w:rStyle w:val="18"/>
              <w:rFonts w:ascii="Times New Roman" w:hAnsi="Times New Roman" w:cs="Times New Roman"/>
              <w:color w:val="0563C1" w:themeColor="hyperlink"/>
              <w14:textFill>
                <w14:solidFill>
                  <w14:schemeClr w14:val="hlink"/>
                </w14:solidFill>
              </w14:textFill>
            </w:rPr>
            <w:t>1.项目效益</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_Toc165277253 \h </w:instrText>
          </w:r>
          <w:r>
            <w:rPr>
              <w:rFonts w:ascii="Times New Roman" w:hAnsi="Times New Roman" w:cs="Times New Roman"/>
            </w:rPr>
            <w:fldChar w:fldCharType="separate"/>
          </w:r>
          <w:r>
            <w:rPr>
              <w:rFonts w:ascii="Times New Roman" w:hAnsi="Times New Roman" w:cs="Times New Roman"/>
            </w:rPr>
            <w:t>32</w:t>
          </w:r>
          <w:r>
            <w:rPr>
              <w:rFonts w:ascii="Times New Roman" w:hAnsi="Times New Roman" w:cs="Times New Roman"/>
            </w:rPr>
            <w:fldChar w:fldCharType="end"/>
          </w:r>
          <w:r>
            <w:rPr>
              <w:rFonts w:ascii="Times New Roman" w:hAnsi="Times New Roman" w:cs="Times New Roman"/>
            </w:rPr>
            <w:fldChar w:fldCharType="end"/>
          </w:r>
        </w:p>
        <w:p w14:paraId="2F302B48">
          <w:pPr>
            <w:pStyle w:val="8"/>
            <w:tabs>
              <w:tab w:val="right" w:leader="dot" w:pos="8296"/>
            </w:tabs>
            <w:spacing w:line="560" w:lineRule="exact"/>
            <w:ind w:left="1120" w:firstLine="560"/>
            <w:rPr>
              <w:rFonts w:ascii="Times New Roman" w:hAnsi="Times New Roman" w:cs="Times New Roman" w:eastAsiaTheme="minorEastAsia"/>
              <w:sz w:val="21"/>
            </w:rPr>
          </w:pPr>
          <w:r>
            <w:fldChar w:fldCharType="begin"/>
          </w:r>
          <w:r>
            <w:instrText xml:space="preserve"> HYPERLINK \l "_Toc165277255" </w:instrText>
          </w:r>
          <w:r>
            <w:fldChar w:fldCharType="separate"/>
          </w:r>
          <w:r>
            <w:rPr>
              <w:rStyle w:val="18"/>
              <w:rFonts w:ascii="Times New Roman" w:hAnsi="Times New Roman" w:cs="Times New Roman"/>
              <w:color w:val="0563C1" w:themeColor="hyperlink"/>
              <w14:textFill>
                <w14:solidFill>
                  <w14:schemeClr w14:val="hlink"/>
                </w14:solidFill>
              </w14:textFill>
            </w:rPr>
            <w:t>2. 满意度指标完成情况分析</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_Toc165277255 \h </w:instrText>
          </w:r>
          <w:r>
            <w:rPr>
              <w:rFonts w:ascii="Times New Roman" w:hAnsi="Times New Roman" w:cs="Times New Roman"/>
            </w:rPr>
            <w:fldChar w:fldCharType="separate"/>
          </w:r>
          <w:r>
            <w:rPr>
              <w:rFonts w:ascii="Times New Roman" w:hAnsi="Times New Roman" w:cs="Times New Roman"/>
            </w:rPr>
            <w:t>34</w:t>
          </w:r>
          <w:r>
            <w:rPr>
              <w:rFonts w:ascii="Times New Roman" w:hAnsi="Times New Roman" w:cs="Times New Roman"/>
            </w:rPr>
            <w:fldChar w:fldCharType="end"/>
          </w:r>
          <w:r>
            <w:rPr>
              <w:rFonts w:ascii="Times New Roman" w:hAnsi="Times New Roman" w:cs="Times New Roman"/>
            </w:rPr>
            <w:fldChar w:fldCharType="end"/>
          </w:r>
        </w:p>
        <w:p w14:paraId="57759762">
          <w:pPr>
            <w:pStyle w:val="13"/>
            <w:tabs>
              <w:tab w:val="right" w:leader="dot" w:pos="8296"/>
            </w:tabs>
            <w:spacing w:line="560" w:lineRule="exact"/>
            <w:ind w:firstLine="560"/>
            <w:rPr>
              <w:rFonts w:ascii="Times New Roman" w:hAnsi="Times New Roman" w:cs="Times New Roman" w:eastAsiaTheme="minorEastAsia"/>
              <w:sz w:val="21"/>
            </w:rPr>
          </w:pPr>
          <w:r>
            <w:fldChar w:fldCharType="begin"/>
          </w:r>
          <w:r>
            <w:instrText xml:space="preserve"> HYPERLINK \l "_Toc165277256" </w:instrText>
          </w:r>
          <w:r>
            <w:fldChar w:fldCharType="separate"/>
          </w:r>
          <w:r>
            <w:rPr>
              <w:rStyle w:val="18"/>
              <w:rFonts w:ascii="Times New Roman" w:hAnsi="Times New Roman" w:eastAsia="仿宋" w:cs="Times New Roman"/>
              <w:color w:val="0563C1" w:themeColor="hyperlink"/>
              <w:lang w:bidi="en-US"/>
              <w14:textFill>
                <w14:solidFill>
                  <w14:schemeClr w14:val="hlink"/>
                </w14:solidFill>
              </w14:textFill>
            </w:rPr>
            <w:t>五、主要经验及做法、存在的问题及原因分析</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_Toc165277256 \h </w:instrText>
          </w:r>
          <w:r>
            <w:rPr>
              <w:rFonts w:ascii="Times New Roman" w:hAnsi="Times New Roman" w:cs="Times New Roman"/>
            </w:rPr>
            <w:fldChar w:fldCharType="separate"/>
          </w:r>
          <w:r>
            <w:rPr>
              <w:rFonts w:ascii="Times New Roman" w:hAnsi="Times New Roman" w:cs="Times New Roman"/>
            </w:rPr>
            <w:t>34</w:t>
          </w:r>
          <w:r>
            <w:rPr>
              <w:rFonts w:ascii="Times New Roman" w:hAnsi="Times New Roman" w:cs="Times New Roman"/>
            </w:rPr>
            <w:fldChar w:fldCharType="end"/>
          </w:r>
          <w:r>
            <w:rPr>
              <w:rFonts w:ascii="Times New Roman" w:hAnsi="Times New Roman" w:cs="Times New Roman"/>
            </w:rPr>
            <w:fldChar w:fldCharType="end"/>
          </w:r>
        </w:p>
        <w:p w14:paraId="1FD31F13">
          <w:pPr>
            <w:pStyle w:val="3"/>
            <w:tabs>
              <w:tab w:val="right" w:leader="dot" w:pos="8296"/>
            </w:tabs>
            <w:spacing w:line="560" w:lineRule="exact"/>
            <w:ind w:left="560" w:firstLine="560"/>
            <w:rPr>
              <w:rFonts w:ascii="Times New Roman" w:hAnsi="Times New Roman" w:cs="Times New Roman" w:eastAsiaTheme="minorEastAsia"/>
              <w:sz w:val="21"/>
            </w:rPr>
          </w:pPr>
          <w:r>
            <w:fldChar w:fldCharType="begin"/>
          </w:r>
          <w:r>
            <w:instrText xml:space="preserve"> HYPERLINK \l "_Toc165277257" </w:instrText>
          </w:r>
          <w:r>
            <w:fldChar w:fldCharType="separate"/>
          </w:r>
          <w:r>
            <w:rPr>
              <w:rStyle w:val="18"/>
              <w:rFonts w:ascii="Times New Roman" w:hAnsi="Times New Roman" w:eastAsia="仿宋" w:cs="Times New Roman"/>
              <w:color w:val="0563C1" w:themeColor="hyperlink"/>
              <w:lang w:bidi="en-US"/>
              <w14:textFill>
                <w14:solidFill>
                  <w14:schemeClr w14:val="hlink"/>
                </w14:solidFill>
              </w14:textFill>
            </w:rPr>
            <w:t>（一）主要经验及做法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_Toc165277257 \h </w:instrText>
          </w:r>
          <w:r>
            <w:rPr>
              <w:rFonts w:ascii="Times New Roman" w:hAnsi="Times New Roman" w:cs="Times New Roman"/>
            </w:rPr>
            <w:fldChar w:fldCharType="separate"/>
          </w:r>
          <w:r>
            <w:rPr>
              <w:rFonts w:ascii="Times New Roman" w:hAnsi="Times New Roman" w:cs="Times New Roman"/>
            </w:rPr>
            <w:t>34</w:t>
          </w:r>
          <w:r>
            <w:rPr>
              <w:rFonts w:ascii="Times New Roman" w:hAnsi="Times New Roman" w:cs="Times New Roman"/>
            </w:rPr>
            <w:fldChar w:fldCharType="end"/>
          </w:r>
          <w:r>
            <w:rPr>
              <w:rFonts w:ascii="Times New Roman" w:hAnsi="Times New Roman" w:cs="Times New Roman"/>
            </w:rPr>
            <w:fldChar w:fldCharType="end"/>
          </w:r>
        </w:p>
        <w:p w14:paraId="41153D01">
          <w:pPr>
            <w:pStyle w:val="3"/>
            <w:tabs>
              <w:tab w:val="right" w:leader="dot" w:pos="8296"/>
            </w:tabs>
            <w:spacing w:line="560" w:lineRule="exact"/>
            <w:ind w:left="560" w:firstLine="560"/>
            <w:rPr>
              <w:rFonts w:ascii="Times New Roman" w:hAnsi="Times New Roman" w:cs="Times New Roman" w:eastAsiaTheme="minorEastAsia"/>
              <w:sz w:val="21"/>
            </w:rPr>
          </w:pPr>
          <w:r>
            <w:fldChar w:fldCharType="begin"/>
          </w:r>
          <w:r>
            <w:instrText xml:space="preserve"> HYPERLINK \l "_Toc165277258" </w:instrText>
          </w:r>
          <w:r>
            <w:fldChar w:fldCharType="separate"/>
          </w:r>
          <w:r>
            <w:rPr>
              <w:rStyle w:val="18"/>
              <w:rFonts w:ascii="Times New Roman" w:hAnsi="Times New Roman" w:eastAsia="仿宋" w:cs="Times New Roman"/>
              <w:color w:val="0563C1" w:themeColor="hyperlink"/>
              <w:lang w:bidi="en-US"/>
              <w14:textFill>
                <w14:solidFill>
                  <w14:schemeClr w14:val="hlink"/>
                </w14:solidFill>
              </w14:textFill>
            </w:rPr>
            <w:t>（二）存在的问题及原因分析</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_Toc165277258 \h </w:instrText>
          </w:r>
          <w:r>
            <w:rPr>
              <w:rFonts w:ascii="Times New Roman" w:hAnsi="Times New Roman" w:cs="Times New Roman"/>
            </w:rPr>
            <w:fldChar w:fldCharType="separate"/>
          </w:r>
          <w:r>
            <w:rPr>
              <w:rFonts w:ascii="Times New Roman" w:hAnsi="Times New Roman" w:cs="Times New Roman"/>
            </w:rPr>
            <w:t>34</w:t>
          </w:r>
          <w:r>
            <w:rPr>
              <w:rFonts w:ascii="Times New Roman" w:hAnsi="Times New Roman" w:cs="Times New Roman"/>
            </w:rPr>
            <w:fldChar w:fldCharType="end"/>
          </w:r>
          <w:r>
            <w:rPr>
              <w:rFonts w:ascii="Times New Roman" w:hAnsi="Times New Roman" w:cs="Times New Roman"/>
            </w:rPr>
            <w:fldChar w:fldCharType="end"/>
          </w:r>
        </w:p>
        <w:p w14:paraId="2608C0AB">
          <w:pPr>
            <w:pStyle w:val="13"/>
            <w:tabs>
              <w:tab w:val="right" w:leader="dot" w:pos="8296"/>
            </w:tabs>
            <w:spacing w:line="560" w:lineRule="exact"/>
            <w:ind w:firstLine="560"/>
            <w:rPr>
              <w:rFonts w:ascii="Times New Roman" w:hAnsi="Times New Roman" w:cs="Times New Roman" w:eastAsiaTheme="minorEastAsia"/>
              <w:sz w:val="21"/>
            </w:rPr>
          </w:pPr>
          <w:r>
            <w:fldChar w:fldCharType="begin"/>
          </w:r>
          <w:r>
            <w:instrText xml:space="preserve"> HYPERLINK \l "_Toc165277259" </w:instrText>
          </w:r>
          <w:r>
            <w:fldChar w:fldCharType="separate"/>
          </w:r>
          <w:r>
            <w:rPr>
              <w:rStyle w:val="18"/>
              <w:rFonts w:ascii="Times New Roman" w:hAnsi="Times New Roman" w:eastAsia="仿宋" w:cs="Times New Roman"/>
              <w:color w:val="0563C1" w:themeColor="hyperlink"/>
              <w:lang w:bidi="en-US"/>
              <w14:textFill>
                <w14:solidFill>
                  <w14:schemeClr w14:val="hlink"/>
                </w14:solidFill>
              </w14:textFill>
            </w:rPr>
            <w:t>六、有关建议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_Toc165277259 \h </w:instrText>
          </w:r>
          <w:r>
            <w:rPr>
              <w:rFonts w:ascii="Times New Roman" w:hAnsi="Times New Roman" w:cs="Times New Roman"/>
            </w:rPr>
            <w:fldChar w:fldCharType="separate"/>
          </w:r>
          <w:r>
            <w:rPr>
              <w:rFonts w:ascii="Times New Roman" w:hAnsi="Times New Roman" w:cs="Times New Roman"/>
            </w:rPr>
            <w:t>36</w:t>
          </w:r>
          <w:r>
            <w:rPr>
              <w:rFonts w:ascii="Times New Roman" w:hAnsi="Times New Roman" w:cs="Times New Roman"/>
            </w:rPr>
            <w:fldChar w:fldCharType="end"/>
          </w:r>
          <w:r>
            <w:rPr>
              <w:rFonts w:ascii="Times New Roman" w:hAnsi="Times New Roman" w:cs="Times New Roman"/>
            </w:rPr>
            <w:fldChar w:fldCharType="end"/>
          </w:r>
        </w:p>
        <w:p w14:paraId="10D7AA42">
          <w:pPr>
            <w:pStyle w:val="13"/>
            <w:tabs>
              <w:tab w:val="right" w:leader="dot" w:pos="8296"/>
            </w:tabs>
            <w:spacing w:line="560" w:lineRule="exact"/>
            <w:ind w:firstLine="560"/>
            <w:rPr>
              <w:rFonts w:ascii="Times New Roman" w:hAnsi="Times New Roman" w:cs="Times New Roman" w:eastAsiaTheme="minorEastAsia"/>
              <w:sz w:val="21"/>
            </w:rPr>
          </w:pPr>
          <w:r>
            <w:fldChar w:fldCharType="begin"/>
          </w:r>
          <w:r>
            <w:instrText xml:space="preserve"> HYPERLINK \l "_Toc165277260" </w:instrText>
          </w:r>
          <w:r>
            <w:fldChar w:fldCharType="separate"/>
          </w:r>
          <w:r>
            <w:rPr>
              <w:rStyle w:val="18"/>
              <w:rFonts w:ascii="Times New Roman" w:hAnsi="Times New Roman" w:eastAsia="仿宋" w:cs="Times New Roman"/>
              <w:color w:val="0563C1" w:themeColor="hyperlink"/>
              <w:lang w:bidi="en-US"/>
              <w14:textFill>
                <w14:solidFill>
                  <w14:schemeClr w14:val="hlink"/>
                </w14:solidFill>
              </w14:textFill>
            </w:rPr>
            <w:t>七、其他需要说明的问题</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_Toc165277260 \h </w:instrText>
          </w:r>
          <w:r>
            <w:rPr>
              <w:rFonts w:ascii="Times New Roman" w:hAnsi="Times New Roman" w:cs="Times New Roman"/>
            </w:rPr>
            <w:fldChar w:fldCharType="separate"/>
          </w:r>
          <w:r>
            <w:rPr>
              <w:rFonts w:ascii="Times New Roman" w:hAnsi="Times New Roman" w:cs="Times New Roman"/>
            </w:rPr>
            <w:t>36</w:t>
          </w:r>
          <w:r>
            <w:rPr>
              <w:rFonts w:ascii="Times New Roman" w:hAnsi="Times New Roman" w:cs="Times New Roman"/>
            </w:rPr>
            <w:fldChar w:fldCharType="end"/>
          </w:r>
          <w:r>
            <w:rPr>
              <w:rFonts w:ascii="Times New Roman" w:hAnsi="Times New Roman" w:cs="Times New Roman"/>
            </w:rPr>
            <w:fldChar w:fldCharType="end"/>
          </w:r>
        </w:p>
        <w:p w14:paraId="73CC107C">
          <w:pPr>
            <w:spacing w:line="560" w:lineRule="exact"/>
            <w:ind w:firstLine="562"/>
            <w:rPr>
              <w:rFonts w:ascii="Times New Roman" w:hAnsi="Times New Roman" w:cs="Times New Roman"/>
            </w:rPr>
          </w:pPr>
          <w:r>
            <w:rPr>
              <w:rFonts w:ascii="Times New Roman" w:hAnsi="Times New Roman" w:cs="Times New Roman"/>
              <w:b/>
              <w:bCs/>
              <w:lang w:val="zh-CN"/>
            </w:rPr>
            <w:fldChar w:fldCharType="end"/>
          </w:r>
        </w:p>
      </w:sdtContent>
    </w:sdt>
    <w:p w14:paraId="13C5EE68">
      <w:pPr>
        <w:spacing w:line="560" w:lineRule="exact"/>
        <w:ind w:firstLine="598" w:firstLineChars="187"/>
        <w:rPr>
          <w:rFonts w:ascii="Times New Roman" w:hAnsi="Times New Roman" w:cs="Times New Roman"/>
          <w:sz w:val="32"/>
          <w:szCs w:val="32"/>
          <w:lang w:bidi="en-US"/>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pPr>
    </w:p>
    <w:p w14:paraId="5A7A2918">
      <w:pPr>
        <w:pStyle w:val="4"/>
        <w:spacing w:before="0" w:after="0" w:line="560" w:lineRule="exact"/>
        <w:ind w:firstLine="640"/>
        <w:jc w:val="left"/>
        <w:rPr>
          <w:rFonts w:ascii="Times New Roman" w:hAnsi="Times New Roman" w:eastAsia="黑体" w:cs="Times New Roman"/>
          <w:b w:val="0"/>
          <w:bCs w:val="0"/>
          <w:sz w:val="32"/>
          <w:szCs w:val="32"/>
          <w:lang w:bidi="en-US"/>
        </w:rPr>
      </w:pPr>
      <w:bookmarkStart w:id="0" w:name="_Toc165277220"/>
      <w:bookmarkStart w:id="1" w:name="_Toc67911601"/>
      <w:r>
        <w:rPr>
          <w:rFonts w:ascii="Times New Roman" w:hAnsi="Times New Roman" w:eastAsia="黑体" w:cs="Times New Roman"/>
          <w:b w:val="0"/>
          <w:bCs w:val="0"/>
          <w:sz w:val="32"/>
          <w:szCs w:val="32"/>
          <w:lang w:bidi="en-US"/>
        </w:rPr>
        <w:t>一、基本情况</w:t>
      </w:r>
      <w:bookmarkEnd w:id="0"/>
      <w:bookmarkEnd w:id="1"/>
    </w:p>
    <w:p w14:paraId="2D02EC2F">
      <w:pPr>
        <w:pStyle w:val="5"/>
        <w:spacing w:before="0" w:after="0" w:line="560" w:lineRule="exact"/>
        <w:ind w:firstLine="643"/>
        <w:rPr>
          <w:rFonts w:ascii="Times New Roman" w:hAnsi="Times New Roman" w:eastAsia="楷体_GB2312" w:cs="Times New Roman"/>
          <w:lang w:bidi="en-US"/>
        </w:rPr>
      </w:pPr>
      <w:bookmarkStart w:id="2" w:name="_Toc165277221"/>
      <w:bookmarkStart w:id="3" w:name="_Toc67911602"/>
      <w:r>
        <w:rPr>
          <w:rFonts w:ascii="Times New Roman" w:hAnsi="Times New Roman" w:eastAsia="楷体_GB2312" w:cs="Times New Roman"/>
          <w:lang w:bidi="en-US"/>
        </w:rPr>
        <w:t>（一）项目概况</w:t>
      </w:r>
      <w:bookmarkEnd w:id="2"/>
      <w:bookmarkEnd w:id="3"/>
    </w:p>
    <w:p w14:paraId="3093F255">
      <w:pPr>
        <w:pStyle w:val="6"/>
        <w:spacing w:before="0" w:after="0" w:line="560" w:lineRule="exact"/>
        <w:ind w:firstLine="643"/>
        <w:rPr>
          <w:rFonts w:ascii="Times New Roman" w:hAnsi="Times New Roman" w:cs="Times New Roman"/>
        </w:rPr>
      </w:pPr>
      <w:bookmarkStart w:id="4" w:name="_Toc165277222"/>
      <w:r>
        <w:rPr>
          <w:rFonts w:ascii="Times New Roman" w:hAnsi="Times New Roman" w:cs="Times New Roman"/>
        </w:rPr>
        <w:t>1.项目背景、主要内容及实施情况</w:t>
      </w:r>
      <w:bookmarkEnd w:id="4"/>
    </w:p>
    <w:p w14:paraId="42A54F1D">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该项目实施背景：</w:t>
      </w:r>
      <w:r>
        <w:rPr>
          <w:rFonts w:ascii="Times New Roman" w:hAnsi="Times New Roman" w:cs="Times New Roman"/>
          <w:sz w:val="32"/>
          <w:szCs w:val="32"/>
        </w:rPr>
        <w:t>为深入贯彻落实习近平总书记关于应急管理工作重要指示批示精神，提升重大安全风险防范和应急处置能力，进一步明确“十四五”期间应急救援力量建设思路、发展目标、主要任务、重点工程和保障措施。根据《中华人民共和国突发事件应对法》《“十四五”国家应急体系规划》（国发〔2021〕36号）、《“十四五”国家综合防灾减灾规划》（国减发〔2022〕1号）、《乌鲁木齐市城市安全应急体系建设“十四五”规划》等文件，按照上级主管部门要求，乌鲁木齐市启动自然灾害应急能力提升工程基层防灾项目，统筹谋划布局，充分考虑灾害事故风险分布特点、经济社会发展趋势和应急救援力量建设现状等因素，调整优化专业应急救援力量规模、结构、布局，因地制宜加强社会应急力量和基层应急救援力量建设，补齐短板弱项，构建灾害事故应急救援需求与综合应急救援能力动态平衡的应急救援力量体系。全面推进应急救援力量现代化建设，形成对国家综合性消防救援队伍的有力支撑、有效协同，为人民群众生命财产安全和社会稳定提供坚实保障。根据乌鲁木齐应急管理局统计，目前天山区、米东区、经开区部分县级、乡级应急救援队伍救援设备存在短板，因此本项目主要为乌鲁木齐市天山区、米东区、经开区基层防灾救援力量的提升。</w:t>
      </w:r>
    </w:p>
    <w:p w14:paraId="3B83EAF1">
      <w:pPr>
        <w:spacing w:line="560" w:lineRule="exact"/>
        <w:ind w:firstLine="640"/>
        <w:rPr>
          <w:rFonts w:ascii="Times New Roman" w:hAnsi="Times New Roman" w:cs="Times New Roman"/>
          <w:sz w:val="32"/>
          <w:szCs w:val="32"/>
        </w:rPr>
      </w:pPr>
      <w:r>
        <w:rPr>
          <w:rFonts w:ascii="Times New Roman" w:hAnsi="Times New Roman" w:cs="Times New Roman"/>
          <w:sz w:val="32"/>
          <w:szCs w:val="32"/>
        </w:rPr>
        <w:t>该项目预期到2024年底，全市自然灾害综合风险中等及以上地区县、乡级应急救援力量基本覆盖，队伍基本应急救援装备配备到位，市、县乡应急救援力量协同联动、共训共练机制基本完善。基层应急力量快速响应和先期处置能力明显提升，基层抢险救援和自救互救能力显著增强。同时，坚持实战导向、问题导向，注重救援装备与救灾需求相匹配，加强重点地区和中高风险地区的专业救援装备配备，加强应急救援装备配备和运维管理，推动天山区、米东区、经开区和基层应急救援队伍装备保障水平明显提升。</w:t>
      </w:r>
    </w:p>
    <w:p w14:paraId="7FD02B4D">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项目2024年的主要实施内容：</w:t>
      </w:r>
      <w:r>
        <w:rPr>
          <w:rFonts w:ascii="Times New Roman" w:hAnsi="Times New Roman" w:cs="Times New Roman"/>
          <w:sz w:val="32"/>
          <w:szCs w:val="32"/>
        </w:rPr>
        <w:t>该项目建设内容为乌鲁木齐县市、乡镇两级应急救援队伍配备专业救援装备，提升救援实战能力。按照天山区、米东区、经开区（头屯河区）区乡级应急救援队的功能定位，根据县级、乡级救援队伍数量和现有装备配备情况及现实需求分析部分梳理的能力短板，对照《县乡应急救援队伍装备配备指导目录》，提出天山区、米东区、经开区（头屯河区）县（区）乡级应急救援装备需增加配备种类及数量，主要购置地震地质灾害救援、抗洪抢险、水域救援、森林（草原）火灾扑救、综合保障、后勤保障等各类救援装备及器材共计1610台（套）。具体如下：</w:t>
      </w:r>
    </w:p>
    <w:p w14:paraId="4BE83C1B">
      <w:pPr>
        <w:spacing w:line="560" w:lineRule="exact"/>
        <w:ind w:firstLine="640"/>
        <w:rPr>
          <w:rFonts w:ascii="Times New Roman" w:hAnsi="Times New Roman" w:cs="Times New Roman"/>
          <w:sz w:val="32"/>
          <w:szCs w:val="32"/>
        </w:rPr>
      </w:pPr>
      <w:r>
        <w:rPr>
          <w:rFonts w:ascii="Times New Roman" w:hAnsi="Times New Roman" w:cs="Times New Roman"/>
          <w:sz w:val="32"/>
          <w:szCs w:val="32"/>
        </w:rPr>
        <w:t>（1）县（区）级应急救援队伍装备配备90</w:t>
      </w:r>
      <w:r>
        <w:rPr>
          <w:rFonts w:hint="eastAsia" w:ascii="Times New Roman" w:hAnsi="Times New Roman" w:cs="Times New Roman"/>
          <w:sz w:val="32"/>
          <w:szCs w:val="32"/>
        </w:rPr>
        <w:t>台（套）</w:t>
      </w:r>
      <w:r>
        <w:rPr>
          <w:rFonts w:ascii="Times New Roman" w:hAnsi="Times New Roman" w:cs="Times New Roman"/>
          <w:sz w:val="32"/>
          <w:szCs w:val="32"/>
        </w:rPr>
        <w:t>。为天山区、米东区、经开区（头屯河区）应急救援队伍配备抢险救援装备，提升应急救援综合能力。配备便携式除颤仪13台、布控球4个、破冰除雪车2辆、单兵图传5部、地震搜索机器人1台、复合气体探测器6台、高压起重气垫6个、后勤保障车辆（救援运兵车）3辆、混凝土液压破拆工具组4套、救援船艇5艘、救援无人机（灭火无人机）2架、救援无人机（侦查无人机）2架、排水抢险车（中大型排水抢险车）1辆、潜污泵6台、全站仪3台、森林火灾扑救特类车辆（远程供水管线车）1辆、生命探测仪（雷达生命探测仪）5台、生命探测仪（音视频图传）1台、水陆两用破拆工具组4套、水域救援工具组4套、水域救援套装7套、应急电源车3辆、装载机2辆。</w:t>
      </w:r>
    </w:p>
    <w:p w14:paraId="100BACA2">
      <w:pPr>
        <w:spacing w:line="560" w:lineRule="exact"/>
        <w:ind w:firstLine="640"/>
        <w:rPr>
          <w:rFonts w:ascii="Times New Roman" w:hAnsi="Times New Roman" w:cs="Times New Roman"/>
          <w:sz w:val="32"/>
          <w:szCs w:val="32"/>
        </w:rPr>
      </w:pPr>
      <w:r>
        <w:rPr>
          <w:rFonts w:ascii="Times New Roman" w:hAnsi="Times New Roman" w:cs="Times New Roman"/>
          <w:sz w:val="32"/>
          <w:szCs w:val="32"/>
        </w:rPr>
        <w:t>（2）乡镇基层应急救援队伍装备配备1520</w:t>
      </w:r>
      <w:r>
        <w:rPr>
          <w:rFonts w:hint="eastAsia" w:ascii="Times New Roman" w:hAnsi="Times New Roman" w:cs="Times New Roman"/>
          <w:sz w:val="32"/>
          <w:szCs w:val="32"/>
        </w:rPr>
        <w:t>台（套）</w:t>
      </w:r>
      <w:r>
        <w:rPr>
          <w:rFonts w:ascii="Times New Roman" w:hAnsi="Times New Roman" w:cs="Times New Roman"/>
          <w:sz w:val="32"/>
          <w:szCs w:val="32"/>
        </w:rPr>
        <w:t>。为乌鲁木齐市天山区、经开区（头屯河区）各乡镇应急救援队伍配备救援装备，提升救援实战能力。配备便携式担架516个、钢筋速断器68个、救生拉杆48个、链锯68台、漏电检测仪22台、牵拉器46台、切割锯套装68台、绳索救援套装68套、通信指挥设备（北斗终端）70台、通信指挥设备（数字集群手持终端）44台、液压拆破工具组（千斤顶）46台、液压拆破工具组（开缝器）46台、液压破拆工具组（液压泵）24台、液压破拆工具组（剪切器）24台、液压破拆工具组（扩张器）24台、液压破拆工具组（救援顶杆）24台、应急电源158台、应急照明系统46台、凿岩机64台、重型支撑套装24套、正压空气呼吸器22个。</w:t>
      </w:r>
    </w:p>
    <w:p w14:paraId="4576ADA0">
      <w:pPr>
        <w:pStyle w:val="6"/>
        <w:spacing w:before="0" w:after="0" w:line="560" w:lineRule="exact"/>
        <w:ind w:firstLine="643"/>
        <w:rPr>
          <w:rFonts w:ascii="Times New Roman" w:hAnsi="Times New Roman" w:cs="Times New Roman"/>
          <w:b w:val="0"/>
          <w:bCs w:val="0"/>
        </w:rPr>
      </w:pPr>
      <w:r>
        <w:rPr>
          <w:rFonts w:ascii="Times New Roman" w:hAnsi="Times New Roman" w:cs="Times New Roman"/>
        </w:rPr>
        <w:t>实际完成情况为：</w:t>
      </w:r>
      <w:bookmarkStart w:id="5" w:name="_Toc165277223"/>
      <w:r>
        <w:rPr>
          <w:rFonts w:ascii="Times New Roman" w:hAnsi="Times New Roman" w:cs="Times New Roman"/>
          <w:b w:val="0"/>
          <w:bCs w:val="0"/>
        </w:rPr>
        <w:t>乌鲁木齐市自然灾害应急能力提升工程基层防灾项目为天山区、米东区、经开区（头屯河区）及各乡镇级应急救援队伍配备抢险救援装备1929台（套），其中：地震地质灾害救援类救援装备781台（套）、抗洪抢险类救援装备93台（套）、森林（草原）火灾扑救类救援装备1台（套）、水域救援类救援装备20台（套）、综合保障类救援装备1034台（套）。建成全地区规模适度、布局科学、结构合理、专长突出的应急救援力量体系，实现专业应急救援力量各有所长，社会应急力量有效辅助，基层应急救援力量有效覆盖，可以更好地协调各方面资源，提高应急响应速度和救援效率，全面提升预防自然灾害和应急救援能力。</w:t>
      </w:r>
    </w:p>
    <w:p w14:paraId="49D8BE63">
      <w:pPr>
        <w:pStyle w:val="6"/>
        <w:spacing w:before="0" w:after="0" w:line="560" w:lineRule="exact"/>
        <w:ind w:firstLine="643"/>
        <w:rPr>
          <w:rFonts w:ascii="Times New Roman" w:hAnsi="Times New Roman" w:cs="Times New Roman"/>
        </w:rPr>
      </w:pPr>
      <w:r>
        <w:rPr>
          <w:rFonts w:ascii="Times New Roman" w:hAnsi="Times New Roman" w:cs="Times New Roman"/>
        </w:rPr>
        <w:t>2.资金投入和使用情况</w:t>
      </w:r>
      <w:bookmarkEnd w:id="5"/>
    </w:p>
    <w:p w14:paraId="33F5475D">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该项目资金投入情况：</w:t>
      </w:r>
      <w:r>
        <w:rPr>
          <w:rFonts w:ascii="Times New Roman" w:hAnsi="Times New Roman" w:cs="Times New Roman"/>
          <w:sz w:val="32"/>
          <w:szCs w:val="32"/>
        </w:rPr>
        <w:t>根据《财政部关于提前告知增发2023年国债自然灾害应急能力提升工程补助资金预算的通知》（财资环〔2024〕7号）、《关于下达增发2023年国债自然灾害应急能力提升工程补助资金预算的通知》（新财资环〔2024〕15号）、《关于下达增发2023年国债自然灾害应急能力提升工程补助资金预算的通知》（乌财资环〔2024〕17号）及《关于拨付2023年国债自然灾害应急能力提升工程地方配套资金的通知》（乌财资环〔2024〕19号）文件，该项目共安排预算3344万元，其中：中央资金2739万元、市级配套资金605万元，2024年实际到位资金3035.14万元，到位率90.76%。</w:t>
      </w:r>
    </w:p>
    <w:p w14:paraId="11FBFC8D">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该项目资金使用情况：</w:t>
      </w:r>
      <w:r>
        <w:rPr>
          <w:rFonts w:ascii="Times New Roman" w:hAnsi="Times New Roman" w:cs="Times New Roman"/>
          <w:sz w:val="32"/>
          <w:szCs w:val="32"/>
        </w:rPr>
        <w:t>该项目总预算3344万元，其中：中央资金2739万元、市级配套资金605万元。截止2024年12月31日，已支出3035.14万元，支出进度90.76%，未使用的资金</w:t>
      </w:r>
      <w:r>
        <w:rPr>
          <w:rFonts w:hint="eastAsia" w:ascii="Times New Roman" w:hAnsi="Times New Roman" w:cs="Times New Roman"/>
          <w:sz w:val="32"/>
          <w:szCs w:val="32"/>
        </w:rPr>
        <w:t>3</w:t>
      </w:r>
      <w:r>
        <w:rPr>
          <w:rFonts w:ascii="Times New Roman" w:hAnsi="Times New Roman" w:cs="Times New Roman"/>
          <w:sz w:val="32"/>
          <w:szCs w:val="32"/>
        </w:rPr>
        <w:t>08.86万元年底全额收回。其中：中央资金2739万元，支出进度100%；市级资金296.14万元，支出进度48.95%。具体使用情况如下：</w:t>
      </w:r>
    </w:p>
    <w:p w14:paraId="33739163">
      <w:pPr>
        <w:spacing w:line="560" w:lineRule="exact"/>
        <w:ind w:firstLine="640"/>
        <w:rPr>
          <w:rFonts w:ascii="Times New Roman" w:hAnsi="Times New Roman" w:cs="Times New Roman"/>
          <w:sz w:val="32"/>
          <w:szCs w:val="32"/>
        </w:rPr>
      </w:pPr>
      <w:r>
        <w:rPr>
          <w:rFonts w:ascii="Times New Roman" w:hAnsi="Times New Roman" w:cs="Times New Roman"/>
          <w:sz w:val="32"/>
          <w:szCs w:val="32"/>
        </w:rPr>
        <w:t>1.地震地质灾害救援类救援装备781台（套），支出1635.77万元；</w:t>
      </w:r>
    </w:p>
    <w:p w14:paraId="391A4BCA">
      <w:pPr>
        <w:spacing w:line="560" w:lineRule="exact"/>
        <w:ind w:firstLine="640"/>
        <w:rPr>
          <w:rFonts w:ascii="Times New Roman" w:hAnsi="Times New Roman" w:cs="Times New Roman"/>
          <w:sz w:val="32"/>
          <w:szCs w:val="32"/>
        </w:rPr>
      </w:pPr>
      <w:r>
        <w:rPr>
          <w:rFonts w:ascii="Times New Roman" w:hAnsi="Times New Roman" w:cs="Times New Roman"/>
          <w:sz w:val="32"/>
          <w:szCs w:val="32"/>
        </w:rPr>
        <w:t>2.抗洪抢险类救援装备93台（套），支出523.11万元；</w:t>
      </w:r>
    </w:p>
    <w:p w14:paraId="58841647">
      <w:pPr>
        <w:spacing w:line="560" w:lineRule="exact"/>
        <w:ind w:firstLine="640"/>
        <w:rPr>
          <w:rFonts w:ascii="Times New Roman" w:hAnsi="Times New Roman" w:cs="Times New Roman"/>
          <w:sz w:val="32"/>
          <w:szCs w:val="32"/>
        </w:rPr>
      </w:pPr>
      <w:r>
        <w:rPr>
          <w:rFonts w:ascii="Times New Roman" w:hAnsi="Times New Roman" w:cs="Times New Roman"/>
          <w:sz w:val="32"/>
          <w:szCs w:val="32"/>
        </w:rPr>
        <w:t>3.森林（草原）火灾扑救类救援装备1台（套），支出41.03万元；</w:t>
      </w:r>
    </w:p>
    <w:p w14:paraId="30EA5402">
      <w:pPr>
        <w:spacing w:line="560" w:lineRule="exact"/>
        <w:ind w:firstLine="640"/>
        <w:rPr>
          <w:rFonts w:ascii="Times New Roman" w:hAnsi="Times New Roman" w:cs="Times New Roman"/>
          <w:sz w:val="32"/>
          <w:szCs w:val="32"/>
        </w:rPr>
      </w:pPr>
      <w:r>
        <w:rPr>
          <w:rFonts w:ascii="Times New Roman" w:hAnsi="Times New Roman" w:cs="Times New Roman"/>
          <w:sz w:val="32"/>
          <w:szCs w:val="32"/>
        </w:rPr>
        <w:t>4.水域救援类救援装备20台（套），支出88.56万元；</w:t>
      </w:r>
    </w:p>
    <w:p w14:paraId="169AAA65">
      <w:pPr>
        <w:spacing w:line="560" w:lineRule="exact"/>
        <w:ind w:firstLine="640"/>
        <w:rPr>
          <w:rFonts w:ascii="Times New Roman" w:hAnsi="Times New Roman" w:cs="Times New Roman"/>
          <w:sz w:val="32"/>
          <w:szCs w:val="32"/>
        </w:rPr>
      </w:pPr>
      <w:r>
        <w:rPr>
          <w:rFonts w:ascii="Times New Roman" w:hAnsi="Times New Roman" w:cs="Times New Roman"/>
          <w:sz w:val="32"/>
          <w:szCs w:val="32"/>
        </w:rPr>
        <w:t>5.综合保障类救援装备1034台（套），支出744.88万元；</w:t>
      </w:r>
    </w:p>
    <w:p w14:paraId="07981153">
      <w:pPr>
        <w:spacing w:line="560" w:lineRule="exact"/>
        <w:ind w:firstLine="640"/>
        <w:rPr>
          <w:rFonts w:ascii="Times New Roman" w:hAnsi="Times New Roman" w:cs="Times New Roman"/>
          <w:sz w:val="32"/>
          <w:szCs w:val="32"/>
        </w:rPr>
      </w:pPr>
      <w:r>
        <w:rPr>
          <w:rFonts w:ascii="Times New Roman" w:hAnsi="Times New Roman" w:cs="Times New Roman"/>
          <w:sz w:val="32"/>
          <w:szCs w:val="32"/>
        </w:rPr>
        <w:t>6.项目结算审计支出1.79万元。</w:t>
      </w:r>
    </w:p>
    <w:p w14:paraId="2F1AF74A">
      <w:pPr>
        <w:pStyle w:val="5"/>
        <w:spacing w:before="0" w:after="0" w:line="560" w:lineRule="exact"/>
        <w:ind w:firstLine="643"/>
        <w:rPr>
          <w:rFonts w:ascii="Times New Roman" w:hAnsi="Times New Roman" w:eastAsia="楷体_GB2312" w:cs="Times New Roman"/>
          <w:lang w:bidi="en-US"/>
        </w:rPr>
      </w:pPr>
      <w:bookmarkStart w:id="6" w:name="_Toc67911603"/>
      <w:bookmarkStart w:id="7" w:name="_Toc165277224"/>
      <w:r>
        <w:rPr>
          <w:rFonts w:ascii="Times New Roman" w:hAnsi="Times New Roman" w:eastAsia="楷体_GB2312" w:cs="Times New Roman"/>
          <w:lang w:bidi="en-US"/>
        </w:rPr>
        <w:t>（二）项目绩效目标</w:t>
      </w:r>
      <w:bookmarkEnd w:id="6"/>
      <w:bookmarkEnd w:id="7"/>
    </w:p>
    <w:p w14:paraId="292F5B89">
      <w:pPr>
        <w:spacing w:line="560" w:lineRule="exact"/>
        <w:ind w:firstLine="640"/>
        <w:rPr>
          <w:rFonts w:ascii="Times New Roman" w:hAnsi="Times New Roman" w:cs="Times New Roman"/>
          <w:sz w:val="32"/>
          <w:szCs w:val="32"/>
        </w:rPr>
      </w:pPr>
      <w:r>
        <w:rPr>
          <w:rFonts w:ascii="Times New Roman" w:hAnsi="Times New Roman" w:cs="Times New Roman"/>
          <w:sz w:val="32"/>
          <w:szCs w:val="32"/>
        </w:rPr>
        <w:t>本项目依据《中共中央 国务院关于全面实施预算绩效管理的意见》（中发〔2018〕34号）、《关于印发&lt;乌鲁木齐市本级部门预算绩效目标管理暂行办法&gt;的通知》（乌财预</w:t>
      </w:r>
      <w:bookmarkStart w:id="8" w:name="_Hlk67566397"/>
      <w:r>
        <w:rPr>
          <w:rFonts w:ascii="Times New Roman" w:hAnsi="Times New Roman" w:cs="Times New Roman"/>
          <w:sz w:val="32"/>
          <w:szCs w:val="32"/>
        </w:rPr>
        <w:t>〔2018〕56号</w:t>
      </w:r>
      <w:bookmarkEnd w:id="8"/>
      <w:r>
        <w:rPr>
          <w:rFonts w:ascii="Times New Roman" w:hAnsi="Times New Roman" w:cs="Times New Roman"/>
          <w:sz w:val="32"/>
          <w:szCs w:val="32"/>
        </w:rPr>
        <w:t>）、《关于做好2019年部门预算项目支出绩效目标管理有关事宜的通知》（乌财预〔2018〕76号）和《项目支出绩效评价管理办法》（财预〔2020〕10号）等文件要求，结合项目开展情况，按照“谁申请资金，谁编制目标”的原则和规定的方法、程序，科学合理编制。绩效目标作为对预期指标的细化和量化描述，主要包括产出指标、效益指标和满意度指标。按照指向明确、细化量化、合理可行和相应匹配的要求，设定三级绩效目标（数量指标、质量指标、时效指标、成本指标、效益指标、满意度指标），以准确、清晰地反映财政资金在使用期所能达到的预期产出和效果。</w:t>
      </w:r>
    </w:p>
    <w:p w14:paraId="584AC44E">
      <w:pPr>
        <w:spacing w:line="560" w:lineRule="exact"/>
        <w:ind w:firstLine="640"/>
        <w:rPr>
          <w:rFonts w:ascii="Times New Roman" w:hAnsi="Times New Roman" w:cs="Times New Roman"/>
          <w:sz w:val="32"/>
          <w:szCs w:val="32"/>
        </w:rPr>
      </w:pPr>
      <w:r>
        <w:rPr>
          <w:rFonts w:ascii="Times New Roman" w:hAnsi="Times New Roman" w:cs="Times New Roman"/>
          <w:sz w:val="32"/>
          <w:szCs w:val="32"/>
        </w:rPr>
        <w:t>该项目为当年一次性项目。</w:t>
      </w:r>
    </w:p>
    <w:p w14:paraId="27652D19">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该项目总体绩效目标</w:t>
      </w:r>
      <w:r>
        <w:rPr>
          <w:rFonts w:hint="eastAsia" w:ascii="Times New Roman" w:hAnsi="Times New Roman" w:cs="Times New Roman"/>
          <w:b/>
          <w:bCs/>
          <w:sz w:val="32"/>
          <w:szCs w:val="32"/>
        </w:rPr>
        <w:t>（</w:t>
      </w:r>
      <w:r>
        <w:rPr>
          <w:rFonts w:ascii="Times New Roman" w:hAnsi="Times New Roman" w:cs="Times New Roman"/>
          <w:b/>
          <w:bCs/>
          <w:sz w:val="32"/>
          <w:szCs w:val="32"/>
        </w:rPr>
        <w:t>当年绩效目标）：</w:t>
      </w:r>
      <w:r>
        <w:rPr>
          <w:rFonts w:ascii="Times New Roman" w:hAnsi="Times New Roman" w:cs="Times New Roman"/>
          <w:sz w:val="32"/>
          <w:szCs w:val="32"/>
        </w:rPr>
        <w:t>通过为天山区、米东区、经开区（头屯河区）及各乡镇级应急救援队伍配备抢险救援装备1610</w:t>
      </w:r>
      <w:r>
        <w:rPr>
          <w:rFonts w:hint="eastAsia" w:ascii="Times New Roman" w:hAnsi="Times New Roman" w:cs="Times New Roman"/>
          <w:sz w:val="32"/>
          <w:szCs w:val="32"/>
        </w:rPr>
        <w:t>台（套）</w:t>
      </w:r>
      <w:r>
        <w:rPr>
          <w:rFonts w:ascii="Times New Roman" w:hAnsi="Times New Roman" w:cs="Times New Roman"/>
          <w:sz w:val="32"/>
          <w:szCs w:val="32"/>
        </w:rPr>
        <w:t>，建成全地区规模适度、布局科学、结构合理、专长突出的应急救援力量体系，实现专业应急救援力量各有所长，社会应急力量有效辅助，基层应急救援力量有效覆盖，可以更好地协调各方面资源，提高应急响应速度和救援效率，全面提升预防自然灾害和应急救援能力。</w:t>
      </w:r>
    </w:p>
    <w:p w14:paraId="5FEB0E1F">
      <w:pPr>
        <w:pStyle w:val="4"/>
        <w:spacing w:before="0" w:after="0" w:line="560" w:lineRule="exact"/>
        <w:ind w:firstLine="640"/>
        <w:jc w:val="left"/>
        <w:rPr>
          <w:rFonts w:ascii="Times New Roman" w:hAnsi="Times New Roman" w:eastAsia="黑体" w:cs="Times New Roman"/>
          <w:b w:val="0"/>
          <w:bCs w:val="0"/>
          <w:sz w:val="32"/>
          <w:szCs w:val="32"/>
          <w:lang w:bidi="en-US"/>
        </w:rPr>
      </w:pPr>
      <w:bookmarkStart w:id="9" w:name="_Toc165277225"/>
      <w:bookmarkStart w:id="10" w:name="_Toc67911604"/>
      <w:r>
        <w:rPr>
          <w:rFonts w:ascii="Times New Roman" w:hAnsi="Times New Roman" w:eastAsia="黑体" w:cs="Times New Roman"/>
          <w:b w:val="0"/>
          <w:bCs w:val="0"/>
          <w:sz w:val="32"/>
          <w:szCs w:val="32"/>
          <w:lang w:bidi="en-US"/>
        </w:rPr>
        <w:t>二、绩效评价工作开展情况</w:t>
      </w:r>
      <w:bookmarkEnd w:id="9"/>
      <w:bookmarkEnd w:id="10"/>
    </w:p>
    <w:p w14:paraId="11ADC31F">
      <w:pPr>
        <w:pStyle w:val="5"/>
        <w:spacing w:before="0" w:after="0" w:line="560" w:lineRule="exact"/>
        <w:ind w:firstLine="643"/>
        <w:rPr>
          <w:rFonts w:ascii="Times New Roman" w:hAnsi="Times New Roman" w:eastAsia="楷体_GB2312" w:cs="Times New Roman"/>
          <w:lang w:bidi="en-US"/>
        </w:rPr>
      </w:pPr>
      <w:bookmarkStart w:id="11" w:name="_Toc67911605"/>
      <w:bookmarkStart w:id="12" w:name="_Toc165277226"/>
      <w:r>
        <w:rPr>
          <w:rFonts w:ascii="Times New Roman" w:hAnsi="Times New Roman" w:eastAsia="楷体_GB2312" w:cs="Times New Roman"/>
          <w:lang w:bidi="en-US"/>
        </w:rPr>
        <w:t>（一）绩效评价目的、对象和范围</w:t>
      </w:r>
      <w:bookmarkEnd w:id="11"/>
      <w:bookmarkEnd w:id="12"/>
    </w:p>
    <w:p w14:paraId="37B1507B">
      <w:pPr>
        <w:pStyle w:val="6"/>
        <w:spacing w:before="0" w:after="0" w:line="560" w:lineRule="exact"/>
        <w:ind w:firstLine="643"/>
        <w:rPr>
          <w:rFonts w:ascii="Times New Roman" w:hAnsi="Times New Roman" w:cs="Times New Roman"/>
        </w:rPr>
      </w:pPr>
      <w:bookmarkStart w:id="13" w:name="_Toc165277227"/>
      <w:r>
        <w:rPr>
          <w:rFonts w:ascii="Times New Roman" w:hAnsi="Times New Roman" w:cs="Times New Roman"/>
        </w:rPr>
        <w:t>1.绩效评价完整性</w:t>
      </w:r>
      <w:bookmarkEnd w:id="13"/>
    </w:p>
    <w:p w14:paraId="54BF32E9">
      <w:pPr>
        <w:spacing w:line="560" w:lineRule="exact"/>
        <w:ind w:firstLine="640"/>
        <w:rPr>
          <w:rFonts w:ascii="Times New Roman" w:hAnsi="Times New Roman" w:cs="Times New Roman"/>
          <w:sz w:val="32"/>
          <w:szCs w:val="32"/>
        </w:rPr>
      </w:pPr>
      <w:r>
        <w:rPr>
          <w:rFonts w:ascii="Times New Roman" w:hAnsi="Times New Roman" w:cs="Times New Roman"/>
          <w:sz w:val="32"/>
          <w:szCs w:val="32"/>
        </w:rPr>
        <w:t>（1）建立绩效评价指标体系。</w:t>
      </w:r>
      <w:r>
        <w:rPr>
          <w:rFonts w:hint="eastAsia" w:ascii="Times New Roman" w:hAnsi="Times New Roman" w:cs="Times New Roman"/>
          <w:sz w:val="32"/>
          <w:szCs w:val="32"/>
        </w:rPr>
        <w:t>该项目为天山区、米东区、经开区（头屯河区）及各乡镇级应急救援队伍配备抢险救援装备，对应项目实质内容，指标体系</w:t>
      </w:r>
      <w:r>
        <w:rPr>
          <w:rFonts w:ascii="Times New Roman" w:hAnsi="Times New Roman" w:cs="Times New Roman"/>
          <w:sz w:val="32"/>
          <w:szCs w:val="32"/>
        </w:rPr>
        <w:t>建立包括决策、过程、产出</w:t>
      </w:r>
      <w:r>
        <w:rPr>
          <w:rFonts w:hint="eastAsia" w:ascii="Times New Roman" w:hAnsi="Times New Roman" w:cs="Times New Roman"/>
          <w:sz w:val="32"/>
          <w:szCs w:val="32"/>
          <w:lang w:eastAsia="zh-CN"/>
        </w:rPr>
        <w:t>、</w:t>
      </w:r>
      <w:r>
        <w:rPr>
          <w:rFonts w:ascii="Times New Roman" w:hAnsi="Times New Roman" w:cs="Times New Roman"/>
          <w:sz w:val="32"/>
          <w:szCs w:val="32"/>
        </w:rPr>
        <w:t>效益</w:t>
      </w:r>
      <w:r>
        <w:rPr>
          <w:rFonts w:hint="eastAsia" w:ascii="Times New Roman" w:hAnsi="Times New Roman" w:cs="Times New Roman"/>
          <w:sz w:val="32"/>
          <w:szCs w:val="32"/>
          <w:lang w:val="en-US" w:eastAsia="zh-CN"/>
        </w:rPr>
        <w:t>和满意度指标完成情况分析5</w:t>
      </w:r>
      <w:r>
        <w:rPr>
          <w:rFonts w:ascii="Times New Roman" w:hAnsi="Times New Roman" w:cs="Times New Roman"/>
          <w:sz w:val="32"/>
          <w:szCs w:val="32"/>
        </w:rPr>
        <w:t>个一级指标，项目立项、绩效目标、资金投入、资金管理、组织实施、产出数量、产出质量、</w:t>
      </w:r>
      <w:r>
        <w:rPr>
          <w:rFonts w:hint="eastAsia" w:ascii="Times New Roman" w:hAnsi="Times New Roman" w:cs="Times New Roman"/>
          <w:sz w:val="32"/>
          <w:szCs w:val="32"/>
          <w:lang w:val="en-US" w:eastAsia="zh-CN"/>
        </w:rPr>
        <w:t>产出时效、</w:t>
      </w:r>
      <w:r>
        <w:rPr>
          <w:rFonts w:ascii="Times New Roman" w:hAnsi="Times New Roman" w:cs="Times New Roman"/>
          <w:sz w:val="32"/>
          <w:szCs w:val="32"/>
        </w:rPr>
        <w:t>产出成本</w:t>
      </w:r>
      <w:r>
        <w:rPr>
          <w:rFonts w:hint="eastAsia" w:ascii="Times New Roman" w:hAnsi="Times New Roman" w:cs="Times New Roman"/>
          <w:sz w:val="32"/>
          <w:szCs w:val="32"/>
          <w:lang w:eastAsia="zh-CN"/>
        </w:rPr>
        <w:t>、</w:t>
      </w:r>
      <w:r>
        <w:rPr>
          <w:rFonts w:ascii="Times New Roman" w:hAnsi="Times New Roman" w:cs="Times New Roman"/>
          <w:sz w:val="32"/>
          <w:szCs w:val="32"/>
        </w:rPr>
        <w:t>社会效益</w:t>
      </w:r>
      <w:r>
        <w:rPr>
          <w:rFonts w:hint="eastAsia" w:ascii="Times New Roman" w:hAnsi="Times New Roman" w:cs="Times New Roman"/>
          <w:sz w:val="32"/>
          <w:szCs w:val="32"/>
          <w:lang w:val="en-US" w:eastAsia="zh-CN"/>
        </w:rPr>
        <w:t>和</w:t>
      </w:r>
      <w:r>
        <w:rPr>
          <w:rFonts w:hint="eastAsia" w:ascii="Times New Roman" w:hAnsi="Times New Roman" w:cs="Times New Roman"/>
          <w:sz w:val="32"/>
          <w:szCs w:val="32"/>
        </w:rPr>
        <w:t>满意度指标</w:t>
      </w:r>
      <w:r>
        <w:rPr>
          <w:rFonts w:hint="eastAsia" w:ascii="Times New Roman" w:hAnsi="Times New Roman" w:cs="Times New Roman"/>
          <w:sz w:val="32"/>
          <w:szCs w:val="32"/>
          <w:lang w:val="en-US" w:eastAsia="zh-CN"/>
        </w:rPr>
        <w:t>11</w:t>
      </w:r>
      <w:r>
        <w:rPr>
          <w:rFonts w:ascii="Times New Roman" w:hAnsi="Times New Roman" w:cs="Times New Roman"/>
          <w:sz w:val="32"/>
          <w:szCs w:val="32"/>
        </w:rPr>
        <w:t>个二级指标，同时进一步</w:t>
      </w:r>
      <w:r>
        <w:rPr>
          <w:rFonts w:hint="eastAsia" w:ascii="Times New Roman" w:hAnsi="Times New Roman" w:cs="Times New Roman"/>
          <w:sz w:val="32"/>
          <w:szCs w:val="32"/>
        </w:rPr>
        <w:t>细化指标内容为购置地震地质灾害救援类救援装备</w:t>
      </w:r>
      <w:r>
        <w:rPr>
          <w:rFonts w:hint="eastAsia" w:ascii="Times New Roman" w:hAnsi="Times New Roman" w:cs="Times New Roman"/>
          <w:sz w:val="32"/>
          <w:szCs w:val="32"/>
          <w:lang w:eastAsia="zh-CN"/>
        </w:rPr>
        <w:t>、采购完成及时率</w:t>
      </w:r>
      <w:r>
        <w:rPr>
          <w:rFonts w:hint="eastAsia" w:ascii="Times New Roman" w:hAnsi="Times New Roman" w:cs="Times New Roman"/>
          <w:sz w:val="32"/>
          <w:szCs w:val="32"/>
        </w:rPr>
        <w:t>等具体的</w:t>
      </w:r>
      <w:r>
        <w:rPr>
          <w:rFonts w:ascii="Times New Roman" w:hAnsi="Times New Roman" w:cs="Times New Roman"/>
          <w:sz w:val="32"/>
          <w:szCs w:val="32"/>
        </w:rPr>
        <w:t>2</w:t>
      </w:r>
      <w:r>
        <w:rPr>
          <w:rFonts w:hint="eastAsia" w:ascii="Times New Roman" w:hAnsi="Times New Roman" w:cs="Times New Roman"/>
          <w:sz w:val="32"/>
          <w:szCs w:val="32"/>
          <w:lang w:val="en-US" w:eastAsia="zh-CN"/>
        </w:rPr>
        <w:t>3</w:t>
      </w:r>
      <w:r>
        <w:rPr>
          <w:rFonts w:ascii="Times New Roman" w:hAnsi="Times New Roman" w:cs="Times New Roman"/>
          <w:sz w:val="32"/>
          <w:szCs w:val="32"/>
        </w:rPr>
        <w:t>个三级指标。综上，指标体系紧密</w:t>
      </w:r>
      <w:r>
        <w:rPr>
          <w:rFonts w:hint="eastAsia" w:ascii="Times New Roman" w:hAnsi="Times New Roman" w:cs="Times New Roman"/>
          <w:sz w:val="32"/>
          <w:szCs w:val="32"/>
        </w:rPr>
        <w:t>围绕</w:t>
      </w:r>
      <w:r>
        <w:rPr>
          <w:rFonts w:ascii="Times New Roman" w:hAnsi="Times New Roman" w:cs="Times New Roman"/>
          <w:sz w:val="32"/>
          <w:szCs w:val="32"/>
        </w:rPr>
        <w:t>设备购置内容建立，可以完整体现项目的年度目标、范围和要求。</w:t>
      </w:r>
    </w:p>
    <w:p w14:paraId="6A53425F">
      <w:pPr>
        <w:spacing w:line="560" w:lineRule="exact"/>
        <w:ind w:firstLine="640"/>
        <w:rPr>
          <w:rFonts w:ascii="Times New Roman" w:hAnsi="Times New Roman" w:cs="Times New Roman"/>
          <w:sz w:val="32"/>
          <w:szCs w:val="32"/>
        </w:rPr>
      </w:pPr>
      <w:r>
        <w:rPr>
          <w:rFonts w:ascii="Times New Roman" w:hAnsi="Times New Roman" w:cs="Times New Roman"/>
          <w:sz w:val="32"/>
          <w:szCs w:val="32"/>
        </w:rPr>
        <w:t>（2）项目计划和执行。乌鲁木齐市自然灾害应急能力提升工程基层防灾项目为天山区、米东区、经开区（头屯河区）及各乡镇级应急救援队伍配备抢险救援装备1610台（套），其中：地震地质灾害救援类救援装备664台（套）、抗洪抢险类救援装备59台（套）、森林（草原）火灾扑救类救援装备1台（套）、水域救援类救援装备20台（套）、综合保障类救援装备866台（套）。通过立项依据充分性、立项程序规范性指标分析项目立项和实施的合规性；通过绩效目标合理性、绩效指标明确性指标分析项目绩效目标设立的依据和绩效指标细化情况；通过预算编制科学性、资金分配合理性、资金到位率和预算执行率指标分析项目预算执行管理情况及资金使用合规性；通过管理制度健全性、制度执行有效性指标对项目实施、管理进行全过程监管和约束。结合该项目年度目标任务，量化产出和效益指标，可以体现该项目的进展情况，可以完整反映和考核项目产出质量目标和完成度。</w:t>
      </w:r>
    </w:p>
    <w:p w14:paraId="2C80B8D8">
      <w:pPr>
        <w:spacing w:line="560" w:lineRule="exact"/>
        <w:ind w:firstLine="640"/>
        <w:rPr>
          <w:rFonts w:ascii="Times New Roman" w:hAnsi="Times New Roman" w:cs="Times New Roman"/>
          <w:sz w:val="32"/>
          <w:szCs w:val="32"/>
        </w:rPr>
      </w:pPr>
      <w:r>
        <w:rPr>
          <w:rFonts w:ascii="Times New Roman" w:hAnsi="Times New Roman" w:cs="Times New Roman"/>
          <w:sz w:val="32"/>
          <w:szCs w:val="32"/>
        </w:rPr>
        <w:t>（3）评价数据来源。该项目通过发改部门立项批复文件、设备公开招投标、</w:t>
      </w:r>
      <w:r>
        <w:rPr>
          <w:rFonts w:hint="eastAsia" w:ascii="Times New Roman" w:hAnsi="Times New Roman" w:cs="Times New Roman"/>
          <w:sz w:val="32"/>
          <w:szCs w:val="32"/>
        </w:rPr>
        <w:t>设备</w:t>
      </w:r>
      <w:r>
        <w:rPr>
          <w:rFonts w:ascii="Times New Roman" w:hAnsi="Times New Roman" w:cs="Times New Roman"/>
          <w:sz w:val="32"/>
          <w:szCs w:val="32"/>
        </w:rPr>
        <w:t>购置合同、验收报告、资金国库集中支付凭证等材料作为评价数据来源，以确保数据的准确性和完整性。</w:t>
      </w:r>
    </w:p>
    <w:p w14:paraId="382738DF">
      <w:pPr>
        <w:pStyle w:val="6"/>
        <w:spacing w:before="0" w:after="0" w:line="560" w:lineRule="exact"/>
        <w:ind w:firstLine="643"/>
        <w:rPr>
          <w:rFonts w:ascii="Times New Roman" w:hAnsi="Times New Roman" w:cs="Times New Roman"/>
        </w:rPr>
      </w:pPr>
      <w:bookmarkStart w:id="14" w:name="_Toc165277228"/>
      <w:r>
        <w:rPr>
          <w:rFonts w:ascii="Times New Roman" w:hAnsi="Times New Roman" w:cs="Times New Roman"/>
        </w:rPr>
        <w:t>2.评价目的</w:t>
      </w:r>
      <w:bookmarkEnd w:id="14"/>
    </w:p>
    <w:p w14:paraId="71262880">
      <w:pPr>
        <w:spacing w:line="560" w:lineRule="exact"/>
        <w:ind w:firstLine="640"/>
        <w:rPr>
          <w:rFonts w:ascii="Times New Roman" w:hAnsi="Times New Roman" w:cs="Times New Roman"/>
          <w:sz w:val="32"/>
          <w:szCs w:val="32"/>
        </w:rPr>
      </w:pPr>
      <w:r>
        <w:rPr>
          <w:rFonts w:ascii="Times New Roman" w:hAnsi="Times New Roman" w:cs="Times New Roman"/>
          <w:sz w:val="32"/>
          <w:szCs w:val="32"/>
        </w:rPr>
        <w:t>本项工作旨在落实《中共中央 国务院关于全面实施预算绩效管理的意见》（中发〔2018〕34号）文件精神，全面推进预算绩效管理工作，落实预算执行及绩效管理主体责任。具体而言包括以下两点：</w:t>
      </w:r>
    </w:p>
    <w:p w14:paraId="62E4980D">
      <w:pPr>
        <w:spacing w:line="560" w:lineRule="exact"/>
        <w:ind w:firstLine="640"/>
        <w:rPr>
          <w:rFonts w:ascii="Times New Roman" w:hAnsi="Times New Roman" w:cs="Times New Roman"/>
          <w:sz w:val="32"/>
          <w:szCs w:val="32"/>
        </w:rPr>
      </w:pPr>
      <w:r>
        <w:rPr>
          <w:rFonts w:ascii="Times New Roman" w:hAnsi="Times New Roman" w:cs="Times New Roman"/>
          <w:sz w:val="32"/>
          <w:szCs w:val="32"/>
        </w:rPr>
        <w:t>（1）通过对项目设立的背景、意义、项目内容、项目现状及绩效目标、资金投入、资金管理、组织实施、产出指标、成本指标和效益指标等进行深入调研和分析，进一步了解乌鲁木齐市自然灾害应急能力提升工程基层防灾项目的实施情况，并考察项目实施过程和效果。</w:t>
      </w:r>
    </w:p>
    <w:p w14:paraId="4E51E4A0">
      <w:pPr>
        <w:spacing w:line="560" w:lineRule="exact"/>
        <w:ind w:firstLine="640"/>
        <w:rPr>
          <w:rFonts w:ascii="Times New Roman" w:hAnsi="Times New Roman" w:cs="Times New Roman"/>
          <w:b/>
          <w:bCs/>
          <w:sz w:val="32"/>
          <w:szCs w:val="32"/>
        </w:rPr>
      </w:pPr>
      <w:r>
        <w:rPr>
          <w:rFonts w:ascii="Times New Roman" w:hAnsi="Times New Roman" w:cs="Times New Roman"/>
          <w:sz w:val="32"/>
          <w:szCs w:val="32"/>
        </w:rPr>
        <w:t>（2）通过评价，客观公正反映项目立项科学性、项目管理规范性、项目实施有效性和项目效果，总结项目实施的经验，发现项目实施过程中存在的问题，提高财政资金使用效益。</w:t>
      </w:r>
    </w:p>
    <w:p w14:paraId="1DA643C6">
      <w:pPr>
        <w:pStyle w:val="6"/>
        <w:spacing w:before="0" w:after="0" w:line="560" w:lineRule="exact"/>
        <w:ind w:firstLine="643"/>
        <w:rPr>
          <w:rFonts w:ascii="Times New Roman" w:hAnsi="Times New Roman" w:cs="Times New Roman"/>
        </w:rPr>
      </w:pPr>
      <w:bookmarkStart w:id="15" w:name="_Toc165277229"/>
      <w:r>
        <w:rPr>
          <w:rFonts w:ascii="Times New Roman" w:hAnsi="Times New Roman" w:cs="Times New Roman"/>
        </w:rPr>
        <w:t>3.评价对象</w:t>
      </w:r>
      <w:bookmarkEnd w:id="15"/>
    </w:p>
    <w:p w14:paraId="36D98C4E">
      <w:pPr>
        <w:spacing w:line="560" w:lineRule="exact"/>
        <w:ind w:firstLine="640"/>
        <w:rPr>
          <w:rFonts w:ascii="Times New Roman" w:hAnsi="Times New Roman" w:cs="Times New Roman"/>
          <w:sz w:val="32"/>
          <w:szCs w:val="32"/>
        </w:rPr>
      </w:pPr>
      <w:r>
        <w:rPr>
          <w:rFonts w:ascii="Times New Roman" w:hAnsi="Times New Roman" w:cs="Times New Roman"/>
          <w:sz w:val="32"/>
          <w:szCs w:val="32"/>
        </w:rPr>
        <w:t xml:space="preserve">绩效评价的对象：乌鲁木齐市自然灾害应急能力提升工程基层防灾项目 </w:t>
      </w:r>
    </w:p>
    <w:p w14:paraId="2E46C544">
      <w:pPr>
        <w:pStyle w:val="6"/>
        <w:spacing w:before="0" w:after="0" w:line="560" w:lineRule="exact"/>
        <w:ind w:firstLine="643"/>
        <w:rPr>
          <w:rFonts w:ascii="Times New Roman" w:hAnsi="Times New Roman" w:cs="Times New Roman"/>
        </w:rPr>
      </w:pPr>
      <w:bookmarkStart w:id="16" w:name="_Toc165277230"/>
      <w:r>
        <w:rPr>
          <w:rFonts w:ascii="Times New Roman" w:hAnsi="Times New Roman" w:cs="Times New Roman"/>
        </w:rPr>
        <w:t>4.绩效评价范围</w:t>
      </w:r>
      <w:bookmarkEnd w:id="16"/>
    </w:p>
    <w:p w14:paraId="1CF07996">
      <w:pPr>
        <w:spacing w:line="560" w:lineRule="exact"/>
        <w:ind w:firstLine="640"/>
        <w:rPr>
          <w:rFonts w:ascii="Times New Roman" w:hAnsi="Times New Roman" w:cs="Times New Roman"/>
          <w:sz w:val="32"/>
          <w:szCs w:val="32"/>
        </w:rPr>
      </w:pPr>
      <w:r>
        <w:rPr>
          <w:rFonts w:ascii="Times New Roman" w:hAnsi="Times New Roman" w:cs="Times New Roman"/>
          <w:sz w:val="32"/>
          <w:szCs w:val="32"/>
        </w:rPr>
        <w:t>（1）时间范围：2024年1月1日至2024年12月31日。</w:t>
      </w:r>
    </w:p>
    <w:p w14:paraId="6E3C4918">
      <w:pPr>
        <w:spacing w:line="560" w:lineRule="exact"/>
        <w:ind w:firstLine="640"/>
        <w:rPr>
          <w:rFonts w:ascii="Times New Roman" w:hAnsi="Times New Roman" w:cs="Times New Roman"/>
          <w:sz w:val="32"/>
          <w:szCs w:val="32"/>
        </w:rPr>
      </w:pPr>
      <w:r>
        <w:rPr>
          <w:rFonts w:ascii="Times New Roman" w:hAnsi="Times New Roman" w:cs="Times New Roman"/>
          <w:sz w:val="32"/>
          <w:szCs w:val="32"/>
        </w:rPr>
        <w:t>（2）项目范围：乌鲁木齐市自然灾害应急能力提升工程基层防灾项目主要为天山区、米东区、经开区（头屯河区）及各乡镇级应急救援队伍配备抢险救援装备</w:t>
      </w:r>
      <w:r>
        <w:rPr>
          <w:rFonts w:hint="eastAsia" w:ascii="Times New Roman" w:hAnsi="Times New Roman" w:cs="Times New Roman"/>
          <w:sz w:val="32"/>
          <w:szCs w:val="32"/>
          <w:lang w:val="en-US" w:eastAsia="zh-CN"/>
        </w:rPr>
        <w:t>1929</w:t>
      </w:r>
      <w:r>
        <w:rPr>
          <w:rFonts w:ascii="Times New Roman" w:hAnsi="Times New Roman" w:cs="Times New Roman"/>
          <w:sz w:val="32"/>
          <w:szCs w:val="32"/>
        </w:rPr>
        <w:t>台（套），其中：地震地质灾害救援类救援装备781台（套）、抗洪抢险类救援装备93台（套）、森林（草原）火灾扑救类救援装备1台（套）、水域救援类救援装备20台（套）、综合保障类救援装备1034台（套）。建成全地区规模适度、布局科学、结构合理、专长突出的应急救援力量体系，实现专业应急救援力量各有所长，社会应急力量有效辅助，基层应急救援力量有效覆盖，可以更好地协调各方面资源，提高应急响应速度和救援效率，全面提升预防自然灾害和应急救援能力。</w:t>
      </w:r>
    </w:p>
    <w:p w14:paraId="697ADA39">
      <w:pPr>
        <w:spacing w:line="560" w:lineRule="exact"/>
        <w:ind w:firstLine="640"/>
        <w:rPr>
          <w:rFonts w:ascii="Times New Roman" w:hAnsi="Times New Roman" w:cs="Times New Roman"/>
          <w:sz w:val="32"/>
          <w:szCs w:val="32"/>
        </w:rPr>
      </w:pPr>
      <w:r>
        <w:rPr>
          <w:rFonts w:ascii="Times New Roman" w:hAnsi="Times New Roman" w:cs="Times New Roman"/>
          <w:b/>
          <w:bCs/>
          <w:sz w:val="32"/>
          <w:szCs w:val="32"/>
        </w:rPr>
        <w:t>绩效评价工作开展情况</w:t>
      </w:r>
      <w:r>
        <w:rPr>
          <w:rFonts w:hint="eastAsia" w:ascii="Times New Roman" w:hAnsi="Times New Roman" w:cs="Times New Roman"/>
          <w:b/>
          <w:bCs/>
          <w:sz w:val="32"/>
          <w:szCs w:val="32"/>
          <w:lang w:eastAsia="zh-CN"/>
        </w:rPr>
        <w:t>：</w:t>
      </w:r>
      <w:r>
        <w:rPr>
          <w:rFonts w:ascii="Times New Roman" w:hAnsi="Times New Roman" w:cs="Times New Roman"/>
          <w:sz w:val="32"/>
          <w:szCs w:val="32"/>
        </w:rPr>
        <w:t>本次项目绩效评价坚持科学公正、统筹兼顾、激励约束、公开透明的原则，建立指标评价体系，包括决策、过程、产出</w:t>
      </w:r>
      <w:r>
        <w:rPr>
          <w:rFonts w:hint="eastAsia" w:ascii="Times New Roman" w:hAnsi="Times New Roman" w:cs="Times New Roman"/>
          <w:sz w:val="32"/>
          <w:szCs w:val="32"/>
          <w:lang w:eastAsia="zh-CN"/>
        </w:rPr>
        <w:t>、</w:t>
      </w:r>
      <w:r>
        <w:rPr>
          <w:rFonts w:ascii="Times New Roman" w:hAnsi="Times New Roman" w:cs="Times New Roman"/>
          <w:sz w:val="32"/>
          <w:szCs w:val="32"/>
        </w:rPr>
        <w:t>效益</w:t>
      </w:r>
      <w:r>
        <w:rPr>
          <w:rFonts w:hint="eastAsia" w:ascii="Times New Roman" w:hAnsi="Times New Roman" w:cs="Times New Roman"/>
          <w:sz w:val="32"/>
          <w:szCs w:val="32"/>
          <w:lang w:val="en-US" w:eastAsia="zh-CN"/>
        </w:rPr>
        <w:t>和满意度指标完成情况分析5</w:t>
      </w:r>
      <w:r>
        <w:rPr>
          <w:rFonts w:ascii="Times New Roman" w:hAnsi="Times New Roman" w:cs="Times New Roman"/>
          <w:sz w:val="32"/>
          <w:szCs w:val="32"/>
        </w:rPr>
        <w:t>个一级指标，项目立项、绩效目标、资金投入、资金管理、组织实施、产出数量、产出质量、</w:t>
      </w:r>
      <w:r>
        <w:rPr>
          <w:rFonts w:hint="eastAsia" w:ascii="Times New Roman" w:hAnsi="Times New Roman" w:cs="Times New Roman"/>
          <w:sz w:val="32"/>
          <w:szCs w:val="32"/>
          <w:lang w:val="en-US" w:eastAsia="zh-CN"/>
        </w:rPr>
        <w:t>产出时效、</w:t>
      </w:r>
      <w:r>
        <w:rPr>
          <w:rFonts w:ascii="Times New Roman" w:hAnsi="Times New Roman" w:cs="Times New Roman"/>
          <w:sz w:val="32"/>
          <w:szCs w:val="32"/>
        </w:rPr>
        <w:t>产出成本</w:t>
      </w:r>
      <w:r>
        <w:rPr>
          <w:rFonts w:hint="eastAsia" w:ascii="Times New Roman" w:hAnsi="Times New Roman" w:cs="Times New Roman"/>
          <w:sz w:val="32"/>
          <w:szCs w:val="32"/>
          <w:lang w:eastAsia="zh-CN"/>
        </w:rPr>
        <w:t>、</w:t>
      </w:r>
      <w:r>
        <w:rPr>
          <w:rFonts w:ascii="Times New Roman" w:hAnsi="Times New Roman" w:cs="Times New Roman"/>
          <w:sz w:val="32"/>
          <w:szCs w:val="32"/>
        </w:rPr>
        <w:t>社会效益</w:t>
      </w:r>
      <w:r>
        <w:rPr>
          <w:rFonts w:hint="eastAsia" w:ascii="Times New Roman" w:hAnsi="Times New Roman" w:cs="Times New Roman"/>
          <w:sz w:val="32"/>
          <w:szCs w:val="32"/>
          <w:lang w:val="en-US" w:eastAsia="zh-CN"/>
        </w:rPr>
        <w:t>和</w:t>
      </w:r>
      <w:r>
        <w:rPr>
          <w:rFonts w:hint="eastAsia" w:ascii="Times New Roman" w:hAnsi="Times New Roman" w:cs="Times New Roman"/>
          <w:sz w:val="32"/>
          <w:szCs w:val="32"/>
        </w:rPr>
        <w:t>满意度指标</w:t>
      </w:r>
      <w:r>
        <w:rPr>
          <w:rFonts w:hint="eastAsia" w:ascii="Times New Roman" w:hAnsi="Times New Roman" w:cs="Times New Roman"/>
          <w:sz w:val="32"/>
          <w:szCs w:val="32"/>
          <w:lang w:val="en-US" w:eastAsia="zh-CN"/>
        </w:rPr>
        <w:t>11</w:t>
      </w:r>
      <w:r>
        <w:rPr>
          <w:rFonts w:ascii="Times New Roman" w:hAnsi="Times New Roman" w:cs="Times New Roman"/>
          <w:sz w:val="32"/>
          <w:szCs w:val="32"/>
        </w:rPr>
        <w:t>个二级指标，同时进一步</w:t>
      </w:r>
      <w:r>
        <w:rPr>
          <w:rFonts w:hint="eastAsia" w:ascii="Times New Roman" w:hAnsi="Times New Roman" w:cs="Times New Roman"/>
          <w:sz w:val="32"/>
          <w:szCs w:val="32"/>
        </w:rPr>
        <w:t>细化指标内容为购置地震地质灾害救援类救援装备</w:t>
      </w:r>
      <w:r>
        <w:rPr>
          <w:rFonts w:hint="eastAsia" w:ascii="Times New Roman" w:hAnsi="Times New Roman" w:cs="Times New Roman"/>
          <w:sz w:val="32"/>
          <w:szCs w:val="32"/>
          <w:lang w:eastAsia="zh-CN"/>
        </w:rPr>
        <w:t>、采购完成及时率</w:t>
      </w:r>
      <w:r>
        <w:rPr>
          <w:rFonts w:hint="eastAsia" w:ascii="Times New Roman" w:hAnsi="Times New Roman" w:cs="Times New Roman"/>
          <w:sz w:val="32"/>
          <w:szCs w:val="32"/>
        </w:rPr>
        <w:t>等具体的</w:t>
      </w:r>
      <w:r>
        <w:rPr>
          <w:rFonts w:ascii="Times New Roman" w:hAnsi="Times New Roman" w:cs="Times New Roman"/>
          <w:sz w:val="32"/>
          <w:szCs w:val="32"/>
        </w:rPr>
        <w:t>2</w:t>
      </w:r>
      <w:r>
        <w:rPr>
          <w:rFonts w:hint="eastAsia" w:ascii="Times New Roman" w:hAnsi="Times New Roman" w:cs="Times New Roman"/>
          <w:sz w:val="32"/>
          <w:szCs w:val="32"/>
          <w:lang w:val="en-US" w:eastAsia="zh-CN"/>
        </w:rPr>
        <w:t>3</w:t>
      </w:r>
      <w:r>
        <w:rPr>
          <w:rFonts w:ascii="Times New Roman" w:hAnsi="Times New Roman" w:cs="Times New Roman"/>
          <w:sz w:val="32"/>
          <w:szCs w:val="32"/>
        </w:rPr>
        <w:t>个三级指标。通过立项依据充分性、立项程序规范性指标分析项目立项和实施的合规性</w:t>
      </w:r>
      <w:r>
        <w:rPr>
          <w:rFonts w:hint="eastAsia" w:ascii="Times New Roman" w:hAnsi="Times New Roman" w:cs="Times New Roman"/>
          <w:sz w:val="32"/>
          <w:szCs w:val="32"/>
          <w:lang w:eastAsia="zh-CN"/>
        </w:rPr>
        <w:t>；</w:t>
      </w:r>
      <w:r>
        <w:rPr>
          <w:rFonts w:ascii="Times New Roman" w:hAnsi="Times New Roman" w:cs="Times New Roman"/>
          <w:sz w:val="32"/>
          <w:szCs w:val="32"/>
        </w:rPr>
        <w:t>通过绩效目标合理性、绩效指标明确性指标分析项目绩效目标设立的依据和绩效指标细化情况</w:t>
      </w:r>
      <w:r>
        <w:rPr>
          <w:rFonts w:hint="eastAsia" w:ascii="Times New Roman" w:hAnsi="Times New Roman" w:cs="Times New Roman"/>
          <w:sz w:val="32"/>
          <w:szCs w:val="32"/>
          <w:lang w:eastAsia="zh-CN"/>
        </w:rPr>
        <w:t>；</w:t>
      </w:r>
      <w:r>
        <w:rPr>
          <w:rFonts w:ascii="Times New Roman" w:hAnsi="Times New Roman" w:cs="Times New Roman"/>
          <w:sz w:val="32"/>
          <w:szCs w:val="32"/>
        </w:rPr>
        <w:t>通过预算编制科学性、资金分配合理性、资金到位率和预算执行率指标分析项目预算执行管理情况及资金使用合规性，通过管理制度健全性、制度执行有效性指标对项目实施、管理进行全过程监管和约束。结合该项目年度目标任务，量化产出和效益指标，体现该项目的进展情况，反映和考核项目产出质量目标和完成度。</w:t>
      </w:r>
    </w:p>
    <w:p w14:paraId="66F82F80">
      <w:pPr>
        <w:spacing w:line="560" w:lineRule="exact"/>
        <w:ind w:firstLine="643"/>
        <w:rPr>
          <w:rFonts w:ascii="Times New Roman" w:hAnsi="Times New Roman" w:cs="Times New Roman"/>
          <w:sz w:val="32"/>
          <w:szCs w:val="32"/>
        </w:rPr>
      </w:pPr>
      <w:r>
        <w:rPr>
          <w:rFonts w:ascii="Times New Roman" w:hAnsi="Times New Roman" w:cs="Times New Roman"/>
          <w:sz w:val="32"/>
          <w:szCs w:val="32"/>
        </w:rPr>
        <w:t>该项目为设备购置类项目，绩效评价体系能完整体现项目的年度目标、范围和要求。根据本项目的特点，本次评价主要采用比较法，项目按照规定的程序申请设立</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我局</w:t>
      </w:r>
      <w:r>
        <w:rPr>
          <w:rFonts w:ascii="Times New Roman" w:hAnsi="Times New Roman" w:cs="Times New Roman"/>
          <w:sz w:val="32"/>
          <w:szCs w:val="32"/>
        </w:rPr>
        <w:t>委托第三方对</w:t>
      </w:r>
      <w:r>
        <w:rPr>
          <w:rFonts w:hint="eastAsia" w:ascii="Times New Roman" w:hAnsi="Times New Roman" w:cs="Times New Roman"/>
          <w:sz w:val="32"/>
          <w:szCs w:val="32"/>
          <w:lang w:val="en-US" w:eastAsia="zh-CN"/>
        </w:rPr>
        <w:t>项目需求分析、基础现状、投资概算、影响效果分析评价等方面进行分析论证，并出具《乌鲁木齐市自然灾害应急能力提升工程基层防灾项目可行性研究报告（代项目建议书）》，提交乌鲁木齐市发展和改革委员会后，出具</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关于乌鲁木齐市自然灾害应急能力提升工程基层防灾项目可行性研究报告（代项目建议书）和概算的批复</w:t>
      </w:r>
      <w:r>
        <w:rPr>
          <w:rFonts w:hint="eastAsia" w:ascii="Times New Roman" w:hAnsi="Times New Roman" w:cs="Times New Roman"/>
          <w:sz w:val="32"/>
          <w:szCs w:val="32"/>
          <w:lang w:eastAsia="zh-CN"/>
        </w:rPr>
        <w:t>》（</w:t>
      </w:r>
      <w:r>
        <w:rPr>
          <w:rFonts w:ascii="Times New Roman" w:hAnsi="Times New Roman" w:cs="Times New Roman"/>
          <w:sz w:val="32"/>
          <w:szCs w:val="32"/>
        </w:rPr>
        <w:t>乌发改投资〔202</w:t>
      </w:r>
      <w:r>
        <w:rPr>
          <w:rFonts w:hint="eastAsia" w:ascii="Times New Roman" w:hAnsi="Times New Roman" w:cs="Times New Roman"/>
          <w:sz w:val="32"/>
          <w:szCs w:val="32"/>
          <w:lang w:val="en-US" w:eastAsia="zh-CN"/>
        </w:rPr>
        <w:t>3</w:t>
      </w:r>
      <w:r>
        <w:rPr>
          <w:rFonts w:ascii="Times New Roman" w:hAnsi="Times New Roman" w:cs="Times New Roman"/>
          <w:sz w:val="32"/>
          <w:szCs w:val="32"/>
        </w:rPr>
        <w:t>〕</w:t>
      </w:r>
      <w:r>
        <w:rPr>
          <w:rFonts w:hint="eastAsia" w:ascii="Times New Roman" w:hAnsi="Times New Roman" w:cs="Times New Roman"/>
          <w:sz w:val="32"/>
          <w:szCs w:val="32"/>
          <w:lang w:val="en-US" w:eastAsia="zh-CN"/>
        </w:rPr>
        <w:t>347</w:t>
      </w:r>
      <w:r>
        <w:rPr>
          <w:rFonts w:ascii="Times New Roman" w:hAnsi="Times New Roman" w:cs="Times New Roman"/>
          <w:sz w:val="32"/>
          <w:szCs w:val="32"/>
        </w:rPr>
        <w:t>号</w:t>
      </w:r>
      <w:r>
        <w:rPr>
          <w:rFonts w:hint="eastAsia" w:ascii="Times New Roman" w:hAnsi="Times New Roman" w:cs="Times New Roman"/>
          <w:sz w:val="32"/>
          <w:szCs w:val="32"/>
          <w:lang w:eastAsia="zh-CN"/>
        </w:rPr>
        <w:t>）、</w:t>
      </w:r>
      <w:r>
        <w:rPr>
          <w:rFonts w:ascii="Times New Roman" w:hAnsi="Times New Roman" w:cs="Times New Roman"/>
          <w:sz w:val="32"/>
          <w:szCs w:val="32"/>
        </w:rPr>
        <w:t>《关于调整乌鲁木齐市自然灾害应急能力提升工程基层防灾项目建设内容和概算的批复》（乌发改函〔2024〕4号）</w:t>
      </w:r>
      <w:r>
        <w:rPr>
          <w:rFonts w:hint="eastAsia" w:ascii="Times New Roman" w:hAnsi="Times New Roman" w:cs="Times New Roman"/>
          <w:sz w:val="32"/>
          <w:szCs w:val="32"/>
          <w:lang w:eastAsia="zh-CN"/>
        </w:rPr>
        <w:t>。</w:t>
      </w:r>
      <w:r>
        <w:rPr>
          <w:rFonts w:ascii="Times New Roman" w:hAnsi="Times New Roman" w:cs="Times New Roman"/>
          <w:sz w:val="32"/>
          <w:szCs w:val="32"/>
        </w:rPr>
        <w:t>我单位</w:t>
      </w:r>
      <w:r>
        <w:rPr>
          <w:rFonts w:hint="eastAsia" w:ascii="Times New Roman" w:hAnsi="Times New Roman" w:cs="Times New Roman"/>
          <w:sz w:val="32"/>
          <w:szCs w:val="32"/>
          <w:lang w:val="en-US" w:eastAsia="zh-CN"/>
        </w:rPr>
        <w:t>严格执行</w:t>
      </w:r>
      <w:r>
        <w:rPr>
          <w:rFonts w:ascii="Times New Roman" w:hAnsi="Times New Roman" w:cs="Times New Roman"/>
          <w:sz w:val="32"/>
          <w:szCs w:val="32"/>
        </w:rPr>
        <w:t>批复</w:t>
      </w:r>
      <w:r>
        <w:rPr>
          <w:rFonts w:hint="eastAsia" w:ascii="Times New Roman" w:hAnsi="Times New Roman" w:cs="Times New Roman"/>
          <w:sz w:val="32"/>
          <w:szCs w:val="32"/>
          <w:lang w:val="en-US" w:eastAsia="zh-CN"/>
        </w:rPr>
        <w:t>的</w:t>
      </w:r>
      <w:r>
        <w:rPr>
          <w:rFonts w:ascii="Times New Roman" w:hAnsi="Times New Roman" w:cs="Times New Roman"/>
          <w:sz w:val="32"/>
          <w:szCs w:val="32"/>
        </w:rPr>
        <w:t>内容，</w:t>
      </w:r>
      <w:r>
        <w:rPr>
          <w:rFonts w:hint="eastAsia" w:ascii="Times New Roman" w:hAnsi="Times New Roman" w:cs="Times New Roman"/>
          <w:sz w:val="32"/>
          <w:szCs w:val="32"/>
          <w:lang w:val="en-US" w:eastAsia="zh-CN"/>
        </w:rPr>
        <w:t>按照《中华人民共和国政府采购法》《中华人民共和国政府采购法实施条例》等要求，</w:t>
      </w:r>
      <w:r>
        <w:rPr>
          <w:rFonts w:ascii="Times New Roman" w:hAnsi="Times New Roman" w:cs="Times New Roman"/>
          <w:sz w:val="32"/>
          <w:szCs w:val="32"/>
        </w:rPr>
        <w:t>以公开</w:t>
      </w:r>
      <w:r>
        <w:rPr>
          <w:rFonts w:hint="eastAsia" w:ascii="Times New Roman" w:hAnsi="Times New Roman" w:cs="Times New Roman"/>
          <w:sz w:val="32"/>
          <w:szCs w:val="32"/>
          <w:lang w:val="en-US" w:eastAsia="zh-CN"/>
        </w:rPr>
        <w:t>招投标</w:t>
      </w:r>
      <w:r>
        <w:rPr>
          <w:rFonts w:ascii="Times New Roman" w:hAnsi="Times New Roman" w:cs="Times New Roman"/>
          <w:sz w:val="32"/>
          <w:szCs w:val="32"/>
        </w:rPr>
        <w:t>的形式</w:t>
      </w:r>
      <w:r>
        <w:rPr>
          <w:rFonts w:hint="eastAsia" w:ascii="Times New Roman" w:hAnsi="Times New Roman" w:cs="Times New Roman"/>
          <w:sz w:val="32"/>
          <w:szCs w:val="32"/>
          <w:lang w:val="en-US" w:eastAsia="zh-CN"/>
        </w:rPr>
        <w:t>开展政府采购，完成</w:t>
      </w:r>
      <w:r>
        <w:rPr>
          <w:rFonts w:ascii="Times New Roman" w:hAnsi="Times New Roman" w:cs="Times New Roman"/>
          <w:sz w:val="32"/>
          <w:szCs w:val="32"/>
        </w:rPr>
        <w:t>抢险救援装备</w:t>
      </w:r>
      <w:r>
        <w:rPr>
          <w:rFonts w:hint="eastAsia" w:ascii="Times New Roman" w:hAnsi="Times New Roman" w:cs="Times New Roman"/>
          <w:sz w:val="32"/>
          <w:szCs w:val="32"/>
          <w:lang w:val="en-US" w:eastAsia="zh-CN"/>
        </w:rPr>
        <w:t>购置</w:t>
      </w:r>
      <w:r>
        <w:rPr>
          <w:rFonts w:ascii="Times New Roman" w:hAnsi="Times New Roman" w:cs="Times New Roman"/>
          <w:sz w:val="32"/>
          <w:szCs w:val="32"/>
        </w:rPr>
        <w:t>。通过立项批复文件、购置设备合同、验收报告、资金国库集中支付凭证等材料作为评价数据来源，以确保数据的准确性和完整性，对项目总预算和明细预算的内容、标准、计划是否经济合理进行深入分析，以考察实际产出和效益是否达到预期。</w:t>
      </w:r>
    </w:p>
    <w:p w14:paraId="60F592A9">
      <w:pPr>
        <w:spacing w:line="560" w:lineRule="exact"/>
        <w:ind w:firstLine="640"/>
        <w:rPr>
          <w:rFonts w:ascii="Times New Roman" w:hAnsi="Times New Roman" w:cs="Times New Roman"/>
          <w:sz w:val="32"/>
          <w:szCs w:val="32"/>
        </w:rPr>
      </w:pPr>
      <w:r>
        <w:rPr>
          <w:rFonts w:ascii="Times New Roman" w:hAnsi="Times New Roman" w:cs="Times New Roman"/>
          <w:b/>
          <w:bCs/>
          <w:sz w:val="32"/>
          <w:szCs w:val="32"/>
        </w:rPr>
        <w:t>项目实现的产出情况</w:t>
      </w:r>
      <w:r>
        <w:rPr>
          <w:rFonts w:hint="eastAsia" w:ascii="Times New Roman" w:hAnsi="Times New Roman" w:cs="Times New Roman"/>
          <w:b/>
          <w:bCs/>
          <w:sz w:val="32"/>
          <w:szCs w:val="32"/>
          <w:lang w:eastAsia="zh-CN"/>
        </w:rPr>
        <w:t>：</w:t>
      </w:r>
      <w:r>
        <w:rPr>
          <w:rFonts w:ascii="Times New Roman" w:hAnsi="Times New Roman" w:cs="Times New Roman"/>
          <w:sz w:val="32"/>
          <w:szCs w:val="32"/>
        </w:rPr>
        <w:t>该项目总预算3344万元，其中：中央资金2739万元、市级配套资金605万元，截止2024年12月31日，已支出3035.14万元，支出进度90.76%。单位在此次评价期间内，有序完成设定目标的工作任务，为天山区、米东区、经开区（头屯河区）及各乡镇级应急救援队伍配备抢险救援装备1929台（套），其中：地震地质灾害救援类救援装备781台（套）、抗洪抢险类救援装备93台（套）、森林（草原）火灾扑救类救援装备1台（套）、水域救援类救援装备20台（套）、综合保障类救援装备1034台（套），</w:t>
      </w:r>
      <w:r>
        <w:rPr>
          <w:rFonts w:hint="eastAsia" w:ascii="Times New Roman" w:hAnsi="Times New Roman" w:cs="Times New Roman"/>
          <w:sz w:val="32"/>
          <w:szCs w:val="32"/>
          <w:lang w:val="en-US" w:eastAsia="zh-CN"/>
        </w:rPr>
        <w:t>验收合格设备1927台（套），验收合格率为99.9%，设备采购及时率100%</w:t>
      </w:r>
      <w:r>
        <w:rPr>
          <w:rFonts w:ascii="Times New Roman" w:hAnsi="Times New Roman" w:cs="Times New Roman"/>
          <w:sz w:val="32"/>
          <w:szCs w:val="32"/>
        </w:rPr>
        <w:t>。</w:t>
      </w:r>
    </w:p>
    <w:p w14:paraId="133828F4">
      <w:pPr>
        <w:spacing w:line="560" w:lineRule="exact"/>
        <w:ind w:firstLine="640"/>
        <w:rPr>
          <w:rFonts w:ascii="Times New Roman" w:hAnsi="Times New Roman" w:cs="Times New Roman"/>
          <w:sz w:val="32"/>
          <w:szCs w:val="32"/>
        </w:rPr>
      </w:pPr>
      <w:r>
        <w:rPr>
          <w:rFonts w:hint="eastAsia" w:ascii="Times New Roman" w:hAnsi="Times New Roman" w:cs="Times New Roman"/>
          <w:b/>
          <w:bCs/>
          <w:sz w:val="32"/>
          <w:szCs w:val="32"/>
          <w:lang w:val="en-US" w:eastAsia="zh-CN"/>
        </w:rPr>
        <w:t>取得的效益情况：</w:t>
      </w:r>
      <w:r>
        <w:rPr>
          <w:rFonts w:ascii="Times New Roman" w:hAnsi="Times New Roman" w:cs="Times New Roman"/>
          <w:sz w:val="32"/>
          <w:szCs w:val="32"/>
        </w:rPr>
        <w:t>本项目的实施实现专业应急救援力量体系，实现专业应急救援力量各有所长，社会应急力量有效辅助，基层应急救援力量有效覆盖，</w:t>
      </w:r>
      <w:r>
        <w:rPr>
          <w:rFonts w:hint="eastAsia" w:ascii="Times New Roman" w:hAnsi="Times New Roman" w:cs="Times New Roman"/>
          <w:sz w:val="32"/>
          <w:szCs w:val="32"/>
          <w:lang w:val="en-US" w:eastAsia="zh-CN"/>
        </w:rPr>
        <w:t>切实实现</w:t>
      </w:r>
      <w:r>
        <w:rPr>
          <w:rFonts w:ascii="Times New Roman" w:hAnsi="Times New Roman" w:cs="Times New Roman"/>
          <w:sz w:val="32"/>
          <w:szCs w:val="32"/>
        </w:rPr>
        <w:t>专业能力有效提升</w:t>
      </w:r>
      <w:r>
        <w:rPr>
          <w:rFonts w:hint="eastAsia" w:ascii="Times New Roman" w:hAnsi="Times New Roman" w:cs="Times New Roman"/>
          <w:sz w:val="32"/>
          <w:szCs w:val="32"/>
          <w:lang w:eastAsia="zh-CN"/>
        </w:rPr>
        <w:t>、</w:t>
      </w:r>
      <w:r>
        <w:rPr>
          <w:rFonts w:ascii="Times New Roman" w:hAnsi="Times New Roman" w:cs="Times New Roman"/>
          <w:sz w:val="32"/>
          <w:szCs w:val="32"/>
        </w:rPr>
        <w:t>保障水平稳步提高</w:t>
      </w:r>
      <w:r>
        <w:rPr>
          <w:rFonts w:hint="eastAsia" w:ascii="Times New Roman" w:hAnsi="Times New Roman" w:cs="Times New Roman"/>
          <w:sz w:val="32"/>
          <w:szCs w:val="32"/>
          <w:lang w:eastAsia="zh-CN"/>
        </w:rPr>
        <w:t>、</w:t>
      </w:r>
      <w:r>
        <w:rPr>
          <w:rFonts w:ascii="Times New Roman" w:hAnsi="Times New Roman" w:cs="Times New Roman"/>
          <w:sz w:val="32"/>
          <w:szCs w:val="32"/>
        </w:rPr>
        <w:t>力量构成逐步优化</w:t>
      </w:r>
      <w:r>
        <w:rPr>
          <w:rFonts w:hint="eastAsia" w:ascii="Times New Roman" w:hAnsi="Times New Roman" w:cs="Times New Roman"/>
          <w:sz w:val="32"/>
          <w:szCs w:val="32"/>
          <w:lang w:eastAsia="zh-CN"/>
        </w:rPr>
        <w:t>、</w:t>
      </w:r>
      <w:r>
        <w:rPr>
          <w:rFonts w:ascii="Times New Roman" w:hAnsi="Times New Roman" w:cs="Times New Roman"/>
          <w:sz w:val="32"/>
          <w:szCs w:val="32"/>
        </w:rPr>
        <w:t>力量布局更趋合理</w:t>
      </w:r>
      <w:r>
        <w:rPr>
          <w:rFonts w:hint="eastAsia" w:ascii="Times New Roman" w:hAnsi="Times New Roman" w:cs="Times New Roman"/>
          <w:sz w:val="32"/>
          <w:szCs w:val="32"/>
          <w:lang w:eastAsia="zh-CN"/>
        </w:rPr>
        <w:t>，</w:t>
      </w:r>
      <w:r>
        <w:rPr>
          <w:rFonts w:ascii="Times New Roman" w:hAnsi="Times New Roman" w:cs="Times New Roman"/>
          <w:sz w:val="32"/>
          <w:szCs w:val="32"/>
        </w:rPr>
        <w:t>为人民群众生命财产安全提供坚强保障。</w:t>
      </w:r>
    </w:p>
    <w:p w14:paraId="1029DC34">
      <w:pPr>
        <w:spacing w:line="560" w:lineRule="exact"/>
        <w:ind w:firstLine="640"/>
        <w:rPr>
          <w:rFonts w:ascii="Times New Roman" w:hAnsi="Times New Roman" w:cs="Times New Roman"/>
          <w:sz w:val="32"/>
          <w:szCs w:val="32"/>
        </w:rPr>
      </w:pPr>
      <w:r>
        <w:rPr>
          <w:rFonts w:hint="eastAsia" w:ascii="Times New Roman" w:hAnsi="Times New Roman" w:cs="Times New Roman"/>
          <w:b/>
          <w:bCs/>
          <w:sz w:val="32"/>
          <w:szCs w:val="32"/>
        </w:rPr>
        <w:t>主要经验及做法</w:t>
      </w:r>
      <w:r>
        <w:rPr>
          <w:rFonts w:hint="eastAsia" w:ascii="Times New Roman" w:hAnsi="Times New Roman" w:cs="Times New Roman"/>
          <w:b/>
          <w:bCs/>
          <w:sz w:val="32"/>
          <w:szCs w:val="32"/>
          <w:lang w:eastAsia="zh-CN"/>
        </w:rPr>
        <w:t>：</w:t>
      </w:r>
      <w:r>
        <w:rPr>
          <w:rFonts w:hint="eastAsia" w:ascii="Times New Roman" w:hAnsi="Times New Roman" w:cs="Times New Roman"/>
          <w:sz w:val="32"/>
          <w:szCs w:val="32"/>
          <w:lang w:val="en-US" w:eastAsia="zh-CN"/>
        </w:rPr>
        <w:t>一是</w:t>
      </w:r>
      <w:r>
        <w:rPr>
          <w:rFonts w:ascii="Times New Roman" w:hAnsi="Times New Roman" w:cs="Times New Roman"/>
          <w:sz w:val="32"/>
          <w:szCs w:val="32"/>
        </w:rPr>
        <w:t>科学规划，精准配置</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二是</w:t>
      </w:r>
      <w:r>
        <w:rPr>
          <w:rFonts w:ascii="Times New Roman" w:hAnsi="Times New Roman" w:cs="Times New Roman"/>
          <w:sz w:val="32"/>
          <w:szCs w:val="32"/>
        </w:rPr>
        <w:t>严格流程，保障质量</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三是</w:t>
      </w:r>
      <w:r>
        <w:rPr>
          <w:rFonts w:ascii="Times New Roman" w:hAnsi="Times New Roman" w:cs="Times New Roman"/>
          <w:sz w:val="32"/>
          <w:szCs w:val="32"/>
        </w:rPr>
        <w:t>规范支出，强化监管</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四是</w:t>
      </w:r>
      <w:r>
        <w:rPr>
          <w:rFonts w:ascii="Times New Roman" w:hAnsi="Times New Roman" w:cs="Times New Roman"/>
          <w:sz w:val="32"/>
          <w:szCs w:val="32"/>
        </w:rPr>
        <w:t>完善管理，长效保障。</w:t>
      </w:r>
    </w:p>
    <w:p w14:paraId="5C2225A0">
      <w:pPr>
        <w:spacing w:line="560" w:lineRule="exact"/>
        <w:ind w:firstLine="640"/>
        <w:rPr>
          <w:rFonts w:hint="eastAsia" w:ascii="Times New Roman" w:hAnsi="Times New Roman" w:cs="Times New Roman"/>
          <w:sz w:val="32"/>
          <w:szCs w:val="32"/>
          <w:lang w:eastAsia="zh-CN"/>
        </w:rPr>
      </w:pPr>
      <w:r>
        <w:rPr>
          <w:rFonts w:hint="eastAsia" w:ascii="Times New Roman" w:hAnsi="Times New Roman" w:cs="Times New Roman"/>
          <w:b/>
          <w:bCs/>
          <w:sz w:val="32"/>
          <w:szCs w:val="32"/>
          <w:highlight w:val="none"/>
        </w:rPr>
        <w:t>存在的问题及原因分析</w:t>
      </w:r>
      <w:r>
        <w:rPr>
          <w:rFonts w:hint="eastAsia" w:ascii="Times New Roman" w:hAnsi="Times New Roman" w:cs="Times New Roman"/>
          <w:b/>
          <w:bCs/>
          <w:sz w:val="32"/>
          <w:szCs w:val="32"/>
          <w:highlight w:val="none"/>
          <w:lang w:eastAsia="zh-CN"/>
        </w:rPr>
        <w:t>：</w:t>
      </w:r>
      <w:r>
        <w:rPr>
          <w:rFonts w:hint="eastAsia" w:ascii="Times New Roman" w:hAnsi="Times New Roman" w:cs="Times New Roman"/>
          <w:sz w:val="32"/>
          <w:szCs w:val="32"/>
          <w:highlight w:val="none"/>
          <w:lang w:val="en-US" w:eastAsia="zh-CN"/>
        </w:rPr>
        <w:t>一是</w:t>
      </w:r>
      <w:r>
        <w:rPr>
          <w:rFonts w:hint="eastAsia" w:ascii="Times New Roman" w:hAnsi="Times New Roman" w:cs="Times New Roman"/>
          <w:sz w:val="32"/>
          <w:szCs w:val="32"/>
          <w:lang w:val="en-US" w:eastAsia="zh-CN"/>
        </w:rPr>
        <w:t>对项目总体规划设计、资金预算考虑不周全，项目存在结余资金；二是</w:t>
      </w:r>
      <w:r>
        <w:rPr>
          <w:rFonts w:hint="eastAsia" w:ascii="Times New Roman" w:hAnsi="Times New Roman" w:cs="Times New Roman"/>
          <w:sz w:val="32"/>
          <w:szCs w:val="32"/>
          <w:lang w:eastAsia="zh-CN"/>
        </w:rPr>
        <w:t>应急救援装备类的供应商、经销商疲于投标，致使招标工作较为滞后；</w:t>
      </w:r>
      <w:r>
        <w:rPr>
          <w:rFonts w:hint="eastAsia" w:ascii="Times New Roman" w:hAnsi="Times New Roman" w:cs="Times New Roman"/>
          <w:sz w:val="32"/>
          <w:szCs w:val="32"/>
          <w:lang w:val="en-US" w:eastAsia="zh-CN"/>
        </w:rPr>
        <w:t>三是</w:t>
      </w:r>
      <w:r>
        <w:rPr>
          <w:rFonts w:hint="eastAsia" w:ascii="Times New Roman" w:hAnsi="Times New Roman" w:cs="Times New Roman"/>
          <w:sz w:val="32"/>
          <w:szCs w:val="32"/>
          <w:lang w:eastAsia="zh-CN"/>
        </w:rPr>
        <w:t>采购的设备存在验收不合格的问题。</w:t>
      </w:r>
    </w:p>
    <w:p w14:paraId="46F65BCB">
      <w:pPr>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cs="Times New Roman"/>
          <w:sz w:val="32"/>
          <w:szCs w:val="32"/>
          <w:highlight w:val="none"/>
        </w:rPr>
      </w:pPr>
      <w:r>
        <w:rPr>
          <w:rFonts w:ascii="Times New Roman" w:hAnsi="Times New Roman" w:cs="Times New Roman"/>
          <w:b/>
          <w:bCs/>
          <w:sz w:val="32"/>
          <w:szCs w:val="32"/>
        </w:rPr>
        <w:t>综合性评价结论</w:t>
      </w:r>
      <w:r>
        <w:rPr>
          <w:rFonts w:hint="eastAsia" w:ascii="Times New Roman" w:hAnsi="Times New Roman" w:cs="Times New Roman"/>
          <w:b/>
          <w:bCs/>
          <w:sz w:val="32"/>
          <w:szCs w:val="32"/>
          <w:lang w:eastAsia="zh-CN"/>
        </w:rPr>
        <w:t>：</w:t>
      </w:r>
      <w:r>
        <w:rPr>
          <w:rFonts w:ascii="Times New Roman" w:hAnsi="Times New Roman" w:cs="Times New Roman"/>
          <w:sz w:val="32"/>
          <w:szCs w:val="32"/>
        </w:rPr>
        <w:t>通过对2024年</w:t>
      </w:r>
      <w:r>
        <w:rPr>
          <w:rFonts w:ascii="Times New Roman" w:hAnsi="Times New Roman" w:cs="Times New Roman"/>
          <w:sz w:val="32"/>
          <w:szCs w:val="32"/>
          <w:highlight w:val="none"/>
        </w:rPr>
        <w:t>乌鲁木齐市自然灾害应急能力提升工程基层防灾项目进行客观评价，最终评分结果为：总分为9</w:t>
      </w:r>
      <w:r>
        <w:rPr>
          <w:rFonts w:hint="eastAsia" w:ascii="Times New Roman" w:hAnsi="Times New Roman" w:cs="Times New Roman"/>
          <w:sz w:val="32"/>
          <w:szCs w:val="32"/>
          <w:highlight w:val="none"/>
          <w:lang w:val="en-US" w:eastAsia="zh-CN"/>
        </w:rPr>
        <w:t>8.7</w:t>
      </w:r>
      <w:r>
        <w:rPr>
          <w:rFonts w:ascii="Times New Roman" w:hAnsi="Times New Roman" w:cs="Times New Roman"/>
          <w:sz w:val="32"/>
          <w:szCs w:val="32"/>
          <w:highlight w:val="none"/>
        </w:rPr>
        <w:t>分，绩效评级为“</w:t>
      </w:r>
      <w:r>
        <w:rPr>
          <w:rFonts w:hint="eastAsia" w:ascii="Times New Roman" w:hAnsi="Times New Roman" w:cs="Times New Roman"/>
          <w:sz w:val="32"/>
          <w:szCs w:val="32"/>
          <w:highlight w:val="none"/>
          <w:lang w:val="en-US" w:eastAsia="zh-CN"/>
        </w:rPr>
        <w:t>优</w:t>
      </w:r>
      <w:r>
        <w:rPr>
          <w:rFonts w:ascii="Times New Roman" w:hAnsi="Times New Roman" w:cs="Times New Roman"/>
          <w:sz w:val="32"/>
          <w:szCs w:val="32"/>
          <w:highlight w:val="none"/>
        </w:rPr>
        <w:t>”。</w:t>
      </w:r>
      <w:bookmarkStart w:id="17" w:name="_Toc165277231"/>
      <w:bookmarkStart w:id="18" w:name="_Hlk67586765"/>
      <w:bookmarkStart w:id="19" w:name="_Toc67911606"/>
    </w:p>
    <w:p w14:paraId="4B05E9D1">
      <w:pPr>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楷体_GB2312" w:cs="Times New Roman"/>
          <w:b/>
          <w:bCs/>
          <w:sz w:val="32"/>
          <w:szCs w:val="32"/>
          <w:lang w:bidi="en-US"/>
        </w:rPr>
      </w:pPr>
      <w:r>
        <w:rPr>
          <w:rFonts w:ascii="Times New Roman" w:hAnsi="Times New Roman" w:eastAsia="楷体_GB2312" w:cs="Times New Roman"/>
          <w:b/>
          <w:bCs/>
          <w:sz w:val="32"/>
          <w:szCs w:val="32"/>
          <w:lang w:bidi="en-US"/>
        </w:rPr>
        <w:t>（二）绩效评价原则、指标体系、方法及标准</w:t>
      </w:r>
      <w:bookmarkEnd w:id="17"/>
      <w:bookmarkEnd w:id="18"/>
      <w:bookmarkEnd w:id="19"/>
    </w:p>
    <w:p w14:paraId="61746E7A">
      <w:pPr>
        <w:pStyle w:val="6"/>
        <w:pageBreakBefore w:val="0"/>
        <w:widowControl w:val="0"/>
        <w:kinsoku/>
        <w:wordWrap/>
        <w:overflowPunct/>
        <w:topLinePunct w:val="0"/>
        <w:autoSpaceDE/>
        <w:autoSpaceDN/>
        <w:bidi w:val="0"/>
        <w:adjustRightInd/>
        <w:snapToGrid/>
        <w:spacing w:before="0" w:after="0" w:line="560" w:lineRule="exact"/>
        <w:ind w:firstLine="643"/>
        <w:textAlignment w:val="auto"/>
        <w:rPr>
          <w:rFonts w:ascii="Times New Roman" w:hAnsi="Times New Roman" w:cs="Times New Roman"/>
        </w:rPr>
      </w:pPr>
      <w:bookmarkStart w:id="20" w:name="_Toc165277232"/>
      <w:r>
        <w:rPr>
          <w:rFonts w:ascii="Times New Roman" w:hAnsi="Times New Roman" w:cs="Times New Roman"/>
        </w:rPr>
        <w:t>1.评价原则</w:t>
      </w:r>
      <w:bookmarkEnd w:id="20"/>
    </w:p>
    <w:p w14:paraId="3BDF1578">
      <w:pPr>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cs="Times New Roman"/>
          <w:bCs/>
          <w:sz w:val="32"/>
          <w:szCs w:val="32"/>
        </w:rPr>
      </w:pPr>
      <w:r>
        <w:rPr>
          <w:rFonts w:ascii="Times New Roman" w:hAnsi="Times New Roman" w:cs="Times New Roman"/>
          <w:bCs/>
          <w:sz w:val="32"/>
          <w:szCs w:val="32"/>
        </w:rPr>
        <w:t>（1）科学公正。绩效评价应当运用科学合理的方法，按照规范的程序，对项目绩效进行客观、公正的反映。</w:t>
      </w:r>
    </w:p>
    <w:p w14:paraId="060B0A60">
      <w:pPr>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cs="Times New Roman"/>
          <w:bCs/>
          <w:sz w:val="32"/>
          <w:szCs w:val="32"/>
        </w:rPr>
      </w:pPr>
      <w:r>
        <w:rPr>
          <w:rFonts w:ascii="Times New Roman" w:hAnsi="Times New Roman" w:cs="Times New Roman"/>
          <w:bCs/>
          <w:sz w:val="32"/>
          <w:szCs w:val="32"/>
        </w:rPr>
        <w:t>（2）统筹兼顾。单位自评、部门评价和财政评价应职责明确，各有侧重，相互衔接。单位自评应由项目单位自主实施，即“谁支出、谁自评”。部门评价和财政评价应在单位自评的基础上开展，必要时可委托第三方机构实施。</w:t>
      </w:r>
    </w:p>
    <w:p w14:paraId="77A6A11C">
      <w:pPr>
        <w:spacing w:line="560" w:lineRule="exact"/>
        <w:ind w:firstLine="640"/>
        <w:rPr>
          <w:rFonts w:ascii="Times New Roman" w:hAnsi="Times New Roman" w:cs="Times New Roman"/>
          <w:bCs/>
          <w:sz w:val="32"/>
          <w:szCs w:val="32"/>
        </w:rPr>
      </w:pPr>
      <w:r>
        <w:rPr>
          <w:rFonts w:ascii="Times New Roman" w:hAnsi="Times New Roman" w:cs="Times New Roman"/>
          <w:bCs/>
          <w:sz w:val="32"/>
          <w:szCs w:val="32"/>
        </w:rPr>
        <w:t>（3）激励约束。绩效评价结果应与预算安排、政策调整、改进管理实质性挂钩，体现奖优罚劣和激励相容导向，有效要安排、低效要压减、无效要问责。</w:t>
      </w:r>
    </w:p>
    <w:p w14:paraId="1688998D">
      <w:pPr>
        <w:spacing w:line="560" w:lineRule="exact"/>
        <w:ind w:firstLine="640"/>
        <w:rPr>
          <w:rFonts w:ascii="Times New Roman" w:hAnsi="Times New Roman" w:cs="Times New Roman"/>
          <w:bCs/>
          <w:sz w:val="32"/>
          <w:szCs w:val="32"/>
        </w:rPr>
      </w:pPr>
      <w:r>
        <w:rPr>
          <w:rFonts w:ascii="Times New Roman" w:hAnsi="Times New Roman" w:cs="Times New Roman"/>
          <w:bCs/>
          <w:sz w:val="32"/>
          <w:szCs w:val="32"/>
        </w:rPr>
        <w:t>（4）公开透明。绩效评价结果应依法依规公开，并自觉接受社会监督。</w:t>
      </w:r>
    </w:p>
    <w:p w14:paraId="0C9D2B0E">
      <w:pPr>
        <w:pStyle w:val="6"/>
        <w:spacing w:before="0" w:after="0" w:line="560" w:lineRule="exact"/>
        <w:ind w:firstLine="643"/>
        <w:rPr>
          <w:rFonts w:ascii="Times New Roman" w:hAnsi="Times New Roman" w:cs="Times New Roman"/>
        </w:rPr>
      </w:pPr>
      <w:bookmarkStart w:id="21" w:name="_Toc165277233"/>
      <w:r>
        <w:rPr>
          <w:rFonts w:ascii="Times New Roman" w:hAnsi="Times New Roman" w:cs="Times New Roman"/>
        </w:rPr>
        <w:t>2.评价指标体系</w:t>
      </w:r>
      <w:bookmarkEnd w:id="21"/>
    </w:p>
    <w:p w14:paraId="257A8AC5">
      <w:pPr>
        <w:spacing w:line="560" w:lineRule="exact"/>
        <w:ind w:firstLine="640"/>
        <w:rPr>
          <w:rFonts w:ascii="Times New Roman" w:hAnsi="Times New Roman" w:cs="Times New Roman"/>
          <w:sz w:val="32"/>
          <w:szCs w:val="32"/>
        </w:rPr>
      </w:pPr>
      <w:r>
        <w:rPr>
          <w:rFonts w:ascii="Times New Roman" w:hAnsi="Times New Roman" w:cs="Times New Roman"/>
          <w:sz w:val="32"/>
          <w:szCs w:val="32"/>
        </w:rPr>
        <w:t>绩效评价指标体系作为衡量绩效目标实现程度的考核工具，一般遵循以下原则：</w:t>
      </w:r>
    </w:p>
    <w:p w14:paraId="490F43F3">
      <w:pPr>
        <w:spacing w:line="560" w:lineRule="exact"/>
        <w:ind w:firstLine="640"/>
        <w:rPr>
          <w:rFonts w:ascii="Times New Roman" w:hAnsi="Times New Roman" w:cs="Times New Roman"/>
          <w:sz w:val="32"/>
          <w:szCs w:val="32"/>
        </w:rPr>
      </w:pPr>
      <w:r>
        <w:rPr>
          <w:rFonts w:ascii="Times New Roman" w:hAnsi="Times New Roman" w:cs="Times New Roman"/>
          <w:sz w:val="32"/>
          <w:szCs w:val="32"/>
        </w:rPr>
        <w:t>（1）相关性原则：绩效评价指标应当与绩效目标有直接的联系，能够恰当反映目标的实现程度。</w:t>
      </w:r>
    </w:p>
    <w:p w14:paraId="18581099">
      <w:pPr>
        <w:spacing w:line="560" w:lineRule="exact"/>
        <w:ind w:firstLine="640"/>
        <w:rPr>
          <w:rFonts w:ascii="Times New Roman" w:hAnsi="Times New Roman" w:cs="Times New Roman"/>
          <w:sz w:val="32"/>
          <w:szCs w:val="32"/>
        </w:rPr>
      </w:pPr>
      <w:r>
        <w:rPr>
          <w:rFonts w:ascii="Times New Roman" w:hAnsi="Times New Roman" w:cs="Times New Roman"/>
          <w:sz w:val="32"/>
          <w:szCs w:val="32"/>
        </w:rPr>
        <w:t>（2）重要性原则：应当优先使用最具评价对象代表性、最能反映评价要求的核心指标。</w:t>
      </w:r>
    </w:p>
    <w:p w14:paraId="32833BF1">
      <w:pPr>
        <w:spacing w:line="560" w:lineRule="exact"/>
        <w:ind w:firstLine="640"/>
        <w:rPr>
          <w:rFonts w:ascii="Times New Roman" w:hAnsi="Times New Roman" w:cs="Times New Roman"/>
          <w:sz w:val="32"/>
          <w:szCs w:val="32"/>
        </w:rPr>
      </w:pPr>
      <w:r>
        <w:rPr>
          <w:rFonts w:ascii="Times New Roman" w:hAnsi="Times New Roman" w:cs="Times New Roman"/>
          <w:sz w:val="32"/>
          <w:szCs w:val="32"/>
        </w:rPr>
        <w:t>（3）可比性原则：对同类评价对象要设定共性的绩效评价指标，以便于评价结果可以相互比较。</w:t>
      </w:r>
    </w:p>
    <w:p w14:paraId="68759CD1">
      <w:pPr>
        <w:spacing w:line="560" w:lineRule="exact"/>
        <w:ind w:firstLine="640"/>
        <w:rPr>
          <w:rFonts w:ascii="Times New Roman" w:hAnsi="Times New Roman" w:cs="Times New Roman"/>
          <w:sz w:val="32"/>
          <w:szCs w:val="32"/>
        </w:rPr>
      </w:pPr>
      <w:r>
        <w:rPr>
          <w:rFonts w:ascii="Times New Roman" w:hAnsi="Times New Roman" w:cs="Times New Roman"/>
          <w:sz w:val="32"/>
          <w:szCs w:val="32"/>
        </w:rPr>
        <w:t>（4）系统性原则：绩效评价指标的设置应当将定量指标与定性指标相结合，能系统反映财政支出所产生的社会效益、经济效益和可持续影响等。</w:t>
      </w:r>
    </w:p>
    <w:p w14:paraId="23BE80B9">
      <w:pPr>
        <w:spacing w:line="560" w:lineRule="exact"/>
        <w:ind w:firstLine="640"/>
        <w:rPr>
          <w:rFonts w:ascii="Times New Roman" w:hAnsi="Times New Roman" w:cs="Times New Roman"/>
          <w:sz w:val="32"/>
          <w:szCs w:val="32"/>
        </w:rPr>
      </w:pPr>
      <w:r>
        <w:rPr>
          <w:rFonts w:ascii="Times New Roman" w:hAnsi="Times New Roman" w:cs="Times New Roman"/>
          <w:sz w:val="32"/>
          <w:szCs w:val="32"/>
        </w:rPr>
        <w:t>（5）经济性原则：绩效评价指标设计应当通俗易懂、简便易行，数据的获得应当考虑现实条件和可操作性，符合成本效益原则。</w:t>
      </w:r>
    </w:p>
    <w:p w14:paraId="57788567">
      <w:pPr>
        <w:spacing w:line="560" w:lineRule="exact"/>
        <w:ind w:firstLine="640"/>
        <w:rPr>
          <w:rFonts w:ascii="Times New Roman" w:hAnsi="Times New Roman" w:cs="Times New Roman"/>
        </w:rPr>
      </w:pPr>
      <w:r>
        <w:rPr>
          <w:rFonts w:ascii="Times New Roman" w:hAnsi="Times New Roman" w:cs="Times New Roman"/>
          <w:sz w:val="32"/>
          <w:szCs w:val="32"/>
        </w:rPr>
        <w:t>本项目的评价指标体系建立如下表所示。</w:t>
      </w:r>
    </w:p>
    <w:p w14:paraId="73038C64">
      <w:pPr>
        <w:spacing w:line="560" w:lineRule="exact"/>
        <w:ind w:firstLine="560"/>
        <w:rPr>
          <w:rFonts w:ascii="Times New Roman" w:hAnsi="Times New Roman" w:cs="Times New Roman"/>
        </w:rPr>
        <w:sectPr>
          <w:headerReference r:id="rId11" w:type="default"/>
          <w:footerReference r:id="rId12" w:type="default"/>
          <w:pgSz w:w="11906" w:h="16838"/>
          <w:pgMar w:top="2098" w:right="1474" w:bottom="1984" w:left="1587" w:header="992" w:footer="992" w:gutter="0"/>
          <w:pgNumType w:start="1"/>
          <w:cols w:space="425" w:num="1"/>
          <w:docGrid w:type="lines" w:linePitch="381" w:charSpace="0"/>
        </w:sectPr>
      </w:pPr>
    </w:p>
    <w:p w14:paraId="09CD6DAD">
      <w:pPr>
        <w:spacing w:line="560" w:lineRule="exact"/>
        <w:ind w:firstLine="0" w:firstLineChars="0"/>
        <w:jc w:val="center"/>
        <w:rPr>
          <w:rFonts w:ascii="Times New Roman" w:hAnsi="Times New Roman" w:cs="Times New Roman"/>
          <w:b/>
          <w:bCs/>
        </w:rPr>
      </w:pPr>
      <w:r>
        <w:rPr>
          <w:rFonts w:ascii="Times New Roman" w:hAnsi="Times New Roman" w:cs="Times New Roman"/>
          <w:b/>
          <w:bCs/>
        </w:rPr>
        <w:t xml:space="preserve">  项目支出绩效评价指标体系</w:t>
      </w:r>
    </w:p>
    <w:tbl>
      <w:tblPr>
        <w:tblStyle w:val="15"/>
        <w:tblW w:w="1389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55"/>
        <w:gridCol w:w="1109"/>
        <w:gridCol w:w="1837"/>
        <w:gridCol w:w="2997"/>
        <w:gridCol w:w="6797"/>
      </w:tblGrid>
      <w:tr w14:paraId="25E4E5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7" w:hRule="atLeast"/>
          <w:tblHeader/>
          <w:jc w:val="center"/>
        </w:trPr>
        <w:tc>
          <w:tcPr>
            <w:tcW w:w="1155" w:type="dxa"/>
            <w:tcBorders>
              <w:tl2br w:val="nil"/>
              <w:tr2bl w:val="nil"/>
            </w:tcBorders>
            <w:shd w:val="clear" w:color="auto" w:fill="D0CECE"/>
            <w:vAlign w:val="center"/>
          </w:tcPr>
          <w:p w14:paraId="40E1DBD9">
            <w:pPr>
              <w:widowControl/>
              <w:ind w:firstLine="0" w:firstLineChars="0"/>
              <w:jc w:val="center"/>
              <w:rPr>
                <w:rFonts w:ascii="Times New Roman" w:hAnsi="Times New Roman" w:eastAsia="宋体" w:cs="Times New Roman"/>
                <w:b/>
                <w:bCs/>
                <w:color w:val="000000"/>
                <w:kern w:val="0"/>
                <w:sz w:val="22"/>
              </w:rPr>
            </w:pPr>
            <w:r>
              <w:rPr>
                <w:rFonts w:ascii="Times New Roman" w:hAnsi="Times New Roman" w:eastAsia="宋体" w:cs="Times New Roman"/>
                <w:b/>
                <w:bCs/>
                <w:color w:val="000000"/>
                <w:kern w:val="0"/>
                <w:sz w:val="22"/>
              </w:rPr>
              <w:t>一级指标</w:t>
            </w:r>
          </w:p>
        </w:tc>
        <w:tc>
          <w:tcPr>
            <w:tcW w:w="1109" w:type="dxa"/>
            <w:tcBorders>
              <w:tl2br w:val="nil"/>
              <w:tr2bl w:val="nil"/>
            </w:tcBorders>
            <w:shd w:val="clear" w:color="auto" w:fill="D0CECE"/>
            <w:vAlign w:val="center"/>
          </w:tcPr>
          <w:p w14:paraId="12ABD565">
            <w:pPr>
              <w:widowControl/>
              <w:ind w:firstLine="0" w:firstLineChars="0"/>
              <w:jc w:val="center"/>
              <w:rPr>
                <w:rFonts w:ascii="Times New Roman" w:hAnsi="Times New Roman" w:eastAsia="宋体" w:cs="Times New Roman"/>
                <w:b/>
                <w:bCs/>
                <w:color w:val="000000"/>
                <w:kern w:val="0"/>
                <w:sz w:val="22"/>
              </w:rPr>
            </w:pPr>
            <w:r>
              <w:rPr>
                <w:rFonts w:ascii="Times New Roman" w:hAnsi="Times New Roman" w:eastAsia="宋体" w:cs="Times New Roman"/>
                <w:b/>
                <w:bCs/>
                <w:color w:val="000000"/>
                <w:kern w:val="0"/>
                <w:sz w:val="22"/>
              </w:rPr>
              <w:t>二级指标</w:t>
            </w:r>
          </w:p>
        </w:tc>
        <w:tc>
          <w:tcPr>
            <w:tcW w:w="1837" w:type="dxa"/>
            <w:tcBorders>
              <w:tl2br w:val="nil"/>
              <w:tr2bl w:val="nil"/>
            </w:tcBorders>
            <w:shd w:val="clear" w:color="auto" w:fill="D0CECE"/>
            <w:vAlign w:val="center"/>
          </w:tcPr>
          <w:p w14:paraId="4B036DEF">
            <w:pPr>
              <w:widowControl/>
              <w:ind w:firstLine="0" w:firstLineChars="0"/>
              <w:jc w:val="center"/>
              <w:rPr>
                <w:rFonts w:ascii="Times New Roman" w:hAnsi="Times New Roman" w:eastAsia="宋体" w:cs="Times New Roman"/>
                <w:b/>
                <w:bCs/>
                <w:color w:val="000000"/>
                <w:kern w:val="0"/>
                <w:sz w:val="22"/>
              </w:rPr>
            </w:pPr>
            <w:r>
              <w:rPr>
                <w:rFonts w:ascii="Times New Roman" w:hAnsi="Times New Roman" w:eastAsia="宋体" w:cs="Times New Roman"/>
                <w:b/>
                <w:bCs/>
                <w:color w:val="000000"/>
                <w:kern w:val="0"/>
                <w:sz w:val="22"/>
              </w:rPr>
              <w:t>三级指标</w:t>
            </w:r>
          </w:p>
        </w:tc>
        <w:tc>
          <w:tcPr>
            <w:tcW w:w="2997" w:type="dxa"/>
            <w:tcBorders>
              <w:tl2br w:val="nil"/>
              <w:tr2bl w:val="nil"/>
            </w:tcBorders>
            <w:shd w:val="clear" w:color="auto" w:fill="D0CECE"/>
            <w:vAlign w:val="center"/>
          </w:tcPr>
          <w:p w14:paraId="7A06D0FC">
            <w:pPr>
              <w:widowControl/>
              <w:ind w:firstLine="0" w:firstLineChars="0"/>
              <w:jc w:val="center"/>
              <w:rPr>
                <w:rFonts w:ascii="Times New Roman" w:hAnsi="Times New Roman" w:eastAsia="宋体" w:cs="Times New Roman"/>
                <w:b/>
                <w:bCs/>
                <w:color w:val="000000"/>
                <w:kern w:val="0"/>
                <w:sz w:val="22"/>
              </w:rPr>
            </w:pPr>
            <w:r>
              <w:rPr>
                <w:rFonts w:ascii="Times New Roman" w:hAnsi="Times New Roman" w:eastAsia="宋体" w:cs="Times New Roman"/>
                <w:b/>
                <w:bCs/>
                <w:color w:val="000000"/>
                <w:kern w:val="0"/>
                <w:sz w:val="22"/>
              </w:rPr>
              <w:t>指标解释</w:t>
            </w:r>
          </w:p>
        </w:tc>
        <w:tc>
          <w:tcPr>
            <w:tcW w:w="6797" w:type="dxa"/>
            <w:tcBorders>
              <w:tl2br w:val="nil"/>
              <w:tr2bl w:val="nil"/>
            </w:tcBorders>
            <w:shd w:val="clear" w:color="auto" w:fill="D0CECE"/>
            <w:vAlign w:val="center"/>
          </w:tcPr>
          <w:p w14:paraId="292495AA">
            <w:pPr>
              <w:widowControl/>
              <w:ind w:firstLine="0" w:firstLineChars="0"/>
              <w:jc w:val="center"/>
              <w:rPr>
                <w:rFonts w:ascii="Times New Roman" w:hAnsi="Times New Roman" w:eastAsia="宋体" w:cs="Times New Roman"/>
                <w:b/>
                <w:bCs/>
                <w:color w:val="000000"/>
                <w:kern w:val="0"/>
                <w:sz w:val="22"/>
              </w:rPr>
            </w:pPr>
            <w:r>
              <w:rPr>
                <w:rFonts w:ascii="Times New Roman" w:hAnsi="Times New Roman" w:eastAsia="宋体" w:cs="Times New Roman"/>
                <w:b/>
                <w:bCs/>
                <w:color w:val="000000"/>
                <w:kern w:val="0"/>
                <w:sz w:val="22"/>
              </w:rPr>
              <w:t>指标说明</w:t>
            </w:r>
          </w:p>
        </w:tc>
      </w:tr>
      <w:tr w14:paraId="4CFC84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7" w:hRule="atLeast"/>
          <w:jc w:val="center"/>
        </w:trPr>
        <w:tc>
          <w:tcPr>
            <w:tcW w:w="1155" w:type="dxa"/>
            <w:vMerge w:val="restart"/>
            <w:tcBorders>
              <w:tl2br w:val="nil"/>
              <w:tr2bl w:val="nil"/>
            </w:tcBorders>
            <w:shd w:val="clear" w:color="auto" w:fill="FFFFFF"/>
            <w:vAlign w:val="center"/>
          </w:tcPr>
          <w:p w14:paraId="5CF1B6C1">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决策</w:t>
            </w:r>
          </w:p>
        </w:tc>
        <w:tc>
          <w:tcPr>
            <w:tcW w:w="1109" w:type="dxa"/>
            <w:vMerge w:val="restart"/>
            <w:tcBorders>
              <w:tl2br w:val="nil"/>
              <w:tr2bl w:val="nil"/>
            </w:tcBorders>
            <w:shd w:val="clear" w:color="auto" w:fill="FFFFFF"/>
            <w:vAlign w:val="center"/>
          </w:tcPr>
          <w:p w14:paraId="7A414A0B">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项目立项</w:t>
            </w:r>
          </w:p>
        </w:tc>
        <w:tc>
          <w:tcPr>
            <w:tcW w:w="1837" w:type="dxa"/>
            <w:tcBorders>
              <w:tl2br w:val="nil"/>
              <w:tr2bl w:val="nil"/>
            </w:tcBorders>
            <w:shd w:val="clear" w:color="auto" w:fill="FFFFFF"/>
            <w:vAlign w:val="center"/>
          </w:tcPr>
          <w:p w14:paraId="74B5BAB6">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立项依据</w:t>
            </w:r>
          </w:p>
          <w:p w14:paraId="18892758">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充分性</w:t>
            </w:r>
          </w:p>
        </w:tc>
        <w:tc>
          <w:tcPr>
            <w:tcW w:w="2997" w:type="dxa"/>
            <w:tcBorders>
              <w:tl2br w:val="nil"/>
              <w:tr2bl w:val="nil"/>
            </w:tcBorders>
            <w:shd w:val="clear" w:color="auto" w:fill="FFFFFF"/>
            <w:vAlign w:val="center"/>
          </w:tcPr>
          <w:p w14:paraId="03D03C59">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项目立项是否符合法律法规、相关政策、发展规划以及部门职责，用以反映和考核项目立项依据情况。</w:t>
            </w:r>
          </w:p>
        </w:tc>
        <w:tc>
          <w:tcPr>
            <w:tcW w:w="6797" w:type="dxa"/>
            <w:tcBorders>
              <w:tl2br w:val="nil"/>
              <w:tr2bl w:val="nil"/>
            </w:tcBorders>
            <w:shd w:val="clear" w:color="auto" w:fill="FFFFFF"/>
            <w:vAlign w:val="center"/>
          </w:tcPr>
          <w:p w14:paraId="0017C69C">
            <w:pPr>
              <w:widowControl/>
              <w:ind w:firstLine="0" w:firstLineChars="0"/>
              <w:jc w:val="left"/>
              <w:rPr>
                <w:rFonts w:ascii="Times New Roman" w:hAnsi="Times New Roman" w:eastAsia="宋体" w:cs="Times New Roman"/>
                <w:color w:val="000000"/>
                <w:kern w:val="0"/>
                <w:sz w:val="22"/>
              </w:rPr>
            </w:pPr>
            <w:r>
              <w:rPr>
                <w:rFonts w:ascii="Times New Roman" w:hAnsi="Times New Roman" w:eastAsia="宋体" w:cs="Times New Roman"/>
                <w:kern w:val="0"/>
                <w:sz w:val="22"/>
              </w:rPr>
              <w:t>评价要点：</w:t>
            </w:r>
            <w:r>
              <w:rPr>
                <w:rFonts w:ascii="Times New Roman" w:hAnsi="Times New Roman" w:eastAsia="宋体" w:cs="Times New Roman"/>
                <w:kern w:val="0"/>
                <w:sz w:val="22"/>
              </w:rPr>
              <w:br w:type="textWrapping"/>
            </w:r>
            <w:r>
              <w:rPr>
                <w:rFonts w:ascii="Times New Roman" w:hAnsi="Times New Roman" w:eastAsia="宋体" w:cs="Times New Roman"/>
                <w:kern w:val="0"/>
                <w:sz w:val="22"/>
              </w:rPr>
              <w:t>①项目立项是否符合国家法律法规、国民经济发展规划和相关政策；</w:t>
            </w:r>
            <w:r>
              <w:rPr>
                <w:rFonts w:ascii="Times New Roman" w:hAnsi="Times New Roman" w:eastAsia="宋体" w:cs="Times New Roman"/>
                <w:kern w:val="0"/>
                <w:sz w:val="22"/>
              </w:rPr>
              <w:br w:type="textWrapping"/>
            </w:r>
            <w:r>
              <w:rPr>
                <w:rFonts w:ascii="Times New Roman" w:hAnsi="Times New Roman" w:eastAsia="宋体" w:cs="Times New Roman"/>
                <w:kern w:val="0"/>
                <w:sz w:val="22"/>
              </w:rPr>
              <w:t>②项目立项是否符合行业发展规划和政策要求；</w:t>
            </w:r>
            <w:r>
              <w:rPr>
                <w:rFonts w:ascii="Times New Roman" w:hAnsi="Times New Roman" w:eastAsia="宋体" w:cs="Times New Roman"/>
                <w:kern w:val="0"/>
                <w:sz w:val="22"/>
              </w:rPr>
              <w:br w:type="textWrapping"/>
            </w:r>
            <w:r>
              <w:rPr>
                <w:rFonts w:ascii="Times New Roman" w:hAnsi="Times New Roman" w:eastAsia="宋体" w:cs="Times New Roman"/>
                <w:kern w:val="0"/>
                <w:sz w:val="22"/>
              </w:rPr>
              <w:t>③项目立项是否与部门职责范围相符，属</w:t>
            </w:r>
            <w:r>
              <w:rPr>
                <w:rFonts w:hint="eastAsia" w:ascii="Times New Roman" w:hAnsi="Times New Roman" w:eastAsia="宋体" w:cs="Times New Roman"/>
                <w:kern w:val="0"/>
                <w:sz w:val="22"/>
                <w:lang w:val="en-US" w:eastAsia="zh-CN"/>
              </w:rPr>
              <w:t>于</w:t>
            </w:r>
            <w:r>
              <w:rPr>
                <w:rFonts w:ascii="Times New Roman" w:hAnsi="Times New Roman" w:eastAsia="宋体" w:cs="Times New Roman"/>
                <w:kern w:val="0"/>
                <w:sz w:val="22"/>
              </w:rPr>
              <w:t>部门履职所需；</w:t>
            </w:r>
            <w:r>
              <w:rPr>
                <w:rFonts w:ascii="Times New Roman" w:hAnsi="Times New Roman" w:eastAsia="宋体" w:cs="Times New Roman"/>
                <w:kern w:val="0"/>
                <w:sz w:val="22"/>
              </w:rPr>
              <w:br w:type="textWrapping"/>
            </w:r>
            <w:r>
              <w:rPr>
                <w:rFonts w:ascii="Times New Roman" w:hAnsi="Times New Roman" w:eastAsia="宋体" w:cs="Times New Roman"/>
                <w:kern w:val="0"/>
                <w:sz w:val="22"/>
              </w:rPr>
              <w:t>④项目是否</w:t>
            </w:r>
            <w:bookmarkStart w:id="63" w:name="_GoBack"/>
            <w:bookmarkEnd w:id="63"/>
            <w:r>
              <w:rPr>
                <w:rFonts w:ascii="Times New Roman" w:hAnsi="Times New Roman" w:eastAsia="宋体" w:cs="Times New Roman"/>
                <w:kern w:val="0"/>
                <w:sz w:val="22"/>
              </w:rPr>
              <w:t>属于公共财政支持范围，是否符合中央、地方事权支出责任划分原则；</w:t>
            </w:r>
            <w:r>
              <w:rPr>
                <w:rFonts w:ascii="Times New Roman" w:hAnsi="Times New Roman" w:eastAsia="宋体" w:cs="Times New Roman"/>
                <w:kern w:val="0"/>
                <w:sz w:val="22"/>
              </w:rPr>
              <w:br w:type="textWrapping"/>
            </w:r>
            <w:r>
              <w:rPr>
                <w:rFonts w:ascii="Times New Roman" w:hAnsi="Times New Roman" w:eastAsia="宋体" w:cs="Times New Roman"/>
                <w:kern w:val="0"/>
                <w:sz w:val="22"/>
              </w:rPr>
              <w:t>⑤项目是否与相关部门同类项目或部门内部相关项目重复。</w:t>
            </w:r>
          </w:p>
        </w:tc>
      </w:tr>
      <w:tr w14:paraId="699473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95" w:hRule="atLeast"/>
          <w:jc w:val="center"/>
        </w:trPr>
        <w:tc>
          <w:tcPr>
            <w:tcW w:w="1155" w:type="dxa"/>
            <w:vMerge w:val="continue"/>
            <w:tcBorders>
              <w:tl2br w:val="nil"/>
              <w:tr2bl w:val="nil"/>
            </w:tcBorders>
            <w:shd w:val="clear" w:color="auto" w:fill="FFFFFF"/>
            <w:vAlign w:val="center"/>
          </w:tcPr>
          <w:p w14:paraId="765F0157">
            <w:pPr>
              <w:ind w:firstLine="0" w:firstLineChars="0"/>
              <w:jc w:val="center"/>
              <w:rPr>
                <w:rFonts w:ascii="Times New Roman" w:hAnsi="Times New Roman" w:eastAsia="宋体" w:cs="Times New Roman"/>
                <w:color w:val="000000"/>
                <w:kern w:val="0"/>
                <w:sz w:val="22"/>
              </w:rPr>
            </w:pPr>
          </w:p>
        </w:tc>
        <w:tc>
          <w:tcPr>
            <w:tcW w:w="1109" w:type="dxa"/>
            <w:vMerge w:val="continue"/>
            <w:tcBorders>
              <w:tl2br w:val="nil"/>
              <w:tr2bl w:val="nil"/>
            </w:tcBorders>
            <w:shd w:val="clear" w:color="auto" w:fill="FFFFFF"/>
            <w:vAlign w:val="center"/>
          </w:tcPr>
          <w:p w14:paraId="45A358F0">
            <w:pPr>
              <w:widowControl/>
              <w:ind w:firstLine="0" w:firstLineChars="0"/>
              <w:jc w:val="center"/>
              <w:rPr>
                <w:rFonts w:ascii="Times New Roman" w:hAnsi="Times New Roman" w:eastAsia="宋体" w:cs="Times New Roman"/>
                <w:color w:val="000000"/>
                <w:kern w:val="0"/>
                <w:sz w:val="22"/>
              </w:rPr>
            </w:pPr>
          </w:p>
        </w:tc>
        <w:tc>
          <w:tcPr>
            <w:tcW w:w="1837" w:type="dxa"/>
            <w:tcBorders>
              <w:tl2br w:val="nil"/>
              <w:tr2bl w:val="nil"/>
            </w:tcBorders>
            <w:shd w:val="clear" w:color="auto" w:fill="FFFFFF"/>
            <w:vAlign w:val="center"/>
          </w:tcPr>
          <w:p w14:paraId="54323A24">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立项程序</w:t>
            </w:r>
          </w:p>
          <w:p w14:paraId="2D4D4B49">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规范性</w:t>
            </w:r>
          </w:p>
        </w:tc>
        <w:tc>
          <w:tcPr>
            <w:tcW w:w="2997" w:type="dxa"/>
            <w:tcBorders>
              <w:tl2br w:val="nil"/>
              <w:tr2bl w:val="nil"/>
            </w:tcBorders>
            <w:shd w:val="clear" w:color="auto" w:fill="FFFFFF"/>
            <w:vAlign w:val="center"/>
          </w:tcPr>
          <w:p w14:paraId="61F34983">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项目申请、设立过程是否符合相关要求，用以反映和考核项目立项的规范情况。</w:t>
            </w:r>
          </w:p>
        </w:tc>
        <w:tc>
          <w:tcPr>
            <w:tcW w:w="6797" w:type="dxa"/>
            <w:tcBorders>
              <w:tl2br w:val="nil"/>
              <w:tr2bl w:val="nil"/>
            </w:tcBorders>
            <w:shd w:val="clear" w:color="auto" w:fill="FFFFFF"/>
            <w:vAlign w:val="center"/>
          </w:tcPr>
          <w:p w14:paraId="72B297E0">
            <w:pPr>
              <w:widowControl/>
              <w:ind w:firstLine="0" w:firstLineChars="0"/>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评价要点：</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①项目是否按照规定的程序申请设立；</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②审批文件、材料是否符合相关要求；</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③事前是否已经过必要的可行性研究、专家论证、风险评估、绩效评估、集体决策。</w:t>
            </w:r>
          </w:p>
        </w:tc>
      </w:tr>
      <w:tr w14:paraId="6D9F6D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19" w:hRule="atLeast"/>
          <w:jc w:val="center"/>
        </w:trPr>
        <w:tc>
          <w:tcPr>
            <w:tcW w:w="1155" w:type="dxa"/>
            <w:vMerge w:val="continue"/>
            <w:tcBorders>
              <w:tl2br w:val="nil"/>
              <w:tr2bl w:val="nil"/>
            </w:tcBorders>
            <w:shd w:val="clear" w:color="auto" w:fill="FFFFFF"/>
            <w:vAlign w:val="center"/>
          </w:tcPr>
          <w:p w14:paraId="3B7977AF">
            <w:pPr>
              <w:ind w:firstLine="0" w:firstLineChars="0"/>
              <w:jc w:val="center"/>
              <w:rPr>
                <w:rFonts w:ascii="Times New Roman" w:hAnsi="Times New Roman" w:eastAsia="宋体" w:cs="Times New Roman"/>
                <w:color w:val="000000"/>
                <w:kern w:val="0"/>
                <w:sz w:val="22"/>
              </w:rPr>
            </w:pPr>
          </w:p>
        </w:tc>
        <w:tc>
          <w:tcPr>
            <w:tcW w:w="1109" w:type="dxa"/>
            <w:tcBorders>
              <w:tl2br w:val="nil"/>
              <w:tr2bl w:val="nil"/>
            </w:tcBorders>
            <w:shd w:val="clear" w:color="auto" w:fill="FFFFFF"/>
            <w:vAlign w:val="center"/>
          </w:tcPr>
          <w:p w14:paraId="1C19A0D7">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绩效目标</w:t>
            </w:r>
          </w:p>
        </w:tc>
        <w:tc>
          <w:tcPr>
            <w:tcW w:w="1837" w:type="dxa"/>
            <w:tcBorders>
              <w:tl2br w:val="nil"/>
              <w:tr2bl w:val="nil"/>
            </w:tcBorders>
            <w:shd w:val="clear" w:color="auto" w:fill="FFFFFF"/>
            <w:vAlign w:val="center"/>
          </w:tcPr>
          <w:p w14:paraId="496EB2CF">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绩效目标</w:t>
            </w:r>
          </w:p>
          <w:p w14:paraId="6512A27D">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合理性</w:t>
            </w:r>
          </w:p>
        </w:tc>
        <w:tc>
          <w:tcPr>
            <w:tcW w:w="2997" w:type="dxa"/>
            <w:tcBorders>
              <w:tl2br w:val="nil"/>
              <w:tr2bl w:val="nil"/>
            </w:tcBorders>
            <w:shd w:val="clear" w:color="000000" w:fill="FFFFFF"/>
            <w:vAlign w:val="center"/>
          </w:tcPr>
          <w:p w14:paraId="5B4DAE18">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项目所设定的绩效目标是否依据充分，是否符合客观实际，用以反映和考核项目绩效目标与项目实施的相符情况。</w:t>
            </w:r>
          </w:p>
        </w:tc>
        <w:tc>
          <w:tcPr>
            <w:tcW w:w="6797" w:type="dxa"/>
            <w:tcBorders>
              <w:tl2br w:val="nil"/>
              <w:tr2bl w:val="nil"/>
            </w:tcBorders>
            <w:shd w:val="clear" w:color="000000" w:fill="FFFFFF"/>
            <w:vAlign w:val="center"/>
          </w:tcPr>
          <w:p w14:paraId="7C84DF47">
            <w:pPr>
              <w:widowControl/>
              <w:ind w:firstLine="0" w:firstLineChars="0"/>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评价要点：（如未设定预算绩效目标，也可考核其他工作任务目标）</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①项目是否有绩效目标；</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②项目绩效目标与实际工作内容是否具有相关性；</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③项目预期产出效益和效果是否符合正常的业绩水平；</w:t>
            </w:r>
          </w:p>
          <w:p w14:paraId="514A4EEE">
            <w:pPr>
              <w:widowControl/>
              <w:ind w:firstLine="0" w:firstLineChars="0"/>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④是否与预算确定的项目投资额或资金量相匹配。</w:t>
            </w:r>
          </w:p>
        </w:tc>
      </w:tr>
      <w:tr w14:paraId="66552B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64" w:hRule="atLeast"/>
          <w:jc w:val="center"/>
        </w:trPr>
        <w:tc>
          <w:tcPr>
            <w:tcW w:w="1155" w:type="dxa"/>
            <w:vMerge w:val="restart"/>
            <w:tcBorders>
              <w:tl2br w:val="nil"/>
              <w:tr2bl w:val="nil"/>
            </w:tcBorders>
            <w:shd w:val="clear" w:color="auto" w:fill="FFFFFF"/>
            <w:vAlign w:val="center"/>
          </w:tcPr>
          <w:p w14:paraId="4CB9F345">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决策</w:t>
            </w:r>
          </w:p>
        </w:tc>
        <w:tc>
          <w:tcPr>
            <w:tcW w:w="1109" w:type="dxa"/>
            <w:tcBorders>
              <w:tl2br w:val="nil"/>
              <w:tr2bl w:val="nil"/>
            </w:tcBorders>
            <w:shd w:val="clear" w:color="auto" w:fill="FFFFFF"/>
            <w:vAlign w:val="center"/>
          </w:tcPr>
          <w:p w14:paraId="3A13744C">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绩效目标</w:t>
            </w:r>
          </w:p>
        </w:tc>
        <w:tc>
          <w:tcPr>
            <w:tcW w:w="1837" w:type="dxa"/>
            <w:tcBorders>
              <w:tl2br w:val="nil"/>
              <w:tr2bl w:val="nil"/>
            </w:tcBorders>
            <w:shd w:val="clear" w:color="auto" w:fill="FFFFFF"/>
            <w:vAlign w:val="center"/>
          </w:tcPr>
          <w:p w14:paraId="411C4BF3">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绩效指标</w:t>
            </w:r>
          </w:p>
          <w:p w14:paraId="27A91788">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明确性</w:t>
            </w:r>
          </w:p>
        </w:tc>
        <w:tc>
          <w:tcPr>
            <w:tcW w:w="2997" w:type="dxa"/>
            <w:tcBorders>
              <w:tl2br w:val="nil"/>
              <w:tr2bl w:val="nil"/>
            </w:tcBorders>
            <w:shd w:val="clear" w:color="000000" w:fill="FFFFFF"/>
            <w:vAlign w:val="center"/>
          </w:tcPr>
          <w:p w14:paraId="1CD1EE81">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依据绩效目标设定的绩效指标是否清晰、细化、可衡量等，用以反映和考核项目绩效目标的明细化情况。</w:t>
            </w:r>
          </w:p>
        </w:tc>
        <w:tc>
          <w:tcPr>
            <w:tcW w:w="6797" w:type="dxa"/>
            <w:tcBorders>
              <w:tl2br w:val="nil"/>
              <w:tr2bl w:val="nil"/>
            </w:tcBorders>
            <w:shd w:val="clear" w:color="000000" w:fill="FFFFFF"/>
            <w:vAlign w:val="center"/>
          </w:tcPr>
          <w:p w14:paraId="7CFF5183">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评价要点：</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①是否将项目绩效目标细化分解为具体的绩效指标；</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②是否通过清晰、可衡量的指标值予以体现；</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③是否与项目目标任务数或计划数相对应。</w:t>
            </w:r>
          </w:p>
        </w:tc>
      </w:tr>
      <w:tr w14:paraId="21C3F4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42" w:hRule="atLeast"/>
          <w:jc w:val="center"/>
        </w:trPr>
        <w:tc>
          <w:tcPr>
            <w:tcW w:w="1155" w:type="dxa"/>
            <w:vMerge w:val="continue"/>
            <w:tcBorders>
              <w:tl2br w:val="nil"/>
              <w:tr2bl w:val="nil"/>
            </w:tcBorders>
            <w:shd w:val="clear" w:color="auto" w:fill="FFFFFF"/>
            <w:vAlign w:val="center"/>
          </w:tcPr>
          <w:p w14:paraId="2BD99235">
            <w:pPr>
              <w:ind w:firstLine="0" w:firstLineChars="0"/>
              <w:jc w:val="center"/>
              <w:rPr>
                <w:rFonts w:ascii="Times New Roman" w:hAnsi="Times New Roman" w:eastAsia="宋体" w:cs="Times New Roman"/>
                <w:color w:val="000000"/>
                <w:kern w:val="0"/>
                <w:sz w:val="22"/>
              </w:rPr>
            </w:pPr>
          </w:p>
        </w:tc>
        <w:tc>
          <w:tcPr>
            <w:tcW w:w="1109" w:type="dxa"/>
            <w:vMerge w:val="restart"/>
            <w:tcBorders>
              <w:tl2br w:val="nil"/>
              <w:tr2bl w:val="nil"/>
            </w:tcBorders>
            <w:shd w:val="clear" w:color="auto" w:fill="FFFFFF"/>
            <w:vAlign w:val="center"/>
          </w:tcPr>
          <w:p w14:paraId="539DDAAD">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资金投入</w:t>
            </w:r>
          </w:p>
        </w:tc>
        <w:tc>
          <w:tcPr>
            <w:tcW w:w="1837" w:type="dxa"/>
            <w:tcBorders>
              <w:tl2br w:val="nil"/>
              <w:tr2bl w:val="nil"/>
            </w:tcBorders>
            <w:shd w:val="clear" w:color="auto" w:fill="FFFFFF"/>
            <w:vAlign w:val="center"/>
          </w:tcPr>
          <w:p w14:paraId="355482F9">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预算编制</w:t>
            </w:r>
          </w:p>
          <w:p w14:paraId="36785EF3">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科学性</w:t>
            </w:r>
          </w:p>
        </w:tc>
        <w:tc>
          <w:tcPr>
            <w:tcW w:w="2997" w:type="dxa"/>
            <w:tcBorders>
              <w:tl2br w:val="nil"/>
              <w:tr2bl w:val="nil"/>
            </w:tcBorders>
            <w:shd w:val="clear" w:color="auto" w:fill="FFFFFF"/>
            <w:vAlign w:val="center"/>
          </w:tcPr>
          <w:p w14:paraId="300E2698">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项目预算编制是否经过科学论证、有明确标准，资金额度与年度目标是否相适应，用以反映和考核项目预算编制的科学性、合理性情况。</w:t>
            </w:r>
          </w:p>
        </w:tc>
        <w:tc>
          <w:tcPr>
            <w:tcW w:w="6797" w:type="dxa"/>
            <w:tcBorders>
              <w:tl2br w:val="nil"/>
              <w:tr2bl w:val="nil"/>
            </w:tcBorders>
            <w:shd w:val="clear" w:color="auto" w:fill="FFFFFF"/>
            <w:vAlign w:val="center"/>
          </w:tcPr>
          <w:p w14:paraId="334B8C04">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评价要点：</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①预算编制是否经过科学论证；</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②预算内容与项目内容是否匹配；</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③预算额度测算依据是否充分，是否按照标准编制；</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④预算确定的项目投资额或资金量是否与工作任务相匹配。</w:t>
            </w:r>
          </w:p>
        </w:tc>
      </w:tr>
      <w:tr w14:paraId="731E71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6" w:hRule="atLeast"/>
          <w:jc w:val="center"/>
        </w:trPr>
        <w:tc>
          <w:tcPr>
            <w:tcW w:w="1155" w:type="dxa"/>
            <w:vMerge w:val="continue"/>
            <w:tcBorders>
              <w:tl2br w:val="nil"/>
              <w:tr2bl w:val="nil"/>
            </w:tcBorders>
            <w:shd w:val="clear" w:color="auto" w:fill="FFFFFF"/>
            <w:vAlign w:val="center"/>
          </w:tcPr>
          <w:p w14:paraId="20319BDA">
            <w:pPr>
              <w:widowControl/>
              <w:ind w:firstLine="0" w:firstLineChars="0"/>
              <w:jc w:val="center"/>
              <w:rPr>
                <w:rFonts w:ascii="Times New Roman" w:hAnsi="Times New Roman" w:eastAsia="宋体" w:cs="Times New Roman"/>
                <w:color w:val="000000"/>
                <w:kern w:val="0"/>
                <w:sz w:val="22"/>
              </w:rPr>
            </w:pPr>
          </w:p>
        </w:tc>
        <w:tc>
          <w:tcPr>
            <w:tcW w:w="1109" w:type="dxa"/>
            <w:vMerge w:val="continue"/>
            <w:tcBorders>
              <w:tl2br w:val="nil"/>
              <w:tr2bl w:val="nil"/>
            </w:tcBorders>
            <w:shd w:val="clear" w:color="auto" w:fill="FFFFFF"/>
            <w:vAlign w:val="center"/>
          </w:tcPr>
          <w:p w14:paraId="6F641C58">
            <w:pPr>
              <w:widowControl/>
              <w:ind w:firstLine="0" w:firstLineChars="0"/>
              <w:jc w:val="center"/>
              <w:rPr>
                <w:rFonts w:ascii="Times New Roman" w:hAnsi="Times New Roman" w:eastAsia="宋体" w:cs="Times New Roman"/>
                <w:color w:val="000000"/>
                <w:kern w:val="0"/>
                <w:sz w:val="22"/>
              </w:rPr>
            </w:pPr>
          </w:p>
        </w:tc>
        <w:tc>
          <w:tcPr>
            <w:tcW w:w="1837" w:type="dxa"/>
            <w:tcBorders>
              <w:tl2br w:val="nil"/>
              <w:tr2bl w:val="nil"/>
            </w:tcBorders>
            <w:shd w:val="clear" w:color="auto" w:fill="FFFFFF"/>
            <w:vAlign w:val="center"/>
          </w:tcPr>
          <w:p w14:paraId="5876F25A">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资金分配</w:t>
            </w:r>
          </w:p>
          <w:p w14:paraId="56136581">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合理性</w:t>
            </w:r>
          </w:p>
        </w:tc>
        <w:tc>
          <w:tcPr>
            <w:tcW w:w="2997" w:type="dxa"/>
            <w:tcBorders>
              <w:tl2br w:val="nil"/>
              <w:tr2bl w:val="nil"/>
            </w:tcBorders>
            <w:shd w:val="clear" w:color="auto" w:fill="FFFFFF"/>
            <w:vAlign w:val="center"/>
          </w:tcPr>
          <w:p w14:paraId="6E44E8CE">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项目预算资金分配是否有测算依据，与补助单位或地方实际是否相适应，用以反映和考核项目预算资金分配的科学性、合理性情况。</w:t>
            </w:r>
          </w:p>
        </w:tc>
        <w:tc>
          <w:tcPr>
            <w:tcW w:w="6797" w:type="dxa"/>
            <w:tcBorders>
              <w:tl2br w:val="nil"/>
              <w:tr2bl w:val="nil"/>
            </w:tcBorders>
            <w:shd w:val="clear" w:color="auto" w:fill="FFFFFF"/>
            <w:vAlign w:val="center"/>
          </w:tcPr>
          <w:p w14:paraId="5F8F35AE">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评价要点：</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①预算资金分配依据是否充分；</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②资金分配额度是否合理，与项目单位或地方实际是否相适应。</w:t>
            </w:r>
          </w:p>
        </w:tc>
      </w:tr>
      <w:tr w14:paraId="636045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15" w:hRule="atLeast"/>
          <w:jc w:val="center"/>
        </w:trPr>
        <w:tc>
          <w:tcPr>
            <w:tcW w:w="1155" w:type="dxa"/>
            <w:vMerge w:val="restart"/>
            <w:tcBorders>
              <w:tl2br w:val="nil"/>
              <w:tr2bl w:val="nil"/>
            </w:tcBorders>
            <w:shd w:val="clear" w:color="auto" w:fill="FFFFFF"/>
            <w:vAlign w:val="center"/>
          </w:tcPr>
          <w:p w14:paraId="7E64C6FD">
            <w:pPr>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过程</w:t>
            </w:r>
          </w:p>
        </w:tc>
        <w:tc>
          <w:tcPr>
            <w:tcW w:w="1109" w:type="dxa"/>
            <w:vMerge w:val="restart"/>
            <w:tcBorders>
              <w:tl2br w:val="nil"/>
              <w:tr2bl w:val="nil"/>
            </w:tcBorders>
            <w:shd w:val="clear" w:color="auto" w:fill="FFFFFF"/>
            <w:vAlign w:val="center"/>
          </w:tcPr>
          <w:p w14:paraId="36DA6027">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资金管理</w:t>
            </w:r>
          </w:p>
        </w:tc>
        <w:tc>
          <w:tcPr>
            <w:tcW w:w="1837" w:type="dxa"/>
            <w:tcBorders>
              <w:tl2br w:val="nil"/>
              <w:tr2bl w:val="nil"/>
            </w:tcBorders>
            <w:shd w:val="clear" w:color="auto" w:fill="FFFFFF"/>
            <w:vAlign w:val="center"/>
          </w:tcPr>
          <w:p w14:paraId="25B5B27C">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资金到位率</w:t>
            </w:r>
          </w:p>
        </w:tc>
        <w:tc>
          <w:tcPr>
            <w:tcW w:w="2997" w:type="dxa"/>
            <w:tcBorders>
              <w:tl2br w:val="nil"/>
              <w:tr2bl w:val="nil"/>
            </w:tcBorders>
            <w:shd w:val="clear" w:color="000000" w:fill="FFFFFF"/>
            <w:vAlign w:val="center"/>
          </w:tcPr>
          <w:p w14:paraId="0E4B9D65">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实际到位资金与预算资金的比率，用以反映和考核资金落实情况对项目实施的总体保障程度。</w:t>
            </w:r>
          </w:p>
        </w:tc>
        <w:tc>
          <w:tcPr>
            <w:tcW w:w="6797" w:type="dxa"/>
            <w:tcBorders>
              <w:tl2br w:val="nil"/>
              <w:tr2bl w:val="nil"/>
            </w:tcBorders>
            <w:shd w:val="clear" w:color="000000" w:fill="FFFFFF"/>
            <w:vAlign w:val="center"/>
          </w:tcPr>
          <w:p w14:paraId="59F26377">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资金到位率=（实际到位资金/预算资金）×100%。</w:t>
            </w:r>
          </w:p>
          <w:p w14:paraId="01189A0C">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实际到位资金：一定时期（本年度或项目期）内落实到具体项目的资金。</w:t>
            </w:r>
          </w:p>
          <w:p w14:paraId="143DF699">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预算资金：一定时期（本年度或项目期）内预算安排到具体项目的资金。</w:t>
            </w:r>
          </w:p>
        </w:tc>
      </w:tr>
      <w:tr w14:paraId="1734DD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5" w:hRule="atLeast"/>
          <w:jc w:val="center"/>
        </w:trPr>
        <w:tc>
          <w:tcPr>
            <w:tcW w:w="1155" w:type="dxa"/>
            <w:vMerge w:val="continue"/>
            <w:tcBorders>
              <w:tl2br w:val="nil"/>
              <w:tr2bl w:val="nil"/>
            </w:tcBorders>
            <w:shd w:val="clear" w:color="auto" w:fill="FFFFFF"/>
            <w:vAlign w:val="center"/>
          </w:tcPr>
          <w:p w14:paraId="2699DF6F">
            <w:pPr>
              <w:ind w:firstLine="0" w:firstLineChars="0"/>
              <w:jc w:val="center"/>
              <w:rPr>
                <w:rFonts w:ascii="Times New Roman" w:hAnsi="Times New Roman" w:eastAsia="宋体" w:cs="Times New Roman"/>
                <w:color w:val="000000"/>
                <w:kern w:val="0"/>
                <w:sz w:val="22"/>
              </w:rPr>
            </w:pPr>
          </w:p>
        </w:tc>
        <w:tc>
          <w:tcPr>
            <w:tcW w:w="1109" w:type="dxa"/>
            <w:vMerge w:val="continue"/>
            <w:tcBorders>
              <w:tl2br w:val="nil"/>
              <w:tr2bl w:val="nil"/>
            </w:tcBorders>
            <w:shd w:val="clear" w:color="auto" w:fill="FFFFFF"/>
            <w:vAlign w:val="center"/>
          </w:tcPr>
          <w:p w14:paraId="3F728AC1">
            <w:pPr>
              <w:ind w:firstLine="0" w:firstLineChars="0"/>
              <w:jc w:val="center"/>
              <w:rPr>
                <w:rFonts w:ascii="Times New Roman" w:hAnsi="Times New Roman" w:eastAsia="宋体" w:cs="Times New Roman"/>
                <w:color w:val="000000"/>
                <w:kern w:val="0"/>
                <w:sz w:val="22"/>
              </w:rPr>
            </w:pPr>
          </w:p>
        </w:tc>
        <w:tc>
          <w:tcPr>
            <w:tcW w:w="1837" w:type="dxa"/>
            <w:tcBorders>
              <w:tl2br w:val="nil"/>
              <w:tr2bl w:val="nil"/>
            </w:tcBorders>
            <w:shd w:val="clear" w:color="auto" w:fill="FFFFFF"/>
            <w:vAlign w:val="center"/>
          </w:tcPr>
          <w:p w14:paraId="68E6E7BF">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预算执行率</w:t>
            </w:r>
          </w:p>
        </w:tc>
        <w:tc>
          <w:tcPr>
            <w:tcW w:w="2997" w:type="dxa"/>
            <w:tcBorders>
              <w:tl2br w:val="nil"/>
              <w:tr2bl w:val="nil"/>
            </w:tcBorders>
            <w:shd w:val="clear" w:color="auto" w:fill="FFFFFF"/>
            <w:vAlign w:val="center"/>
          </w:tcPr>
          <w:p w14:paraId="3AA0237C">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项目预算资金是否按照计划执行，用以反映或考核项目预算执行情况。</w:t>
            </w:r>
          </w:p>
        </w:tc>
        <w:tc>
          <w:tcPr>
            <w:tcW w:w="6797" w:type="dxa"/>
            <w:tcBorders>
              <w:tl2br w:val="nil"/>
              <w:tr2bl w:val="nil"/>
            </w:tcBorders>
            <w:shd w:val="clear" w:color="auto" w:fill="FFFFFF"/>
            <w:vAlign w:val="center"/>
          </w:tcPr>
          <w:p w14:paraId="2E116C06">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预算执行率=（实际支出资金/实际到位资金）×100%。</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实际支出资金：一定时期（本年度或项目期）内项目实际拨付的资金。</w:t>
            </w:r>
          </w:p>
        </w:tc>
      </w:tr>
      <w:tr w14:paraId="74E417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46" w:hRule="atLeast"/>
          <w:jc w:val="center"/>
        </w:trPr>
        <w:tc>
          <w:tcPr>
            <w:tcW w:w="1155" w:type="dxa"/>
            <w:vMerge w:val="restart"/>
            <w:tcBorders>
              <w:tl2br w:val="nil"/>
              <w:tr2bl w:val="nil"/>
            </w:tcBorders>
            <w:shd w:val="clear" w:color="auto" w:fill="FFFFFF"/>
            <w:vAlign w:val="center"/>
          </w:tcPr>
          <w:p w14:paraId="2123E2D0">
            <w:pPr>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过程</w:t>
            </w:r>
          </w:p>
        </w:tc>
        <w:tc>
          <w:tcPr>
            <w:tcW w:w="1109" w:type="dxa"/>
            <w:tcBorders>
              <w:tl2br w:val="nil"/>
              <w:tr2bl w:val="nil"/>
            </w:tcBorders>
            <w:shd w:val="clear" w:color="auto" w:fill="FFFFFF"/>
            <w:vAlign w:val="center"/>
          </w:tcPr>
          <w:p w14:paraId="2E4B8528">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资金管理</w:t>
            </w:r>
          </w:p>
        </w:tc>
        <w:tc>
          <w:tcPr>
            <w:tcW w:w="1837" w:type="dxa"/>
            <w:tcBorders>
              <w:tl2br w:val="nil"/>
              <w:tr2bl w:val="nil"/>
            </w:tcBorders>
            <w:shd w:val="clear" w:color="auto" w:fill="FFFFFF"/>
            <w:vAlign w:val="center"/>
          </w:tcPr>
          <w:p w14:paraId="7920B668">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资金使用</w:t>
            </w:r>
          </w:p>
          <w:p w14:paraId="2BED8758">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合规性</w:t>
            </w:r>
          </w:p>
        </w:tc>
        <w:tc>
          <w:tcPr>
            <w:tcW w:w="2997" w:type="dxa"/>
            <w:tcBorders>
              <w:tl2br w:val="nil"/>
              <w:tr2bl w:val="nil"/>
            </w:tcBorders>
            <w:shd w:val="clear" w:color="000000" w:fill="FFFFFF"/>
            <w:vAlign w:val="center"/>
          </w:tcPr>
          <w:p w14:paraId="2DFE2D73">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项目资金使用是否符合相关的财务管理制度规定，用以反映和考核项目资金的规范运行情况。</w:t>
            </w:r>
          </w:p>
        </w:tc>
        <w:tc>
          <w:tcPr>
            <w:tcW w:w="6797" w:type="dxa"/>
            <w:tcBorders>
              <w:tl2br w:val="nil"/>
              <w:tr2bl w:val="nil"/>
            </w:tcBorders>
            <w:shd w:val="clear" w:color="000000" w:fill="FFFFFF"/>
            <w:vAlign w:val="center"/>
          </w:tcPr>
          <w:p w14:paraId="198AD5AA">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评价要点：</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①是否符合国家财经法规和财务管理制度以及有关专项资金管理办法的规定；</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②资金的拨付是否有完整的审批程序和手续；</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③是否符合项目预算批复或合同规定的用途；</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④是否存在截留、挤占、挪用、虚列支出等情况。</w:t>
            </w:r>
          </w:p>
        </w:tc>
      </w:tr>
      <w:tr w14:paraId="568593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35" w:hRule="atLeast"/>
          <w:jc w:val="center"/>
        </w:trPr>
        <w:tc>
          <w:tcPr>
            <w:tcW w:w="1155" w:type="dxa"/>
            <w:vMerge w:val="continue"/>
            <w:tcBorders>
              <w:tl2br w:val="nil"/>
              <w:tr2bl w:val="nil"/>
            </w:tcBorders>
            <w:shd w:val="clear" w:color="auto" w:fill="FFFFFF"/>
            <w:vAlign w:val="center"/>
          </w:tcPr>
          <w:p w14:paraId="654BF9F4">
            <w:pPr>
              <w:ind w:firstLine="0" w:firstLineChars="0"/>
              <w:jc w:val="center"/>
              <w:rPr>
                <w:rFonts w:ascii="Times New Roman" w:hAnsi="Times New Roman" w:eastAsia="宋体" w:cs="Times New Roman"/>
                <w:color w:val="000000"/>
                <w:kern w:val="0"/>
                <w:sz w:val="22"/>
              </w:rPr>
            </w:pPr>
          </w:p>
        </w:tc>
        <w:tc>
          <w:tcPr>
            <w:tcW w:w="1109" w:type="dxa"/>
            <w:vMerge w:val="restart"/>
            <w:tcBorders>
              <w:tl2br w:val="nil"/>
              <w:tr2bl w:val="nil"/>
            </w:tcBorders>
            <w:shd w:val="clear" w:color="auto" w:fill="FFFFFF"/>
            <w:vAlign w:val="center"/>
          </w:tcPr>
          <w:p w14:paraId="1A9347A6">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组织实施</w:t>
            </w:r>
          </w:p>
        </w:tc>
        <w:tc>
          <w:tcPr>
            <w:tcW w:w="1837" w:type="dxa"/>
            <w:tcBorders>
              <w:tl2br w:val="nil"/>
              <w:tr2bl w:val="nil"/>
            </w:tcBorders>
            <w:shd w:val="clear" w:color="auto" w:fill="FFFFFF"/>
            <w:vAlign w:val="center"/>
          </w:tcPr>
          <w:p w14:paraId="2960905B">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管理制度</w:t>
            </w:r>
          </w:p>
          <w:p w14:paraId="4E1EA481">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健全性</w:t>
            </w:r>
          </w:p>
        </w:tc>
        <w:tc>
          <w:tcPr>
            <w:tcW w:w="2997" w:type="dxa"/>
            <w:tcBorders>
              <w:tl2br w:val="nil"/>
              <w:tr2bl w:val="nil"/>
            </w:tcBorders>
            <w:shd w:val="clear" w:color="000000" w:fill="FFFFFF"/>
            <w:vAlign w:val="center"/>
          </w:tcPr>
          <w:p w14:paraId="37EFC950">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项目实施单位的财务和业务管理制度是否健全，用以反映和考核财务和业务管理制度对项目顺利实施的保障情况。</w:t>
            </w:r>
          </w:p>
        </w:tc>
        <w:tc>
          <w:tcPr>
            <w:tcW w:w="6797" w:type="dxa"/>
            <w:tcBorders>
              <w:tl2br w:val="nil"/>
              <w:tr2bl w:val="nil"/>
            </w:tcBorders>
            <w:shd w:val="clear" w:color="000000" w:fill="FFFFFF"/>
            <w:vAlign w:val="center"/>
          </w:tcPr>
          <w:p w14:paraId="6E76EF8B">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评价要点：</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①是否已制定或具有相应的财务和业务管理制度；</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②财务和业务管理制度是否合法、合规、完整。</w:t>
            </w:r>
          </w:p>
        </w:tc>
      </w:tr>
      <w:tr w14:paraId="0DFA31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69" w:hRule="atLeast"/>
          <w:jc w:val="center"/>
        </w:trPr>
        <w:tc>
          <w:tcPr>
            <w:tcW w:w="1155" w:type="dxa"/>
            <w:vMerge w:val="continue"/>
            <w:tcBorders>
              <w:tl2br w:val="nil"/>
              <w:tr2bl w:val="nil"/>
            </w:tcBorders>
            <w:shd w:val="clear" w:color="auto" w:fill="FFFFFF"/>
            <w:vAlign w:val="center"/>
          </w:tcPr>
          <w:p w14:paraId="3E347AA2">
            <w:pPr>
              <w:widowControl/>
              <w:ind w:firstLine="0" w:firstLineChars="0"/>
              <w:jc w:val="center"/>
              <w:rPr>
                <w:rFonts w:ascii="Times New Roman" w:hAnsi="Times New Roman" w:eastAsia="宋体" w:cs="Times New Roman"/>
                <w:color w:val="000000"/>
                <w:kern w:val="0"/>
                <w:sz w:val="22"/>
              </w:rPr>
            </w:pPr>
          </w:p>
        </w:tc>
        <w:tc>
          <w:tcPr>
            <w:tcW w:w="1109" w:type="dxa"/>
            <w:vMerge w:val="continue"/>
            <w:tcBorders>
              <w:tl2br w:val="nil"/>
              <w:tr2bl w:val="nil"/>
            </w:tcBorders>
            <w:shd w:val="clear" w:color="auto" w:fill="FFFFFF"/>
            <w:vAlign w:val="center"/>
          </w:tcPr>
          <w:p w14:paraId="7813DAF9">
            <w:pPr>
              <w:widowControl/>
              <w:ind w:firstLine="0" w:firstLineChars="0"/>
              <w:jc w:val="center"/>
              <w:rPr>
                <w:rFonts w:ascii="Times New Roman" w:hAnsi="Times New Roman" w:eastAsia="宋体" w:cs="Times New Roman"/>
                <w:color w:val="000000"/>
                <w:kern w:val="0"/>
                <w:sz w:val="22"/>
              </w:rPr>
            </w:pPr>
          </w:p>
        </w:tc>
        <w:tc>
          <w:tcPr>
            <w:tcW w:w="1837" w:type="dxa"/>
            <w:tcBorders>
              <w:tl2br w:val="nil"/>
              <w:tr2bl w:val="nil"/>
            </w:tcBorders>
            <w:shd w:val="clear" w:color="auto" w:fill="FFFFFF"/>
            <w:vAlign w:val="center"/>
          </w:tcPr>
          <w:p w14:paraId="5BBC2C13">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制度执行</w:t>
            </w:r>
          </w:p>
          <w:p w14:paraId="0FAF8CD6">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有效性</w:t>
            </w:r>
          </w:p>
        </w:tc>
        <w:tc>
          <w:tcPr>
            <w:tcW w:w="2997" w:type="dxa"/>
            <w:tcBorders>
              <w:tl2br w:val="nil"/>
              <w:tr2bl w:val="nil"/>
            </w:tcBorders>
            <w:shd w:val="clear" w:color="000000" w:fill="FFFFFF"/>
            <w:vAlign w:val="center"/>
          </w:tcPr>
          <w:p w14:paraId="7569CC6D">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项目实施是否符合相关管理规定，用以反映和考核相关管理制度的有效执行情况。</w:t>
            </w:r>
          </w:p>
        </w:tc>
        <w:tc>
          <w:tcPr>
            <w:tcW w:w="6797" w:type="dxa"/>
            <w:tcBorders>
              <w:tl2br w:val="nil"/>
              <w:tr2bl w:val="nil"/>
            </w:tcBorders>
            <w:shd w:val="clear" w:color="000000" w:fill="FFFFFF"/>
            <w:vAlign w:val="center"/>
          </w:tcPr>
          <w:p w14:paraId="04F1E784">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评价要点：</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①是否遵守相关法律法规和相关管理规定；</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②项目调整及支出调整手续是否完备；</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③项目合同书、验收报告、技术鉴定等资料是否齐全并及时归档；</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④项目实施的人员条件、场地设备、信息支撑等是否落实到位。</w:t>
            </w:r>
          </w:p>
        </w:tc>
      </w:tr>
      <w:tr w14:paraId="57423E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1155" w:type="dxa"/>
            <w:vMerge w:val="restart"/>
            <w:tcBorders>
              <w:tl2br w:val="nil"/>
              <w:tr2bl w:val="nil"/>
            </w:tcBorders>
            <w:shd w:val="clear" w:color="auto" w:fill="FFFFFF"/>
            <w:vAlign w:val="center"/>
          </w:tcPr>
          <w:p w14:paraId="0150E12F">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产出</w:t>
            </w:r>
          </w:p>
        </w:tc>
        <w:tc>
          <w:tcPr>
            <w:tcW w:w="1109" w:type="dxa"/>
            <w:vMerge w:val="restart"/>
            <w:tcBorders>
              <w:tl2br w:val="nil"/>
              <w:tr2bl w:val="nil"/>
            </w:tcBorders>
            <w:shd w:val="clear" w:color="auto" w:fill="FFFFFF"/>
            <w:vAlign w:val="center"/>
          </w:tcPr>
          <w:p w14:paraId="441C1F80">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产出数量</w:t>
            </w:r>
          </w:p>
        </w:tc>
        <w:tc>
          <w:tcPr>
            <w:tcW w:w="1837" w:type="dxa"/>
            <w:tcBorders>
              <w:tl2br w:val="nil"/>
              <w:tr2bl w:val="nil"/>
            </w:tcBorders>
            <w:shd w:val="clear" w:color="auto" w:fill="FFFFFF"/>
          </w:tcPr>
          <w:p w14:paraId="487F2C5B">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购置地震地质灾害救援类救援装备</w:t>
            </w:r>
          </w:p>
        </w:tc>
        <w:tc>
          <w:tcPr>
            <w:tcW w:w="2997" w:type="dxa"/>
            <w:vMerge w:val="restart"/>
            <w:tcBorders>
              <w:tl2br w:val="nil"/>
              <w:tr2bl w:val="nil"/>
            </w:tcBorders>
            <w:shd w:val="clear" w:color="000000" w:fill="FFFFFF"/>
            <w:vAlign w:val="center"/>
          </w:tcPr>
          <w:p w14:paraId="794F1F22">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项目实施的实际产出数与计划产出数的比率，用以反映和考核项目产出数量目标的实现程度。</w:t>
            </w:r>
          </w:p>
        </w:tc>
        <w:tc>
          <w:tcPr>
            <w:tcW w:w="6797" w:type="dxa"/>
            <w:vMerge w:val="restart"/>
            <w:tcBorders>
              <w:tl2br w:val="nil"/>
              <w:tr2bl w:val="nil"/>
            </w:tcBorders>
            <w:shd w:val="clear" w:color="000000" w:fill="FFFFFF"/>
            <w:vAlign w:val="center"/>
          </w:tcPr>
          <w:p w14:paraId="520C9E23">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实际完成率=（实际产出数/计划产出数）×100%。</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实际产出数：一定时期（本年度或项目期）内项目实际产出的产品或提供的服务数量。</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计划产出数：项目绩效目标确定的在一定时期（本年度或项目期）内计划产出的产品或提供的服务数量。</w:t>
            </w:r>
          </w:p>
        </w:tc>
      </w:tr>
      <w:tr w14:paraId="16D250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 w:hRule="atLeast"/>
          <w:jc w:val="center"/>
        </w:trPr>
        <w:tc>
          <w:tcPr>
            <w:tcW w:w="1155" w:type="dxa"/>
            <w:vMerge w:val="continue"/>
            <w:tcBorders>
              <w:tl2br w:val="nil"/>
              <w:tr2bl w:val="nil"/>
            </w:tcBorders>
            <w:shd w:val="clear" w:color="auto" w:fill="FFFFFF"/>
            <w:vAlign w:val="center"/>
          </w:tcPr>
          <w:p w14:paraId="01CCE37D">
            <w:pPr>
              <w:widowControl/>
              <w:ind w:firstLine="0" w:firstLineChars="0"/>
              <w:jc w:val="center"/>
              <w:rPr>
                <w:rFonts w:ascii="Times New Roman" w:hAnsi="Times New Roman" w:eastAsia="宋体" w:cs="Times New Roman"/>
                <w:color w:val="000000"/>
                <w:kern w:val="0"/>
                <w:sz w:val="22"/>
              </w:rPr>
            </w:pPr>
          </w:p>
        </w:tc>
        <w:tc>
          <w:tcPr>
            <w:tcW w:w="1109" w:type="dxa"/>
            <w:vMerge w:val="continue"/>
            <w:tcBorders>
              <w:tl2br w:val="nil"/>
              <w:tr2bl w:val="nil"/>
            </w:tcBorders>
            <w:shd w:val="clear" w:color="auto" w:fill="FFFFFF"/>
            <w:vAlign w:val="center"/>
          </w:tcPr>
          <w:p w14:paraId="7B8BFDC4">
            <w:pPr>
              <w:widowControl/>
              <w:ind w:firstLine="0" w:firstLineChars="0"/>
              <w:jc w:val="center"/>
              <w:rPr>
                <w:rFonts w:ascii="Times New Roman" w:hAnsi="Times New Roman" w:eastAsia="宋体" w:cs="Times New Roman"/>
                <w:color w:val="000000"/>
                <w:kern w:val="0"/>
                <w:sz w:val="22"/>
              </w:rPr>
            </w:pPr>
          </w:p>
        </w:tc>
        <w:tc>
          <w:tcPr>
            <w:tcW w:w="1837" w:type="dxa"/>
            <w:tcBorders>
              <w:tl2br w:val="nil"/>
              <w:tr2bl w:val="nil"/>
            </w:tcBorders>
            <w:shd w:val="clear" w:color="auto" w:fill="FFFFFF"/>
          </w:tcPr>
          <w:p w14:paraId="16B14EB0">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购置抗洪抢险类救援装备</w:t>
            </w:r>
          </w:p>
        </w:tc>
        <w:tc>
          <w:tcPr>
            <w:tcW w:w="2997" w:type="dxa"/>
            <w:vMerge w:val="continue"/>
            <w:tcBorders>
              <w:tl2br w:val="nil"/>
              <w:tr2bl w:val="nil"/>
            </w:tcBorders>
            <w:shd w:val="clear" w:color="000000" w:fill="FFFFFF"/>
            <w:vAlign w:val="center"/>
          </w:tcPr>
          <w:p w14:paraId="5DAE6968">
            <w:pPr>
              <w:widowControl/>
              <w:ind w:firstLine="0" w:firstLineChars="0"/>
              <w:rPr>
                <w:rFonts w:ascii="Times New Roman" w:hAnsi="Times New Roman" w:eastAsia="宋体" w:cs="Times New Roman"/>
                <w:color w:val="000000"/>
                <w:kern w:val="0"/>
                <w:sz w:val="22"/>
              </w:rPr>
            </w:pPr>
          </w:p>
        </w:tc>
        <w:tc>
          <w:tcPr>
            <w:tcW w:w="6797" w:type="dxa"/>
            <w:vMerge w:val="continue"/>
            <w:tcBorders>
              <w:tl2br w:val="nil"/>
              <w:tr2bl w:val="nil"/>
            </w:tcBorders>
            <w:shd w:val="clear" w:color="000000" w:fill="FFFFFF"/>
            <w:vAlign w:val="center"/>
          </w:tcPr>
          <w:p w14:paraId="0DC92884">
            <w:pPr>
              <w:widowControl/>
              <w:ind w:firstLine="0" w:firstLineChars="0"/>
              <w:rPr>
                <w:rFonts w:ascii="Times New Roman" w:hAnsi="Times New Roman" w:eastAsia="宋体" w:cs="Times New Roman"/>
                <w:color w:val="000000"/>
                <w:kern w:val="0"/>
                <w:sz w:val="22"/>
              </w:rPr>
            </w:pPr>
          </w:p>
        </w:tc>
      </w:tr>
      <w:tr w14:paraId="4DEFEC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155" w:type="dxa"/>
            <w:vMerge w:val="continue"/>
            <w:tcBorders>
              <w:tl2br w:val="nil"/>
              <w:tr2bl w:val="nil"/>
            </w:tcBorders>
            <w:shd w:val="clear" w:color="auto" w:fill="FFFFFF"/>
            <w:vAlign w:val="center"/>
          </w:tcPr>
          <w:p w14:paraId="3EDF3E06">
            <w:pPr>
              <w:widowControl/>
              <w:ind w:firstLine="0" w:firstLineChars="0"/>
              <w:jc w:val="center"/>
              <w:rPr>
                <w:rFonts w:ascii="Times New Roman" w:hAnsi="Times New Roman" w:eastAsia="宋体" w:cs="Times New Roman"/>
                <w:color w:val="000000"/>
                <w:kern w:val="0"/>
                <w:sz w:val="22"/>
              </w:rPr>
            </w:pPr>
          </w:p>
        </w:tc>
        <w:tc>
          <w:tcPr>
            <w:tcW w:w="1109" w:type="dxa"/>
            <w:vMerge w:val="continue"/>
            <w:tcBorders>
              <w:tl2br w:val="nil"/>
              <w:tr2bl w:val="nil"/>
            </w:tcBorders>
            <w:shd w:val="clear" w:color="auto" w:fill="FFFFFF"/>
            <w:vAlign w:val="center"/>
          </w:tcPr>
          <w:p w14:paraId="1C9293D7">
            <w:pPr>
              <w:widowControl/>
              <w:ind w:firstLine="0" w:firstLineChars="0"/>
              <w:jc w:val="center"/>
              <w:rPr>
                <w:rFonts w:ascii="Times New Roman" w:hAnsi="Times New Roman" w:eastAsia="宋体" w:cs="Times New Roman"/>
                <w:color w:val="000000"/>
                <w:kern w:val="0"/>
                <w:sz w:val="22"/>
              </w:rPr>
            </w:pPr>
          </w:p>
        </w:tc>
        <w:tc>
          <w:tcPr>
            <w:tcW w:w="1837" w:type="dxa"/>
            <w:tcBorders>
              <w:tl2br w:val="nil"/>
              <w:tr2bl w:val="nil"/>
            </w:tcBorders>
            <w:shd w:val="clear" w:color="auto" w:fill="FFFFFF"/>
          </w:tcPr>
          <w:p w14:paraId="578BCD88">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购置森林（草原）火灾扑救类救援装备</w:t>
            </w:r>
          </w:p>
        </w:tc>
        <w:tc>
          <w:tcPr>
            <w:tcW w:w="2997" w:type="dxa"/>
            <w:vMerge w:val="continue"/>
            <w:tcBorders>
              <w:tl2br w:val="nil"/>
              <w:tr2bl w:val="nil"/>
            </w:tcBorders>
            <w:shd w:val="clear" w:color="000000" w:fill="FFFFFF"/>
            <w:vAlign w:val="center"/>
          </w:tcPr>
          <w:p w14:paraId="60CF0591">
            <w:pPr>
              <w:widowControl/>
              <w:ind w:firstLine="0" w:firstLineChars="0"/>
              <w:rPr>
                <w:rFonts w:ascii="Times New Roman" w:hAnsi="Times New Roman" w:eastAsia="宋体" w:cs="Times New Roman"/>
                <w:color w:val="000000"/>
                <w:kern w:val="0"/>
                <w:sz w:val="22"/>
              </w:rPr>
            </w:pPr>
          </w:p>
        </w:tc>
        <w:tc>
          <w:tcPr>
            <w:tcW w:w="6797" w:type="dxa"/>
            <w:vMerge w:val="continue"/>
            <w:tcBorders>
              <w:tl2br w:val="nil"/>
              <w:tr2bl w:val="nil"/>
            </w:tcBorders>
            <w:shd w:val="clear" w:color="000000" w:fill="FFFFFF"/>
            <w:vAlign w:val="center"/>
          </w:tcPr>
          <w:p w14:paraId="59C0C0FA">
            <w:pPr>
              <w:widowControl/>
              <w:ind w:firstLine="0" w:firstLineChars="0"/>
              <w:rPr>
                <w:rFonts w:ascii="Times New Roman" w:hAnsi="Times New Roman" w:eastAsia="宋体" w:cs="Times New Roman"/>
                <w:color w:val="000000"/>
                <w:kern w:val="0"/>
                <w:sz w:val="22"/>
              </w:rPr>
            </w:pPr>
          </w:p>
        </w:tc>
      </w:tr>
      <w:tr w14:paraId="507B8E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2" w:hRule="atLeast"/>
          <w:jc w:val="center"/>
        </w:trPr>
        <w:tc>
          <w:tcPr>
            <w:tcW w:w="1155" w:type="dxa"/>
            <w:vMerge w:val="continue"/>
            <w:tcBorders>
              <w:tl2br w:val="nil"/>
              <w:tr2bl w:val="nil"/>
            </w:tcBorders>
            <w:shd w:val="clear" w:color="auto" w:fill="FFFFFF"/>
            <w:vAlign w:val="center"/>
          </w:tcPr>
          <w:p w14:paraId="02059057">
            <w:pPr>
              <w:widowControl/>
              <w:ind w:firstLine="0" w:firstLineChars="0"/>
              <w:jc w:val="center"/>
              <w:rPr>
                <w:rFonts w:ascii="Times New Roman" w:hAnsi="Times New Roman" w:eastAsia="宋体" w:cs="Times New Roman"/>
                <w:color w:val="000000"/>
                <w:kern w:val="0"/>
                <w:sz w:val="22"/>
              </w:rPr>
            </w:pPr>
          </w:p>
        </w:tc>
        <w:tc>
          <w:tcPr>
            <w:tcW w:w="1109" w:type="dxa"/>
            <w:vMerge w:val="continue"/>
            <w:tcBorders>
              <w:tl2br w:val="nil"/>
              <w:tr2bl w:val="nil"/>
            </w:tcBorders>
            <w:shd w:val="clear" w:color="auto" w:fill="FFFFFF"/>
            <w:vAlign w:val="center"/>
          </w:tcPr>
          <w:p w14:paraId="29178018">
            <w:pPr>
              <w:widowControl/>
              <w:ind w:firstLine="0" w:firstLineChars="0"/>
              <w:jc w:val="center"/>
              <w:rPr>
                <w:rFonts w:ascii="Times New Roman" w:hAnsi="Times New Roman" w:eastAsia="宋体" w:cs="Times New Roman"/>
                <w:color w:val="000000"/>
                <w:kern w:val="0"/>
                <w:sz w:val="22"/>
              </w:rPr>
            </w:pPr>
          </w:p>
        </w:tc>
        <w:tc>
          <w:tcPr>
            <w:tcW w:w="1837" w:type="dxa"/>
            <w:tcBorders>
              <w:tl2br w:val="nil"/>
              <w:tr2bl w:val="nil"/>
            </w:tcBorders>
            <w:shd w:val="clear" w:color="auto" w:fill="FFFFFF"/>
          </w:tcPr>
          <w:p w14:paraId="6834E1C9">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购置水域救援类救援装备</w:t>
            </w:r>
          </w:p>
        </w:tc>
        <w:tc>
          <w:tcPr>
            <w:tcW w:w="2997" w:type="dxa"/>
            <w:vMerge w:val="continue"/>
            <w:tcBorders>
              <w:tl2br w:val="nil"/>
              <w:tr2bl w:val="nil"/>
            </w:tcBorders>
            <w:shd w:val="clear" w:color="000000" w:fill="FFFFFF"/>
            <w:vAlign w:val="center"/>
          </w:tcPr>
          <w:p w14:paraId="606407DE">
            <w:pPr>
              <w:widowControl/>
              <w:ind w:firstLine="0" w:firstLineChars="0"/>
              <w:rPr>
                <w:rFonts w:ascii="Times New Roman" w:hAnsi="Times New Roman" w:eastAsia="宋体" w:cs="Times New Roman"/>
                <w:color w:val="000000"/>
                <w:kern w:val="0"/>
                <w:sz w:val="22"/>
              </w:rPr>
            </w:pPr>
          </w:p>
        </w:tc>
        <w:tc>
          <w:tcPr>
            <w:tcW w:w="6797" w:type="dxa"/>
            <w:vMerge w:val="continue"/>
            <w:tcBorders>
              <w:tl2br w:val="nil"/>
              <w:tr2bl w:val="nil"/>
            </w:tcBorders>
            <w:shd w:val="clear" w:color="000000" w:fill="FFFFFF"/>
            <w:vAlign w:val="center"/>
          </w:tcPr>
          <w:p w14:paraId="68173811">
            <w:pPr>
              <w:widowControl/>
              <w:ind w:firstLine="0" w:firstLineChars="0"/>
              <w:rPr>
                <w:rFonts w:ascii="Times New Roman" w:hAnsi="Times New Roman" w:eastAsia="宋体" w:cs="Times New Roman"/>
                <w:color w:val="000000"/>
                <w:kern w:val="0"/>
                <w:sz w:val="22"/>
              </w:rPr>
            </w:pPr>
          </w:p>
        </w:tc>
      </w:tr>
      <w:tr w14:paraId="08A5BE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1155" w:type="dxa"/>
            <w:vMerge w:val="continue"/>
            <w:tcBorders>
              <w:tl2br w:val="nil"/>
              <w:tr2bl w:val="nil"/>
            </w:tcBorders>
            <w:shd w:val="clear" w:color="auto" w:fill="FFFFFF"/>
            <w:vAlign w:val="center"/>
          </w:tcPr>
          <w:p w14:paraId="411E6681">
            <w:pPr>
              <w:widowControl/>
              <w:ind w:firstLine="0" w:firstLineChars="0"/>
              <w:jc w:val="center"/>
              <w:rPr>
                <w:rFonts w:ascii="Times New Roman" w:hAnsi="Times New Roman" w:eastAsia="宋体" w:cs="Times New Roman"/>
                <w:color w:val="000000"/>
                <w:kern w:val="0"/>
                <w:sz w:val="22"/>
              </w:rPr>
            </w:pPr>
          </w:p>
        </w:tc>
        <w:tc>
          <w:tcPr>
            <w:tcW w:w="1109" w:type="dxa"/>
            <w:vMerge w:val="continue"/>
            <w:tcBorders>
              <w:tl2br w:val="nil"/>
              <w:tr2bl w:val="nil"/>
            </w:tcBorders>
            <w:shd w:val="clear" w:color="auto" w:fill="FFFFFF"/>
            <w:vAlign w:val="center"/>
          </w:tcPr>
          <w:p w14:paraId="7C063537">
            <w:pPr>
              <w:widowControl/>
              <w:ind w:firstLine="0" w:firstLineChars="0"/>
              <w:jc w:val="center"/>
              <w:rPr>
                <w:rFonts w:ascii="Times New Roman" w:hAnsi="Times New Roman" w:eastAsia="宋体" w:cs="Times New Roman"/>
                <w:color w:val="000000"/>
                <w:kern w:val="0"/>
                <w:sz w:val="22"/>
              </w:rPr>
            </w:pPr>
          </w:p>
        </w:tc>
        <w:tc>
          <w:tcPr>
            <w:tcW w:w="1837" w:type="dxa"/>
            <w:tcBorders>
              <w:tl2br w:val="nil"/>
              <w:tr2bl w:val="nil"/>
            </w:tcBorders>
            <w:shd w:val="clear" w:color="auto" w:fill="FFFFFF"/>
          </w:tcPr>
          <w:p w14:paraId="7AD00626">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购置综合保障类救援装备</w:t>
            </w:r>
          </w:p>
        </w:tc>
        <w:tc>
          <w:tcPr>
            <w:tcW w:w="2997" w:type="dxa"/>
            <w:vMerge w:val="continue"/>
            <w:tcBorders>
              <w:tl2br w:val="nil"/>
              <w:tr2bl w:val="nil"/>
            </w:tcBorders>
            <w:shd w:val="clear" w:color="000000" w:fill="FFFFFF"/>
            <w:vAlign w:val="center"/>
          </w:tcPr>
          <w:p w14:paraId="12523F5F">
            <w:pPr>
              <w:widowControl/>
              <w:ind w:firstLine="0" w:firstLineChars="0"/>
              <w:rPr>
                <w:rFonts w:ascii="Times New Roman" w:hAnsi="Times New Roman" w:eastAsia="宋体" w:cs="Times New Roman"/>
                <w:color w:val="000000"/>
                <w:kern w:val="0"/>
                <w:sz w:val="22"/>
              </w:rPr>
            </w:pPr>
          </w:p>
        </w:tc>
        <w:tc>
          <w:tcPr>
            <w:tcW w:w="6797" w:type="dxa"/>
            <w:vMerge w:val="continue"/>
            <w:tcBorders>
              <w:tl2br w:val="nil"/>
              <w:tr2bl w:val="nil"/>
            </w:tcBorders>
            <w:shd w:val="clear" w:color="000000" w:fill="FFFFFF"/>
            <w:vAlign w:val="center"/>
          </w:tcPr>
          <w:p w14:paraId="04C8E9B1">
            <w:pPr>
              <w:widowControl/>
              <w:ind w:firstLine="0" w:firstLineChars="0"/>
              <w:rPr>
                <w:rFonts w:ascii="Times New Roman" w:hAnsi="Times New Roman" w:eastAsia="宋体" w:cs="Times New Roman"/>
                <w:color w:val="000000"/>
                <w:kern w:val="0"/>
                <w:sz w:val="22"/>
              </w:rPr>
            </w:pPr>
          </w:p>
        </w:tc>
      </w:tr>
      <w:tr w14:paraId="73A8E5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1" w:hRule="atLeast"/>
          <w:jc w:val="center"/>
        </w:trPr>
        <w:tc>
          <w:tcPr>
            <w:tcW w:w="1155" w:type="dxa"/>
            <w:vMerge w:val="restart"/>
            <w:tcBorders>
              <w:tl2br w:val="nil"/>
              <w:tr2bl w:val="nil"/>
            </w:tcBorders>
            <w:shd w:val="clear" w:color="auto" w:fill="FFFFFF"/>
            <w:vAlign w:val="center"/>
          </w:tcPr>
          <w:p w14:paraId="03B8F5BA">
            <w:pPr>
              <w:widowControl/>
              <w:ind w:firstLine="0" w:firstLineChars="0"/>
              <w:jc w:val="center"/>
              <w:rPr>
                <w:rFonts w:hint="eastAsia" w:ascii="Times New Roman" w:hAnsi="Times New Roman" w:eastAsia="宋体" w:cs="Times New Roman"/>
                <w:color w:val="000000"/>
                <w:kern w:val="0"/>
                <w:sz w:val="22"/>
              </w:rPr>
            </w:pPr>
            <w:r>
              <w:rPr>
                <w:rFonts w:ascii="Times New Roman" w:hAnsi="Times New Roman" w:eastAsia="宋体" w:cs="Times New Roman"/>
                <w:color w:val="000000"/>
                <w:kern w:val="0"/>
                <w:sz w:val="22"/>
              </w:rPr>
              <w:t>产出</w:t>
            </w:r>
          </w:p>
        </w:tc>
        <w:tc>
          <w:tcPr>
            <w:tcW w:w="1109" w:type="dxa"/>
            <w:tcBorders>
              <w:tl2br w:val="nil"/>
              <w:tr2bl w:val="nil"/>
            </w:tcBorders>
            <w:shd w:val="clear" w:color="auto" w:fill="FFFFFF"/>
            <w:vAlign w:val="center"/>
          </w:tcPr>
          <w:p w14:paraId="2623DEFC">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产出质量</w:t>
            </w:r>
          </w:p>
        </w:tc>
        <w:tc>
          <w:tcPr>
            <w:tcW w:w="1837" w:type="dxa"/>
            <w:tcBorders>
              <w:tl2br w:val="nil"/>
              <w:tr2bl w:val="nil"/>
            </w:tcBorders>
            <w:shd w:val="clear" w:color="auto" w:fill="FFFFFF"/>
            <w:vAlign w:val="center"/>
          </w:tcPr>
          <w:p w14:paraId="329330E5">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设备验收合格率</w:t>
            </w:r>
          </w:p>
        </w:tc>
        <w:tc>
          <w:tcPr>
            <w:tcW w:w="2997" w:type="dxa"/>
            <w:tcBorders>
              <w:tl2br w:val="nil"/>
              <w:tr2bl w:val="nil"/>
            </w:tcBorders>
            <w:shd w:val="clear" w:color="000000" w:fill="FFFFFF"/>
            <w:vAlign w:val="center"/>
          </w:tcPr>
          <w:p w14:paraId="208B9DAB">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项目完成的质量达标产出数与实际产出数的比率，用以反映和考核项目产出质量目标的实现程度。</w:t>
            </w:r>
          </w:p>
        </w:tc>
        <w:tc>
          <w:tcPr>
            <w:tcW w:w="6797" w:type="dxa"/>
            <w:tcBorders>
              <w:tl2br w:val="nil"/>
              <w:tr2bl w:val="nil"/>
            </w:tcBorders>
            <w:shd w:val="clear" w:color="000000" w:fill="FFFFFF"/>
            <w:vAlign w:val="center"/>
          </w:tcPr>
          <w:p w14:paraId="4973A78C">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质量达标率=（质量达标产出数/实际产出数）×100%。</w:t>
            </w:r>
          </w:p>
          <w:p w14:paraId="59E59A46">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14:paraId="1AFAEA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6" w:hRule="atLeast"/>
          <w:jc w:val="center"/>
        </w:trPr>
        <w:tc>
          <w:tcPr>
            <w:tcW w:w="1155" w:type="dxa"/>
            <w:vMerge w:val="continue"/>
            <w:tcBorders>
              <w:tl2br w:val="nil"/>
              <w:tr2bl w:val="nil"/>
            </w:tcBorders>
            <w:shd w:val="clear" w:color="auto" w:fill="FFFFFF"/>
            <w:vAlign w:val="center"/>
          </w:tcPr>
          <w:p w14:paraId="671807FE">
            <w:pPr>
              <w:ind w:firstLine="440"/>
              <w:jc w:val="center"/>
              <w:rPr>
                <w:rFonts w:ascii="Times New Roman" w:hAnsi="Times New Roman" w:eastAsia="宋体" w:cs="Times New Roman"/>
                <w:color w:val="000000"/>
                <w:kern w:val="0"/>
                <w:sz w:val="22"/>
              </w:rPr>
            </w:pPr>
          </w:p>
        </w:tc>
        <w:tc>
          <w:tcPr>
            <w:tcW w:w="1109" w:type="dxa"/>
            <w:tcBorders>
              <w:tl2br w:val="nil"/>
              <w:tr2bl w:val="nil"/>
            </w:tcBorders>
            <w:shd w:val="clear" w:color="auto" w:fill="FFFFFF"/>
            <w:vAlign w:val="center"/>
          </w:tcPr>
          <w:p w14:paraId="2FCAD10B">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产出时效</w:t>
            </w:r>
          </w:p>
        </w:tc>
        <w:tc>
          <w:tcPr>
            <w:tcW w:w="1837" w:type="dxa"/>
            <w:tcBorders>
              <w:tl2br w:val="nil"/>
              <w:tr2bl w:val="nil"/>
            </w:tcBorders>
            <w:shd w:val="clear" w:color="auto" w:fill="FFFFFF"/>
            <w:vAlign w:val="center"/>
          </w:tcPr>
          <w:p w14:paraId="70CE0AA8">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采购完成及时率</w:t>
            </w:r>
          </w:p>
        </w:tc>
        <w:tc>
          <w:tcPr>
            <w:tcW w:w="2997" w:type="dxa"/>
            <w:tcBorders>
              <w:tl2br w:val="nil"/>
              <w:tr2bl w:val="nil"/>
            </w:tcBorders>
            <w:shd w:val="clear" w:color="000000" w:fill="FFFFFF"/>
            <w:vAlign w:val="center"/>
          </w:tcPr>
          <w:p w14:paraId="23A19047">
            <w:pPr>
              <w:widowControl/>
              <w:ind w:firstLine="0" w:firstLineChars="0"/>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项目实际完成时间与计划完成时间的比较，用以反映和考核项目产出时效目标的实现程度。</w:t>
            </w:r>
          </w:p>
        </w:tc>
        <w:tc>
          <w:tcPr>
            <w:tcW w:w="6797" w:type="dxa"/>
            <w:tcBorders>
              <w:tl2br w:val="nil"/>
              <w:tr2bl w:val="nil"/>
            </w:tcBorders>
            <w:shd w:val="clear" w:color="000000" w:fill="FFFFFF"/>
            <w:vAlign w:val="center"/>
          </w:tcPr>
          <w:p w14:paraId="59732E25">
            <w:pPr>
              <w:widowControl/>
              <w:ind w:firstLine="0" w:firstLineChars="0"/>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实际完成时间：项目实施单位完成该项目实际所耗用的时间。</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计划完成时间：按照项目实施计划或相关规定完成该项目所需的时间。</w:t>
            </w:r>
          </w:p>
        </w:tc>
      </w:tr>
      <w:tr w14:paraId="603B6F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7" w:hRule="atLeast"/>
          <w:jc w:val="center"/>
        </w:trPr>
        <w:tc>
          <w:tcPr>
            <w:tcW w:w="1155" w:type="dxa"/>
            <w:vMerge w:val="continue"/>
            <w:tcBorders>
              <w:tl2br w:val="nil"/>
              <w:tr2bl w:val="nil"/>
            </w:tcBorders>
            <w:shd w:val="clear" w:color="auto" w:fill="FFFFFF"/>
            <w:vAlign w:val="center"/>
          </w:tcPr>
          <w:p w14:paraId="5C28FDD4">
            <w:pPr>
              <w:widowControl/>
              <w:ind w:firstLine="0" w:firstLineChars="0"/>
              <w:jc w:val="center"/>
              <w:rPr>
                <w:rFonts w:ascii="Times New Roman" w:hAnsi="Times New Roman" w:eastAsia="宋体" w:cs="Times New Roman"/>
                <w:color w:val="000000"/>
                <w:kern w:val="0"/>
                <w:sz w:val="22"/>
              </w:rPr>
            </w:pPr>
          </w:p>
        </w:tc>
        <w:tc>
          <w:tcPr>
            <w:tcW w:w="1109" w:type="dxa"/>
            <w:vMerge w:val="restart"/>
            <w:tcBorders>
              <w:tl2br w:val="nil"/>
              <w:tr2bl w:val="nil"/>
            </w:tcBorders>
            <w:shd w:val="clear" w:color="auto" w:fill="FFFFFF"/>
            <w:vAlign w:val="center"/>
          </w:tcPr>
          <w:p w14:paraId="4C1B00CF">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产出成本</w:t>
            </w:r>
          </w:p>
        </w:tc>
        <w:tc>
          <w:tcPr>
            <w:tcW w:w="1837" w:type="dxa"/>
            <w:tcBorders>
              <w:tl2br w:val="nil"/>
              <w:tr2bl w:val="nil"/>
            </w:tcBorders>
            <w:shd w:val="clear" w:color="auto" w:fill="FFFFFF"/>
            <w:vAlign w:val="center"/>
          </w:tcPr>
          <w:p w14:paraId="0EBA4390">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县级应急救援队装备成本</w:t>
            </w:r>
          </w:p>
        </w:tc>
        <w:tc>
          <w:tcPr>
            <w:tcW w:w="2997" w:type="dxa"/>
            <w:vMerge w:val="restart"/>
            <w:tcBorders>
              <w:tl2br w:val="nil"/>
              <w:tr2bl w:val="nil"/>
            </w:tcBorders>
            <w:shd w:val="clear" w:color="000000" w:fill="FFFFFF"/>
            <w:vAlign w:val="center"/>
          </w:tcPr>
          <w:p w14:paraId="57DA39C3">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完成项目计划工作目标的实际节约成本与计划成本的比率，用以反映和考核项目的成本节约程度。</w:t>
            </w:r>
          </w:p>
        </w:tc>
        <w:tc>
          <w:tcPr>
            <w:tcW w:w="6797" w:type="dxa"/>
            <w:vMerge w:val="restart"/>
            <w:tcBorders>
              <w:tl2br w:val="nil"/>
              <w:tr2bl w:val="nil"/>
            </w:tcBorders>
            <w:shd w:val="clear" w:color="000000" w:fill="FFFFFF"/>
            <w:vAlign w:val="center"/>
          </w:tcPr>
          <w:p w14:paraId="6E2448AD">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成本节约率=[（计划成本-实际成本）/计划成本]×100%。</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实际成本：项目实施单位如期、保质、保量完成既定工作目标实际所耗费的支出。</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计划成本：项目实施单位为完成工作目标计划安排的支出，一般以项目预算为参考。</w:t>
            </w:r>
          </w:p>
        </w:tc>
      </w:tr>
      <w:tr w14:paraId="0F33E2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2" w:hRule="atLeast"/>
          <w:jc w:val="center"/>
        </w:trPr>
        <w:tc>
          <w:tcPr>
            <w:tcW w:w="1155" w:type="dxa"/>
            <w:vMerge w:val="continue"/>
            <w:tcBorders>
              <w:tl2br w:val="nil"/>
              <w:tr2bl w:val="nil"/>
            </w:tcBorders>
            <w:shd w:val="clear" w:color="auto" w:fill="FFFFFF"/>
            <w:vAlign w:val="center"/>
          </w:tcPr>
          <w:p w14:paraId="1611627A">
            <w:pPr>
              <w:widowControl/>
              <w:ind w:firstLine="0" w:firstLineChars="0"/>
              <w:jc w:val="center"/>
              <w:rPr>
                <w:rFonts w:ascii="Times New Roman" w:hAnsi="Times New Roman" w:eastAsia="宋体" w:cs="Times New Roman"/>
                <w:color w:val="000000"/>
                <w:kern w:val="0"/>
                <w:sz w:val="22"/>
              </w:rPr>
            </w:pPr>
          </w:p>
        </w:tc>
        <w:tc>
          <w:tcPr>
            <w:tcW w:w="1109" w:type="dxa"/>
            <w:vMerge w:val="continue"/>
            <w:tcBorders>
              <w:tl2br w:val="nil"/>
              <w:tr2bl w:val="nil"/>
            </w:tcBorders>
            <w:shd w:val="clear" w:color="auto" w:fill="FFFFFF"/>
            <w:vAlign w:val="center"/>
          </w:tcPr>
          <w:p w14:paraId="49BEEC3B">
            <w:pPr>
              <w:widowControl/>
              <w:ind w:firstLine="0" w:firstLineChars="0"/>
              <w:jc w:val="center"/>
              <w:rPr>
                <w:rFonts w:ascii="Times New Roman" w:hAnsi="Times New Roman" w:eastAsia="宋体" w:cs="Times New Roman"/>
                <w:color w:val="000000"/>
                <w:kern w:val="0"/>
                <w:sz w:val="22"/>
              </w:rPr>
            </w:pPr>
          </w:p>
        </w:tc>
        <w:tc>
          <w:tcPr>
            <w:tcW w:w="1837" w:type="dxa"/>
            <w:tcBorders>
              <w:tl2br w:val="nil"/>
              <w:tr2bl w:val="nil"/>
            </w:tcBorders>
            <w:shd w:val="clear" w:color="auto" w:fill="FFFFFF"/>
            <w:vAlign w:val="center"/>
          </w:tcPr>
          <w:p w14:paraId="3AFE6FD9">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乡镇应急救援队装备成本</w:t>
            </w:r>
          </w:p>
        </w:tc>
        <w:tc>
          <w:tcPr>
            <w:tcW w:w="2997" w:type="dxa"/>
            <w:vMerge w:val="continue"/>
            <w:tcBorders>
              <w:tl2br w:val="nil"/>
              <w:tr2bl w:val="nil"/>
            </w:tcBorders>
            <w:shd w:val="clear" w:color="000000" w:fill="FFFFFF"/>
            <w:vAlign w:val="center"/>
          </w:tcPr>
          <w:p w14:paraId="7333E9A6">
            <w:pPr>
              <w:widowControl/>
              <w:ind w:firstLine="0" w:firstLineChars="0"/>
              <w:rPr>
                <w:rFonts w:ascii="Times New Roman" w:hAnsi="Times New Roman" w:eastAsia="宋体" w:cs="Times New Roman"/>
                <w:color w:val="000000"/>
                <w:kern w:val="0"/>
                <w:sz w:val="22"/>
              </w:rPr>
            </w:pPr>
          </w:p>
        </w:tc>
        <w:tc>
          <w:tcPr>
            <w:tcW w:w="6797" w:type="dxa"/>
            <w:vMerge w:val="continue"/>
            <w:tcBorders>
              <w:tl2br w:val="nil"/>
              <w:tr2bl w:val="nil"/>
            </w:tcBorders>
            <w:shd w:val="clear" w:color="000000" w:fill="FFFFFF"/>
            <w:vAlign w:val="center"/>
          </w:tcPr>
          <w:p w14:paraId="09FF878F">
            <w:pPr>
              <w:widowControl/>
              <w:ind w:firstLine="0" w:firstLineChars="0"/>
              <w:rPr>
                <w:rFonts w:ascii="Times New Roman" w:hAnsi="Times New Roman" w:eastAsia="宋体" w:cs="Times New Roman"/>
                <w:color w:val="000000"/>
                <w:kern w:val="0"/>
                <w:sz w:val="22"/>
              </w:rPr>
            </w:pPr>
          </w:p>
        </w:tc>
      </w:tr>
      <w:tr w14:paraId="4F8854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jc w:val="center"/>
        </w:trPr>
        <w:tc>
          <w:tcPr>
            <w:tcW w:w="1155" w:type="dxa"/>
            <w:vMerge w:val="restart"/>
            <w:tcBorders>
              <w:tl2br w:val="nil"/>
              <w:tr2bl w:val="nil"/>
            </w:tcBorders>
            <w:shd w:val="clear" w:color="auto" w:fill="FFFFFF"/>
            <w:vAlign w:val="center"/>
          </w:tcPr>
          <w:p w14:paraId="5B4371A7">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效益</w:t>
            </w:r>
          </w:p>
        </w:tc>
        <w:tc>
          <w:tcPr>
            <w:tcW w:w="1109" w:type="dxa"/>
            <w:vMerge w:val="restart"/>
            <w:tcBorders>
              <w:tl2br w:val="nil"/>
              <w:tr2bl w:val="nil"/>
            </w:tcBorders>
            <w:shd w:val="clear" w:color="auto" w:fill="FFFFFF"/>
            <w:vAlign w:val="center"/>
          </w:tcPr>
          <w:p w14:paraId="55D2C334">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社会效益指标</w:t>
            </w:r>
          </w:p>
        </w:tc>
        <w:tc>
          <w:tcPr>
            <w:tcW w:w="1837" w:type="dxa"/>
            <w:tcBorders>
              <w:tl2br w:val="nil"/>
              <w:tr2bl w:val="nil"/>
            </w:tcBorders>
            <w:shd w:val="clear" w:color="auto" w:fill="FFFFFF"/>
            <w:vAlign w:val="center"/>
          </w:tcPr>
          <w:p w14:paraId="58739C55">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提高社会应对灾害的能力</w:t>
            </w:r>
          </w:p>
        </w:tc>
        <w:tc>
          <w:tcPr>
            <w:tcW w:w="2997" w:type="dxa"/>
            <w:vMerge w:val="restart"/>
            <w:tcBorders>
              <w:tl2br w:val="nil"/>
              <w:tr2bl w:val="nil"/>
            </w:tcBorders>
            <w:shd w:val="clear" w:color="auto" w:fill="FFFFFF"/>
            <w:vAlign w:val="center"/>
          </w:tcPr>
          <w:p w14:paraId="72816A35">
            <w:pPr>
              <w:widowControl/>
              <w:ind w:firstLine="0" w:firstLineChars="0"/>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项目实施所产生的效益。</w:t>
            </w:r>
          </w:p>
        </w:tc>
        <w:tc>
          <w:tcPr>
            <w:tcW w:w="6797" w:type="dxa"/>
            <w:tcBorders>
              <w:tl2br w:val="nil"/>
              <w:tr2bl w:val="nil"/>
            </w:tcBorders>
            <w:shd w:val="clear" w:color="auto" w:fill="FFFFFF"/>
            <w:vAlign w:val="center"/>
          </w:tcPr>
          <w:p w14:paraId="4920F5FB">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项目实施所产生的社会效益、经济效益、生态效益、可持续影响等。可根据项目实际情况有选择地设置和细化。</w:t>
            </w:r>
          </w:p>
        </w:tc>
      </w:tr>
      <w:tr w14:paraId="1A5BAE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2" w:hRule="atLeast"/>
          <w:jc w:val="center"/>
        </w:trPr>
        <w:tc>
          <w:tcPr>
            <w:tcW w:w="1155" w:type="dxa"/>
            <w:vMerge w:val="continue"/>
            <w:tcBorders>
              <w:tl2br w:val="nil"/>
              <w:tr2bl w:val="nil"/>
            </w:tcBorders>
            <w:shd w:val="clear" w:color="auto" w:fill="FFFFFF"/>
            <w:vAlign w:val="center"/>
          </w:tcPr>
          <w:p w14:paraId="4FA2D1C6">
            <w:pPr>
              <w:widowControl/>
              <w:ind w:firstLine="0" w:firstLineChars="0"/>
              <w:jc w:val="center"/>
              <w:rPr>
                <w:rFonts w:ascii="Times New Roman" w:hAnsi="Times New Roman" w:eastAsia="宋体" w:cs="Times New Roman"/>
                <w:color w:val="000000"/>
                <w:kern w:val="0"/>
                <w:sz w:val="22"/>
                <w:highlight w:val="yellow"/>
              </w:rPr>
            </w:pPr>
          </w:p>
        </w:tc>
        <w:tc>
          <w:tcPr>
            <w:tcW w:w="1109" w:type="dxa"/>
            <w:vMerge w:val="continue"/>
            <w:tcBorders>
              <w:tl2br w:val="nil"/>
              <w:tr2bl w:val="nil"/>
            </w:tcBorders>
            <w:shd w:val="clear" w:color="auto" w:fill="FFFFFF"/>
            <w:vAlign w:val="center"/>
          </w:tcPr>
          <w:p w14:paraId="0C027E2C">
            <w:pPr>
              <w:widowControl/>
              <w:ind w:firstLine="0" w:firstLineChars="0"/>
              <w:jc w:val="center"/>
              <w:rPr>
                <w:rFonts w:ascii="Times New Roman" w:hAnsi="Times New Roman" w:eastAsia="宋体" w:cs="Times New Roman"/>
                <w:color w:val="000000"/>
                <w:kern w:val="0"/>
                <w:sz w:val="22"/>
              </w:rPr>
            </w:pPr>
          </w:p>
        </w:tc>
        <w:tc>
          <w:tcPr>
            <w:tcW w:w="1837" w:type="dxa"/>
            <w:tcBorders>
              <w:tl2br w:val="nil"/>
              <w:tr2bl w:val="nil"/>
            </w:tcBorders>
            <w:shd w:val="clear" w:color="auto" w:fill="FFFFFF"/>
            <w:vAlign w:val="center"/>
          </w:tcPr>
          <w:p w14:paraId="65F19F2E">
            <w:pPr>
              <w:widowControl/>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基层应急救援力量有效覆盖</w:t>
            </w:r>
          </w:p>
        </w:tc>
        <w:tc>
          <w:tcPr>
            <w:tcW w:w="2997" w:type="dxa"/>
            <w:vMerge w:val="continue"/>
            <w:tcBorders>
              <w:tl2br w:val="nil"/>
              <w:tr2bl w:val="nil"/>
            </w:tcBorders>
            <w:shd w:val="clear" w:color="000000" w:fill="FFFFFF"/>
            <w:vAlign w:val="center"/>
          </w:tcPr>
          <w:p w14:paraId="4EC65704">
            <w:pPr>
              <w:widowControl/>
              <w:ind w:firstLine="0" w:firstLineChars="0"/>
              <w:rPr>
                <w:rFonts w:ascii="Times New Roman" w:hAnsi="Times New Roman" w:eastAsia="宋体" w:cs="Times New Roman"/>
                <w:color w:val="000000"/>
                <w:kern w:val="0"/>
                <w:sz w:val="22"/>
              </w:rPr>
            </w:pPr>
          </w:p>
        </w:tc>
        <w:tc>
          <w:tcPr>
            <w:tcW w:w="6797" w:type="dxa"/>
            <w:tcBorders>
              <w:tl2br w:val="nil"/>
              <w:tr2bl w:val="nil"/>
            </w:tcBorders>
            <w:shd w:val="clear" w:color="000000" w:fill="FFFFFF"/>
            <w:vAlign w:val="center"/>
          </w:tcPr>
          <w:p w14:paraId="0810402E">
            <w:pPr>
              <w:widowControl/>
              <w:ind w:firstLine="0" w:firstLineChars="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社会公众或服务对象是指因该项目实施而受到影响的部门（单位）、群体或个人。一般采取社会调查的方式。</w:t>
            </w:r>
          </w:p>
        </w:tc>
      </w:tr>
      <w:tr w14:paraId="571BE5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2" w:hRule="atLeast"/>
          <w:jc w:val="center"/>
        </w:trPr>
        <w:tc>
          <w:tcPr>
            <w:tcW w:w="1155" w:type="dxa"/>
            <w:tcBorders>
              <w:tl2br w:val="nil"/>
              <w:tr2bl w:val="nil"/>
            </w:tcBorders>
            <w:shd w:val="clear" w:color="auto" w:fill="FFFFFF"/>
            <w:vAlign w:val="center"/>
          </w:tcPr>
          <w:p w14:paraId="19C1679B">
            <w:pPr>
              <w:widowControl/>
              <w:ind w:firstLine="0" w:firstLineChars="0"/>
              <w:jc w:val="center"/>
              <w:rPr>
                <w:rFonts w:ascii="宋体" w:hAnsi="宋体" w:eastAsia="宋体" w:cs="宋体"/>
                <w:color w:val="000000"/>
                <w:kern w:val="0"/>
                <w:sz w:val="22"/>
                <w:szCs w:val="22"/>
                <w:highlight w:val="none"/>
                <w:lang w:val="en-US" w:eastAsia="zh-CN" w:bidi="ar-SA"/>
              </w:rPr>
            </w:pPr>
            <w:r>
              <w:rPr>
                <w:rFonts w:ascii="宋体" w:hAnsi="宋体" w:eastAsia="宋体" w:cs="宋体"/>
                <w:color w:val="000000"/>
                <w:kern w:val="0"/>
                <w:sz w:val="22"/>
                <w:highlight w:val="none"/>
              </w:rPr>
              <w:t>满意度指标完成情况分析</w:t>
            </w:r>
          </w:p>
        </w:tc>
        <w:tc>
          <w:tcPr>
            <w:tcW w:w="1109" w:type="dxa"/>
            <w:tcBorders>
              <w:tl2br w:val="nil"/>
              <w:tr2bl w:val="nil"/>
            </w:tcBorders>
            <w:shd w:val="clear" w:color="auto" w:fill="FFFFFF"/>
            <w:vAlign w:val="center"/>
          </w:tcPr>
          <w:p w14:paraId="12E4E8C6">
            <w:pPr>
              <w:widowControl/>
              <w:ind w:firstLine="0" w:firstLineChars="0"/>
              <w:jc w:val="center"/>
              <w:rPr>
                <w:rFonts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highlight w:val="none"/>
              </w:rPr>
              <w:t>满意度指标</w:t>
            </w:r>
          </w:p>
        </w:tc>
        <w:tc>
          <w:tcPr>
            <w:tcW w:w="1837" w:type="dxa"/>
            <w:tcBorders>
              <w:tl2br w:val="nil"/>
              <w:tr2bl w:val="nil"/>
            </w:tcBorders>
            <w:shd w:val="clear" w:color="auto" w:fill="FFFFFF"/>
            <w:vAlign w:val="center"/>
          </w:tcPr>
          <w:p w14:paraId="41B9AE3D">
            <w:pPr>
              <w:widowControl/>
              <w:ind w:firstLine="0" w:firstLineChars="0"/>
              <w:jc w:val="center"/>
              <w:rPr>
                <w:rFonts w:ascii="Times New Roman" w:hAnsi="Times New Roman" w:eastAsia="宋体" w:cs="Times New Roman"/>
                <w:color w:val="000000"/>
                <w:kern w:val="0"/>
                <w:sz w:val="22"/>
                <w:highlight w:val="none"/>
              </w:rPr>
            </w:pPr>
            <w:r>
              <w:rPr>
                <w:rFonts w:ascii="Times New Roman" w:hAnsi="Times New Roman" w:eastAsia="宋体" w:cs="Times New Roman"/>
                <w:color w:val="000000"/>
                <w:kern w:val="0"/>
                <w:sz w:val="22"/>
                <w:highlight w:val="none"/>
              </w:rPr>
              <w:t>使用单位满意度</w:t>
            </w:r>
          </w:p>
        </w:tc>
        <w:tc>
          <w:tcPr>
            <w:tcW w:w="2997" w:type="dxa"/>
            <w:tcBorders>
              <w:tl2br w:val="nil"/>
              <w:tr2bl w:val="nil"/>
            </w:tcBorders>
            <w:shd w:val="clear" w:color="000000" w:fill="FFFFFF"/>
            <w:vAlign w:val="center"/>
          </w:tcPr>
          <w:p w14:paraId="6BB5D678">
            <w:pPr>
              <w:widowControl/>
              <w:ind w:firstLine="0" w:firstLineChars="0"/>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社会公众或服务对象对项目实施效果的满意程度。</w:t>
            </w:r>
          </w:p>
        </w:tc>
        <w:tc>
          <w:tcPr>
            <w:tcW w:w="6797" w:type="dxa"/>
            <w:tcBorders>
              <w:tl2br w:val="nil"/>
              <w:tr2bl w:val="nil"/>
            </w:tcBorders>
            <w:shd w:val="clear" w:color="000000" w:fill="FFFFFF"/>
            <w:vAlign w:val="center"/>
          </w:tcPr>
          <w:p w14:paraId="28AADE29">
            <w:pPr>
              <w:widowControl/>
              <w:ind w:firstLine="0" w:firstLineChars="0"/>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社会公众或服务对象是指因该项目实施而受到影响的部门（单位）、群体或个人。一般采取社会调查的方式。</w:t>
            </w:r>
          </w:p>
        </w:tc>
      </w:tr>
    </w:tbl>
    <w:p w14:paraId="12E0CC76">
      <w:pPr>
        <w:spacing w:line="560" w:lineRule="exact"/>
        <w:ind w:firstLine="0" w:firstLineChars="0"/>
        <w:jc w:val="center"/>
        <w:rPr>
          <w:rFonts w:ascii="Times New Roman" w:hAnsi="Times New Roman" w:cs="Times New Roman"/>
        </w:rPr>
        <w:sectPr>
          <w:pgSz w:w="16838" w:h="11906" w:orient="landscape"/>
          <w:pgMar w:top="2098" w:right="1474" w:bottom="1984" w:left="1587" w:header="1276" w:footer="992" w:gutter="0"/>
          <w:cols w:space="425" w:num="1"/>
          <w:docGrid w:type="lines" w:linePitch="381" w:charSpace="0"/>
        </w:sectPr>
      </w:pPr>
    </w:p>
    <w:p w14:paraId="3586BA75">
      <w:pPr>
        <w:pStyle w:val="6"/>
        <w:spacing w:before="0" w:after="0" w:line="560" w:lineRule="exact"/>
        <w:ind w:firstLine="643"/>
        <w:rPr>
          <w:rFonts w:ascii="Times New Roman" w:hAnsi="Times New Roman" w:cs="Times New Roman"/>
        </w:rPr>
      </w:pPr>
      <w:bookmarkStart w:id="22" w:name="_Toc165277234"/>
      <w:bookmarkStart w:id="23" w:name="_Hlk67586038"/>
      <w:r>
        <w:rPr>
          <w:rFonts w:ascii="Times New Roman" w:hAnsi="Times New Roman" w:cs="Times New Roman"/>
        </w:rPr>
        <w:t>3.评价方法</w:t>
      </w:r>
      <w:bookmarkEnd w:id="22"/>
      <w:bookmarkEnd w:id="23"/>
    </w:p>
    <w:p w14:paraId="2F255F56">
      <w:pPr>
        <w:spacing w:line="560" w:lineRule="exact"/>
        <w:ind w:firstLine="640"/>
        <w:rPr>
          <w:rFonts w:ascii="Times New Roman" w:hAnsi="Times New Roman" w:cs="Times New Roman"/>
          <w:sz w:val="32"/>
          <w:szCs w:val="32"/>
        </w:rPr>
      </w:pPr>
      <w:r>
        <w:rPr>
          <w:rFonts w:ascii="Times New Roman" w:hAnsi="Times New Roman" w:cs="Times New Roman"/>
          <w:sz w:val="32"/>
          <w:szCs w:val="32"/>
        </w:rPr>
        <w:t>《关于印发&lt;项目支出绩效评价管理办法&gt;的通知》（财预〔2020〕10号）文件指出部门评价的方法主要包括成本效益分析法、比较法、因素分析法、最低成本法、公众评判法、标杆管理法等。</w:t>
      </w:r>
    </w:p>
    <w:p w14:paraId="4C187B08">
      <w:pPr>
        <w:spacing w:line="560" w:lineRule="exact"/>
        <w:ind w:firstLine="640"/>
        <w:rPr>
          <w:rFonts w:ascii="Times New Roman" w:hAnsi="Times New Roman" w:cs="Times New Roman"/>
          <w:sz w:val="32"/>
          <w:szCs w:val="32"/>
        </w:rPr>
      </w:pPr>
      <w:r>
        <w:rPr>
          <w:rFonts w:ascii="Times New Roman" w:hAnsi="Times New Roman" w:cs="Times New Roman"/>
          <w:sz w:val="32"/>
          <w:szCs w:val="32"/>
        </w:rPr>
        <w:t>（1）成本效益分析法。是指将投入与产出、效益进行关联性分析的方法。</w:t>
      </w:r>
    </w:p>
    <w:p w14:paraId="60AD5A5F">
      <w:pPr>
        <w:spacing w:line="560" w:lineRule="exact"/>
        <w:ind w:firstLine="640"/>
        <w:rPr>
          <w:rFonts w:ascii="Times New Roman" w:hAnsi="Times New Roman" w:cs="Times New Roman"/>
          <w:sz w:val="32"/>
          <w:szCs w:val="32"/>
        </w:rPr>
      </w:pPr>
      <w:r>
        <w:rPr>
          <w:rFonts w:ascii="Times New Roman" w:hAnsi="Times New Roman" w:cs="Times New Roman"/>
          <w:sz w:val="32"/>
          <w:szCs w:val="32"/>
        </w:rPr>
        <w:t>（2）比较法。是指将实施情况与绩效目标、历史情况、不同部门和地区同类支出情况进行比较的方法。</w:t>
      </w:r>
    </w:p>
    <w:p w14:paraId="4F190B42">
      <w:pPr>
        <w:spacing w:line="560" w:lineRule="exact"/>
        <w:ind w:firstLine="640"/>
        <w:rPr>
          <w:rFonts w:ascii="Times New Roman" w:hAnsi="Times New Roman" w:cs="Times New Roman"/>
          <w:sz w:val="32"/>
          <w:szCs w:val="32"/>
        </w:rPr>
      </w:pPr>
      <w:r>
        <w:rPr>
          <w:rFonts w:ascii="Times New Roman" w:hAnsi="Times New Roman" w:cs="Times New Roman"/>
          <w:sz w:val="32"/>
          <w:szCs w:val="32"/>
        </w:rPr>
        <w:t>（3）因素分析法。是指综合分析影响绩效目标实现、实施效果的内外部因素的方法。</w:t>
      </w:r>
    </w:p>
    <w:p w14:paraId="7D671BD9">
      <w:pPr>
        <w:spacing w:line="560" w:lineRule="exact"/>
        <w:ind w:firstLine="640"/>
        <w:rPr>
          <w:rFonts w:ascii="Times New Roman" w:hAnsi="Times New Roman" w:cs="Times New Roman"/>
          <w:sz w:val="32"/>
          <w:szCs w:val="32"/>
        </w:rPr>
      </w:pPr>
      <w:r>
        <w:rPr>
          <w:rFonts w:ascii="Times New Roman" w:hAnsi="Times New Roman" w:cs="Times New Roman"/>
          <w:sz w:val="32"/>
          <w:szCs w:val="32"/>
        </w:rPr>
        <w:t>（4）最低成本法。是指在绩效目标确定的前提下，成本最小者为优的方法。</w:t>
      </w:r>
    </w:p>
    <w:p w14:paraId="25A46798">
      <w:pPr>
        <w:spacing w:line="560" w:lineRule="exact"/>
        <w:ind w:firstLine="640"/>
        <w:rPr>
          <w:rFonts w:ascii="Times New Roman" w:hAnsi="Times New Roman" w:cs="Times New Roman"/>
          <w:sz w:val="32"/>
          <w:szCs w:val="32"/>
        </w:rPr>
      </w:pPr>
      <w:r>
        <w:rPr>
          <w:rFonts w:ascii="Times New Roman" w:hAnsi="Times New Roman" w:cs="Times New Roman"/>
          <w:sz w:val="32"/>
          <w:szCs w:val="32"/>
        </w:rPr>
        <w:t>（5）公众评判法。是指通过专家评估、公众问卷及抽样调查等方式进行评判的方法。</w:t>
      </w:r>
    </w:p>
    <w:p w14:paraId="4B8862FC">
      <w:pPr>
        <w:spacing w:line="560" w:lineRule="exact"/>
        <w:ind w:firstLine="640"/>
        <w:rPr>
          <w:rFonts w:ascii="Times New Roman" w:hAnsi="Times New Roman" w:cs="Times New Roman"/>
          <w:sz w:val="32"/>
          <w:szCs w:val="32"/>
        </w:rPr>
      </w:pPr>
      <w:r>
        <w:rPr>
          <w:rFonts w:ascii="Times New Roman" w:hAnsi="Times New Roman" w:cs="Times New Roman"/>
          <w:sz w:val="32"/>
          <w:szCs w:val="32"/>
        </w:rPr>
        <w:t>（6）标杆管理法。是指以国内外同行业中较高的绩效水平为标杆进行评判的方法。</w:t>
      </w:r>
    </w:p>
    <w:p w14:paraId="1817CC60">
      <w:pPr>
        <w:spacing w:line="560" w:lineRule="exact"/>
        <w:ind w:firstLine="640"/>
        <w:rPr>
          <w:rFonts w:ascii="Times New Roman" w:hAnsi="Times New Roman" w:cs="Times New Roman"/>
          <w:sz w:val="32"/>
          <w:szCs w:val="32"/>
        </w:rPr>
      </w:pPr>
      <w:r>
        <w:rPr>
          <w:rFonts w:ascii="Times New Roman" w:hAnsi="Times New Roman" w:cs="Times New Roman"/>
          <w:sz w:val="32"/>
          <w:szCs w:val="32"/>
        </w:rPr>
        <w:t>（7）其他评价方法。</w:t>
      </w:r>
    </w:p>
    <w:p w14:paraId="764651BB">
      <w:pPr>
        <w:spacing w:line="560" w:lineRule="exact"/>
        <w:ind w:firstLine="640"/>
        <w:rPr>
          <w:rFonts w:ascii="Times New Roman" w:hAnsi="Times New Roman" w:cs="Times New Roman"/>
          <w:sz w:val="32"/>
          <w:szCs w:val="32"/>
        </w:rPr>
      </w:pPr>
      <w:r>
        <w:rPr>
          <w:rFonts w:ascii="Times New Roman" w:hAnsi="Times New Roman" w:cs="Times New Roman"/>
          <w:sz w:val="32"/>
          <w:szCs w:val="32"/>
        </w:rPr>
        <w:t>根据本项目（乌鲁木齐市自然灾害应急能力提升工程基层防灾项目）的特点，本次评价主要采用比较法，对项目总预算和明细预算的内容、标准、计划是否经济合理进行深入分析，以考察实际产出和效益是否达到预期。</w:t>
      </w:r>
    </w:p>
    <w:p w14:paraId="24C4D7E7">
      <w:pPr>
        <w:pStyle w:val="6"/>
        <w:spacing w:before="0" w:after="0" w:line="560" w:lineRule="exact"/>
        <w:ind w:firstLine="643"/>
        <w:rPr>
          <w:rFonts w:ascii="Times New Roman" w:hAnsi="Times New Roman" w:cs="Times New Roman"/>
        </w:rPr>
      </w:pPr>
      <w:bookmarkStart w:id="24" w:name="_Toc165277235"/>
      <w:r>
        <w:rPr>
          <w:rFonts w:ascii="Times New Roman" w:hAnsi="Times New Roman" w:cs="Times New Roman"/>
        </w:rPr>
        <w:t>4.评价标准</w:t>
      </w:r>
      <w:bookmarkEnd w:id="24"/>
    </w:p>
    <w:p w14:paraId="14679600">
      <w:pPr>
        <w:spacing w:line="560" w:lineRule="exact"/>
        <w:ind w:firstLine="640"/>
        <w:rPr>
          <w:rFonts w:ascii="Times New Roman" w:hAnsi="Times New Roman" w:cs="Times New Roman"/>
          <w:sz w:val="32"/>
          <w:szCs w:val="32"/>
        </w:rPr>
      </w:pPr>
      <w:r>
        <w:rPr>
          <w:rFonts w:ascii="Times New Roman" w:hAnsi="Times New Roman" w:cs="Times New Roman"/>
          <w:sz w:val="32"/>
          <w:szCs w:val="32"/>
        </w:rPr>
        <w:t>绩效评价标准主要包括计划标准、行业标准、历史标准等，用于对绩效指标完成情况进行比较。</w:t>
      </w:r>
    </w:p>
    <w:p w14:paraId="001E5E60">
      <w:pPr>
        <w:spacing w:line="560" w:lineRule="exact"/>
        <w:ind w:firstLine="640"/>
        <w:rPr>
          <w:rFonts w:ascii="Times New Roman" w:hAnsi="Times New Roman" w:cs="Times New Roman"/>
          <w:sz w:val="32"/>
          <w:szCs w:val="32"/>
        </w:rPr>
      </w:pPr>
      <w:r>
        <w:rPr>
          <w:rFonts w:ascii="Times New Roman" w:hAnsi="Times New Roman" w:cs="Times New Roman"/>
          <w:sz w:val="32"/>
          <w:szCs w:val="32"/>
        </w:rPr>
        <w:t>（1）计划标准。指以预先制定的目标、计划、预算、定额等作为评价标准。</w:t>
      </w:r>
    </w:p>
    <w:p w14:paraId="3D2FBB79">
      <w:pPr>
        <w:spacing w:line="560" w:lineRule="exact"/>
        <w:ind w:firstLine="640"/>
        <w:rPr>
          <w:rFonts w:ascii="Times New Roman" w:hAnsi="Times New Roman" w:cs="Times New Roman"/>
          <w:sz w:val="32"/>
          <w:szCs w:val="32"/>
        </w:rPr>
      </w:pPr>
      <w:r>
        <w:rPr>
          <w:rFonts w:ascii="Times New Roman" w:hAnsi="Times New Roman" w:cs="Times New Roman"/>
          <w:sz w:val="32"/>
          <w:szCs w:val="32"/>
        </w:rPr>
        <w:t>（2）行业标准。指参照国家公布的行业指标数据制定的评价标准。</w:t>
      </w:r>
    </w:p>
    <w:p w14:paraId="63BF595B">
      <w:pPr>
        <w:spacing w:line="560" w:lineRule="exact"/>
        <w:ind w:firstLine="640"/>
        <w:rPr>
          <w:rFonts w:ascii="Times New Roman" w:hAnsi="Times New Roman" w:cs="Times New Roman"/>
          <w:sz w:val="32"/>
          <w:szCs w:val="32"/>
        </w:rPr>
      </w:pPr>
      <w:r>
        <w:rPr>
          <w:rFonts w:ascii="Times New Roman" w:hAnsi="Times New Roman" w:cs="Times New Roman"/>
          <w:sz w:val="32"/>
          <w:szCs w:val="32"/>
        </w:rPr>
        <w:t>（3）历史标准。指参照历史数据制定的评价标准，为体现绩效改进的原则，在可实现的条件下应当确定相对较高的评价标准。</w:t>
      </w:r>
    </w:p>
    <w:p w14:paraId="75F05FB3">
      <w:pPr>
        <w:spacing w:line="560" w:lineRule="exact"/>
        <w:ind w:firstLine="640"/>
        <w:rPr>
          <w:rFonts w:ascii="Times New Roman" w:hAnsi="Times New Roman" w:cs="Times New Roman"/>
          <w:sz w:val="32"/>
          <w:szCs w:val="32"/>
        </w:rPr>
      </w:pPr>
      <w:r>
        <w:rPr>
          <w:rFonts w:ascii="Times New Roman" w:hAnsi="Times New Roman" w:cs="Times New Roman"/>
          <w:sz w:val="32"/>
          <w:szCs w:val="32"/>
        </w:rPr>
        <w:t>在上述评价标准的基础上，本次评价依据以下文件为重要指导和准绳：</w:t>
      </w:r>
    </w:p>
    <w:p w14:paraId="08A4D706">
      <w:pPr>
        <w:spacing w:line="560" w:lineRule="exact"/>
        <w:ind w:firstLine="640"/>
        <w:rPr>
          <w:rFonts w:ascii="Times New Roman" w:hAnsi="Times New Roman" w:cs="Times New Roman"/>
          <w:sz w:val="32"/>
          <w:szCs w:val="32"/>
        </w:rPr>
      </w:pPr>
      <w:r>
        <w:rPr>
          <w:rFonts w:ascii="Times New Roman" w:hAnsi="Times New Roman" w:cs="Times New Roman"/>
          <w:sz w:val="32"/>
          <w:szCs w:val="32"/>
        </w:rPr>
        <w:t>《中共中央国务院关于全面实施预算绩效管理的意见》（中发〔2018〕34号）</w:t>
      </w:r>
    </w:p>
    <w:p w14:paraId="1651F405">
      <w:pPr>
        <w:spacing w:line="560" w:lineRule="exact"/>
        <w:ind w:firstLine="640"/>
        <w:rPr>
          <w:rFonts w:ascii="Times New Roman" w:hAnsi="Times New Roman" w:cs="Times New Roman"/>
          <w:sz w:val="32"/>
          <w:szCs w:val="32"/>
        </w:rPr>
      </w:pPr>
      <w:r>
        <w:rPr>
          <w:rFonts w:ascii="Times New Roman" w:hAnsi="Times New Roman" w:cs="Times New Roman"/>
          <w:sz w:val="32"/>
          <w:szCs w:val="32"/>
        </w:rPr>
        <w:t>《关于印发&lt;乌鲁木齐市本级部门预算绩效目标管理暂行办法&gt;的通知》（乌财预〔2018〕56号）</w:t>
      </w:r>
    </w:p>
    <w:p w14:paraId="6C9F6B3A">
      <w:pPr>
        <w:spacing w:line="560" w:lineRule="exact"/>
        <w:ind w:firstLine="640"/>
        <w:rPr>
          <w:rFonts w:ascii="Times New Roman" w:hAnsi="Times New Roman" w:cs="Times New Roman"/>
          <w:sz w:val="32"/>
          <w:szCs w:val="32"/>
        </w:rPr>
      </w:pPr>
      <w:r>
        <w:rPr>
          <w:rFonts w:ascii="Times New Roman" w:hAnsi="Times New Roman" w:cs="Times New Roman"/>
          <w:sz w:val="32"/>
          <w:szCs w:val="32"/>
        </w:rPr>
        <w:t>《关于做好2019年部门预算项目支出绩效目标管理有关事宜的通知》（乌财预〔2018〕76号）</w:t>
      </w:r>
    </w:p>
    <w:p w14:paraId="0944D258">
      <w:pPr>
        <w:spacing w:line="560" w:lineRule="exact"/>
        <w:ind w:firstLine="640"/>
        <w:rPr>
          <w:rFonts w:ascii="Times New Roman" w:hAnsi="Times New Roman" w:cs="Times New Roman"/>
          <w:sz w:val="32"/>
          <w:szCs w:val="32"/>
        </w:rPr>
      </w:pPr>
      <w:r>
        <w:rPr>
          <w:rFonts w:ascii="Times New Roman" w:hAnsi="Times New Roman" w:cs="Times New Roman"/>
          <w:sz w:val="32"/>
          <w:szCs w:val="32"/>
        </w:rPr>
        <w:t>《项目支出绩效评价管理办法》（财预〔2020〕10号）</w:t>
      </w:r>
    </w:p>
    <w:p w14:paraId="3F2733A1">
      <w:pPr>
        <w:spacing w:line="560" w:lineRule="exact"/>
        <w:ind w:firstLine="640"/>
        <w:rPr>
          <w:rFonts w:ascii="Times New Roman" w:hAnsi="Times New Roman" w:cs="Times New Roman"/>
          <w:sz w:val="32"/>
          <w:szCs w:val="32"/>
        </w:rPr>
      </w:pPr>
      <w:r>
        <w:rPr>
          <w:rFonts w:ascii="Times New Roman" w:hAnsi="Times New Roman" w:cs="Times New Roman"/>
          <w:sz w:val="32"/>
          <w:szCs w:val="32"/>
        </w:rPr>
        <w:t>《关于印发《乌鲁木齐市增发国债项目实施工作机制》的通知》（乌发改投资〔2024〕56号）</w:t>
      </w:r>
    </w:p>
    <w:p w14:paraId="7511B523">
      <w:pPr>
        <w:spacing w:line="560" w:lineRule="exact"/>
        <w:ind w:firstLine="640"/>
        <w:rPr>
          <w:rFonts w:hint="eastAsia" w:ascii="Times New Roman" w:hAnsi="Times New Roman" w:cs="Times New Roman"/>
          <w:sz w:val="32"/>
          <w:szCs w:val="32"/>
          <w:lang w:eastAsia="zh-CN"/>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关于乌鲁木齐市自然灾害应急能力提升工程基层防灾项目可行性研究报告（代项目建议书）和概算的批复</w:t>
      </w:r>
      <w:r>
        <w:rPr>
          <w:rFonts w:hint="eastAsia" w:ascii="Times New Roman" w:hAnsi="Times New Roman" w:cs="Times New Roman"/>
          <w:sz w:val="32"/>
          <w:szCs w:val="32"/>
          <w:lang w:eastAsia="zh-CN"/>
        </w:rPr>
        <w:t>》（</w:t>
      </w:r>
      <w:r>
        <w:rPr>
          <w:rFonts w:ascii="Times New Roman" w:hAnsi="Times New Roman" w:cs="Times New Roman"/>
          <w:sz w:val="32"/>
          <w:szCs w:val="32"/>
        </w:rPr>
        <w:t>乌发改投资〔202</w:t>
      </w:r>
      <w:r>
        <w:rPr>
          <w:rFonts w:hint="eastAsia" w:ascii="Times New Roman" w:hAnsi="Times New Roman" w:cs="Times New Roman"/>
          <w:sz w:val="32"/>
          <w:szCs w:val="32"/>
          <w:lang w:val="en-US" w:eastAsia="zh-CN"/>
        </w:rPr>
        <w:t>3</w:t>
      </w:r>
      <w:r>
        <w:rPr>
          <w:rFonts w:ascii="Times New Roman" w:hAnsi="Times New Roman" w:cs="Times New Roman"/>
          <w:sz w:val="32"/>
          <w:szCs w:val="32"/>
        </w:rPr>
        <w:t>〕</w:t>
      </w:r>
      <w:r>
        <w:rPr>
          <w:rFonts w:hint="eastAsia" w:ascii="Times New Roman" w:hAnsi="Times New Roman" w:cs="Times New Roman"/>
          <w:sz w:val="32"/>
          <w:szCs w:val="32"/>
          <w:lang w:val="en-US" w:eastAsia="zh-CN"/>
        </w:rPr>
        <w:t>347</w:t>
      </w:r>
      <w:r>
        <w:rPr>
          <w:rFonts w:ascii="Times New Roman" w:hAnsi="Times New Roman" w:cs="Times New Roman"/>
          <w:sz w:val="32"/>
          <w:szCs w:val="32"/>
        </w:rPr>
        <w:t>号</w:t>
      </w:r>
      <w:r>
        <w:rPr>
          <w:rFonts w:hint="eastAsia" w:ascii="Times New Roman" w:hAnsi="Times New Roman" w:cs="Times New Roman"/>
          <w:sz w:val="32"/>
          <w:szCs w:val="32"/>
          <w:lang w:eastAsia="zh-CN"/>
        </w:rPr>
        <w:t>）</w:t>
      </w:r>
    </w:p>
    <w:p w14:paraId="29C138A6">
      <w:pPr>
        <w:spacing w:line="560" w:lineRule="exact"/>
        <w:ind w:firstLine="640"/>
        <w:rPr>
          <w:rFonts w:ascii="Times New Roman" w:hAnsi="Times New Roman" w:cs="Times New Roman"/>
          <w:sz w:val="32"/>
          <w:szCs w:val="32"/>
        </w:rPr>
      </w:pPr>
      <w:r>
        <w:rPr>
          <w:rFonts w:ascii="Times New Roman" w:hAnsi="Times New Roman" w:cs="Times New Roman"/>
          <w:sz w:val="32"/>
          <w:szCs w:val="32"/>
        </w:rPr>
        <w:t>《关于调整乌鲁木齐市自然灾害应急能力提升工程基层防灾项目建设内容和概算的批复》（乌发改函〔2024〕4号）</w:t>
      </w:r>
    </w:p>
    <w:p w14:paraId="56CDC65D">
      <w:pPr>
        <w:spacing w:line="560" w:lineRule="exact"/>
        <w:ind w:firstLine="640"/>
        <w:rPr>
          <w:rFonts w:ascii="Times New Roman" w:hAnsi="Times New Roman" w:cs="Times New Roman"/>
          <w:sz w:val="32"/>
          <w:szCs w:val="32"/>
        </w:rPr>
      </w:pPr>
      <w:r>
        <w:rPr>
          <w:rFonts w:ascii="Times New Roman" w:hAnsi="Times New Roman" w:cs="Times New Roman"/>
          <w:sz w:val="32"/>
          <w:szCs w:val="32"/>
        </w:rPr>
        <w:t>《自治区发展改革委关于自治区自然灾害应急能力提升工程基层防灾项目结余资金使用事项的批复》（新发改函〔2024〕56号）</w:t>
      </w:r>
    </w:p>
    <w:p w14:paraId="0A9FF4F6">
      <w:pPr>
        <w:pStyle w:val="5"/>
        <w:spacing w:before="0" w:after="0" w:line="560" w:lineRule="exact"/>
        <w:ind w:firstLine="643"/>
        <w:rPr>
          <w:rFonts w:ascii="Times New Roman" w:hAnsi="Times New Roman" w:eastAsia="楷体_GB2312" w:cs="Times New Roman"/>
          <w:lang w:bidi="en-US"/>
        </w:rPr>
      </w:pPr>
      <w:bookmarkStart w:id="25" w:name="_Toc165277236"/>
      <w:bookmarkStart w:id="26" w:name="_Toc67911607"/>
      <w:r>
        <w:rPr>
          <w:rFonts w:ascii="Times New Roman" w:hAnsi="Times New Roman" w:eastAsia="楷体_GB2312" w:cs="Times New Roman"/>
          <w:lang w:bidi="en-US"/>
        </w:rPr>
        <w:t>（三）绩效评价工作过程</w:t>
      </w:r>
      <w:bookmarkEnd w:id="25"/>
      <w:bookmarkEnd w:id="26"/>
    </w:p>
    <w:p w14:paraId="188DBCEB">
      <w:pPr>
        <w:spacing w:line="560" w:lineRule="exact"/>
        <w:ind w:firstLine="640"/>
        <w:rPr>
          <w:rFonts w:ascii="Times New Roman" w:hAnsi="Times New Roman" w:cs="Times New Roman"/>
          <w:sz w:val="32"/>
          <w:szCs w:val="32"/>
        </w:rPr>
      </w:pPr>
      <w:r>
        <w:rPr>
          <w:rFonts w:ascii="Times New Roman" w:hAnsi="Times New Roman" w:cs="Times New Roman"/>
          <w:sz w:val="32"/>
          <w:szCs w:val="32"/>
        </w:rPr>
        <w:t>评价小组根据项目绩效目标，查阅有关佐证资料，结合现场抽样调查及延伸评价等方式开展此次评价，重点关注和评价项目预算和绩效目标的匹配情况、项目资金的管理和使用情况、项目实施和监督情况（包括但不限于项目立项、制度执行、质量达标、完成时效等）以及项目产生的实际效益等。具体而言，通过前期准备</w:t>
      </w:r>
      <w:r>
        <w:rPr>
          <w:rStyle w:val="19"/>
          <w:rFonts w:ascii="Times New Roman" w:hAnsi="Times New Roman" w:cs="Times New Roman"/>
          <w:sz w:val="32"/>
          <w:szCs w:val="32"/>
        </w:rPr>
        <w:footnoteReference w:id="0"/>
      </w:r>
      <w:r>
        <w:rPr>
          <w:rFonts w:ascii="Times New Roman" w:hAnsi="Times New Roman" w:cs="Times New Roman"/>
          <w:sz w:val="32"/>
          <w:szCs w:val="32"/>
        </w:rPr>
        <w:t>、材料审核分析、现场核查评价、综合分析评价及报告撰写，评价项目实施情况，展现资金使用效益。</w:t>
      </w:r>
    </w:p>
    <w:p w14:paraId="3363C477">
      <w:pPr>
        <w:pStyle w:val="4"/>
        <w:spacing w:before="0" w:after="0" w:line="560" w:lineRule="exact"/>
        <w:ind w:firstLine="640"/>
        <w:rPr>
          <w:rFonts w:ascii="Times New Roman" w:hAnsi="Times New Roman" w:eastAsia="黑体" w:cs="Times New Roman"/>
          <w:b w:val="0"/>
          <w:bCs w:val="0"/>
          <w:sz w:val="32"/>
          <w:szCs w:val="32"/>
          <w:lang w:bidi="en-US"/>
        </w:rPr>
      </w:pPr>
      <w:bookmarkStart w:id="27" w:name="_Toc165277237"/>
      <w:bookmarkStart w:id="28" w:name="_Toc67911608"/>
      <w:r>
        <w:rPr>
          <w:rFonts w:ascii="Times New Roman" w:hAnsi="Times New Roman" w:eastAsia="黑体" w:cs="Times New Roman"/>
          <w:b w:val="0"/>
          <w:bCs w:val="0"/>
          <w:sz w:val="32"/>
          <w:szCs w:val="32"/>
          <w:lang w:bidi="en-US"/>
        </w:rPr>
        <w:t>三、综合评价情况及评价结论</w:t>
      </w:r>
      <w:bookmarkEnd w:id="27"/>
      <w:bookmarkEnd w:id="28"/>
    </w:p>
    <w:p w14:paraId="6C59F875">
      <w:pPr>
        <w:pStyle w:val="5"/>
        <w:spacing w:before="0" w:after="0" w:line="560" w:lineRule="exact"/>
        <w:ind w:firstLine="643"/>
        <w:rPr>
          <w:rFonts w:ascii="Times New Roman" w:hAnsi="Times New Roman" w:eastAsia="楷体_GB2312" w:cs="Times New Roman"/>
          <w:lang w:bidi="en-US"/>
        </w:rPr>
      </w:pPr>
      <w:bookmarkStart w:id="29" w:name="_Toc165277238"/>
      <w:bookmarkStart w:id="30" w:name="_Toc67911609"/>
      <w:r>
        <w:rPr>
          <w:rFonts w:ascii="Times New Roman" w:hAnsi="Times New Roman" w:eastAsia="楷体_GB2312" w:cs="Times New Roman"/>
          <w:lang w:bidi="en-US"/>
        </w:rPr>
        <w:t>（一）评价结论</w:t>
      </w:r>
      <w:bookmarkEnd w:id="29"/>
      <w:bookmarkEnd w:id="30"/>
    </w:p>
    <w:p w14:paraId="0A617AA5">
      <w:pPr>
        <w:spacing w:line="560" w:lineRule="exact"/>
        <w:ind w:firstLine="640"/>
        <w:rPr>
          <w:rFonts w:ascii="Times New Roman" w:hAnsi="Times New Roman" w:cs="Times New Roman"/>
          <w:sz w:val="32"/>
          <w:szCs w:val="32"/>
          <w:highlight w:val="none"/>
        </w:rPr>
      </w:pPr>
      <w:r>
        <w:rPr>
          <w:rFonts w:ascii="Times New Roman" w:hAnsi="Times New Roman" w:cs="Times New Roman"/>
          <w:sz w:val="32"/>
          <w:szCs w:val="32"/>
        </w:rPr>
        <w:t>结合项目特点，制定符合项目实际的绩效评价指标体系及评分标准，通过数据采集</w:t>
      </w:r>
      <w:r>
        <w:rPr>
          <w:rFonts w:ascii="Times New Roman" w:hAnsi="Times New Roman" w:cs="Times New Roman"/>
          <w:sz w:val="32"/>
          <w:szCs w:val="32"/>
          <w:highlight w:val="none"/>
        </w:rPr>
        <w:t>、问卷调查及访谈等形式，对2024年乌鲁木齐市自然灾害应急能力提升工程基层防灾项目进行客观评价，最终评分结果为：总分为9</w:t>
      </w:r>
      <w:r>
        <w:rPr>
          <w:rFonts w:hint="eastAsia" w:ascii="Times New Roman" w:hAnsi="Times New Roman" w:cs="Times New Roman"/>
          <w:sz w:val="32"/>
          <w:szCs w:val="32"/>
          <w:highlight w:val="none"/>
          <w:lang w:val="en-US" w:eastAsia="zh-CN"/>
        </w:rPr>
        <w:t>8.7</w:t>
      </w:r>
      <w:r>
        <w:rPr>
          <w:rFonts w:ascii="Times New Roman" w:hAnsi="Times New Roman" w:cs="Times New Roman"/>
          <w:sz w:val="32"/>
          <w:szCs w:val="32"/>
          <w:highlight w:val="none"/>
        </w:rPr>
        <w:t>分，绩效评级为“</w:t>
      </w:r>
      <w:r>
        <w:rPr>
          <w:rFonts w:hint="eastAsia" w:ascii="Times New Roman" w:hAnsi="Times New Roman" w:cs="Times New Roman"/>
          <w:sz w:val="32"/>
          <w:szCs w:val="32"/>
          <w:highlight w:val="none"/>
          <w:lang w:val="en-US" w:eastAsia="zh-CN"/>
        </w:rPr>
        <w:t>优</w:t>
      </w:r>
      <w:r>
        <w:rPr>
          <w:rFonts w:ascii="Times New Roman" w:hAnsi="Times New Roman" w:cs="Times New Roman"/>
          <w:sz w:val="32"/>
          <w:szCs w:val="32"/>
          <w:highlight w:val="none"/>
        </w:rPr>
        <w:t>”</w:t>
      </w:r>
      <w:r>
        <w:rPr>
          <w:rFonts w:ascii="Times New Roman" w:hAnsi="Times New Roman" w:cs="Times New Roman"/>
          <w:sz w:val="32"/>
          <w:szCs w:val="32"/>
          <w:highlight w:val="none"/>
        </w:rPr>
        <w:footnoteReference w:id="1"/>
      </w:r>
      <w:r>
        <w:rPr>
          <w:rFonts w:ascii="Times New Roman" w:hAnsi="Times New Roman" w:cs="Times New Roman"/>
          <w:sz w:val="32"/>
          <w:szCs w:val="32"/>
          <w:highlight w:val="none"/>
        </w:rPr>
        <w:t>。</w:t>
      </w:r>
    </w:p>
    <w:p w14:paraId="3255064C">
      <w:pPr>
        <w:spacing w:line="560" w:lineRule="exact"/>
        <w:ind w:firstLine="640"/>
        <w:rPr>
          <w:rFonts w:ascii="Times New Roman" w:hAnsi="Times New Roman" w:cs="Times New Roman"/>
          <w:sz w:val="32"/>
          <w:szCs w:val="32"/>
        </w:rPr>
      </w:pPr>
      <w:r>
        <w:rPr>
          <w:rFonts w:ascii="Times New Roman" w:hAnsi="Times New Roman" w:cs="Times New Roman"/>
          <w:sz w:val="32"/>
          <w:szCs w:val="32"/>
        </w:rPr>
        <w:t>项目各部分权重和绩效分值如附表所示：</w:t>
      </w:r>
    </w:p>
    <w:p w14:paraId="54F9C4D1">
      <w:pPr>
        <w:spacing w:line="560" w:lineRule="exact"/>
        <w:ind w:firstLine="0" w:firstLineChars="0"/>
        <w:jc w:val="center"/>
        <w:rPr>
          <w:rFonts w:ascii="Times New Roman" w:hAnsi="Times New Roman" w:cs="Times New Roman"/>
          <w:b/>
          <w:bCs/>
          <w:szCs w:val="28"/>
        </w:rPr>
      </w:pPr>
      <w:r>
        <w:rPr>
          <w:rFonts w:ascii="Times New Roman" w:hAnsi="Times New Roman" w:cs="Times New Roman"/>
          <w:b/>
          <w:bCs/>
          <w:szCs w:val="28"/>
        </w:rPr>
        <w:t>项目各部分权重和绩效分值</w:t>
      </w:r>
    </w:p>
    <w:tbl>
      <w:tblPr>
        <w:tblStyle w:val="15"/>
        <w:tblW w:w="906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50"/>
        <w:gridCol w:w="2126"/>
        <w:gridCol w:w="2551"/>
        <w:gridCol w:w="898"/>
        <w:gridCol w:w="898"/>
        <w:gridCol w:w="1039"/>
      </w:tblGrid>
      <w:tr w14:paraId="4A3A72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tblHeader/>
          <w:jc w:val="center"/>
        </w:trPr>
        <w:tc>
          <w:tcPr>
            <w:tcW w:w="1550" w:type="dxa"/>
            <w:tcBorders>
              <w:tl2br w:val="nil"/>
              <w:tr2bl w:val="nil"/>
            </w:tcBorders>
            <w:shd w:val="clear" w:color="auto" w:fill="D0CECE"/>
            <w:vAlign w:val="center"/>
          </w:tcPr>
          <w:p w14:paraId="1EDE6D38">
            <w:pPr>
              <w:widowControl/>
              <w:spacing w:line="56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一级指标</w:t>
            </w:r>
          </w:p>
        </w:tc>
        <w:tc>
          <w:tcPr>
            <w:tcW w:w="2126" w:type="dxa"/>
            <w:tcBorders>
              <w:tl2br w:val="nil"/>
              <w:tr2bl w:val="nil"/>
            </w:tcBorders>
            <w:shd w:val="clear" w:color="auto" w:fill="D0CECE"/>
            <w:vAlign w:val="center"/>
          </w:tcPr>
          <w:p w14:paraId="7AE6136B">
            <w:pPr>
              <w:widowControl/>
              <w:spacing w:line="56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二级指标</w:t>
            </w:r>
          </w:p>
        </w:tc>
        <w:tc>
          <w:tcPr>
            <w:tcW w:w="2551" w:type="dxa"/>
            <w:tcBorders>
              <w:tl2br w:val="nil"/>
              <w:tr2bl w:val="nil"/>
            </w:tcBorders>
            <w:shd w:val="clear" w:color="auto" w:fill="D0CECE"/>
            <w:vAlign w:val="center"/>
          </w:tcPr>
          <w:p w14:paraId="7A689748">
            <w:pPr>
              <w:widowControl/>
              <w:spacing w:line="56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三级指标</w:t>
            </w:r>
          </w:p>
        </w:tc>
        <w:tc>
          <w:tcPr>
            <w:tcW w:w="898" w:type="dxa"/>
            <w:tcBorders>
              <w:tl2br w:val="nil"/>
              <w:tr2bl w:val="nil"/>
            </w:tcBorders>
            <w:shd w:val="clear" w:color="auto" w:fill="D0CECE"/>
            <w:vAlign w:val="center"/>
          </w:tcPr>
          <w:p w14:paraId="3EC20254">
            <w:pPr>
              <w:widowControl/>
              <w:spacing w:line="56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分值</w:t>
            </w:r>
          </w:p>
        </w:tc>
        <w:tc>
          <w:tcPr>
            <w:tcW w:w="898" w:type="dxa"/>
            <w:tcBorders>
              <w:tl2br w:val="nil"/>
              <w:tr2bl w:val="nil"/>
            </w:tcBorders>
            <w:shd w:val="clear" w:color="auto" w:fill="D0CECE"/>
            <w:vAlign w:val="center"/>
          </w:tcPr>
          <w:p w14:paraId="38E2C785">
            <w:pPr>
              <w:widowControl/>
              <w:spacing w:line="56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得分</w:t>
            </w:r>
          </w:p>
        </w:tc>
        <w:tc>
          <w:tcPr>
            <w:tcW w:w="1039" w:type="dxa"/>
            <w:tcBorders>
              <w:tl2br w:val="nil"/>
              <w:tr2bl w:val="nil"/>
            </w:tcBorders>
            <w:shd w:val="clear" w:color="auto" w:fill="D0CECE"/>
            <w:vAlign w:val="center"/>
          </w:tcPr>
          <w:p w14:paraId="46953DCA">
            <w:pPr>
              <w:widowControl/>
              <w:spacing w:line="56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得分率</w:t>
            </w:r>
          </w:p>
        </w:tc>
      </w:tr>
      <w:tr w14:paraId="0AAB57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restart"/>
            <w:tcBorders>
              <w:tl2br w:val="nil"/>
              <w:tr2bl w:val="nil"/>
            </w:tcBorders>
            <w:shd w:val="clear" w:color="auto" w:fill="FFFFFF"/>
            <w:vAlign w:val="center"/>
          </w:tcPr>
          <w:p w14:paraId="2D4B2194">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决策</w:t>
            </w:r>
          </w:p>
        </w:tc>
        <w:tc>
          <w:tcPr>
            <w:tcW w:w="2126" w:type="dxa"/>
            <w:vMerge w:val="restart"/>
            <w:tcBorders>
              <w:tl2br w:val="nil"/>
              <w:tr2bl w:val="nil"/>
            </w:tcBorders>
            <w:shd w:val="clear" w:color="auto" w:fill="FFFFFF"/>
            <w:vAlign w:val="center"/>
          </w:tcPr>
          <w:p w14:paraId="592F1F8A">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项目立项</w:t>
            </w:r>
          </w:p>
        </w:tc>
        <w:tc>
          <w:tcPr>
            <w:tcW w:w="2551" w:type="dxa"/>
            <w:tcBorders>
              <w:tl2br w:val="nil"/>
              <w:tr2bl w:val="nil"/>
            </w:tcBorders>
            <w:shd w:val="clear" w:color="auto" w:fill="FFFFFF"/>
            <w:vAlign w:val="center"/>
          </w:tcPr>
          <w:p w14:paraId="1FEF5B7D">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立项依据充分性</w:t>
            </w:r>
          </w:p>
        </w:tc>
        <w:tc>
          <w:tcPr>
            <w:tcW w:w="898" w:type="dxa"/>
            <w:tcBorders>
              <w:tl2br w:val="nil"/>
              <w:tr2bl w:val="nil"/>
            </w:tcBorders>
            <w:shd w:val="clear" w:color="auto" w:fill="FFFFFF"/>
            <w:vAlign w:val="center"/>
          </w:tcPr>
          <w:p w14:paraId="17CB2533">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898" w:type="dxa"/>
            <w:tcBorders>
              <w:tl2br w:val="nil"/>
              <w:tr2bl w:val="nil"/>
            </w:tcBorders>
            <w:shd w:val="clear" w:color="auto" w:fill="FFFFFF"/>
            <w:vAlign w:val="center"/>
          </w:tcPr>
          <w:p w14:paraId="282392A6">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1039" w:type="dxa"/>
            <w:tcBorders>
              <w:tl2br w:val="nil"/>
              <w:tr2bl w:val="nil"/>
            </w:tcBorders>
            <w:shd w:val="clear" w:color="auto" w:fill="FFFFFF"/>
            <w:vAlign w:val="center"/>
          </w:tcPr>
          <w:p w14:paraId="7689BE9D">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100%</w:t>
            </w:r>
          </w:p>
        </w:tc>
      </w:tr>
      <w:tr w14:paraId="70A919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553FC418">
            <w:pPr>
              <w:spacing w:line="560" w:lineRule="exact"/>
              <w:ind w:firstLine="480"/>
              <w:jc w:val="center"/>
              <w:rPr>
                <w:rFonts w:ascii="Times New Roman" w:hAnsi="Times New Roman" w:cs="Times New Roman"/>
                <w:kern w:val="0"/>
                <w:sz w:val="24"/>
                <w:szCs w:val="24"/>
              </w:rPr>
            </w:pPr>
          </w:p>
        </w:tc>
        <w:tc>
          <w:tcPr>
            <w:tcW w:w="2126" w:type="dxa"/>
            <w:vMerge w:val="continue"/>
            <w:tcBorders>
              <w:tl2br w:val="nil"/>
              <w:tr2bl w:val="nil"/>
            </w:tcBorders>
            <w:shd w:val="clear" w:color="auto" w:fill="FFFFFF"/>
            <w:vAlign w:val="center"/>
          </w:tcPr>
          <w:p w14:paraId="42AA25BA">
            <w:pPr>
              <w:widowControl/>
              <w:spacing w:line="560" w:lineRule="exact"/>
              <w:ind w:firstLine="0" w:firstLineChars="0"/>
              <w:jc w:val="center"/>
              <w:rPr>
                <w:rFonts w:ascii="Times New Roman" w:hAnsi="Times New Roman" w:cs="Times New Roman"/>
                <w:kern w:val="0"/>
                <w:sz w:val="24"/>
                <w:szCs w:val="24"/>
              </w:rPr>
            </w:pPr>
          </w:p>
        </w:tc>
        <w:tc>
          <w:tcPr>
            <w:tcW w:w="2551" w:type="dxa"/>
            <w:tcBorders>
              <w:tl2br w:val="nil"/>
              <w:tr2bl w:val="nil"/>
            </w:tcBorders>
            <w:shd w:val="clear" w:color="auto" w:fill="FFFFFF"/>
            <w:vAlign w:val="center"/>
          </w:tcPr>
          <w:p w14:paraId="0973BB26">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立项程序规范性</w:t>
            </w:r>
          </w:p>
        </w:tc>
        <w:tc>
          <w:tcPr>
            <w:tcW w:w="898" w:type="dxa"/>
            <w:tcBorders>
              <w:tl2br w:val="nil"/>
              <w:tr2bl w:val="nil"/>
            </w:tcBorders>
            <w:shd w:val="clear" w:color="auto" w:fill="FFFFFF"/>
            <w:vAlign w:val="center"/>
          </w:tcPr>
          <w:p w14:paraId="6C50AD7E">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898" w:type="dxa"/>
            <w:tcBorders>
              <w:tl2br w:val="nil"/>
              <w:tr2bl w:val="nil"/>
            </w:tcBorders>
            <w:shd w:val="clear" w:color="auto" w:fill="FFFFFF"/>
            <w:vAlign w:val="center"/>
          </w:tcPr>
          <w:p w14:paraId="5D8C9F6D">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1039" w:type="dxa"/>
            <w:tcBorders>
              <w:tl2br w:val="nil"/>
              <w:tr2bl w:val="nil"/>
            </w:tcBorders>
            <w:shd w:val="clear" w:color="auto" w:fill="FFFFFF"/>
            <w:vAlign w:val="center"/>
          </w:tcPr>
          <w:p w14:paraId="0B69F077">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100%</w:t>
            </w:r>
          </w:p>
        </w:tc>
      </w:tr>
      <w:tr w14:paraId="4FCA04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5867DC37">
            <w:pPr>
              <w:spacing w:line="560" w:lineRule="exact"/>
              <w:ind w:firstLine="480"/>
              <w:jc w:val="center"/>
              <w:rPr>
                <w:rFonts w:ascii="Times New Roman" w:hAnsi="Times New Roman" w:cs="Times New Roman"/>
                <w:kern w:val="0"/>
                <w:sz w:val="24"/>
                <w:szCs w:val="24"/>
              </w:rPr>
            </w:pPr>
          </w:p>
        </w:tc>
        <w:tc>
          <w:tcPr>
            <w:tcW w:w="2126" w:type="dxa"/>
            <w:vMerge w:val="restart"/>
            <w:tcBorders>
              <w:tl2br w:val="nil"/>
              <w:tr2bl w:val="nil"/>
            </w:tcBorders>
            <w:shd w:val="clear" w:color="auto" w:fill="FFFFFF"/>
            <w:vAlign w:val="center"/>
          </w:tcPr>
          <w:p w14:paraId="7D0EC5C3">
            <w:pPr>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绩效目标</w:t>
            </w:r>
          </w:p>
        </w:tc>
        <w:tc>
          <w:tcPr>
            <w:tcW w:w="2551" w:type="dxa"/>
            <w:tcBorders>
              <w:tl2br w:val="nil"/>
              <w:tr2bl w:val="nil"/>
            </w:tcBorders>
            <w:shd w:val="clear" w:color="auto" w:fill="FFFFFF"/>
            <w:vAlign w:val="center"/>
          </w:tcPr>
          <w:p w14:paraId="507F4AEE">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绩效目标合理性</w:t>
            </w:r>
          </w:p>
        </w:tc>
        <w:tc>
          <w:tcPr>
            <w:tcW w:w="898" w:type="dxa"/>
            <w:tcBorders>
              <w:tl2br w:val="nil"/>
              <w:tr2bl w:val="nil"/>
            </w:tcBorders>
            <w:shd w:val="clear" w:color="000000" w:fill="FFFFFF"/>
            <w:vAlign w:val="center"/>
          </w:tcPr>
          <w:p w14:paraId="7BC008F3">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898" w:type="dxa"/>
            <w:tcBorders>
              <w:tl2br w:val="nil"/>
              <w:tr2bl w:val="nil"/>
            </w:tcBorders>
            <w:shd w:val="clear" w:color="000000" w:fill="FFFFFF"/>
            <w:vAlign w:val="center"/>
          </w:tcPr>
          <w:p w14:paraId="044E0A09">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1039" w:type="dxa"/>
            <w:tcBorders>
              <w:tl2br w:val="nil"/>
              <w:tr2bl w:val="nil"/>
            </w:tcBorders>
            <w:shd w:val="clear" w:color="000000" w:fill="FFFFFF"/>
            <w:vAlign w:val="center"/>
          </w:tcPr>
          <w:p w14:paraId="0ADA9FB8">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100%</w:t>
            </w:r>
          </w:p>
        </w:tc>
      </w:tr>
      <w:tr w14:paraId="75F41D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55FFFB5C">
            <w:pPr>
              <w:widowControl/>
              <w:spacing w:line="560" w:lineRule="exact"/>
              <w:ind w:firstLine="0" w:firstLineChars="0"/>
              <w:jc w:val="center"/>
              <w:rPr>
                <w:rFonts w:ascii="Times New Roman" w:hAnsi="Times New Roman" w:cs="Times New Roman"/>
                <w:kern w:val="0"/>
                <w:sz w:val="24"/>
                <w:szCs w:val="24"/>
              </w:rPr>
            </w:pPr>
          </w:p>
        </w:tc>
        <w:tc>
          <w:tcPr>
            <w:tcW w:w="2126" w:type="dxa"/>
            <w:vMerge w:val="continue"/>
            <w:tcBorders>
              <w:tl2br w:val="nil"/>
              <w:tr2bl w:val="nil"/>
            </w:tcBorders>
            <w:shd w:val="clear" w:color="auto" w:fill="FFFFFF"/>
            <w:vAlign w:val="center"/>
          </w:tcPr>
          <w:p w14:paraId="6DB7E618">
            <w:pPr>
              <w:widowControl/>
              <w:spacing w:line="560" w:lineRule="exact"/>
              <w:ind w:firstLine="0" w:firstLineChars="0"/>
              <w:jc w:val="center"/>
              <w:rPr>
                <w:rFonts w:ascii="Times New Roman" w:hAnsi="Times New Roman" w:cs="Times New Roman"/>
                <w:kern w:val="0"/>
                <w:sz w:val="24"/>
                <w:szCs w:val="24"/>
              </w:rPr>
            </w:pPr>
          </w:p>
        </w:tc>
        <w:tc>
          <w:tcPr>
            <w:tcW w:w="2551" w:type="dxa"/>
            <w:tcBorders>
              <w:tl2br w:val="nil"/>
              <w:tr2bl w:val="nil"/>
            </w:tcBorders>
            <w:shd w:val="clear" w:color="auto" w:fill="FFFFFF"/>
            <w:vAlign w:val="center"/>
          </w:tcPr>
          <w:p w14:paraId="15D8772E">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绩效指标明确性</w:t>
            </w:r>
          </w:p>
        </w:tc>
        <w:tc>
          <w:tcPr>
            <w:tcW w:w="898" w:type="dxa"/>
            <w:tcBorders>
              <w:tl2br w:val="nil"/>
              <w:tr2bl w:val="nil"/>
            </w:tcBorders>
            <w:shd w:val="clear" w:color="000000" w:fill="FFFFFF"/>
            <w:vAlign w:val="center"/>
          </w:tcPr>
          <w:p w14:paraId="13A20BA5">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898" w:type="dxa"/>
            <w:tcBorders>
              <w:tl2br w:val="nil"/>
              <w:tr2bl w:val="nil"/>
            </w:tcBorders>
            <w:shd w:val="clear" w:color="000000" w:fill="FFFFFF"/>
            <w:vAlign w:val="center"/>
          </w:tcPr>
          <w:p w14:paraId="047CDEC8">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1039" w:type="dxa"/>
            <w:tcBorders>
              <w:tl2br w:val="nil"/>
              <w:tr2bl w:val="nil"/>
            </w:tcBorders>
            <w:shd w:val="clear" w:color="000000" w:fill="FFFFFF"/>
            <w:vAlign w:val="center"/>
          </w:tcPr>
          <w:p w14:paraId="1AB98F8C">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100%</w:t>
            </w:r>
          </w:p>
        </w:tc>
      </w:tr>
      <w:tr w14:paraId="684653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7B391759">
            <w:pPr>
              <w:spacing w:line="560" w:lineRule="exact"/>
              <w:ind w:firstLine="0" w:firstLineChars="0"/>
              <w:jc w:val="center"/>
              <w:rPr>
                <w:rFonts w:ascii="Times New Roman" w:hAnsi="Times New Roman" w:cs="Times New Roman"/>
                <w:kern w:val="0"/>
                <w:sz w:val="24"/>
                <w:szCs w:val="24"/>
              </w:rPr>
            </w:pPr>
          </w:p>
        </w:tc>
        <w:tc>
          <w:tcPr>
            <w:tcW w:w="2126" w:type="dxa"/>
            <w:vMerge w:val="restart"/>
            <w:tcBorders>
              <w:tl2br w:val="nil"/>
              <w:tr2bl w:val="nil"/>
            </w:tcBorders>
            <w:shd w:val="clear" w:color="auto" w:fill="FFFFFF"/>
            <w:vAlign w:val="center"/>
          </w:tcPr>
          <w:p w14:paraId="1117CBC3">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资金投入</w:t>
            </w:r>
          </w:p>
        </w:tc>
        <w:tc>
          <w:tcPr>
            <w:tcW w:w="2551" w:type="dxa"/>
            <w:tcBorders>
              <w:tl2br w:val="nil"/>
              <w:tr2bl w:val="nil"/>
            </w:tcBorders>
            <w:shd w:val="clear" w:color="auto" w:fill="FFFFFF"/>
            <w:vAlign w:val="center"/>
          </w:tcPr>
          <w:p w14:paraId="3CB3DA3D">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预算编制科学性</w:t>
            </w:r>
          </w:p>
        </w:tc>
        <w:tc>
          <w:tcPr>
            <w:tcW w:w="898" w:type="dxa"/>
            <w:tcBorders>
              <w:tl2br w:val="nil"/>
              <w:tr2bl w:val="nil"/>
            </w:tcBorders>
            <w:shd w:val="clear" w:color="auto" w:fill="FFFFFF"/>
            <w:vAlign w:val="center"/>
          </w:tcPr>
          <w:p w14:paraId="1645D27A">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898" w:type="dxa"/>
            <w:tcBorders>
              <w:tl2br w:val="nil"/>
              <w:tr2bl w:val="nil"/>
            </w:tcBorders>
            <w:shd w:val="clear" w:color="auto" w:fill="FFFFFF"/>
            <w:vAlign w:val="center"/>
          </w:tcPr>
          <w:p w14:paraId="16527157">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1039" w:type="dxa"/>
            <w:tcBorders>
              <w:tl2br w:val="nil"/>
              <w:tr2bl w:val="nil"/>
            </w:tcBorders>
            <w:shd w:val="clear" w:color="auto" w:fill="FFFFFF"/>
            <w:vAlign w:val="center"/>
          </w:tcPr>
          <w:p w14:paraId="66D74EB9">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100%</w:t>
            </w:r>
          </w:p>
        </w:tc>
      </w:tr>
      <w:tr w14:paraId="230591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61E875AD">
            <w:pPr>
              <w:widowControl/>
              <w:spacing w:line="560" w:lineRule="exact"/>
              <w:ind w:firstLine="0" w:firstLineChars="0"/>
              <w:jc w:val="center"/>
              <w:rPr>
                <w:rFonts w:ascii="Times New Roman" w:hAnsi="Times New Roman" w:cs="Times New Roman"/>
                <w:kern w:val="0"/>
                <w:sz w:val="24"/>
                <w:szCs w:val="24"/>
              </w:rPr>
            </w:pPr>
          </w:p>
        </w:tc>
        <w:tc>
          <w:tcPr>
            <w:tcW w:w="2126" w:type="dxa"/>
            <w:vMerge w:val="continue"/>
            <w:tcBorders>
              <w:tl2br w:val="nil"/>
              <w:tr2bl w:val="nil"/>
            </w:tcBorders>
            <w:shd w:val="clear" w:color="auto" w:fill="FFFFFF"/>
            <w:vAlign w:val="center"/>
          </w:tcPr>
          <w:p w14:paraId="6EA527D1">
            <w:pPr>
              <w:widowControl/>
              <w:spacing w:line="560" w:lineRule="exact"/>
              <w:ind w:firstLine="0" w:firstLineChars="0"/>
              <w:jc w:val="center"/>
              <w:rPr>
                <w:rFonts w:ascii="Times New Roman" w:hAnsi="Times New Roman" w:cs="Times New Roman"/>
                <w:kern w:val="0"/>
                <w:sz w:val="24"/>
                <w:szCs w:val="24"/>
              </w:rPr>
            </w:pPr>
          </w:p>
        </w:tc>
        <w:tc>
          <w:tcPr>
            <w:tcW w:w="2551" w:type="dxa"/>
            <w:tcBorders>
              <w:tl2br w:val="nil"/>
              <w:tr2bl w:val="nil"/>
            </w:tcBorders>
            <w:shd w:val="clear" w:color="auto" w:fill="FFFFFF"/>
            <w:vAlign w:val="center"/>
          </w:tcPr>
          <w:p w14:paraId="1E287636">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资金分配合理性</w:t>
            </w:r>
          </w:p>
        </w:tc>
        <w:tc>
          <w:tcPr>
            <w:tcW w:w="898" w:type="dxa"/>
            <w:tcBorders>
              <w:tl2br w:val="nil"/>
              <w:tr2bl w:val="nil"/>
            </w:tcBorders>
            <w:shd w:val="clear" w:color="auto" w:fill="FFFFFF"/>
            <w:vAlign w:val="center"/>
          </w:tcPr>
          <w:p w14:paraId="58C89769">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898" w:type="dxa"/>
            <w:tcBorders>
              <w:tl2br w:val="nil"/>
              <w:tr2bl w:val="nil"/>
            </w:tcBorders>
            <w:shd w:val="clear" w:color="auto" w:fill="FFFFFF"/>
            <w:vAlign w:val="center"/>
          </w:tcPr>
          <w:p w14:paraId="713781E4">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1039" w:type="dxa"/>
            <w:tcBorders>
              <w:tl2br w:val="nil"/>
              <w:tr2bl w:val="nil"/>
            </w:tcBorders>
            <w:shd w:val="clear" w:color="auto" w:fill="FFFFFF"/>
            <w:vAlign w:val="center"/>
          </w:tcPr>
          <w:p w14:paraId="5EB03238">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100%</w:t>
            </w:r>
          </w:p>
        </w:tc>
      </w:tr>
      <w:tr w14:paraId="3CE47E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restart"/>
            <w:tcBorders>
              <w:tl2br w:val="nil"/>
              <w:tr2bl w:val="nil"/>
            </w:tcBorders>
            <w:shd w:val="clear" w:color="auto" w:fill="FFFFFF"/>
            <w:vAlign w:val="center"/>
          </w:tcPr>
          <w:p w14:paraId="364AE9C3">
            <w:pPr>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过程</w:t>
            </w:r>
          </w:p>
        </w:tc>
        <w:tc>
          <w:tcPr>
            <w:tcW w:w="2126" w:type="dxa"/>
            <w:vMerge w:val="restart"/>
            <w:tcBorders>
              <w:tl2br w:val="nil"/>
              <w:tr2bl w:val="nil"/>
            </w:tcBorders>
            <w:shd w:val="clear" w:color="auto" w:fill="FFFFFF"/>
            <w:vAlign w:val="center"/>
          </w:tcPr>
          <w:p w14:paraId="64D48512">
            <w:pPr>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资金管理</w:t>
            </w:r>
          </w:p>
        </w:tc>
        <w:tc>
          <w:tcPr>
            <w:tcW w:w="2551" w:type="dxa"/>
            <w:tcBorders>
              <w:tl2br w:val="nil"/>
              <w:tr2bl w:val="nil"/>
            </w:tcBorders>
            <w:shd w:val="clear" w:color="auto" w:fill="FFFFFF"/>
            <w:vAlign w:val="center"/>
          </w:tcPr>
          <w:p w14:paraId="304BD42F">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资金到位率</w:t>
            </w:r>
          </w:p>
        </w:tc>
        <w:tc>
          <w:tcPr>
            <w:tcW w:w="898" w:type="dxa"/>
            <w:tcBorders>
              <w:tl2br w:val="nil"/>
              <w:tr2bl w:val="nil"/>
            </w:tcBorders>
            <w:shd w:val="clear" w:color="000000" w:fill="FFFFFF"/>
            <w:vAlign w:val="center"/>
          </w:tcPr>
          <w:p w14:paraId="3FF8E324">
            <w:pPr>
              <w:widowControl/>
              <w:spacing w:line="560" w:lineRule="exact"/>
              <w:ind w:firstLine="0" w:firstLineChars="0"/>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5</w:t>
            </w:r>
          </w:p>
        </w:tc>
        <w:tc>
          <w:tcPr>
            <w:tcW w:w="898" w:type="dxa"/>
            <w:tcBorders>
              <w:tl2br w:val="nil"/>
              <w:tr2bl w:val="nil"/>
            </w:tcBorders>
            <w:shd w:val="clear" w:color="auto" w:fill="FFFFFF"/>
            <w:vAlign w:val="center"/>
          </w:tcPr>
          <w:p w14:paraId="1292D5E8">
            <w:pPr>
              <w:widowControl/>
              <w:spacing w:line="560" w:lineRule="exact"/>
              <w:ind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cs="Times New Roman"/>
                <w:kern w:val="0"/>
                <w:sz w:val="24"/>
                <w:szCs w:val="24"/>
                <w:highlight w:val="none"/>
              </w:rPr>
              <w:t>4.6</w:t>
            </w:r>
          </w:p>
        </w:tc>
        <w:tc>
          <w:tcPr>
            <w:tcW w:w="1039" w:type="dxa"/>
            <w:tcBorders>
              <w:tl2br w:val="nil"/>
              <w:tr2bl w:val="nil"/>
            </w:tcBorders>
            <w:shd w:val="clear" w:color="auto" w:fill="FFFFFF"/>
            <w:vAlign w:val="center"/>
          </w:tcPr>
          <w:p w14:paraId="1DF697C8">
            <w:pPr>
              <w:widowControl/>
              <w:spacing w:line="560" w:lineRule="exact"/>
              <w:ind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cs="Times New Roman"/>
                <w:kern w:val="0"/>
                <w:sz w:val="24"/>
                <w:szCs w:val="24"/>
                <w:highlight w:val="none"/>
              </w:rPr>
              <w:t>92%</w:t>
            </w:r>
          </w:p>
        </w:tc>
      </w:tr>
      <w:tr w14:paraId="08CE21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6F342564">
            <w:pPr>
              <w:spacing w:line="560" w:lineRule="exact"/>
              <w:ind w:firstLine="480"/>
              <w:jc w:val="center"/>
              <w:rPr>
                <w:rFonts w:ascii="Times New Roman" w:hAnsi="Times New Roman" w:cs="Times New Roman"/>
                <w:kern w:val="0"/>
                <w:sz w:val="24"/>
                <w:szCs w:val="24"/>
              </w:rPr>
            </w:pPr>
          </w:p>
        </w:tc>
        <w:tc>
          <w:tcPr>
            <w:tcW w:w="2126" w:type="dxa"/>
            <w:vMerge w:val="continue"/>
            <w:tcBorders>
              <w:tl2br w:val="nil"/>
              <w:tr2bl w:val="nil"/>
            </w:tcBorders>
            <w:shd w:val="clear" w:color="auto" w:fill="FFFFFF"/>
            <w:vAlign w:val="center"/>
          </w:tcPr>
          <w:p w14:paraId="3A76CD59">
            <w:pPr>
              <w:spacing w:line="560" w:lineRule="exact"/>
              <w:ind w:firstLine="480"/>
              <w:jc w:val="center"/>
              <w:rPr>
                <w:rFonts w:ascii="Times New Roman" w:hAnsi="Times New Roman" w:cs="Times New Roman"/>
                <w:kern w:val="0"/>
                <w:sz w:val="24"/>
                <w:szCs w:val="24"/>
              </w:rPr>
            </w:pPr>
          </w:p>
        </w:tc>
        <w:tc>
          <w:tcPr>
            <w:tcW w:w="2551" w:type="dxa"/>
            <w:tcBorders>
              <w:tl2br w:val="nil"/>
              <w:tr2bl w:val="nil"/>
            </w:tcBorders>
            <w:shd w:val="clear" w:color="auto" w:fill="FFFFFF"/>
            <w:vAlign w:val="center"/>
          </w:tcPr>
          <w:p w14:paraId="39441691">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预算执行率</w:t>
            </w:r>
          </w:p>
        </w:tc>
        <w:tc>
          <w:tcPr>
            <w:tcW w:w="898" w:type="dxa"/>
            <w:tcBorders>
              <w:tl2br w:val="nil"/>
              <w:tr2bl w:val="nil"/>
            </w:tcBorders>
            <w:shd w:val="clear" w:color="auto" w:fill="FFFFFF"/>
            <w:vAlign w:val="center"/>
          </w:tcPr>
          <w:p w14:paraId="25F8152C">
            <w:pPr>
              <w:widowControl/>
              <w:spacing w:line="560" w:lineRule="exact"/>
              <w:ind w:firstLine="0" w:firstLineChars="0"/>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5</w:t>
            </w:r>
          </w:p>
        </w:tc>
        <w:tc>
          <w:tcPr>
            <w:tcW w:w="898" w:type="dxa"/>
            <w:tcBorders>
              <w:tl2br w:val="nil"/>
              <w:tr2bl w:val="nil"/>
            </w:tcBorders>
            <w:shd w:val="clear" w:color="auto" w:fill="FFFFFF"/>
            <w:vAlign w:val="center"/>
          </w:tcPr>
          <w:p w14:paraId="69AF589B">
            <w:pPr>
              <w:widowControl/>
              <w:spacing w:line="560" w:lineRule="exact"/>
              <w:ind w:firstLine="0" w:firstLineChars="0"/>
              <w:jc w:val="center"/>
              <w:rPr>
                <w:rFonts w:hint="eastAsia" w:ascii="Times New Roman" w:hAnsi="Times New Roman" w:eastAsia="仿宋_GB2312"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5</w:t>
            </w:r>
          </w:p>
        </w:tc>
        <w:tc>
          <w:tcPr>
            <w:tcW w:w="1039" w:type="dxa"/>
            <w:tcBorders>
              <w:tl2br w:val="nil"/>
              <w:tr2bl w:val="nil"/>
            </w:tcBorders>
            <w:shd w:val="clear" w:color="auto" w:fill="FFFFFF"/>
            <w:vAlign w:val="center"/>
          </w:tcPr>
          <w:p w14:paraId="07AB36F7">
            <w:pPr>
              <w:widowControl/>
              <w:spacing w:line="560" w:lineRule="exact"/>
              <w:ind w:firstLine="0" w:firstLineChars="0"/>
              <w:jc w:val="center"/>
              <w:rPr>
                <w:rFonts w:ascii="Times New Roman" w:hAnsi="Times New Roman" w:cs="Times New Roman"/>
                <w:kern w:val="0"/>
                <w:sz w:val="24"/>
                <w:szCs w:val="24"/>
                <w:highlight w:val="none"/>
              </w:rPr>
            </w:pPr>
            <w:r>
              <w:rPr>
                <w:rFonts w:hint="eastAsia" w:ascii="Times New Roman" w:hAnsi="Times New Roman" w:cs="Times New Roman"/>
                <w:kern w:val="0"/>
                <w:sz w:val="24"/>
                <w:szCs w:val="24"/>
                <w:highlight w:val="none"/>
                <w:lang w:val="en-US" w:eastAsia="zh-CN"/>
              </w:rPr>
              <w:t>100</w:t>
            </w:r>
            <w:r>
              <w:rPr>
                <w:rFonts w:ascii="Times New Roman" w:hAnsi="Times New Roman" w:cs="Times New Roman"/>
                <w:kern w:val="0"/>
                <w:sz w:val="24"/>
                <w:szCs w:val="24"/>
                <w:highlight w:val="none"/>
              </w:rPr>
              <w:t>%</w:t>
            </w:r>
          </w:p>
        </w:tc>
      </w:tr>
      <w:tr w14:paraId="7A41E2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064412E9">
            <w:pPr>
              <w:spacing w:line="560" w:lineRule="exact"/>
              <w:ind w:firstLine="0" w:firstLineChars="0"/>
              <w:jc w:val="center"/>
              <w:rPr>
                <w:rFonts w:ascii="Times New Roman" w:hAnsi="Times New Roman" w:cs="Times New Roman"/>
                <w:kern w:val="0"/>
                <w:sz w:val="24"/>
                <w:szCs w:val="24"/>
              </w:rPr>
            </w:pPr>
          </w:p>
        </w:tc>
        <w:tc>
          <w:tcPr>
            <w:tcW w:w="2126" w:type="dxa"/>
            <w:vMerge w:val="continue"/>
            <w:tcBorders>
              <w:tl2br w:val="nil"/>
              <w:tr2bl w:val="nil"/>
            </w:tcBorders>
            <w:shd w:val="clear" w:color="auto" w:fill="FFFFFF"/>
            <w:vAlign w:val="center"/>
          </w:tcPr>
          <w:p w14:paraId="64909A93">
            <w:pPr>
              <w:widowControl/>
              <w:spacing w:line="560" w:lineRule="exact"/>
              <w:ind w:firstLine="0" w:firstLineChars="0"/>
              <w:jc w:val="center"/>
              <w:rPr>
                <w:rFonts w:ascii="Times New Roman" w:hAnsi="Times New Roman" w:cs="Times New Roman"/>
                <w:kern w:val="0"/>
                <w:sz w:val="24"/>
                <w:szCs w:val="24"/>
              </w:rPr>
            </w:pPr>
          </w:p>
        </w:tc>
        <w:tc>
          <w:tcPr>
            <w:tcW w:w="2551" w:type="dxa"/>
            <w:tcBorders>
              <w:tl2br w:val="nil"/>
              <w:tr2bl w:val="nil"/>
            </w:tcBorders>
            <w:shd w:val="clear" w:color="auto" w:fill="FFFFFF"/>
            <w:vAlign w:val="center"/>
          </w:tcPr>
          <w:p w14:paraId="047E01E0">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资金使用合规性</w:t>
            </w:r>
          </w:p>
        </w:tc>
        <w:tc>
          <w:tcPr>
            <w:tcW w:w="898" w:type="dxa"/>
            <w:tcBorders>
              <w:tl2br w:val="nil"/>
              <w:tr2bl w:val="nil"/>
            </w:tcBorders>
            <w:shd w:val="clear" w:color="000000" w:fill="FFFFFF"/>
            <w:vAlign w:val="center"/>
          </w:tcPr>
          <w:p w14:paraId="5E29EBDA">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898" w:type="dxa"/>
            <w:tcBorders>
              <w:tl2br w:val="nil"/>
              <w:tr2bl w:val="nil"/>
            </w:tcBorders>
            <w:shd w:val="clear" w:color="000000" w:fill="FFFFFF"/>
            <w:vAlign w:val="center"/>
          </w:tcPr>
          <w:p w14:paraId="761CC5B1">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1039" w:type="dxa"/>
            <w:tcBorders>
              <w:tl2br w:val="nil"/>
              <w:tr2bl w:val="nil"/>
            </w:tcBorders>
            <w:shd w:val="clear" w:color="000000" w:fill="FFFFFF"/>
            <w:vAlign w:val="center"/>
          </w:tcPr>
          <w:p w14:paraId="0D5432E1">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100%</w:t>
            </w:r>
          </w:p>
        </w:tc>
      </w:tr>
      <w:tr w14:paraId="7523E9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028B0843">
            <w:pPr>
              <w:spacing w:line="560" w:lineRule="exact"/>
              <w:ind w:firstLine="0" w:firstLineChars="0"/>
              <w:jc w:val="center"/>
              <w:rPr>
                <w:rFonts w:ascii="Times New Roman" w:hAnsi="Times New Roman" w:cs="Times New Roman"/>
                <w:kern w:val="0"/>
                <w:sz w:val="24"/>
                <w:szCs w:val="24"/>
              </w:rPr>
            </w:pPr>
          </w:p>
        </w:tc>
        <w:tc>
          <w:tcPr>
            <w:tcW w:w="2126" w:type="dxa"/>
            <w:vMerge w:val="restart"/>
            <w:tcBorders>
              <w:tl2br w:val="nil"/>
              <w:tr2bl w:val="nil"/>
            </w:tcBorders>
            <w:shd w:val="clear" w:color="auto" w:fill="FFFFFF"/>
            <w:vAlign w:val="center"/>
          </w:tcPr>
          <w:p w14:paraId="7D4D22AA">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组织实施</w:t>
            </w:r>
          </w:p>
        </w:tc>
        <w:tc>
          <w:tcPr>
            <w:tcW w:w="2551" w:type="dxa"/>
            <w:tcBorders>
              <w:tl2br w:val="nil"/>
              <w:tr2bl w:val="nil"/>
            </w:tcBorders>
            <w:shd w:val="clear" w:color="auto" w:fill="FFFFFF"/>
            <w:vAlign w:val="center"/>
          </w:tcPr>
          <w:p w14:paraId="4EC06CFB">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管理制度健全性</w:t>
            </w:r>
          </w:p>
        </w:tc>
        <w:tc>
          <w:tcPr>
            <w:tcW w:w="898" w:type="dxa"/>
            <w:tcBorders>
              <w:tl2br w:val="nil"/>
              <w:tr2bl w:val="nil"/>
            </w:tcBorders>
            <w:shd w:val="clear" w:color="000000" w:fill="FFFFFF"/>
            <w:vAlign w:val="center"/>
          </w:tcPr>
          <w:p w14:paraId="28F953AA">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898" w:type="dxa"/>
            <w:tcBorders>
              <w:tl2br w:val="nil"/>
              <w:tr2bl w:val="nil"/>
            </w:tcBorders>
            <w:shd w:val="clear" w:color="000000" w:fill="FFFFFF"/>
            <w:vAlign w:val="center"/>
          </w:tcPr>
          <w:p w14:paraId="5527D1AB">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1039" w:type="dxa"/>
            <w:tcBorders>
              <w:tl2br w:val="nil"/>
              <w:tr2bl w:val="nil"/>
            </w:tcBorders>
            <w:shd w:val="clear" w:color="000000" w:fill="FFFFFF"/>
            <w:vAlign w:val="center"/>
          </w:tcPr>
          <w:p w14:paraId="57229EA9">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100%</w:t>
            </w:r>
          </w:p>
        </w:tc>
      </w:tr>
      <w:tr w14:paraId="1A0C46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3EEF22A3">
            <w:pPr>
              <w:widowControl/>
              <w:spacing w:line="560" w:lineRule="exact"/>
              <w:ind w:firstLine="0" w:firstLineChars="0"/>
              <w:jc w:val="center"/>
              <w:rPr>
                <w:rFonts w:ascii="Times New Roman" w:hAnsi="Times New Roman" w:cs="Times New Roman"/>
                <w:kern w:val="0"/>
                <w:sz w:val="24"/>
                <w:szCs w:val="24"/>
              </w:rPr>
            </w:pPr>
          </w:p>
        </w:tc>
        <w:tc>
          <w:tcPr>
            <w:tcW w:w="2126" w:type="dxa"/>
            <w:vMerge w:val="continue"/>
            <w:tcBorders>
              <w:tl2br w:val="nil"/>
              <w:tr2bl w:val="nil"/>
            </w:tcBorders>
            <w:shd w:val="clear" w:color="auto" w:fill="FFFFFF"/>
            <w:vAlign w:val="center"/>
          </w:tcPr>
          <w:p w14:paraId="3A258144">
            <w:pPr>
              <w:widowControl/>
              <w:spacing w:line="560" w:lineRule="exact"/>
              <w:ind w:firstLine="0" w:firstLineChars="0"/>
              <w:jc w:val="center"/>
              <w:rPr>
                <w:rFonts w:ascii="Times New Roman" w:hAnsi="Times New Roman" w:cs="Times New Roman"/>
                <w:kern w:val="0"/>
                <w:sz w:val="24"/>
                <w:szCs w:val="24"/>
              </w:rPr>
            </w:pPr>
          </w:p>
        </w:tc>
        <w:tc>
          <w:tcPr>
            <w:tcW w:w="2551" w:type="dxa"/>
            <w:tcBorders>
              <w:tl2br w:val="nil"/>
              <w:tr2bl w:val="nil"/>
            </w:tcBorders>
            <w:shd w:val="clear" w:color="auto" w:fill="FFFFFF"/>
            <w:vAlign w:val="center"/>
          </w:tcPr>
          <w:p w14:paraId="73D5E85F">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制度执行有效性</w:t>
            </w:r>
          </w:p>
        </w:tc>
        <w:tc>
          <w:tcPr>
            <w:tcW w:w="898" w:type="dxa"/>
            <w:tcBorders>
              <w:tl2br w:val="nil"/>
              <w:tr2bl w:val="nil"/>
            </w:tcBorders>
            <w:shd w:val="clear" w:color="000000" w:fill="FFFFFF"/>
            <w:vAlign w:val="center"/>
          </w:tcPr>
          <w:p w14:paraId="7DBD7F4B">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898" w:type="dxa"/>
            <w:tcBorders>
              <w:tl2br w:val="nil"/>
              <w:tr2bl w:val="nil"/>
            </w:tcBorders>
            <w:shd w:val="clear" w:color="000000" w:fill="FFFFFF"/>
            <w:vAlign w:val="center"/>
          </w:tcPr>
          <w:p w14:paraId="571B5541">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1039" w:type="dxa"/>
            <w:tcBorders>
              <w:tl2br w:val="nil"/>
              <w:tr2bl w:val="nil"/>
            </w:tcBorders>
            <w:shd w:val="clear" w:color="000000" w:fill="FFFFFF"/>
            <w:vAlign w:val="center"/>
          </w:tcPr>
          <w:p w14:paraId="65D0EDC0">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100%</w:t>
            </w:r>
          </w:p>
        </w:tc>
      </w:tr>
      <w:tr w14:paraId="2857E3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8" w:hRule="atLeast"/>
          <w:jc w:val="center"/>
        </w:trPr>
        <w:tc>
          <w:tcPr>
            <w:tcW w:w="1550" w:type="dxa"/>
            <w:vMerge w:val="restart"/>
            <w:tcBorders>
              <w:tl2br w:val="nil"/>
              <w:tr2bl w:val="nil"/>
            </w:tcBorders>
            <w:shd w:val="clear" w:color="auto" w:fill="FFFFFF"/>
            <w:vAlign w:val="center"/>
          </w:tcPr>
          <w:p w14:paraId="7273C696">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产出</w:t>
            </w:r>
          </w:p>
        </w:tc>
        <w:tc>
          <w:tcPr>
            <w:tcW w:w="2126" w:type="dxa"/>
            <w:vMerge w:val="restart"/>
            <w:tcBorders>
              <w:tl2br w:val="nil"/>
              <w:tr2bl w:val="nil"/>
            </w:tcBorders>
            <w:shd w:val="clear" w:color="auto" w:fill="FFFFFF"/>
            <w:vAlign w:val="center"/>
          </w:tcPr>
          <w:p w14:paraId="527D3059">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产出数量</w:t>
            </w:r>
          </w:p>
        </w:tc>
        <w:tc>
          <w:tcPr>
            <w:tcW w:w="2551" w:type="dxa"/>
            <w:tcBorders>
              <w:tl2br w:val="nil"/>
              <w:tr2bl w:val="nil"/>
            </w:tcBorders>
            <w:shd w:val="clear" w:color="auto" w:fill="FFFFFF"/>
          </w:tcPr>
          <w:p w14:paraId="629C707C">
            <w:pPr>
              <w:widowControl/>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购置地震地质灾害救援类救援装备</w:t>
            </w:r>
          </w:p>
        </w:tc>
        <w:tc>
          <w:tcPr>
            <w:tcW w:w="898" w:type="dxa"/>
            <w:tcBorders>
              <w:tl2br w:val="nil"/>
              <w:tr2bl w:val="nil"/>
            </w:tcBorders>
            <w:shd w:val="clear" w:color="000000" w:fill="FFFFFF"/>
            <w:vAlign w:val="center"/>
          </w:tcPr>
          <w:p w14:paraId="189B8547">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898" w:type="dxa"/>
            <w:tcBorders>
              <w:tl2br w:val="nil"/>
              <w:tr2bl w:val="nil"/>
            </w:tcBorders>
            <w:shd w:val="clear" w:color="000000" w:fill="FFFFFF"/>
            <w:vAlign w:val="center"/>
          </w:tcPr>
          <w:p w14:paraId="47B4386C">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1039" w:type="dxa"/>
            <w:vMerge w:val="restart"/>
            <w:tcBorders>
              <w:tl2br w:val="nil"/>
              <w:tr2bl w:val="nil"/>
            </w:tcBorders>
            <w:shd w:val="clear" w:color="000000" w:fill="FFFFFF"/>
            <w:vAlign w:val="center"/>
          </w:tcPr>
          <w:p w14:paraId="0317DB74">
            <w:pPr>
              <w:widowControl/>
              <w:spacing w:line="560" w:lineRule="exact"/>
              <w:ind w:firstLine="0" w:firstLineChars="0"/>
              <w:jc w:val="center"/>
              <w:rPr>
                <w:rFonts w:ascii="Times New Roman" w:hAnsi="Times New Roman" w:cs="Times New Roman"/>
                <w:kern w:val="0"/>
                <w:sz w:val="24"/>
                <w:szCs w:val="24"/>
                <w:highlight w:val="yellow"/>
              </w:rPr>
            </w:pPr>
            <w:r>
              <w:rPr>
                <w:rFonts w:ascii="Times New Roman" w:hAnsi="Times New Roman" w:cs="Times New Roman"/>
                <w:kern w:val="0"/>
                <w:sz w:val="24"/>
                <w:szCs w:val="24"/>
              </w:rPr>
              <w:t>100%</w:t>
            </w:r>
          </w:p>
        </w:tc>
      </w:tr>
      <w:tr w14:paraId="2F39D1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6" w:hRule="atLeast"/>
          <w:jc w:val="center"/>
        </w:trPr>
        <w:tc>
          <w:tcPr>
            <w:tcW w:w="1550" w:type="dxa"/>
            <w:vMerge w:val="continue"/>
            <w:tcBorders>
              <w:tl2br w:val="nil"/>
              <w:tr2bl w:val="nil"/>
            </w:tcBorders>
            <w:shd w:val="clear" w:color="auto" w:fill="FFFFFF"/>
            <w:vAlign w:val="center"/>
          </w:tcPr>
          <w:p w14:paraId="3C157881">
            <w:pPr>
              <w:widowControl/>
              <w:spacing w:line="560" w:lineRule="exact"/>
              <w:ind w:firstLine="0" w:firstLineChars="0"/>
              <w:jc w:val="center"/>
              <w:rPr>
                <w:rFonts w:ascii="Times New Roman" w:hAnsi="Times New Roman" w:cs="Times New Roman"/>
                <w:kern w:val="0"/>
                <w:sz w:val="24"/>
                <w:szCs w:val="24"/>
              </w:rPr>
            </w:pPr>
          </w:p>
        </w:tc>
        <w:tc>
          <w:tcPr>
            <w:tcW w:w="2126" w:type="dxa"/>
            <w:vMerge w:val="continue"/>
            <w:tcBorders>
              <w:tl2br w:val="nil"/>
              <w:tr2bl w:val="nil"/>
            </w:tcBorders>
            <w:shd w:val="clear" w:color="auto" w:fill="FFFFFF"/>
            <w:vAlign w:val="center"/>
          </w:tcPr>
          <w:p w14:paraId="3C8F59DC">
            <w:pPr>
              <w:widowControl/>
              <w:spacing w:line="560" w:lineRule="exact"/>
              <w:ind w:firstLine="0" w:firstLineChars="0"/>
              <w:jc w:val="center"/>
              <w:rPr>
                <w:rFonts w:ascii="Times New Roman" w:hAnsi="Times New Roman" w:cs="Times New Roman"/>
                <w:kern w:val="0"/>
                <w:sz w:val="24"/>
                <w:szCs w:val="24"/>
              </w:rPr>
            </w:pPr>
          </w:p>
        </w:tc>
        <w:tc>
          <w:tcPr>
            <w:tcW w:w="2551" w:type="dxa"/>
            <w:tcBorders>
              <w:tl2br w:val="nil"/>
              <w:tr2bl w:val="nil"/>
            </w:tcBorders>
            <w:shd w:val="clear" w:color="auto" w:fill="FFFFFF"/>
          </w:tcPr>
          <w:p w14:paraId="6D026623">
            <w:pPr>
              <w:widowControl/>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购置抗洪抢险类救援装备</w:t>
            </w:r>
          </w:p>
        </w:tc>
        <w:tc>
          <w:tcPr>
            <w:tcW w:w="898" w:type="dxa"/>
            <w:tcBorders>
              <w:tl2br w:val="nil"/>
              <w:tr2bl w:val="nil"/>
            </w:tcBorders>
            <w:shd w:val="clear" w:color="000000" w:fill="FFFFFF"/>
            <w:vAlign w:val="center"/>
          </w:tcPr>
          <w:p w14:paraId="1A93082E">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898" w:type="dxa"/>
            <w:tcBorders>
              <w:tl2br w:val="nil"/>
              <w:tr2bl w:val="nil"/>
            </w:tcBorders>
            <w:shd w:val="clear" w:color="000000" w:fill="FFFFFF"/>
            <w:vAlign w:val="center"/>
          </w:tcPr>
          <w:p w14:paraId="55D03E65">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1039" w:type="dxa"/>
            <w:vMerge w:val="continue"/>
            <w:tcBorders>
              <w:tl2br w:val="nil"/>
              <w:tr2bl w:val="nil"/>
            </w:tcBorders>
            <w:shd w:val="clear" w:color="000000" w:fill="FFFFFF"/>
            <w:vAlign w:val="center"/>
          </w:tcPr>
          <w:p w14:paraId="5253BA85">
            <w:pPr>
              <w:widowControl/>
              <w:spacing w:line="560" w:lineRule="exact"/>
              <w:ind w:firstLine="0" w:firstLineChars="0"/>
              <w:jc w:val="center"/>
              <w:rPr>
                <w:rFonts w:ascii="Times New Roman" w:hAnsi="Times New Roman" w:cs="Times New Roman"/>
                <w:kern w:val="0"/>
                <w:sz w:val="24"/>
                <w:szCs w:val="24"/>
              </w:rPr>
            </w:pPr>
          </w:p>
        </w:tc>
      </w:tr>
      <w:tr w14:paraId="18CC9C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6" w:hRule="atLeast"/>
          <w:jc w:val="center"/>
        </w:trPr>
        <w:tc>
          <w:tcPr>
            <w:tcW w:w="1550" w:type="dxa"/>
            <w:vMerge w:val="continue"/>
            <w:tcBorders>
              <w:tl2br w:val="nil"/>
              <w:tr2bl w:val="nil"/>
            </w:tcBorders>
            <w:shd w:val="clear" w:color="auto" w:fill="FFFFFF"/>
            <w:vAlign w:val="center"/>
          </w:tcPr>
          <w:p w14:paraId="4DD56584">
            <w:pPr>
              <w:widowControl/>
              <w:spacing w:line="560" w:lineRule="exact"/>
              <w:ind w:firstLine="0" w:firstLineChars="0"/>
              <w:jc w:val="center"/>
              <w:rPr>
                <w:rFonts w:ascii="Times New Roman" w:hAnsi="Times New Roman" w:cs="Times New Roman"/>
                <w:kern w:val="0"/>
                <w:sz w:val="24"/>
                <w:szCs w:val="24"/>
              </w:rPr>
            </w:pPr>
          </w:p>
        </w:tc>
        <w:tc>
          <w:tcPr>
            <w:tcW w:w="2126" w:type="dxa"/>
            <w:vMerge w:val="continue"/>
            <w:tcBorders>
              <w:tl2br w:val="nil"/>
              <w:tr2bl w:val="nil"/>
            </w:tcBorders>
            <w:shd w:val="clear" w:color="auto" w:fill="FFFFFF"/>
            <w:vAlign w:val="center"/>
          </w:tcPr>
          <w:p w14:paraId="4A2F9BF6">
            <w:pPr>
              <w:widowControl/>
              <w:spacing w:line="560" w:lineRule="exact"/>
              <w:ind w:firstLine="0" w:firstLineChars="0"/>
              <w:jc w:val="center"/>
              <w:rPr>
                <w:rFonts w:ascii="Times New Roman" w:hAnsi="Times New Roman" w:cs="Times New Roman"/>
                <w:kern w:val="0"/>
                <w:sz w:val="24"/>
                <w:szCs w:val="24"/>
              </w:rPr>
            </w:pPr>
          </w:p>
        </w:tc>
        <w:tc>
          <w:tcPr>
            <w:tcW w:w="2551" w:type="dxa"/>
            <w:tcBorders>
              <w:tl2br w:val="nil"/>
              <w:tr2bl w:val="nil"/>
            </w:tcBorders>
            <w:shd w:val="clear" w:color="auto" w:fill="FFFFFF"/>
          </w:tcPr>
          <w:p w14:paraId="43F7AA84">
            <w:pPr>
              <w:widowControl/>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购置森林（草原）火灾扑救类救援装备</w:t>
            </w:r>
          </w:p>
        </w:tc>
        <w:tc>
          <w:tcPr>
            <w:tcW w:w="898" w:type="dxa"/>
            <w:tcBorders>
              <w:tl2br w:val="nil"/>
              <w:tr2bl w:val="nil"/>
            </w:tcBorders>
            <w:shd w:val="clear" w:color="000000" w:fill="FFFFFF"/>
            <w:vAlign w:val="center"/>
          </w:tcPr>
          <w:p w14:paraId="15F3E6E5">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898" w:type="dxa"/>
            <w:tcBorders>
              <w:tl2br w:val="nil"/>
              <w:tr2bl w:val="nil"/>
            </w:tcBorders>
            <w:shd w:val="clear" w:color="000000" w:fill="FFFFFF"/>
            <w:vAlign w:val="center"/>
          </w:tcPr>
          <w:p w14:paraId="454BEA31">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1039" w:type="dxa"/>
            <w:vMerge w:val="continue"/>
            <w:tcBorders>
              <w:tl2br w:val="nil"/>
              <w:tr2bl w:val="nil"/>
            </w:tcBorders>
            <w:shd w:val="clear" w:color="000000" w:fill="FFFFFF"/>
            <w:vAlign w:val="center"/>
          </w:tcPr>
          <w:p w14:paraId="554C674A">
            <w:pPr>
              <w:widowControl/>
              <w:spacing w:line="560" w:lineRule="exact"/>
              <w:ind w:firstLine="0" w:firstLineChars="0"/>
              <w:jc w:val="center"/>
              <w:rPr>
                <w:rFonts w:ascii="Times New Roman" w:hAnsi="Times New Roman" w:cs="Times New Roman"/>
                <w:kern w:val="0"/>
                <w:sz w:val="24"/>
                <w:szCs w:val="24"/>
              </w:rPr>
            </w:pPr>
          </w:p>
        </w:tc>
      </w:tr>
      <w:tr w14:paraId="14A4C2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6" w:hRule="atLeast"/>
          <w:jc w:val="center"/>
        </w:trPr>
        <w:tc>
          <w:tcPr>
            <w:tcW w:w="1550" w:type="dxa"/>
            <w:vMerge w:val="continue"/>
            <w:tcBorders>
              <w:tl2br w:val="nil"/>
              <w:tr2bl w:val="nil"/>
            </w:tcBorders>
            <w:shd w:val="clear" w:color="auto" w:fill="FFFFFF"/>
            <w:vAlign w:val="center"/>
          </w:tcPr>
          <w:p w14:paraId="7087A143">
            <w:pPr>
              <w:widowControl/>
              <w:spacing w:line="560" w:lineRule="exact"/>
              <w:ind w:firstLine="0" w:firstLineChars="0"/>
              <w:jc w:val="center"/>
              <w:rPr>
                <w:rFonts w:ascii="Times New Roman" w:hAnsi="Times New Roman" w:cs="Times New Roman"/>
                <w:kern w:val="0"/>
                <w:sz w:val="24"/>
                <w:szCs w:val="24"/>
              </w:rPr>
            </w:pPr>
          </w:p>
        </w:tc>
        <w:tc>
          <w:tcPr>
            <w:tcW w:w="2126" w:type="dxa"/>
            <w:vMerge w:val="continue"/>
            <w:tcBorders>
              <w:tl2br w:val="nil"/>
              <w:tr2bl w:val="nil"/>
            </w:tcBorders>
            <w:shd w:val="clear" w:color="auto" w:fill="FFFFFF"/>
            <w:vAlign w:val="center"/>
          </w:tcPr>
          <w:p w14:paraId="62A8CDC1">
            <w:pPr>
              <w:widowControl/>
              <w:spacing w:line="560" w:lineRule="exact"/>
              <w:ind w:firstLine="0" w:firstLineChars="0"/>
              <w:jc w:val="center"/>
              <w:rPr>
                <w:rFonts w:ascii="Times New Roman" w:hAnsi="Times New Roman" w:cs="Times New Roman"/>
                <w:kern w:val="0"/>
                <w:sz w:val="24"/>
                <w:szCs w:val="24"/>
              </w:rPr>
            </w:pPr>
          </w:p>
        </w:tc>
        <w:tc>
          <w:tcPr>
            <w:tcW w:w="2551" w:type="dxa"/>
            <w:tcBorders>
              <w:tl2br w:val="nil"/>
              <w:tr2bl w:val="nil"/>
            </w:tcBorders>
            <w:shd w:val="clear" w:color="auto" w:fill="FFFFFF"/>
          </w:tcPr>
          <w:p w14:paraId="2F4CB6E5">
            <w:pPr>
              <w:widowControl/>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购置水域救援类救援装备</w:t>
            </w:r>
          </w:p>
        </w:tc>
        <w:tc>
          <w:tcPr>
            <w:tcW w:w="898" w:type="dxa"/>
            <w:tcBorders>
              <w:tl2br w:val="nil"/>
              <w:tr2bl w:val="nil"/>
            </w:tcBorders>
            <w:shd w:val="clear" w:color="000000" w:fill="FFFFFF"/>
            <w:vAlign w:val="center"/>
          </w:tcPr>
          <w:p w14:paraId="5ED5F26D">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898" w:type="dxa"/>
            <w:tcBorders>
              <w:tl2br w:val="nil"/>
              <w:tr2bl w:val="nil"/>
            </w:tcBorders>
            <w:shd w:val="clear" w:color="000000" w:fill="FFFFFF"/>
            <w:vAlign w:val="center"/>
          </w:tcPr>
          <w:p w14:paraId="629CCE4F">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1039" w:type="dxa"/>
            <w:vMerge w:val="continue"/>
            <w:tcBorders>
              <w:tl2br w:val="nil"/>
              <w:tr2bl w:val="nil"/>
            </w:tcBorders>
            <w:shd w:val="clear" w:color="000000" w:fill="FFFFFF"/>
            <w:vAlign w:val="center"/>
          </w:tcPr>
          <w:p w14:paraId="012BD08E">
            <w:pPr>
              <w:widowControl/>
              <w:spacing w:line="560" w:lineRule="exact"/>
              <w:ind w:firstLine="0" w:firstLineChars="0"/>
              <w:jc w:val="center"/>
              <w:rPr>
                <w:rFonts w:ascii="Times New Roman" w:hAnsi="Times New Roman" w:cs="Times New Roman"/>
                <w:kern w:val="0"/>
                <w:sz w:val="24"/>
                <w:szCs w:val="24"/>
              </w:rPr>
            </w:pPr>
          </w:p>
        </w:tc>
      </w:tr>
      <w:tr w14:paraId="2DB997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6" w:hRule="atLeast"/>
          <w:jc w:val="center"/>
        </w:trPr>
        <w:tc>
          <w:tcPr>
            <w:tcW w:w="1550" w:type="dxa"/>
            <w:vMerge w:val="continue"/>
            <w:tcBorders>
              <w:tl2br w:val="nil"/>
              <w:tr2bl w:val="nil"/>
            </w:tcBorders>
            <w:shd w:val="clear" w:color="auto" w:fill="FFFFFF"/>
            <w:vAlign w:val="center"/>
          </w:tcPr>
          <w:p w14:paraId="5FFF5FB8">
            <w:pPr>
              <w:widowControl/>
              <w:spacing w:line="560" w:lineRule="exact"/>
              <w:ind w:firstLine="0" w:firstLineChars="0"/>
              <w:jc w:val="center"/>
              <w:rPr>
                <w:rFonts w:ascii="Times New Roman" w:hAnsi="Times New Roman" w:cs="Times New Roman"/>
                <w:kern w:val="0"/>
                <w:sz w:val="24"/>
                <w:szCs w:val="24"/>
              </w:rPr>
            </w:pPr>
          </w:p>
        </w:tc>
        <w:tc>
          <w:tcPr>
            <w:tcW w:w="2126" w:type="dxa"/>
            <w:vMerge w:val="continue"/>
            <w:tcBorders>
              <w:tl2br w:val="nil"/>
              <w:tr2bl w:val="nil"/>
            </w:tcBorders>
            <w:shd w:val="clear" w:color="auto" w:fill="FFFFFF"/>
            <w:vAlign w:val="center"/>
          </w:tcPr>
          <w:p w14:paraId="20E5DEE6">
            <w:pPr>
              <w:widowControl/>
              <w:spacing w:line="560" w:lineRule="exact"/>
              <w:ind w:firstLine="0" w:firstLineChars="0"/>
              <w:jc w:val="center"/>
              <w:rPr>
                <w:rFonts w:ascii="Times New Roman" w:hAnsi="Times New Roman" w:cs="Times New Roman"/>
                <w:kern w:val="0"/>
                <w:sz w:val="24"/>
                <w:szCs w:val="24"/>
              </w:rPr>
            </w:pPr>
          </w:p>
        </w:tc>
        <w:tc>
          <w:tcPr>
            <w:tcW w:w="2551" w:type="dxa"/>
            <w:tcBorders>
              <w:tl2br w:val="nil"/>
              <w:tr2bl w:val="nil"/>
            </w:tcBorders>
            <w:shd w:val="clear" w:color="auto" w:fill="FFFFFF"/>
          </w:tcPr>
          <w:p w14:paraId="34806A63">
            <w:pPr>
              <w:widowControl/>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购置综合保障类救援装备</w:t>
            </w:r>
          </w:p>
        </w:tc>
        <w:tc>
          <w:tcPr>
            <w:tcW w:w="898" w:type="dxa"/>
            <w:tcBorders>
              <w:tl2br w:val="nil"/>
              <w:tr2bl w:val="nil"/>
            </w:tcBorders>
            <w:shd w:val="clear" w:color="000000" w:fill="FFFFFF"/>
            <w:vAlign w:val="center"/>
          </w:tcPr>
          <w:p w14:paraId="248A5A37">
            <w:pPr>
              <w:widowControl/>
              <w:spacing w:line="560" w:lineRule="exact"/>
              <w:ind w:firstLine="0" w:firstLineChars="0"/>
              <w:jc w:val="center"/>
              <w:rPr>
                <w:rFonts w:hint="eastAsia" w:ascii="Times New Roman" w:hAnsi="Times New Roman" w:eastAsia="仿宋_GB2312" w:cs="Times New Roman"/>
                <w:kern w:val="0"/>
                <w:sz w:val="24"/>
                <w:szCs w:val="24"/>
                <w:lang w:eastAsia="zh-CN"/>
              </w:rPr>
            </w:pPr>
            <w:r>
              <w:rPr>
                <w:rFonts w:hint="eastAsia" w:ascii="Times New Roman" w:hAnsi="Times New Roman" w:cs="Times New Roman"/>
                <w:kern w:val="0"/>
                <w:sz w:val="24"/>
                <w:szCs w:val="24"/>
                <w:lang w:val="en-US" w:eastAsia="zh-CN"/>
              </w:rPr>
              <w:t>5</w:t>
            </w:r>
          </w:p>
        </w:tc>
        <w:tc>
          <w:tcPr>
            <w:tcW w:w="898" w:type="dxa"/>
            <w:tcBorders>
              <w:tl2br w:val="nil"/>
              <w:tr2bl w:val="nil"/>
            </w:tcBorders>
            <w:shd w:val="clear" w:color="000000" w:fill="FFFFFF"/>
            <w:vAlign w:val="center"/>
          </w:tcPr>
          <w:p w14:paraId="116D9490">
            <w:pPr>
              <w:widowControl/>
              <w:spacing w:line="560" w:lineRule="exact"/>
              <w:ind w:firstLine="0" w:firstLineChars="0"/>
              <w:jc w:val="center"/>
              <w:rPr>
                <w:rFonts w:hint="eastAsia" w:ascii="Times New Roman" w:hAnsi="Times New Roman" w:eastAsia="仿宋_GB2312" w:cs="Times New Roman"/>
                <w:kern w:val="0"/>
                <w:sz w:val="24"/>
                <w:szCs w:val="24"/>
                <w:lang w:eastAsia="zh-CN"/>
              </w:rPr>
            </w:pPr>
            <w:r>
              <w:rPr>
                <w:rFonts w:hint="eastAsia" w:ascii="Times New Roman" w:hAnsi="Times New Roman" w:cs="Times New Roman"/>
                <w:kern w:val="0"/>
                <w:sz w:val="24"/>
                <w:szCs w:val="24"/>
                <w:lang w:val="en-US" w:eastAsia="zh-CN"/>
              </w:rPr>
              <w:t>5</w:t>
            </w:r>
          </w:p>
        </w:tc>
        <w:tc>
          <w:tcPr>
            <w:tcW w:w="1039" w:type="dxa"/>
            <w:vMerge w:val="continue"/>
            <w:tcBorders>
              <w:tl2br w:val="nil"/>
              <w:tr2bl w:val="nil"/>
            </w:tcBorders>
            <w:shd w:val="clear" w:color="000000" w:fill="FFFFFF"/>
            <w:vAlign w:val="center"/>
          </w:tcPr>
          <w:p w14:paraId="06363CB4">
            <w:pPr>
              <w:widowControl/>
              <w:spacing w:line="560" w:lineRule="exact"/>
              <w:ind w:firstLine="0" w:firstLineChars="0"/>
              <w:jc w:val="center"/>
              <w:rPr>
                <w:rFonts w:ascii="Times New Roman" w:hAnsi="Times New Roman" w:cs="Times New Roman"/>
                <w:kern w:val="0"/>
                <w:sz w:val="24"/>
                <w:szCs w:val="24"/>
              </w:rPr>
            </w:pPr>
          </w:p>
        </w:tc>
      </w:tr>
      <w:tr w14:paraId="5C04CD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0000F44C">
            <w:pPr>
              <w:widowControl/>
              <w:spacing w:line="560" w:lineRule="exact"/>
              <w:ind w:firstLine="0" w:firstLineChars="0"/>
              <w:jc w:val="center"/>
              <w:rPr>
                <w:rFonts w:ascii="Times New Roman" w:hAnsi="Times New Roman" w:cs="Times New Roman"/>
                <w:kern w:val="0"/>
                <w:sz w:val="24"/>
                <w:szCs w:val="24"/>
              </w:rPr>
            </w:pPr>
          </w:p>
        </w:tc>
        <w:tc>
          <w:tcPr>
            <w:tcW w:w="2126" w:type="dxa"/>
            <w:tcBorders>
              <w:tl2br w:val="nil"/>
              <w:tr2bl w:val="nil"/>
            </w:tcBorders>
            <w:shd w:val="clear" w:color="auto" w:fill="FFFFFF"/>
            <w:vAlign w:val="center"/>
          </w:tcPr>
          <w:p w14:paraId="495A478A">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产出质量</w:t>
            </w:r>
          </w:p>
        </w:tc>
        <w:tc>
          <w:tcPr>
            <w:tcW w:w="2551" w:type="dxa"/>
            <w:tcBorders>
              <w:tl2br w:val="nil"/>
              <w:tr2bl w:val="nil"/>
            </w:tcBorders>
            <w:shd w:val="clear" w:color="auto" w:fill="FFFFFF"/>
            <w:vAlign w:val="center"/>
          </w:tcPr>
          <w:p w14:paraId="080B3C56">
            <w:pPr>
              <w:widowControl/>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设备验收合格率</w:t>
            </w:r>
          </w:p>
        </w:tc>
        <w:tc>
          <w:tcPr>
            <w:tcW w:w="898" w:type="dxa"/>
            <w:tcBorders>
              <w:tl2br w:val="nil"/>
              <w:tr2bl w:val="nil"/>
            </w:tcBorders>
            <w:shd w:val="clear" w:color="000000" w:fill="FFFFFF"/>
            <w:vAlign w:val="center"/>
          </w:tcPr>
          <w:p w14:paraId="46BFD971">
            <w:pPr>
              <w:widowControl/>
              <w:spacing w:line="560" w:lineRule="exact"/>
              <w:ind w:firstLine="0" w:firstLineChars="0"/>
              <w:jc w:val="center"/>
              <w:rPr>
                <w:rFonts w:hint="eastAsia" w:ascii="Times New Roman" w:hAnsi="Times New Roman" w:eastAsia="仿宋_GB2312" w:cs="Times New Roman"/>
                <w:kern w:val="0"/>
                <w:sz w:val="24"/>
                <w:szCs w:val="24"/>
                <w:lang w:eastAsia="zh-CN"/>
              </w:rPr>
            </w:pPr>
            <w:r>
              <w:rPr>
                <w:rFonts w:hint="eastAsia" w:ascii="Times New Roman" w:hAnsi="Times New Roman" w:cs="Times New Roman"/>
                <w:kern w:val="0"/>
                <w:sz w:val="24"/>
                <w:szCs w:val="24"/>
                <w:lang w:val="en-US" w:eastAsia="zh-CN"/>
              </w:rPr>
              <w:t>5</w:t>
            </w:r>
          </w:p>
        </w:tc>
        <w:tc>
          <w:tcPr>
            <w:tcW w:w="898" w:type="dxa"/>
            <w:tcBorders>
              <w:tl2br w:val="nil"/>
              <w:tr2bl w:val="nil"/>
            </w:tcBorders>
            <w:shd w:val="clear" w:color="000000" w:fill="FFFFFF"/>
            <w:vAlign w:val="center"/>
          </w:tcPr>
          <w:p w14:paraId="3A88F967">
            <w:pPr>
              <w:widowControl/>
              <w:spacing w:line="560" w:lineRule="exact"/>
              <w:ind w:firstLine="0" w:firstLineChars="0"/>
              <w:jc w:val="center"/>
              <w:rPr>
                <w:rFonts w:ascii="Times New Roman" w:hAnsi="Times New Roman" w:cs="Times New Roman"/>
                <w:kern w:val="0"/>
                <w:sz w:val="24"/>
                <w:szCs w:val="24"/>
              </w:rPr>
            </w:pPr>
            <w:r>
              <w:rPr>
                <w:rFonts w:hint="eastAsia" w:ascii="Times New Roman" w:hAnsi="Times New Roman" w:cs="Times New Roman"/>
                <w:kern w:val="0"/>
                <w:sz w:val="24"/>
                <w:szCs w:val="24"/>
                <w:lang w:val="en-US" w:eastAsia="zh-CN"/>
              </w:rPr>
              <w:t>4</w:t>
            </w:r>
            <w:r>
              <w:rPr>
                <w:rFonts w:ascii="Times New Roman" w:hAnsi="Times New Roman" w:cs="Times New Roman"/>
                <w:kern w:val="0"/>
                <w:sz w:val="24"/>
                <w:szCs w:val="24"/>
              </w:rPr>
              <w:t>.99</w:t>
            </w:r>
          </w:p>
        </w:tc>
        <w:tc>
          <w:tcPr>
            <w:tcW w:w="1039" w:type="dxa"/>
            <w:tcBorders>
              <w:tl2br w:val="nil"/>
              <w:tr2bl w:val="nil"/>
            </w:tcBorders>
            <w:shd w:val="clear" w:color="000000" w:fill="FFFFFF"/>
            <w:vAlign w:val="center"/>
          </w:tcPr>
          <w:p w14:paraId="0A0AE3EB">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99.9%</w:t>
            </w:r>
          </w:p>
        </w:tc>
      </w:tr>
      <w:tr w14:paraId="06A588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jc w:val="center"/>
        </w:trPr>
        <w:tc>
          <w:tcPr>
            <w:tcW w:w="1550" w:type="dxa"/>
            <w:vMerge w:val="continue"/>
            <w:tcBorders>
              <w:tl2br w:val="nil"/>
              <w:tr2bl w:val="nil"/>
            </w:tcBorders>
            <w:shd w:val="clear" w:color="auto" w:fill="FFFFFF"/>
            <w:vAlign w:val="center"/>
          </w:tcPr>
          <w:p w14:paraId="3BAE674A">
            <w:pPr>
              <w:spacing w:line="560" w:lineRule="exact"/>
              <w:ind w:firstLine="0" w:firstLineChars="0"/>
              <w:jc w:val="center"/>
              <w:rPr>
                <w:rFonts w:ascii="Times New Roman" w:hAnsi="Times New Roman" w:cs="Times New Roman"/>
                <w:kern w:val="0"/>
                <w:sz w:val="24"/>
                <w:szCs w:val="24"/>
              </w:rPr>
            </w:pPr>
          </w:p>
        </w:tc>
        <w:tc>
          <w:tcPr>
            <w:tcW w:w="2126" w:type="dxa"/>
            <w:tcBorders>
              <w:tl2br w:val="nil"/>
              <w:tr2bl w:val="nil"/>
            </w:tcBorders>
            <w:shd w:val="clear" w:color="auto" w:fill="FFFFFF"/>
            <w:vAlign w:val="center"/>
          </w:tcPr>
          <w:p w14:paraId="572086B4">
            <w:pPr>
              <w:widowControl/>
              <w:spacing w:line="560" w:lineRule="exact"/>
              <w:ind w:firstLine="0" w:firstLineChars="0"/>
              <w:jc w:val="center"/>
              <w:rPr>
                <w:rFonts w:ascii="Times New Roman" w:hAnsi="Times New Roman" w:cs="Times New Roman"/>
                <w:kern w:val="0"/>
                <w:sz w:val="24"/>
                <w:szCs w:val="24"/>
                <w:highlight w:val="yellow"/>
              </w:rPr>
            </w:pPr>
            <w:r>
              <w:rPr>
                <w:rFonts w:ascii="Times New Roman" w:hAnsi="Times New Roman" w:cs="Times New Roman"/>
                <w:kern w:val="0"/>
                <w:sz w:val="24"/>
                <w:szCs w:val="24"/>
                <w:highlight w:val="none"/>
              </w:rPr>
              <w:t>产出时效</w:t>
            </w:r>
          </w:p>
        </w:tc>
        <w:tc>
          <w:tcPr>
            <w:tcW w:w="2551" w:type="dxa"/>
            <w:tcBorders>
              <w:tl2br w:val="nil"/>
              <w:tr2bl w:val="nil"/>
            </w:tcBorders>
            <w:shd w:val="clear" w:color="auto" w:fill="FFFFFF"/>
            <w:vAlign w:val="center"/>
          </w:tcPr>
          <w:p w14:paraId="321431AE">
            <w:pPr>
              <w:widowControl/>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采购完成及时率</w:t>
            </w:r>
          </w:p>
        </w:tc>
        <w:tc>
          <w:tcPr>
            <w:tcW w:w="898" w:type="dxa"/>
            <w:tcBorders>
              <w:tl2br w:val="nil"/>
              <w:tr2bl w:val="nil"/>
            </w:tcBorders>
            <w:shd w:val="clear" w:color="000000" w:fill="FFFFFF"/>
            <w:vAlign w:val="center"/>
          </w:tcPr>
          <w:p w14:paraId="2C02D7C4">
            <w:pPr>
              <w:widowControl/>
              <w:spacing w:line="560" w:lineRule="exact"/>
              <w:ind w:firstLine="0" w:firstLineChars="0"/>
              <w:jc w:val="center"/>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5</w:t>
            </w:r>
          </w:p>
        </w:tc>
        <w:tc>
          <w:tcPr>
            <w:tcW w:w="898" w:type="dxa"/>
            <w:tcBorders>
              <w:tl2br w:val="nil"/>
              <w:tr2bl w:val="nil"/>
            </w:tcBorders>
            <w:shd w:val="clear" w:color="000000" w:fill="FFFFFF"/>
            <w:vAlign w:val="center"/>
          </w:tcPr>
          <w:p w14:paraId="3D5B1F12">
            <w:pPr>
              <w:widowControl/>
              <w:spacing w:line="560" w:lineRule="exact"/>
              <w:ind w:firstLine="0" w:firstLineChars="0"/>
              <w:jc w:val="center"/>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5</w:t>
            </w:r>
          </w:p>
        </w:tc>
        <w:tc>
          <w:tcPr>
            <w:tcW w:w="1039" w:type="dxa"/>
            <w:tcBorders>
              <w:tl2br w:val="nil"/>
              <w:tr2bl w:val="nil"/>
            </w:tcBorders>
            <w:shd w:val="clear" w:color="000000" w:fill="FFFFFF"/>
            <w:vAlign w:val="center"/>
          </w:tcPr>
          <w:p w14:paraId="79798336">
            <w:pPr>
              <w:widowControl/>
              <w:spacing w:line="560" w:lineRule="exact"/>
              <w:ind w:firstLine="0" w:firstLineChars="0"/>
              <w:jc w:val="center"/>
              <w:rPr>
                <w:rFonts w:hint="default"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100%</w:t>
            </w:r>
          </w:p>
        </w:tc>
      </w:tr>
      <w:tr w14:paraId="7A019E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jc w:val="center"/>
        </w:trPr>
        <w:tc>
          <w:tcPr>
            <w:tcW w:w="1550" w:type="dxa"/>
            <w:vMerge w:val="continue"/>
            <w:tcBorders>
              <w:tl2br w:val="nil"/>
              <w:tr2bl w:val="nil"/>
            </w:tcBorders>
            <w:shd w:val="clear" w:color="auto" w:fill="FFFFFF"/>
            <w:vAlign w:val="center"/>
          </w:tcPr>
          <w:p w14:paraId="1A3F1FB9">
            <w:pPr>
              <w:spacing w:line="560" w:lineRule="exact"/>
              <w:ind w:firstLine="0" w:firstLineChars="0"/>
              <w:jc w:val="center"/>
              <w:rPr>
                <w:rFonts w:ascii="Times New Roman" w:hAnsi="Times New Roman" w:cs="Times New Roman"/>
                <w:kern w:val="0"/>
                <w:sz w:val="24"/>
                <w:szCs w:val="24"/>
              </w:rPr>
            </w:pPr>
          </w:p>
        </w:tc>
        <w:tc>
          <w:tcPr>
            <w:tcW w:w="2126" w:type="dxa"/>
            <w:vMerge w:val="restart"/>
            <w:tcBorders>
              <w:tl2br w:val="nil"/>
              <w:tr2bl w:val="nil"/>
            </w:tcBorders>
            <w:shd w:val="clear" w:color="auto" w:fill="FFFFFF"/>
            <w:vAlign w:val="center"/>
          </w:tcPr>
          <w:p w14:paraId="6458CB7F">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产出成本</w:t>
            </w:r>
          </w:p>
        </w:tc>
        <w:tc>
          <w:tcPr>
            <w:tcW w:w="2551" w:type="dxa"/>
            <w:tcBorders>
              <w:tl2br w:val="nil"/>
              <w:tr2bl w:val="nil"/>
            </w:tcBorders>
            <w:shd w:val="clear" w:color="auto" w:fill="FFFFFF"/>
            <w:vAlign w:val="center"/>
          </w:tcPr>
          <w:p w14:paraId="3064D67A">
            <w:pPr>
              <w:widowControl/>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县级应急救援队装备成本</w:t>
            </w:r>
          </w:p>
        </w:tc>
        <w:tc>
          <w:tcPr>
            <w:tcW w:w="898" w:type="dxa"/>
            <w:tcBorders>
              <w:tl2br w:val="nil"/>
              <w:tr2bl w:val="nil"/>
            </w:tcBorders>
            <w:shd w:val="clear" w:color="000000" w:fill="FFFFFF"/>
            <w:vAlign w:val="center"/>
          </w:tcPr>
          <w:p w14:paraId="322C744D">
            <w:pPr>
              <w:widowControl/>
              <w:spacing w:line="560" w:lineRule="exact"/>
              <w:ind w:firstLine="0" w:firstLineChars="0"/>
              <w:jc w:val="center"/>
              <w:rPr>
                <w:rFonts w:hint="eastAsia" w:ascii="Times New Roman" w:hAnsi="Times New Roman" w:eastAsia="仿宋_GB2312" w:cs="Times New Roman"/>
                <w:kern w:val="0"/>
                <w:sz w:val="24"/>
                <w:szCs w:val="24"/>
                <w:lang w:eastAsia="zh-CN"/>
              </w:rPr>
            </w:pPr>
            <w:r>
              <w:rPr>
                <w:rFonts w:hint="eastAsia" w:ascii="Times New Roman" w:hAnsi="Times New Roman" w:cs="Times New Roman"/>
                <w:kern w:val="0"/>
                <w:sz w:val="24"/>
                <w:szCs w:val="24"/>
                <w:lang w:val="en-US" w:eastAsia="zh-CN"/>
              </w:rPr>
              <w:t>5</w:t>
            </w:r>
          </w:p>
        </w:tc>
        <w:tc>
          <w:tcPr>
            <w:tcW w:w="898" w:type="dxa"/>
            <w:tcBorders>
              <w:tl2br w:val="nil"/>
              <w:tr2bl w:val="nil"/>
            </w:tcBorders>
            <w:shd w:val="clear" w:color="000000" w:fill="FFFFFF"/>
            <w:vAlign w:val="center"/>
          </w:tcPr>
          <w:p w14:paraId="50DD693D">
            <w:pPr>
              <w:widowControl/>
              <w:spacing w:line="560" w:lineRule="exact"/>
              <w:ind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cs="Times New Roman"/>
                <w:kern w:val="0"/>
                <w:sz w:val="24"/>
                <w:szCs w:val="24"/>
                <w:lang w:val="en-US" w:eastAsia="zh-CN"/>
              </w:rPr>
              <w:t>4.7</w:t>
            </w:r>
          </w:p>
        </w:tc>
        <w:tc>
          <w:tcPr>
            <w:tcW w:w="1039" w:type="dxa"/>
            <w:tcBorders>
              <w:tl2br w:val="nil"/>
              <w:tr2bl w:val="nil"/>
            </w:tcBorders>
            <w:shd w:val="clear" w:color="000000" w:fill="FFFFFF"/>
            <w:vAlign w:val="center"/>
          </w:tcPr>
          <w:p w14:paraId="4D729733">
            <w:pPr>
              <w:widowControl/>
              <w:spacing w:line="560" w:lineRule="exact"/>
              <w:ind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cs="Times New Roman"/>
                <w:kern w:val="0"/>
                <w:sz w:val="24"/>
                <w:szCs w:val="24"/>
                <w:lang w:val="en-US" w:eastAsia="zh-CN"/>
              </w:rPr>
              <w:t>93.99%</w:t>
            </w:r>
          </w:p>
        </w:tc>
      </w:tr>
      <w:tr w14:paraId="181B02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5BE4861D">
            <w:pPr>
              <w:widowControl/>
              <w:spacing w:line="560" w:lineRule="exact"/>
              <w:ind w:firstLine="0" w:firstLineChars="0"/>
              <w:jc w:val="center"/>
              <w:rPr>
                <w:rFonts w:ascii="Times New Roman" w:hAnsi="Times New Roman" w:cs="Times New Roman"/>
                <w:kern w:val="0"/>
                <w:sz w:val="24"/>
                <w:szCs w:val="24"/>
              </w:rPr>
            </w:pPr>
          </w:p>
        </w:tc>
        <w:tc>
          <w:tcPr>
            <w:tcW w:w="2126" w:type="dxa"/>
            <w:vMerge w:val="continue"/>
            <w:tcBorders>
              <w:tl2br w:val="nil"/>
              <w:tr2bl w:val="nil"/>
            </w:tcBorders>
            <w:shd w:val="clear" w:color="auto" w:fill="FFFFFF"/>
            <w:vAlign w:val="center"/>
          </w:tcPr>
          <w:p w14:paraId="13BFB9C1">
            <w:pPr>
              <w:widowControl/>
              <w:spacing w:line="560" w:lineRule="exact"/>
              <w:ind w:firstLine="0" w:firstLineChars="0"/>
              <w:jc w:val="center"/>
              <w:rPr>
                <w:rFonts w:ascii="Times New Roman" w:hAnsi="Times New Roman" w:cs="Times New Roman"/>
                <w:kern w:val="0"/>
                <w:sz w:val="24"/>
                <w:szCs w:val="24"/>
              </w:rPr>
            </w:pPr>
          </w:p>
        </w:tc>
        <w:tc>
          <w:tcPr>
            <w:tcW w:w="2551" w:type="dxa"/>
            <w:tcBorders>
              <w:tl2br w:val="nil"/>
              <w:tr2bl w:val="nil"/>
            </w:tcBorders>
            <w:shd w:val="clear" w:color="auto" w:fill="FFFFFF"/>
            <w:vAlign w:val="center"/>
          </w:tcPr>
          <w:p w14:paraId="7459BCB9">
            <w:pPr>
              <w:widowControl/>
              <w:ind w:firstLine="0" w:firstLineChars="0"/>
              <w:jc w:val="center"/>
              <w:rPr>
                <w:rFonts w:ascii="Times New Roman" w:hAnsi="Times New Roman" w:eastAsia="仿宋_GB2312" w:cs="Times New Roman"/>
                <w:kern w:val="0"/>
                <w:sz w:val="24"/>
                <w:szCs w:val="24"/>
                <w:lang w:val="en-US" w:eastAsia="zh-CN" w:bidi="ar-SA"/>
              </w:rPr>
            </w:pPr>
            <w:r>
              <w:rPr>
                <w:rFonts w:ascii="Times New Roman" w:hAnsi="Times New Roman" w:cs="Times New Roman"/>
                <w:kern w:val="0"/>
                <w:sz w:val="24"/>
                <w:szCs w:val="24"/>
              </w:rPr>
              <w:t>乡镇应急救援队装备成本</w:t>
            </w:r>
          </w:p>
        </w:tc>
        <w:tc>
          <w:tcPr>
            <w:tcW w:w="898" w:type="dxa"/>
            <w:tcBorders>
              <w:tl2br w:val="nil"/>
              <w:tr2bl w:val="nil"/>
            </w:tcBorders>
            <w:shd w:val="clear" w:color="000000" w:fill="FFFFFF"/>
            <w:vAlign w:val="center"/>
          </w:tcPr>
          <w:p w14:paraId="1E772BDF">
            <w:pPr>
              <w:widowControl/>
              <w:spacing w:line="560" w:lineRule="exact"/>
              <w:ind w:firstLine="0" w:firstLineChars="0"/>
              <w:jc w:val="center"/>
              <w:rPr>
                <w:rFonts w:hint="eastAsia" w:ascii="Times New Roman" w:hAnsi="Times New Roman" w:eastAsia="仿宋_GB2312" w:cs="Times New Roman"/>
                <w:kern w:val="0"/>
                <w:sz w:val="24"/>
                <w:szCs w:val="24"/>
                <w:lang w:val="en-US" w:eastAsia="zh-CN" w:bidi="ar-SA"/>
              </w:rPr>
            </w:pPr>
            <w:r>
              <w:rPr>
                <w:rFonts w:hint="eastAsia" w:ascii="Times New Roman" w:hAnsi="Times New Roman" w:cs="Times New Roman"/>
                <w:kern w:val="0"/>
                <w:sz w:val="24"/>
                <w:szCs w:val="24"/>
                <w:lang w:val="en-US" w:eastAsia="zh-CN"/>
              </w:rPr>
              <w:t>5</w:t>
            </w:r>
          </w:p>
        </w:tc>
        <w:tc>
          <w:tcPr>
            <w:tcW w:w="898" w:type="dxa"/>
            <w:tcBorders>
              <w:tl2br w:val="nil"/>
              <w:tr2bl w:val="nil"/>
            </w:tcBorders>
            <w:shd w:val="clear" w:color="000000" w:fill="FFFFFF"/>
            <w:vAlign w:val="center"/>
          </w:tcPr>
          <w:p w14:paraId="5AFE8ACA">
            <w:pPr>
              <w:widowControl/>
              <w:spacing w:line="560" w:lineRule="exact"/>
              <w:ind w:firstLine="0" w:firstLineChars="0"/>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4.41</w:t>
            </w:r>
          </w:p>
        </w:tc>
        <w:tc>
          <w:tcPr>
            <w:tcW w:w="1039" w:type="dxa"/>
            <w:tcBorders>
              <w:tl2br w:val="nil"/>
              <w:tr2bl w:val="nil"/>
            </w:tcBorders>
            <w:shd w:val="clear" w:color="000000" w:fill="FFFFFF"/>
            <w:vAlign w:val="center"/>
          </w:tcPr>
          <w:p w14:paraId="6C18B215">
            <w:pPr>
              <w:widowControl/>
              <w:spacing w:line="560" w:lineRule="exact"/>
              <w:ind w:firstLine="0" w:firstLineChars="0"/>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88.14%</w:t>
            </w:r>
          </w:p>
        </w:tc>
      </w:tr>
      <w:tr w14:paraId="7E9CA4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restart"/>
            <w:tcBorders>
              <w:tl2br w:val="nil"/>
              <w:tr2bl w:val="nil"/>
            </w:tcBorders>
            <w:shd w:val="clear" w:color="auto" w:fill="FFFFFF"/>
            <w:vAlign w:val="center"/>
          </w:tcPr>
          <w:p w14:paraId="29AFF8E9">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效益</w:t>
            </w:r>
          </w:p>
        </w:tc>
        <w:tc>
          <w:tcPr>
            <w:tcW w:w="2126" w:type="dxa"/>
            <w:vMerge w:val="restart"/>
            <w:tcBorders>
              <w:tl2br w:val="nil"/>
              <w:tr2bl w:val="nil"/>
            </w:tcBorders>
            <w:shd w:val="clear" w:color="auto" w:fill="FFFFFF"/>
            <w:vAlign w:val="center"/>
          </w:tcPr>
          <w:p w14:paraId="35A97BAC">
            <w:pPr>
              <w:widowControl/>
              <w:spacing w:line="560" w:lineRule="exact"/>
              <w:ind w:firstLine="0" w:firstLineChars="0"/>
              <w:jc w:val="center"/>
              <w:rPr>
                <w:rFonts w:ascii="Times New Roman" w:hAnsi="Times New Roman" w:cs="Times New Roman"/>
                <w:kern w:val="0"/>
                <w:sz w:val="24"/>
                <w:szCs w:val="24"/>
              </w:rPr>
            </w:pPr>
            <w:r>
              <w:rPr>
                <w:rFonts w:hint="eastAsia" w:ascii="Times New Roman" w:hAnsi="Times New Roman" w:cs="Times New Roman"/>
                <w:kern w:val="0"/>
                <w:sz w:val="24"/>
                <w:szCs w:val="24"/>
              </w:rPr>
              <w:t>社会</w:t>
            </w:r>
            <w:r>
              <w:rPr>
                <w:rFonts w:ascii="Times New Roman" w:hAnsi="Times New Roman" w:cs="Times New Roman"/>
                <w:kern w:val="0"/>
                <w:sz w:val="24"/>
                <w:szCs w:val="24"/>
              </w:rPr>
              <w:t>效益</w:t>
            </w:r>
          </w:p>
        </w:tc>
        <w:tc>
          <w:tcPr>
            <w:tcW w:w="2551" w:type="dxa"/>
            <w:tcBorders>
              <w:tl2br w:val="nil"/>
              <w:tr2bl w:val="nil"/>
            </w:tcBorders>
            <w:shd w:val="clear" w:color="auto" w:fill="FFFFFF"/>
            <w:vAlign w:val="center"/>
          </w:tcPr>
          <w:p w14:paraId="534A70B0">
            <w:pPr>
              <w:widowControl/>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提高社会应对灾害的能力</w:t>
            </w:r>
          </w:p>
        </w:tc>
        <w:tc>
          <w:tcPr>
            <w:tcW w:w="898" w:type="dxa"/>
            <w:tcBorders>
              <w:tl2br w:val="nil"/>
              <w:tr2bl w:val="nil"/>
            </w:tcBorders>
            <w:shd w:val="clear" w:color="auto" w:fill="FFFFFF"/>
            <w:vAlign w:val="center"/>
          </w:tcPr>
          <w:p w14:paraId="2951FAC2">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898" w:type="dxa"/>
            <w:tcBorders>
              <w:tl2br w:val="nil"/>
              <w:tr2bl w:val="nil"/>
            </w:tcBorders>
            <w:shd w:val="clear" w:color="auto" w:fill="FFFFFF"/>
            <w:vAlign w:val="center"/>
          </w:tcPr>
          <w:p w14:paraId="6CCE9645">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1039" w:type="dxa"/>
            <w:tcBorders>
              <w:tl2br w:val="nil"/>
              <w:tr2bl w:val="nil"/>
            </w:tcBorders>
            <w:shd w:val="clear" w:color="auto" w:fill="FFFFFF"/>
            <w:vAlign w:val="center"/>
          </w:tcPr>
          <w:p w14:paraId="4E265419">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100%</w:t>
            </w:r>
          </w:p>
        </w:tc>
      </w:tr>
      <w:tr w14:paraId="42D283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32793C07">
            <w:pPr>
              <w:widowControl/>
              <w:spacing w:line="560" w:lineRule="exact"/>
              <w:ind w:firstLine="0" w:firstLineChars="0"/>
              <w:jc w:val="center"/>
              <w:rPr>
                <w:rFonts w:ascii="Times New Roman" w:hAnsi="Times New Roman" w:cs="Times New Roman"/>
                <w:kern w:val="0"/>
                <w:sz w:val="24"/>
                <w:szCs w:val="24"/>
              </w:rPr>
            </w:pPr>
          </w:p>
        </w:tc>
        <w:tc>
          <w:tcPr>
            <w:tcW w:w="2126" w:type="dxa"/>
            <w:vMerge w:val="continue"/>
            <w:tcBorders>
              <w:tl2br w:val="nil"/>
              <w:tr2bl w:val="nil"/>
            </w:tcBorders>
            <w:shd w:val="clear" w:color="auto" w:fill="FFFFFF"/>
            <w:vAlign w:val="center"/>
          </w:tcPr>
          <w:p w14:paraId="76667955">
            <w:pPr>
              <w:widowControl/>
              <w:spacing w:line="560" w:lineRule="exact"/>
              <w:ind w:firstLine="0" w:firstLineChars="0"/>
              <w:jc w:val="center"/>
              <w:rPr>
                <w:rFonts w:ascii="Times New Roman" w:hAnsi="Times New Roman" w:cs="Times New Roman"/>
                <w:kern w:val="0"/>
                <w:sz w:val="24"/>
                <w:szCs w:val="24"/>
              </w:rPr>
            </w:pPr>
          </w:p>
        </w:tc>
        <w:tc>
          <w:tcPr>
            <w:tcW w:w="2551" w:type="dxa"/>
            <w:tcBorders>
              <w:tl2br w:val="nil"/>
              <w:tr2bl w:val="nil"/>
            </w:tcBorders>
            <w:shd w:val="clear" w:color="auto" w:fill="FFFFFF"/>
            <w:vAlign w:val="center"/>
          </w:tcPr>
          <w:p w14:paraId="10B3C6BF">
            <w:pPr>
              <w:widowControl/>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基层应急救援力量有效覆盖</w:t>
            </w:r>
          </w:p>
        </w:tc>
        <w:tc>
          <w:tcPr>
            <w:tcW w:w="898" w:type="dxa"/>
            <w:tcBorders>
              <w:tl2br w:val="nil"/>
              <w:tr2bl w:val="nil"/>
            </w:tcBorders>
            <w:shd w:val="clear" w:color="000000" w:fill="FFFFFF"/>
            <w:vAlign w:val="center"/>
          </w:tcPr>
          <w:p w14:paraId="2DE481FD">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898" w:type="dxa"/>
            <w:tcBorders>
              <w:tl2br w:val="nil"/>
              <w:tr2bl w:val="nil"/>
            </w:tcBorders>
            <w:shd w:val="clear" w:color="000000" w:fill="FFFFFF"/>
            <w:vAlign w:val="center"/>
          </w:tcPr>
          <w:p w14:paraId="3CCD67EF">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1039" w:type="dxa"/>
            <w:tcBorders>
              <w:tl2br w:val="nil"/>
              <w:tr2bl w:val="nil"/>
            </w:tcBorders>
            <w:shd w:val="clear" w:color="000000" w:fill="FFFFFF"/>
            <w:vAlign w:val="center"/>
          </w:tcPr>
          <w:p w14:paraId="4A49984D">
            <w:pPr>
              <w:widowControl/>
              <w:spacing w:line="56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100%</w:t>
            </w:r>
          </w:p>
        </w:tc>
      </w:tr>
      <w:tr w14:paraId="1027EA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tcBorders>
              <w:tl2br w:val="nil"/>
              <w:tr2bl w:val="nil"/>
            </w:tcBorders>
            <w:shd w:val="clear" w:color="auto" w:fill="FFFFFF"/>
            <w:vAlign w:val="center"/>
          </w:tcPr>
          <w:p w14:paraId="22A30F02">
            <w:pPr>
              <w:widowControl/>
              <w:spacing w:line="240" w:lineRule="auto"/>
              <w:ind w:firstLine="0" w:firstLineChars="0"/>
              <w:jc w:val="center"/>
              <w:rPr>
                <w:rFonts w:ascii="Times New Roman" w:hAnsi="Times New Roman" w:cs="Times New Roman"/>
                <w:kern w:val="0"/>
                <w:sz w:val="24"/>
                <w:szCs w:val="24"/>
                <w:lang w:val="en-US" w:eastAsia="zh-CN"/>
              </w:rPr>
            </w:pPr>
            <w:r>
              <w:rPr>
                <w:rFonts w:ascii="Times New Roman" w:hAnsi="Times New Roman" w:cs="Times New Roman"/>
                <w:kern w:val="0"/>
                <w:sz w:val="24"/>
                <w:szCs w:val="24"/>
              </w:rPr>
              <w:t>满意度指标完成情况分析</w:t>
            </w:r>
          </w:p>
        </w:tc>
        <w:tc>
          <w:tcPr>
            <w:tcW w:w="2126" w:type="dxa"/>
            <w:tcBorders>
              <w:tl2br w:val="nil"/>
              <w:tr2bl w:val="nil"/>
            </w:tcBorders>
            <w:shd w:val="clear" w:color="auto" w:fill="FFFFFF"/>
            <w:vAlign w:val="center"/>
          </w:tcPr>
          <w:p w14:paraId="7A2985C4">
            <w:pPr>
              <w:widowControl/>
              <w:spacing w:line="240" w:lineRule="auto"/>
              <w:ind w:firstLine="0" w:firstLineChars="0"/>
              <w:jc w:val="center"/>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rPr>
              <w:t>满意度指标</w:t>
            </w:r>
          </w:p>
        </w:tc>
        <w:tc>
          <w:tcPr>
            <w:tcW w:w="2551" w:type="dxa"/>
            <w:tcBorders>
              <w:tl2br w:val="nil"/>
              <w:tr2bl w:val="nil"/>
            </w:tcBorders>
            <w:shd w:val="clear" w:color="auto" w:fill="FFFFFF"/>
            <w:vAlign w:val="center"/>
          </w:tcPr>
          <w:p w14:paraId="6DA2B089">
            <w:pPr>
              <w:widowControl/>
              <w:spacing w:line="240" w:lineRule="auto"/>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使用单位满意度</w:t>
            </w:r>
          </w:p>
        </w:tc>
        <w:tc>
          <w:tcPr>
            <w:tcW w:w="898" w:type="dxa"/>
            <w:tcBorders>
              <w:tl2br w:val="nil"/>
              <w:tr2bl w:val="nil"/>
            </w:tcBorders>
            <w:shd w:val="clear" w:color="000000" w:fill="FFFFFF"/>
            <w:vAlign w:val="center"/>
          </w:tcPr>
          <w:p w14:paraId="208CF886">
            <w:pPr>
              <w:widowControl/>
              <w:spacing w:line="560" w:lineRule="exact"/>
              <w:ind w:firstLine="0" w:firstLineChars="0"/>
              <w:jc w:val="center"/>
              <w:rPr>
                <w:rFonts w:hint="eastAsia" w:ascii="Times New Roman" w:hAnsi="Times New Roman" w:eastAsia="仿宋_GB2312" w:cs="Times New Roman"/>
                <w:kern w:val="0"/>
                <w:sz w:val="24"/>
                <w:szCs w:val="24"/>
                <w:lang w:val="en-US" w:eastAsia="zh-CN"/>
              </w:rPr>
            </w:pPr>
            <w:r>
              <w:rPr>
                <w:rFonts w:hint="eastAsia" w:ascii="Times New Roman" w:hAnsi="Times New Roman" w:cs="Times New Roman"/>
                <w:kern w:val="0"/>
                <w:sz w:val="24"/>
                <w:szCs w:val="24"/>
                <w:lang w:val="en-US" w:eastAsia="zh-CN"/>
              </w:rPr>
              <w:t>5</w:t>
            </w:r>
          </w:p>
        </w:tc>
        <w:tc>
          <w:tcPr>
            <w:tcW w:w="898" w:type="dxa"/>
            <w:tcBorders>
              <w:tl2br w:val="nil"/>
              <w:tr2bl w:val="nil"/>
            </w:tcBorders>
            <w:shd w:val="clear" w:color="000000" w:fill="FFFFFF"/>
            <w:vAlign w:val="center"/>
          </w:tcPr>
          <w:p w14:paraId="65B1ED18">
            <w:pPr>
              <w:widowControl/>
              <w:spacing w:line="560" w:lineRule="exact"/>
              <w:ind w:firstLine="0" w:firstLineChars="0"/>
              <w:jc w:val="center"/>
              <w:rPr>
                <w:rFonts w:hint="eastAsia" w:ascii="Times New Roman" w:hAnsi="Times New Roman" w:eastAsia="仿宋_GB2312" w:cs="Times New Roman"/>
                <w:kern w:val="0"/>
                <w:sz w:val="24"/>
                <w:szCs w:val="24"/>
                <w:lang w:val="en-US" w:eastAsia="zh-CN"/>
              </w:rPr>
            </w:pPr>
            <w:r>
              <w:rPr>
                <w:rFonts w:hint="eastAsia" w:ascii="Times New Roman" w:hAnsi="Times New Roman" w:cs="Times New Roman"/>
                <w:kern w:val="0"/>
                <w:sz w:val="24"/>
                <w:szCs w:val="24"/>
                <w:lang w:val="en-US" w:eastAsia="zh-CN"/>
              </w:rPr>
              <w:t>5</w:t>
            </w:r>
          </w:p>
        </w:tc>
        <w:tc>
          <w:tcPr>
            <w:tcW w:w="1039" w:type="dxa"/>
            <w:tcBorders>
              <w:tl2br w:val="nil"/>
              <w:tr2bl w:val="nil"/>
            </w:tcBorders>
            <w:shd w:val="clear" w:color="000000" w:fill="FFFFFF"/>
            <w:vAlign w:val="center"/>
          </w:tcPr>
          <w:p w14:paraId="3B993F2B">
            <w:pPr>
              <w:widowControl/>
              <w:spacing w:line="560" w:lineRule="exact"/>
              <w:ind w:firstLine="0" w:firstLineChars="0"/>
              <w:jc w:val="center"/>
              <w:rPr>
                <w:rFonts w:ascii="Times New Roman" w:hAnsi="Times New Roman" w:eastAsia="仿宋_GB2312" w:cs="Times New Roman"/>
                <w:kern w:val="0"/>
                <w:sz w:val="24"/>
                <w:szCs w:val="24"/>
                <w:lang w:val="en-US" w:eastAsia="zh-CN" w:bidi="ar-SA"/>
              </w:rPr>
            </w:pPr>
            <w:r>
              <w:rPr>
                <w:rFonts w:ascii="Times New Roman" w:hAnsi="Times New Roman" w:cs="Times New Roman"/>
                <w:kern w:val="0"/>
                <w:sz w:val="24"/>
                <w:szCs w:val="24"/>
              </w:rPr>
              <w:t>100%</w:t>
            </w:r>
          </w:p>
        </w:tc>
      </w:tr>
    </w:tbl>
    <w:p w14:paraId="007F5EED">
      <w:pPr>
        <w:pStyle w:val="5"/>
        <w:spacing w:before="0" w:after="0" w:line="560" w:lineRule="exact"/>
        <w:ind w:firstLine="643"/>
        <w:rPr>
          <w:rFonts w:ascii="Times New Roman" w:hAnsi="Times New Roman" w:eastAsia="楷体_GB2312" w:cs="Times New Roman"/>
          <w:lang w:bidi="en-US"/>
        </w:rPr>
      </w:pPr>
      <w:bookmarkStart w:id="31" w:name="_Toc165277239"/>
      <w:bookmarkStart w:id="32" w:name="_Toc67911610"/>
      <w:r>
        <w:rPr>
          <w:rFonts w:ascii="Times New Roman" w:hAnsi="Times New Roman" w:eastAsia="楷体_GB2312" w:cs="Times New Roman"/>
          <w:lang w:bidi="en-US"/>
        </w:rPr>
        <w:t>（二）主要绩效</w:t>
      </w:r>
      <w:bookmarkEnd w:id="31"/>
      <w:bookmarkEnd w:id="32"/>
    </w:p>
    <w:p w14:paraId="7C95E23A">
      <w:pPr>
        <w:spacing w:line="560" w:lineRule="exact"/>
        <w:ind w:firstLine="627" w:firstLineChars="196"/>
        <w:rPr>
          <w:rFonts w:ascii="Times New Roman" w:hAnsi="Times New Roman" w:cs="Times New Roman"/>
          <w:bCs/>
          <w:sz w:val="32"/>
          <w:szCs w:val="32"/>
        </w:rPr>
      </w:pPr>
      <w:r>
        <w:rPr>
          <w:rFonts w:ascii="Times New Roman" w:hAnsi="Times New Roman" w:cs="Times New Roman"/>
          <w:bCs/>
          <w:sz w:val="32"/>
          <w:szCs w:val="32"/>
        </w:rPr>
        <w:t>该项目资金市财政及时拨付，</w:t>
      </w:r>
      <w:r>
        <w:rPr>
          <w:rFonts w:ascii="Times New Roman" w:hAnsi="Times New Roman" w:cs="Times New Roman"/>
          <w:sz w:val="32"/>
          <w:szCs w:val="32"/>
        </w:rPr>
        <w:t>该项目总预算3344万元，其中：中央资金2739万元、市级配套资金605万元，截止2024年12月31日，已支出3035.14万元，支出进度90.76%。单位在此次评价期间内，有序完成设定目标的工作任务，为天山区、米东区、经开区（头屯河区）及各乡镇级应急救援队伍配备抢险救援装备1929台（套），其中：地震地质灾害救援类救援装备781台（套）、抗洪抢险类救援装备93台（套）、森林（草原）火灾扑救类救援装备1台（套）、水域救援类救援装备20台（套）、综合保障类救援装备1034台（套），建成全地区规模适度、布局科学、结构合理、专长突出的应急救援力量体系，实现专业应急救援力量各有所长，社会应急力量有效辅助，基层应急救援力量有效覆盖，可以更好地协调各方面资源，提高应急响应速度和救援效率，全面提升预防自然灾</w:t>
      </w:r>
      <w:r>
        <w:rPr>
          <w:rFonts w:ascii="Times New Roman" w:hAnsi="Times New Roman" w:cs="Times New Roman"/>
          <w:bCs/>
          <w:sz w:val="32"/>
          <w:szCs w:val="32"/>
        </w:rPr>
        <w:t>害和应急救援能力。</w:t>
      </w:r>
    </w:p>
    <w:p w14:paraId="165C6D03">
      <w:pPr>
        <w:spacing w:line="560" w:lineRule="exact"/>
        <w:ind w:firstLine="640"/>
        <w:rPr>
          <w:rFonts w:ascii="Times New Roman" w:hAnsi="Times New Roman" w:cs="Times New Roman"/>
        </w:rPr>
      </w:pPr>
      <w:r>
        <w:rPr>
          <w:rFonts w:ascii="Times New Roman" w:hAnsi="Times New Roman" w:cs="Times New Roman"/>
          <w:sz w:val="32"/>
          <w:szCs w:val="32"/>
        </w:rPr>
        <w:t>本项目的实施建成了乌鲁木齐规模适度、布局科学、结构合理、专长突出的应急救援力量体系，实现专业应急救援力量各有所长，社会应急力量有效辅助，基层应急救援力量有效覆盖，为人民群众生命财产安全提供坚强保障。一是专业能力有效提升。特殊区域、复杂条件、极端环境下专业指挥和救援能力持续巩固提高，应急救援装备智能化、轻型化、模块化、标准化水平持续提升，人装协同水平显著提升。二是保障水平稳步提高。应急救援力量建设发展、运行管理、培训考核、科技支撑、任务保障等政策制度、标准规范进一步健全，协同联动机制进一步完善，救援资源共建共用、联战联训水平进一步提升。三是力量构成逐步优化。县级专业应急救援力量、社会应急力量和基层应急救援力量体系逐步完善，实现与乌鲁木齐市综合性消防救援队伍有效协同、有力支撑。四是力量布局更趋合理。乌鲁木齐市专业应急救援力量任务范围基本覆盖重大灾害事故发生区域和新生高风险区域，安全生产应急救援力量与高危行业、新兴产业分布和发展需要基本匹配。</w:t>
      </w:r>
    </w:p>
    <w:p w14:paraId="514FE2F9">
      <w:pPr>
        <w:pStyle w:val="4"/>
        <w:spacing w:before="0" w:after="0" w:line="560" w:lineRule="exact"/>
        <w:ind w:firstLine="640"/>
        <w:jc w:val="left"/>
        <w:rPr>
          <w:rFonts w:ascii="Times New Roman" w:hAnsi="Times New Roman" w:eastAsia="黑体" w:cs="Times New Roman"/>
          <w:b w:val="0"/>
          <w:bCs w:val="0"/>
          <w:sz w:val="32"/>
          <w:szCs w:val="32"/>
          <w:lang w:bidi="en-US"/>
        </w:rPr>
      </w:pPr>
      <w:bookmarkStart w:id="33" w:name="_Toc165277240"/>
      <w:bookmarkStart w:id="34" w:name="_Toc67911611"/>
      <w:r>
        <w:rPr>
          <w:rFonts w:ascii="Times New Roman" w:hAnsi="Times New Roman" w:eastAsia="黑体" w:cs="Times New Roman"/>
          <w:b w:val="0"/>
          <w:bCs w:val="0"/>
          <w:sz w:val="32"/>
          <w:szCs w:val="32"/>
          <w:lang w:bidi="en-US"/>
        </w:rPr>
        <w:t>四、绩效评价指标分析</w:t>
      </w:r>
      <w:bookmarkEnd w:id="33"/>
      <w:bookmarkEnd w:id="34"/>
    </w:p>
    <w:p w14:paraId="3EB40B49">
      <w:pPr>
        <w:pStyle w:val="5"/>
        <w:spacing w:before="0" w:after="0" w:line="560" w:lineRule="exact"/>
        <w:ind w:firstLine="643"/>
        <w:rPr>
          <w:rFonts w:ascii="Times New Roman" w:hAnsi="Times New Roman" w:eastAsia="楷体_GB2312" w:cs="Times New Roman"/>
          <w:lang w:bidi="en-US"/>
        </w:rPr>
      </w:pPr>
      <w:bookmarkStart w:id="35" w:name="_Toc67911612"/>
      <w:bookmarkStart w:id="36" w:name="_Toc165277241"/>
      <w:r>
        <w:rPr>
          <w:rFonts w:ascii="Times New Roman" w:hAnsi="Times New Roman" w:eastAsia="楷体_GB2312" w:cs="Times New Roman"/>
          <w:lang w:bidi="en-US"/>
        </w:rPr>
        <w:t>（一）项目决策情况</w:t>
      </w:r>
      <w:bookmarkEnd w:id="35"/>
      <w:bookmarkEnd w:id="36"/>
    </w:p>
    <w:p w14:paraId="612F063F">
      <w:pPr>
        <w:spacing w:line="560" w:lineRule="exact"/>
        <w:ind w:firstLine="640"/>
        <w:rPr>
          <w:rFonts w:ascii="Times New Roman" w:hAnsi="Times New Roman" w:cs="Times New Roman"/>
          <w:sz w:val="32"/>
          <w:szCs w:val="32"/>
        </w:rPr>
      </w:pPr>
      <w:r>
        <w:rPr>
          <w:rFonts w:ascii="Times New Roman" w:hAnsi="Times New Roman" w:cs="Times New Roman"/>
          <w:sz w:val="32"/>
          <w:szCs w:val="32"/>
        </w:rPr>
        <w:t>项目决策指标由3个二级指标和6个三级指标构成，权重为20分，实际得分20分。</w:t>
      </w:r>
    </w:p>
    <w:p w14:paraId="0EA003CE">
      <w:pPr>
        <w:pStyle w:val="6"/>
        <w:spacing w:before="0" w:after="0" w:line="560" w:lineRule="exact"/>
        <w:ind w:firstLine="643"/>
        <w:rPr>
          <w:rFonts w:ascii="Times New Roman" w:hAnsi="Times New Roman" w:cs="Times New Roman"/>
        </w:rPr>
      </w:pPr>
      <w:bookmarkStart w:id="37" w:name="_Toc165277242"/>
      <w:r>
        <w:rPr>
          <w:rFonts w:ascii="Times New Roman" w:hAnsi="Times New Roman" w:cs="Times New Roman"/>
        </w:rPr>
        <w:t>1.项目立项</w:t>
      </w:r>
      <w:bookmarkEnd w:id="37"/>
    </w:p>
    <w:p w14:paraId="7BDB365D">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立项依据充分性：</w:t>
      </w:r>
      <w:r>
        <w:rPr>
          <w:rFonts w:ascii="Times New Roman" w:hAnsi="Times New Roman" w:cs="Times New Roman"/>
          <w:sz w:val="32"/>
          <w:szCs w:val="32"/>
        </w:rPr>
        <w:t>项目立项符合党中央、国务院提升自然灾害应急能力的一系列方针政策，满足新时代下城市应急事业的需要。推进应急体系的建设，整体提升抵御自然灾害的能力，更好保障人民群众生命财产安全，对城市稳定发展具有积极的推动作用。同时，项目与部门职责范围相符，属于部门履职所需，本项目的实施是乌鲁木齐市应急救援体系的重要组成部分，也是贯彻落实应急管理部和应急管理厅总体部署的重要举措，符合国家“十四五”安全生产规划，符合国家和自治区应急体系“十四五”规划的相关要求，项目的实施进一步提升了我市应急管理部门安全生产监管执法效率和专业性、准确性。此外，本项目属于中央、市级财政支持范围，符合中央、地方事权支出责任划分原则。因此，立项依据充分，得4分。</w:t>
      </w:r>
    </w:p>
    <w:p w14:paraId="4E9AEA59">
      <w:pPr>
        <w:spacing w:line="560" w:lineRule="exact"/>
        <w:ind w:firstLine="643"/>
        <w:rPr>
          <w:rFonts w:hint="eastAsia" w:ascii="Times New Roman" w:hAnsi="Times New Roman" w:cs="Times New Roman"/>
          <w:sz w:val="32"/>
          <w:szCs w:val="32"/>
        </w:rPr>
      </w:pPr>
      <w:r>
        <w:rPr>
          <w:rFonts w:ascii="Times New Roman" w:hAnsi="Times New Roman" w:cs="Times New Roman"/>
          <w:b/>
          <w:bCs/>
          <w:sz w:val="32"/>
          <w:szCs w:val="32"/>
        </w:rPr>
        <w:t>立项程序规范性:</w:t>
      </w:r>
      <w:r>
        <w:rPr>
          <w:rFonts w:ascii="Times New Roman" w:hAnsi="Times New Roman" w:cs="Times New Roman"/>
          <w:sz w:val="32"/>
          <w:szCs w:val="32"/>
        </w:rPr>
        <w:t xml:space="preserve"> 项目按照规定的程序申请设立</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我局</w:t>
      </w:r>
      <w:r>
        <w:rPr>
          <w:rFonts w:ascii="Times New Roman" w:hAnsi="Times New Roman" w:cs="Times New Roman"/>
          <w:sz w:val="32"/>
          <w:szCs w:val="32"/>
        </w:rPr>
        <w:t>委托第三方对</w:t>
      </w:r>
      <w:r>
        <w:rPr>
          <w:rFonts w:hint="eastAsia" w:ascii="Times New Roman" w:hAnsi="Times New Roman" w:cs="Times New Roman"/>
          <w:sz w:val="32"/>
          <w:szCs w:val="32"/>
          <w:lang w:val="en-US" w:eastAsia="zh-CN"/>
        </w:rPr>
        <w:t>项目需求分析、基础现状、投资概算、影响效果分析评价等方面进行分析论证，并出具《乌鲁木齐市自然灾害应急能力提升工程基层防灾项目可行性研究报告（代项目建议书）》，提交乌鲁木齐市发展和改革委员会后，出具</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关于乌鲁木齐市自然灾害应急能力提升工程基层防灾项目可行性研究报告（代项目建议书）和概算的批复</w:t>
      </w:r>
      <w:r>
        <w:rPr>
          <w:rFonts w:hint="eastAsia" w:ascii="Times New Roman" w:hAnsi="Times New Roman" w:cs="Times New Roman"/>
          <w:sz w:val="32"/>
          <w:szCs w:val="32"/>
          <w:lang w:eastAsia="zh-CN"/>
        </w:rPr>
        <w:t>》（</w:t>
      </w:r>
      <w:r>
        <w:rPr>
          <w:rFonts w:ascii="Times New Roman" w:hAnsi="Times New Roman" w:cs="Times New Roman"/>
          <w:sz w:val="32"/>
          <w:szCs w:val="32"/>
        </w:rPr>
        <w:t>乌发改投资〔202</w:t>
      </w:r>
      <w:r>
        <w:rPr>
          <w:rFonts w:hint="eastAsia" w:ascii="Times New Roman" w:hAnsi="Times New Roman" w:cs="Times New Roman"/>
          <w:sz w:val="32"/>
          <w:szCs w:val="32"/>
          <w:lang w:val="en-US" w:eastAsia="zh-CN"/>
        </w:rPr>
        <w:t>3</w:t>
      </w:r>
      <w:r>
        <w:rPr>
          <w:rFonts w:ascii="Times New Roman" w:hAnsi="Times New Roman" w:cs="Times New Roman"/>
          <w:sz w:val="32"/>
          <w:szCs w:val="32"/>
        </w:rPr>
        <w:t>〕</w:t>
      </w:r>
      <w:r>
        <w:rPr>
          <w:rFonts w:hint="eastAsia" w:ascii="Times New Roman" w:hAnsi="Times New Roman" w:cs="Times New Roman"/>
          <w:sz w:val="32"/>
          <w:szCs w:val="32"/>
          <w:lang w:val="en-US" w:eastAsia="zh-CN"/>
        </w:rPr>
        <w:t>347</w:t>
      </w:r>
      <w:r>
        <w:rPr>
          <w:rFonts w:ascii="Times New Roman" w:hAnsi="Times New Roman" w:cs="Times New Roman"/>
          <w:sz w:val="32"/>
          <w:szCs w:val="32"/>
        </w:rPr>
        <w:t>号</w:t>
      </w:r>
      <w:r>
        <w:rPr>
          <w:rFonts w:hint="eastAsia" w:ascii="Times New Roman" w:hAnsi="Times New Roman" w:cs="Times New Roman"/>
          <w:sz w:val="32"/>
          <w:szCs w:val="32"/>
          <w:lang w:eastAsia="zh-CN"/>
        </w:rPr>
        <w:t>）、</w:t>
      </w:r>
      <w:r>
        <w:rPr>
          <w:rFonts w:ascii="Times New Roman" w:hAnsi="Times New Roman" w:cs="Times New Roman"/>
          <w:sz w:val="32"/>
          <w:szCs w:val="32"/>
        </w:rPr>
        <w:t>《关于调整乌鲁木齐市自然灾害应急能力提升工程基层防灾项目建设内容和概算的批复》（乌发改函〔2024〕4号）</w:t>
      </w:r>
      <w:r>
        <w:rPr>
          <w:rFonts w:hint="eastAsia" w:ascii="Times New Roman" w:hAnsi="Times New Roman" w:cs="Times New Roman"/>
          <w:sz w:val="32"/>
          <w:szCs w:val="32"/>
          <w:lang w:eastAsia="zh-CN"/>
        </w:rPr>
        <w:t>。</w:t>
      </w:r>
      <w:r>
        <w:rPr>
          <w:rFonts w:ascii="Times New Roman" w:hAnsi="Times New Roman" w:cs="Times New Roman"/>
          <w:sz w:val="32"/>
          <w:szCs w:val="32"/>
        </w:rPr>
        <w:t>我单位</w:t>
      </w:r>
      <w:r>
        <w:rPr>
          <w:rFonts w:hint="eastAsia" w:ascii="Times New Roman" w:hAnsi="Times New Roman" w:cs="Times New Roman"/>
          <w:sz w:val="32"/>
          <w:szCs w:val="32"/>
          <w:lang w:val="en-US" w:eastAsia="zh-CN"/>
        </w:rPr>
        <w:t>严格执行</w:t>
      </w:r>
      <w:r>
        <w:rPr>
          <w:rFonts w:ascii="Times New Roman" w:hAnsi="Times New Roman" w:cs="Times New Roman"/>
          <w:sz w:val="32"/>
          <w:szCs w:val="32"/>
        </w:rPr>
        <w:t>批复</w:t>
      </w:r>
      <w:r>
        <w:rPr>
          <w:rFonts w:hint="eastAsia" w:ascii="Times New Roman" w:hAnsi="Times New Roman" w:cs="Times New Roman"/>
          <w:sz w:val="32"/>
          <w:szCs w:val="32"/>
          <w:lang w:val="en-US" w:eastAsia="zh-CN"/>
        </w:rPr>
        <w:t>的</w:t>
      </w:r>
      <w:r>
        <w:rPr>
          <w:rFonts w:ascii="Times New Roman" w:hAnsi="Times New Roman" w:cs="Times New Roman"/>
          <w:sz w:val="32"/>
          <w:szCs w:val="32"/>
        </w:rPr>
        <w:t>内容，</w:t>
      </w:r>
      <w:r>
        <w:rPr>
          <w:rFonts w:hint="eastAsia" w:ascii="Times New Roman" w:hAnsi="Times New Roman" w:cs="Times New Roman"/>
          <w:sz w:val="32"/>
          <w:szCs w:val="32"/>
          <w:lang w:val="en-US" w:eastAsia="zh-CN"/>
        </w:rPr>
        <w:t>按照《中华人民共和国政府采购法》《中华人民共和国政府采购法实施条例》等要求，</w:t>
      </w:r>
      <w:r>
        <w:rPr>
          <w:rFonts w:ascii="Times New Roman" w:hAnsi="Times New Roman" w:cs="Times New Roman"/>
          <w:sz w:val="32"/>
          <w:szCs w:val="32"/>
        </w:rPr>
        <w:t>以公开</w:t>
      </w:r>
      <w:r>
        <w:rPr>
          <w:rFonts w:hint="eastAsia" w:ascii="Times New Roman" w:hAnsi="Times New Roman" w:cs="Times New Roman"/>
          <w:sz w:val="32"/>
          <w:szCs w:val="32"/>
          <w:lang w:val="en-US" w:eastAsia="zh-CN"/>
        </w:rPr>
        <w:t>招投标</w:t>
      </w:r>
      <w:r>
        <w:rPr>
          <w:rFonts w:ascii="Times New Roman" w:hAnsi="Times New Roman" w:cs="Times New Roman"/>
          <w:sz w:val="32"/>
          <w:szCs w:val="32"/>
        </w:rPr>
        <w:t>的形式</w:t>
      </w:r>
      <w:r>
        <w:rPr>
          <w:rFonts w:hint="eastAsia" w:ascii="Times New Roman" w:hAnsi="Times New Roman" w:cs="Times New Roman"/>
          <w:sz w:val="32"/>
          <w:szCs w:val="32"/>
          <w:lang w:val="en-US" w:eastAsia="zh-CN"/>
        </w:rPr>
        <w:t>开展政府采购，完成</w:t>
      </w:r>
      <w:r>
        <w:rPr>
          <w:rFonts w:ascii="Times New Roman" w:hAnsi="Times New Roman" w:cs="Times New Roman"/>
          <w:sz w:val="32"/>
          <w:szCs w:val="32"/>
        </w:rPr>
        <w:t>抢险救援装备</w:t>
      </w:r>
      <w:r>
        <w:rPr>
          <w:rFonts w:hint="eastAsia" w:ascii="Times New Roman" w:hAnsi="Times New Roman" w:cs="Times New Roman"/>
          <w:sz w:val="32"/>
          <w:szCs w:val="32"/>
          <w:lang w:val="en-US" w:eastAsia="zh-CN"/>
        </w:rPr>
        <w:t>购置</w:t>
      </w:r>
      <w:r>
        <w:rPr>
          <w:rFonts w:ascii="Times New Roman" w:hAnsi="Times New Roman" w:cs="Times New Roman"/>
          <w:sz w:val="32"/>
          <w:szCs w:val="32"/>
        </w:rPr>
        <w:t>。</w:t>
      </w:r>
    </w:p>
    <w:p w14:paraId="032843A2">
      <w:pPr>
        <w:spacing w:line="560" w:lineRule="exact"/>
        <w:ind w:firstLine="640"/>
        <w:rPr>
          <w:rFonts w:ascii="Times New Roman" w:hAnsi="Times New Roman" w:cs="Times New Roman"/>
          <w:sz w:val="32"/>
          <w:szCs w:val="32"/>
        </w:rPr>
      </w:pPr>
      <w:r>
        <w:rPr>
          <w:rFonts w:ascii="Times New Roman" w:hAnsi="Times New Roman" w:cs="Times New Roman"/>
          <w:sz w:val="32"/>
          <w:szCs w:val="32"/>
        </w:rPr>
        <w:t>事前已经过必要的可行性研究、专家论证、风险评估、绩效评估、集体决策。审批文件、材料符合相关要求，故立项程序规范，得4分。</w:t>
      </w:r>
    </w:p>
    <w:p w14:paraId="5C0EFF3F">
      <w:pPr>
        <w:autoSpaceDE w:val="0"/>
        <w:spacing w:line="560" w:lineRule="exact"/>
        <w:ind w:firstLine="643"/>
        <w:rPr>
          <w:rFonts w:ascii="Times New Roman" w:hAnsi="Times New Roman" w:cs="Times New Roman"/>
          <w:b/>
          <w:kern w:val="0"/>
          <w:sz w:val="32"/>
          <w:szCs w:val="32"/>
        </w:rPr>
      </w:pPr>
      <w:r>
        <w:rPr>
          <w:rFonts w:ascii="Times New Roman" w:hAnsi="Times New Roman" w:cs="Times New Roman"/>
          <w:b/>
          <w:kern w:val="0"/>
          <w:sz w:val="32"/>
          <w:szCs w:val="32"/>
        </w:rPr>
        <w:t>综上，该指标满分8分，得分8分。</w:t>
      </w:r>
    </w:p>
    <w:p w14:paraId="4ED9B037">
      <w:pPr>
        <w:pStyle w:val="6"/>
        <w:spacing w:before="0" w:after="0" w:line="560" w:lineRule="exact"/>
        <w:ind w:firstLine="643"/>
        <w:rPr>
          <w:rFonts w:ascii="Times New Roman" w:hAnsi="Times New Roman" w:cs="Times New Roman"/>
        </w:rPr>
      </w:pPr>
      <w:bookmarkStart w:id="38" w:name="_Toc165277243"/>
      <w:r>
        <w:rPr>
          <w:rFonts w:ascii="Times New Roman" w:hAnsi="Times New Roman" w:cs="Times New Roman"/>
        </w:rPr>
        <w:t>2.绩效目标</w:t>
      </w:r>
      <w:bookmarkEnd w:id="38"/>
    </w:p>
    <w:p w14:paraId="339FFD5B">
      <w:pPr>
        <w:spacing w:line="560" w:lineRule="exact"/>
        <w:ind w:firstLine="643"/>
        <w:rPr>
          <w:rFonts w:hint="eastAsia" w:ascii="Times New Roman" w:hAnsi="Times New Roman" w:cs="Times New Roman"/>
          <w:bCs/>
          <w:sz w:val="32"/>
          <w:szCs w:val="32"/>
          <w:lang w:val="en-US" w:eastAsia="zh-CN"/>
        </w:rPr>
      </w:pPr>
      <w:r>
        <w:rPr>
          <w:rFonts w:ascii="Times New Roman" w:hAnsi="Times New Roman" w:cs="Times New Roman"/>
          <w:b/>
          <w:bCs/>
          <w:sz w:val="32"/>
          <w:szCs w:val="32"/>
        </w:rPr>
        <w:t>绩效目标合理性：</w:t>
      </w:r>
      <w:r>
        <w:rPr>
          <w:rFonts w:hint="eastAsia" w:ascii="Times New Roman" w:hAnsi="Times New Roman" w:cs="Times New Roman"/>
          <w:bCs/>
          <w:sz w:val="32"/>
          <w:szCs w:val="32"/>
          <w:lang w:val="en-US" w:eastAsia="zh-CN"/>
        </w:rPr>
        <w:t>本项目的绩效目标按照产出、效益和满意度构建绩效评价指标，根据该项目可研批复的建设内容及设备购置情况，构建产出指标，设置5个数量指标，包括购置地震地质灾害救援类数量、抗洪抢险类数量、森林（草原）火灾扑救类数量、水域救援类数量、综合保障类数量；设置1个时效指标，包括购置装备的采购完成及时率；设置1个质量指标，包括设备验收合格率；设置2个成本指标，包括县级应急救援队装备成本和乡级应急救援队装备成本；根据该项目预期实现的目标，设置2个效益指标，包括提高社会应对灾害的能力、基层应急救援力量有效覆盖；设置1个满意度指标，包括设置使用者满意度。绩效评价指标具有明确性、可衡量性、可实现性、相关性和时限性等特点，能较为全面地反映本项目的产出和效益，故绩效目标合理性指标得分3分。</w:t>
      </w:r>
    </w:p>
    <w:p w14:paraId="246D28C3">
      <w:pPr>
        <w:autoSpaceDE w:val="0"/>
        <w:spacing w:line="560" w:lineRule="exact"/>
        <w:ind w:firstLine="643"/>
        <w:rPr>
          <w:rFonts w:ascii="Times New Roman" w:hAnsi="Times New Roman" w:cs="Times New Roman"/>
          <w:kern w:val="0"/>
          <w:sz w:val="32"/>
          <w:szCs w:val="32"/>
        </w:rPr>
      </w:pPr>
      <w:r>
        <w:rPr>
          <w:rFonts w:ascii="Times New Roman" w:hAnsi="Times New Roman" w:cs="Times New Roman"/>
          <w:b/>
          <w:kern w:val="0"/>
          <w:sz w:val="32"/>
          <w:szCs w:val="32"/>
        </w:rPr>
        <w:t>绩效目标明确性：</w:t>
      </w:r>
      <w:r>
        <w:rPr>
          <w:rFonts w:ascii="Times New Roman" w:hAnsi="Times New Roman" w:cs="Times New Roman"/>
          <w:kern w:val="0"/>
          <w:sz w:val="32"/>
          <w:szCs w:val="32"/>
        </w:rPr>
        <w:t>目标已细化为具体的绩效指标，可通过数量指标、质量指标和成本指标予以量化，设置有购置地震地质灾害救援类救援装备、设备验收合格率等</w:t>
      </w:r>
      <w:r>
        <w:rPr>
          <w:rFonts w:hint="eastAsia" w:ascii="Times New Roman" w:hAnsi="Times New Roman" w:cs="Times New Roman"/>
          <w:kern w:val="0"/>
          <w:sz w:val="32"/>
          <w:szCs w:val="32"/>
          <w:lang w:val="en-US" w:eastAsia="zh-CN"/>
        </w:rPr>
        <w:t>三级</w:t>
      </w:r>
      <w:r>
        <w:rPr>
          <w:rFonts w:ascii="Times New Roman" w:hAnsi="Times New Roman" w:cs="Times New Roman"/>
          <w:kern w:val="0"/>
          <w:sz w:val="32"/>
          <w:szCs w:val="32"/>
        </w:rPr>
        <w:t>指标</w:t>
      </w:r>
      <w:r>
        <w:rPr>
          <w:rFonts w:hint="eastAsia" w:ascii="Times New Roman" w:hAnsi="Times New Roman" w:cs="Times New Roman"/>
          <w:bCs/>
          <w:sz w:val="32"/>
          <w:szCs w:val="32"/>
          <w:lang w:val="en-US" w:eastAsia="zh-CN"/>
        </w:rPr>
        <w:t>共计12个，其中：定量指标10个，占比83.33%；定性指标2个，占比16.67%，</w:t>
      </w:r>
      <w:r>
        <w:rPr>
          <w:rFonts w:ascii="Times New Roman" w:hAnsi="Times New Roman" w:cs="Times New Roman"/>
          <w:kern w:val="0"/>
          <w:sz w:val="32"/>
          <w:szCs w:val="32"/>
        </w:rPr>
        <w:t>并具有确切的评价标准，且指标设定均与目标相关。各项指标均能在现实条件下通过招采、装备采购合同、国库集中支付凭证等材料，收集到相关数据进行佐证，并与当年项目年度计划相对应，故绩效目标明确性指标得分3分。</w:t>
      </w:r>
    </w:p>
    <w:p w14:paraId="55DE55F9">
      <w:pPr>
        <w:autoSpaceDE w:val="0"/>
        <w:spacing w:line="560" w:lineRule="exact"/>
        <w:ind w:firstLine="643"/>
        <w:rPr>
          <w:rFonts w:ascii="Times New Roman" w:hAnsi="Times New Roman" w:cs="Times New Roman"/>
          <w:b/>
          <w:kern w:val="0"/>
          <w:sz w:val="32"/>
          <w:szCs w:val="32"/>
        </w:rPr>
      </w:pPr>
      <w:r>
        <w:rPr>
          <w:rFonts w:ascii="Times New Roman" w:hAnsi="Times New Roman" w:cs="Times New Roman"/>
          <w:b/>
          <w:kern w:val="0"/>
          <w:sz w:val="32"/>
          <w:szCs w:val="32"/>
        </w:rPr>
        <w:t>综上，该指标满分6分，得分6分。</w:t>
      </w:r>
    </w:p>
    <w:p w14:paraId="0DC2656A">
      <w:pPr>
        <w:pStyle w:val="6"/>
        <w:spacing w:before="0" w:after="0" w:line="560" w:lineRule="exact"/>
        <w:ind w:firstLine="643"/>
        <w:rPr>
          <w:rFonts w:ascii="Times New Roman" w:hAnsi="Times New Roman" w:cs="Times New Roman"/>
        </w:rPr>
      </w:pPr>
      <w:bookmarkStart w:id="39" w:name="_Toc165277244"/>
      <w:r>
        <w:rPr>
          <w:rFonts w:ascii="Times New Roman" w:hAnsi="Times New Roman" w:cs="Times New Roman"/>
        </w:rPr>
        <w:t>3.资金投入</w:t>
      </w:r>
      <w:bookmarkEnd w:id="39"/>
    </w:p>
    <w:p w14:paraId="79EC9350">
      <w:pPr>
        <w:autoSpaceDE w:val="0"/>
        <w:spacing w:line="560" w:lineRule="exact"/>
        <w:ind w:firstLine="643"/>
        <w:rPr>
          <w:rFonts w:ascii="Times New Roman" w:hAnsi="Times New Roman" w:cs="Times New Roman"/>
          <w:bCs/>
          <w:kern w:val="0"/>
          <w:sz w:val="32"/>
          <w:szCs w:val="32"/>
        </w:rPr>
      </w:pPr>
      <w:r>
        <w:rPr>
          <w:rFonts w:ascii="Times New Roman" w:hAnsi="Times New Roman" w:cs="Times New Roman"/>
          <w:b/>
          <w:kern w:val="0"/>
          <w:sz w:val="32"/>
          <w:szCs w:val="32"/>
        </w:rPr>
        <w:t>预算编制科学性：</w:t>
      </w:r>
      <w:r>
        <w:rPr>
          <w:rFonts w:ascii="Times New Roman" w:hAnsi="Times New Roman" w:cs="Times New Roman"/>
          <w:kern w:val="0"/>
          <w:sz w:val="32"/>
          <w:szCs w:val="32"/>
        </w:rPr>
        <w:t>该项目为应急救援装备配备采购类项目，根据各区县需求分析部分梳理的能力短板，对照《县乡应急救援队伍装备配备指导目录》，提出</w:t>
      </w:r>
      <w:r>
        <w:rPr>
          <w:rFonts w:ascii="Times New Roman" w:hAnsi="Times New Roman" w:cs="Times New Roman"/>
          <w:sz w:val="32"/>
          <w:szCs w:val="32"/>
        </w:rPr>
        <w:t>为天山区、米东区、经开区（头屯河区）及各乡镇级应急救援队伍配备抢险救援装备</w:t>
      </w:r>
      <w:r>
        <w:rPr>
          <w:rFonts w:ascii="Times New Roman" w:hAnsi="Times New Roman" w:cs="Times New Roman"/>
          <w:kern w:val="0"/>
          <w:sz w:val="32"/>
          <w:szCs w:val="32"/>
        </w:rPr>
        <w:t>种类及数量，结合各救援装备市场报价计算项目预算数为3344万元。故预算编制科学性指标得分3分。</w:t>
      </w:r>
    </w:p>
    <w:p w14:paraId="250D95C6">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资金分配合理性</w:t>
      </w:r>
      <w:r>
        <w:rPr>
          <w:rFonts w:ascii="Times New Roman" w:hAnsi="Times New Roman" w:cs="Times New Roman"/>
          <w:sz w:val="32"/>
          <w:szCs w:val="32"/>
        </w:rPr>
        <w:t>：</w:t>
      </w:r>
      <w:r>
        <w:rPr>
          <w:rFonts w:ascii="Times New Roman" w:hAnsi="Times New Roman" w:cs="Times New Roman"/>
          <w:kern w:val="0"/>
          <w:sz w:val="32"/>
          <w:szCs w:val="32"/>
        </w:rPr>
        <w:t>该项目主要涉及天山区、经开区、米东区三个区域，由资料显示当地可能发生的自然灾害主要为地震地质、森林火灾、区域暴雨型洪水等。按照天山区、米东区、经开区（头屯河区）区乡级应急救援队的功能定位，根据县级、乡级救援队伍数量和现有装备配备情况及现实需求分析部分梳理的能力短板，提出符合天</w:t>
      </w:r>
      <w:r>
        <w:rPr>
          <w:rFonts w:ascii="Times New Roman" w:hAnsi="Times New Roman" w:cs="Times New Roman"/>
          <w:sz w:val="32"/>
          <w:szCs w:val="32"/>
        </w:rPr>
        <w:t>山区、米东区、经开区（头屯河区）及各乡镇级应急救援队伍抢险救援装备配备方案。</w:t>
      </w:r>
      <w:r>
        <w:rPr>
          <w:rFonts w:ascii="Times New Roman" w:hAnsi="Times New Roman" w:cs="Times New Roman"/>
          <w:kern w:val="0"/>
          <w:sz w:val="32"/>
          <w:szCs w:val="32"/>
        </w:rPr>
        <w:t>故资金分配合理性指标得分3分。</w:t>
      </w:r>
    </w:p>
    <w:p w14:paraId="357D71CC">
      <w:pPr>
        <w:autoSpaceDE w:val="0"/>
        <w:spacing w:line="560" w:lineRule="exact"/>
        <w:ind w:firstLine="643"/>
        <w:rPr>
          <w:rFonts w:ascii="Times New Roman" w:hAnsi="Times New Roman" w:cs="Times New Roman"/>
          <w:b/>
          <w:kern w:val="0"/>
          <w:sz w:val="32"/>
          <w:szCs w:val="32"/>
        </w:rPr>
      </w:pPr>
      <w:r>
        <w:rPr>
          <w:rFonts w:ascii="Times New Roman" w:hAnsi="Times New Roman" w:cs="Times New Roman"/>
          <w:b/>
          <w:kern w:val="0"/>
          <w:sz w:val="32"/>
          <w:szCs w:val="32"/>
        </w:rPr>
        <w:t>综上，该指标满分6分，得分6分。</w:t>
      </w:r>
    </w:p>
    <w:p w14:paraId="7B784A34">
      <w:pPr>
        <w:pStyle w:val="5"/>
        <w:spacing w:before="0" w:after="0" w:line="560" w:lineRule="exact"/>
        <w:ind w:firstLine="643"/>
        <w:rPr>
          <w:rFonts w:ascii="Times New Roman" w:hAnsi="Times New Roman" w:eastAsia="楷体_GB2312" w:cs="Times New Roman"/>
          <w:lang w:bidi="en-US"/>
        </w:rPr>
      </w:pPr>
      <w:bookmarkStart w:id="40" w:name="_Toc67911613"/>
      <w:bookmarkStart w:id="41" w:name="_Toc165277245"/>
      <w:r>
        <w:rPr>
          <w:rFonts w:ascii="Times New Roman" w:hAnsi="Times New Roman" w:eastAsia="楷体_GB2312" w:cs="Times New Roman"/>
          <w:lang w:bidi="en-US"/>
        </w:rPr>
        <w:t>（二）项目过程情况</w:t>
      </w:r>
      <w:bookmarkEnd w:id="40"/>
      <w:bookmarkEnd w:id="41"/>
    </w:p>
    <w:p w14:paraId="1A34AB20">
      <w:pPr>
        <w:spacing w:line="560" w:lineRule="exact"/>
        <w:ind w:firstLine="640"/>
        <w:rPr>
          <w:rFonts w:ascii="Times New Roman" w:hAnsi="Times New Roman" w:cs="Times New Roman"/>
          <w:sz w:val="32"/>
          <w:szCs w:val="32"/>
        </w:rPr>
      </w:pPr>
      <w:r>
        <w:rPr>
          <w:rFonts w:ascii="Times New Roman" w:hAnsi="Times New Roman" w:cs="Times New Roman"/>
          <w:sz w:val="32"/>
          <w:szCs w:val="32"/>
        </w:rPr>
        <w:t>项目过程指标由2个二级指标和5个三级指标构成，权重为20分，实际得分19.6分。</w:t>
      </w:r>
    </w:p>
    <w:p w14:paraId="67BE3274">
      <w:pPr>
        <w:pStyle w:val="6"/>
        <w:spacing w:before="0" w:after="0" w:line="560" w:lineRule="exact"/>
        <w:ind w:firstLine="643"/>
        <w:rPr>
          <w:rFonts w:ascii="Times New Roman" w:hAnsi="Times New Roman" w:cs="Times New Roman"/>
        </w:rPr>
      </w:pPr>
      <w:bookmarkStart w:id="42" w:name="_Toc165277246"/>
      <w:r>
        <w:rPr>
          <w:rFonts w:ascii="Times New Roman" w:hAnsi="Times New Roman" w:cs="Times New Roman"/>
        </w:rPr>
        <w:t>1.资金管理</w:t>
      </w:r>
      <w:bookmarkEnd w:id="42"/>
    </w:p>
    <w:p w14:paraId="38C04AC9">
      <w:pPr>
        <w:spacing w:line="560" w:lineRule="exact"/>
        <w:ind w:firstLine="643"/>
        <w:rPr>
          <w:rFonts w:ascii="Times New Roman" w:hAnsi="Times New Roman" w:cs="Times New Roman"/>
          <w:sz w:val="32"/>
          <w:szCs w:val="32"/>
          <w:highlight w:val="none"/>
        </w:rPr>
      </w:pPr>
      <w:r>
        <w:rPr>
          <w:rFonts w:ascii="Times New Roman" w:hAnsi="Times New Roman" w:cs="Times New Roman"/>
          <w:b/>
          <w:bCs/>
          <w:sz w:val="32"/>
          <w:szCs w:val="32"/>
          <w:highlight w:val="none"/>
        </w:rPr>
        <w:t>资金到位率：</w:t>
      </w:r>
      <w:r>
        <w:rPr>
          <w:rFonts w:ascii="Times New Roman" w:hAnsi="Times New Roman" w:cs="Times New Roman"/>
          <w:sz w:val="32"/>
          <w:szCs w:val="32"/>
          <w:highlight w:val="none"/>
        </w:rPr>
        <w:t>该项目共安排预算3344万元，其中：中央资金2739万元、市级配套资金605万元，截止2024年12月31日，已支出3035.14万元，支出进度90.76%</w:t>
      </w:r>
      <w:r>
        <w:rPr>
          <w:rFonts w:hint="eastAsia" w:ascii="Times New Roman" w:hAnsi="Times New Roman" w:cs="Times New Roman"/>
          <w:sz w:val="32"/>
          <w:szCs w:val="32"/>
          <w:highlight w:val="none"/>
          <w:lang w:eastAsia="zh-CN"/>
        </w:rPr>
        <w:t>。</w:t>
      </w:r>
      <w:r>
        <w:rPr>
          <w:rFonts w:ascii="Times New Roman" w:hAnsi="Times New Roman" w:cs="Times New Roman"/>
          <w:sz w:val="32"/>
          <w:szCs w:val="32"/>
          <w:highlight w:val="none"/>
        </w:rPr>
        <w:t>2024年实际到位资金</w:t>
      </w:r>
      <w:r>
        <w:rPr>
          <w:rFonts w:hint="eastAsia" w:ascii="Times New Roman" w:hAnsi="Times New Roman" w:cs="Times New Roman"/>
          <w:sz w:val="32"/>
          <w:szCs w:val="32"/>
          <w:highlight w:val="none"/>
          <w:lang w:val="en-US" w:eastAsia="zh-CN"/>
        </w:rPr>
        <w:t>3035.14</w:t>
      </w:r>
      <w:r>
        <w:rPr>
          <w:rFonts w:ascii="Times New Roman" w:hAnsi="Times New Roman" w:cs="Times New Roman"/>
          <w:sz w:val="32"/>
          <w:szCs w:val="32"/>
          <w:highlight w:val="none"/>
        </w:rPr>
        <w:t>万元，资金到位率</w:t>
      </w:r>
      <w:r>
        <w:rPr>
          <w:rFonts w:hint="eastAsia" w:ascii="Times New Roman" w:hAnsi="Times New Roman" w:cs="Times New Roman"/>
          <w:sz w:val="32"/>
          <w:szCs w:val="32"/>
          <w:highlight w:val="none"/>
          <w:lang w:val="en-US" w:eastAsia="zh-CN"/>
        </w:rPr>
        <w:t>90.76</w:t>
      </w:r>
      <w:r>
        <w:rPr>
          <w:rFonts w:ascii="Times New Roman" w:hAnsi="Times New Roman" w:cs="Times New Roman"/>
          <w:sz w:val="32"/>
          <w:szCs w:val="32"/>
          <w:highlight w:val="none"/>
        </w:rPr>
        <w:t>%。</w:t>
      </w:r>
      <w:r>
        <w:rPr>
          <w:rFonts w:ascii="Times New Roman" w:hAnsi="Times New Roman" w:cs="Times New Roman"/>
          <w:kern w:val="0"/>
          <w:sz w:val="32"/>
          <w:szCs w:val="32"/>
          <w:highlight w:val="none"/>
        </w:rPr>
        <w:t>故资金到位率指标得分</w:t>
      </w:r>
      <w:r>
        <w:rPr>
          <w:rFonts w:hint="eastAsia" w:ascii="Times New Roman" w:hAnsi="Times New Roman" w:cs="Times New Roman"/>
          <w:kern w:val="0"/>
          <w:sz w:val="32"/>
          <w:szCs w:val="32"/>
          <w:highlight w:val="none"/>
          <w:lang w:val="en-US" w:eastAsia="zh-CN"/>
        </w:rPr>
        <w:t>4.6</w:t>
      </w:r>
      <w:r>
        <w:rPr>
          <w:rFonts w:ascii="Times New Roman" w:hAnsi="Times New Roman" w:cs="Times New Roman"/>
          <w:kern w:val="0"/>
          <w:sz w:val="32"/>
          <w:szCs w:val="32"/>
          <w:highlight w:val="none"/>
        </w:rPr>
        <w:t>分。</w:t>
      </w:r>
    </w:p>
    <w:p w14:paraId="3983A860">
      <w:pPr>
        <w:spacing w:line="560" w:lineRule="exact"/>
        <w:ind w:firstLine="643"/>
        <w:rPr>
          <w:rFonts w:ascii="Times New Roman" w:hAnsi="Times New Roman" w:cs="Times New Roman"/>
          <w:b/>
          <w:bCs/>
          <w:sz w:val="32"/>
          <w:szCs w:val="32"/>
          <w:highlight w:val="none"/>
        </w:rPr>
      </w:pPr>
      <w:r>
        <w:rPr>
          <w:rFonts w:ascii="Times New Roman" w:hAnsi="Times New Roman" w:cs="Times New Roman"/>
          <w:b/>
          <w:bCs/>
          <w:sz w:val="32"/>
          <w:szCs w:val="32"/>
          <w:highlight w:val="none"/>
        </w:rPr>
        <w:t>预算执行率：</w:t>
      </w:r>
      <w:r>
        <w:rPr>
          <w:rFonts w:ascii="Times New Roman" w:hAnsi="Times New Roman" w:cs="Times New Roman"/>
          <w:sz w:val="32"/>
          <w:szCs w:val="32"/>
          <w:highlight w:val="none"/>
        </w:rPr>
        <w:t>该项目</w:t>
      </w:r>
      <w:r>
        <w:rPr>
          <w:rFonts w:hint="eastAsia" w:ascii="Times New Roman" w:hAnsi="Times New Roman" w:cs="Times New Roman"/>
          <w:sz w:val="32"/>
          <w:szCs w:val="32"/>
          <w:highlight w:val="none"/>
          <w:lang w:val="en-US" w:eastAsia="zh-CN"/>
        </w:rPr>
        <w:t>到位资金3035.14万元，</w:t>
      </w:r>
      <w:r>
        <w:rPr>
          <w:rFonts w:ascii="Times New Roman" w:hAnsi="Times New Roman" w:cs="Times New Roman"/>
          <w:sz w:val="32"/>
          <w:szCs w:val="32"/>
          <w:highlight w:val="none"/>
        </w:rPr>
        <w:t>总预算3344万元，其中：中央资金2739万元、市级配套资金</w:t>
      </w:r>
      <w:r>
        <w:rPr>
          <w:rFonts w:hint="eastAsia" w:ascii="Times New Roman" w:hAnsi="Times New Roman" w:cs="Times New Roman"/>
          <w:sz w:val="32"/>
          <w:szCs w:val="32"/>
          <w:highlight w:val="none"/>
          <w:lang w:val="en-US" w:eastAsia="zh-CN"/>
        </w:rPr>
        <w:t>296.14</w:t>
      </w:r>
      <w:r>
        <w:rPr>
          <w:rFonts w:ascii="Times New Roman" w:hAnsi="Times New Roman" w:cs="Times New Roman"/>
          <w:sz w:val="32"/>
          <w:szCs w:val="32"/>
          <w:highlight w:val="none"/>
        </w:rPr>
        <w:t>万元，截止2024年12月31日，已支出3035.14万元，其中：中央资金2739万元，</w:t>
      </w:r>
      <w:r>
        <w:rPr>
          <w:rFonts w:hint="eastAsia" w:ascii="Times New Roman" w:hAnsi="Times New Roman" w:cs="Times New Roman"/>
          <w:sz w:val="32"/>
          <w:szCs w:val="32"/>
          <w:highlight w:val="none"/>
          <w:lang w:val="en-US" w:eastAsia="zh-CN"/>
        </w:rPr>
        <w:t>预算执行率</w:t>
      </w:r>
      <w:r>
        <w:rPr>
          <w:rFonts w:ascii="Times New Roman" w:hAnsi="Times New Roman" w:cs="Times New Roman"/>
          <w:sz w:val="32"/>
          <w:szCs w:val="32"/>
          <w:highlight w:val="none"/>
        </w:rPr>
        <w:t>100%；市级资金296.14万元，</w:t>
      </w:r>
      <w:r>
        <w:rPr>
          <w:rFonts w:hint="eastAsia" w:ascii="Times New Roman" w:hAnsi="Times New Roman" w:cs="Times New Roman"/>
          <w:sz w:val="32"/>
          <w:szCs w:val="32"/>
          <w:highlight w:val="none"/>
          <w:lang w:val="en-US" w:eastAsia="zh-CN"/>
        </w:rPr>
        <w:t>预算执行率100</w:t>
      </w:r>
      <w:r>
        <w:rPr>
          <w:rFonts w:ascii="Times New Roman" w:hAnsi="Times New Roman" w:cs="Times New Roman"/>
          <w:sz w:val="32"/>
          <w:szCs w:val="32"/>
          <w:highlight w:val="none"/>
        </w:rPr>
        <w:t>%。故预算执行率得分为</w:t>
      </w:r>
      <w:r>
        <w:rPr>
          <w:rFonts w:hint="eastAsia" w:ascii="Times New Roman" w:hAnsi="Times New Roman" w:cs="Times New Roman"/>
          <w:sz w:val="32"/>
          <w:szCs w:val="32"/>
          <w:highlight w:val="none"/>
          <w:lang w:val="en-US" w:eastAsia="zh-CN"/>
        </w:rPr>
        <w:t>5</w:t>
      </w:r>
      <w:r>
        <w:rPr>
          <w:rFonts w:ascii="Times New Roman" w:hAnsi="Times New Roman" w:cs="Times New Roman"/>
          <w:sz w:val="32"/>
          <w:szCs w:val="32"/>
          <w:highlight w:val="none"/>
        </w:rPr>
        <w:t>分。</w:t>
      </w:r>
    </w:p>
    <w:p w14:paraId="3D3F31DE">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highlight w:val="none"/>
        </w:rPr>
        <w:t>资金使用合规性：</w:t>
      </w:r>
      <w:r>
        <w:rPr>
          <w:rFonts w:ascii="Times New Roman" w:hAnsi="Times New Roman" w:cs="Times New Roman"/>
          <w:sz w:val="32"/>
          <w:szCs w:val="32"/>
          <w:highlight w:val="none"/>
        </w:rPr>
        <w:t>本项目资金的使用国家财经法规、《增发2023年国债资金管理办法》（财预〔2023〕122号）和《乌鲁木齐市应急管理局内部控制管理制度》的规定。同时，资金的拨付按照市财政局要求进行申报和审批，按照要求在</w:t>
      </w:r>
      <w:r>
        <w:rPr>
          <w:rFonts w:ascii="Times New Roman" w:hAnsi="Times New Roman" w:cs="Times New Roman"/>
          <w:sz w:val="32"/>
          <w:szCs w:val="32"/>
        </w:rPr>
        <w:t>预算管理一体化系统进行申报，符合项目预算批复及合同规定的用途，不存在截留、挤占、挪用、虚列支出等情况。故资金使用合规性得分为3分。</w:t>
      </w:r>
    </w:p>
    <w:p w14:paraId="1C249D09">
      <w:pPr>
        <w:autoSpaceDE w:val="0"/>
        <w:spacing w:line="560" w:lineRule="exact"/>
        <w:ind w:firstLine="643"/>
        <w:rPr>
          <w:rFonts w:ascii="Times New Roman" w:hAnsi="Times New Roman" w:cs="Times New Roman"/>
          <w:b/>
          <w:kern w:val="0"/>
          <w:sz w:val="32"/>
          <w:szCs w:val="32"/>
        </w:rPr>
      </w:pPr>
      <w:r>
        <w:rPr>
          <w:rFonts w:ascii="Times New Roman" w:hAnsi="Times New Roman" w:cs="Times New Roman"/>
          <w:b/>
          <w:kern w:val="0"/>
          <w:sz w:val="32"/>
          <w:szCs w:val="32"/>
        </w:rPr>
        <w:t>综上，该指标满分13分，得分12.6分。</w:t>
      </w:r>
    </w:p>
    <w:p w14:paraId="217BB32C">
      <w:pPr>
        <w:pStyle w:val="6"/>
        <w:spacing w:before="0" w:after="0" w:line="560" w:lineRule="exact"/>
        <w:ind w:firstLine="643"/>
        <w:rPr>
          <w:rFonts w:ascii="Times New Roman" w:hAnsi="Times New Roman" w:cs="Times New Roman"/>
        </w:rPr>
      </w:pPr>
      <w:bookmarkStart w:id="43" w:name="_Toc165277247"/>
      <w:r>
        <w:rPr>
          <w:rFonts w:ascii="Times New Roman" w:hAnsi="Times New Roman" w:cs="Times New Roman"/>
        </w:rPr>
        <w:t>2.组织实施</w:t>
      </w:r>
      <w:bookmarkEnd w:id="43"/>
    </w:p>
    <w:p w14:paraId="1872084E">
      <w:pPr>
        <w:spacing w:line="560" w:lineRule="exact"/>
        <w:ind w:firstLine="640"/>
        <w:rPr>
          <w:rFonts w:ascii="Times New Roman" w:hAnsi="Times New Roman" w:cs="Times New Roman"/>
          <w:sz w:val="32"/>
          <w:szCs w:val="32"/>
        </w:rPr>
      </w:pPr>
      <w:r>
        <w:rPr>
          <w:rFonts w:ascii="Times New Roman" w:hAnsi="Times New Roman" w:cs="Times New Roman"/>
          <w:b/>
          <w:bCs/>
          <w:sz w:val="32"/>
          <w:szCs w:val="32"/>
        </w:rPr>
        <w:t>管理制度健全性</w:t>
      </w:r>
      <w:r>
        <w:rPr>
          <w:rFonts w:ascii="Times New Roman" w:hAnsi="Times New Roman" w:cs="Times New Roman"/>
          <w:sz w:val="32"/>
          <w:szCs w:val="32"/>
        </w:rPr>
        <w:t>：根据乌鲁木齐市发改委、财政局《关于印发《乌鲁木齐市增发国债项目实施工作机制的通知》（乌发改投资〔2024〕56号），已制定相应的项目实施管理制度，且制度合法、合规、完整，为项目顺利实施提供重要保障</w:t>
      </w:r>
      <w:r>
        <w:rPr>
          <w:rFonts w:hint="eastAsia" w:ascii="Times New Roman" w:hAnsi="Times New Roman" w:cs="Times New Roman"/>
          <w:sz w:val="32"/>
          <w:szCs w:val="32"/>
          <w:lang w:eastAsia="zh-CN"/>
        </w:rPr>
        <w:t>。</w:t>
      </w:r>
      <w:r>
        <w:rPr>
          <w:rFonts w:ascii="Times New Roman" w:hAnsi="Times New Roman" w:cs="Times New Roman"/>
          <w:sz w:val="32"/>
          <w:szCs w:val="32"/>
        </w:rPr>
        <w:t>我单位</w:t>
      </w:r>
      <w:r>
        <w:rPr>
          <w:rFonts w:hint="eastAsia" w:ascii="Times New Roman" w:hAnsi="Times New Roman" w:cs="Times New Roman"/>
          <w:sz w:val="32"/>
          <w:szCs w:val="32"/>
          <w:lang w:val="en-US" w:eastAsia="zh-CN"/>
        </w:rPr>
        <w:t>严格执行</w:t>
      </w:r>
      <w:r>
        <w:rPr>
          <w:rFonts w:ascii="Times New Roman" w:hAnsi="Times New Roman" w:cs="Times New Roman"/>
          <w:sz w:val="32"/>
          <w:szCs w:val="32"/>
        </w:rPr>
        <w:t>批复</w:t>
      </w:r>
      <w:r>
        <w:rPr>
          <w:rFonts w:hint="eastAsia" w:ascii="Times New Roman" w:hAnsi="Times New Roman" w:cs="Times New Roman"/>
          <w:sz w:val="32"/>
          <w:szCs w:val="32"/>
          <w:lang w:val="en-US" w:eastAsia="zh-CN"/>
        </w:rPr>
        <w:t>的</w:t>
      </w:r>
      <w:r>
        <w:rPr>
          <w:rFonts w:ascii="Times New Roman" w:hAnsi="Times New Roman" w:cs="Times New Roman"/>
          <w:sz w:val="32"/>
          <w:szCs w:val="32"/>
        </w:rPr>
        <w:t>内容，</w:t>
      </w:r>
      <w:r>
        <w:rPr>
          <w:rFonts w:hint="eastAsia" w:ascii="Times New Roman" w:hAnsi="Times New Roman" w:cs="Times New Roman"/>
          <w:sz w:val="32"/>
          <w:szCs w:val="32"/>
          <w:lang w:val="en-US" w:eastAsia="zh-CN"/>
        </w:rPr>
        <w:t>按照《中华人民共和国政府采购法》《中华人民共和国政府采购法实施条例》等要求，</w:t>
      </w:r>
      <w:r>
        <w:rPr>
          <w:rFonts w:ascii="Times New Roman" w:hAnsi="Times New Roman" w:cs="Times New Roman"/>
          <w:sz w:val="32"/>
          <w:szCs w:val="32"/>
        </w:rPr>
        <w:t>以公开</w:t>
      </w:r>
      <w:r>
        <w:rPr>
          <w:rFonts w:hint="eastAsia" w:ascii="Times New Roman" w:hAnsi="Times New Roman" w:cs="Times New Roman"/>
          <w:sz w:val="32"/>
          <w:szCs w:val="32"/>
          <w:lang w:val="en-US" w:eastAsia="zh-CN"/>
        </w:rPr>
        <w:t>招投标</w:t>
      </w:r>
      <w:r>
        <w:rPr>
          <w:rFonts w:ascii="Times New Roman" w:hAnsi="Times New Roman" w:cs="Times New Roman"/>
          <w:sz w:val="32"/>
          <w:szCs w:val="32"/>
        </w:rPr>
        <w:t>的形式</w:t>
      </w:r>
      <w:r>
        <w:rPr>
          <w:rFonts w:hint="eastAsia" w:ascii="Times New Roman" w:hAnsi="Times New Roman" w:cs="Times New Roman"/>
          <w:sz w:val="32"/>
          <w:szCs w:val="32"/>
          <w:lang w:val="en-US" w:eastAsia="zh-CN"/>
        </w:rPr>
        <w:t>开展政府采购，完成</w:t>
      </w:r>
      <w:r>
        <w:rPr>
          <w:rFonts w:ascii="Times New Roman" w:hAnsi="Times New Roman" w:cs="Times New Roman"/>
          <w:sz w:val="32"/>
          <w:szCs w:val="32"/>
        </w:rPr>
        <w:t>抢险救援装备</w:t>
      </w:r>
      <w:r>
        <w:rPr>
          <w:rFonts w:hint="eastAsia" w:ascii="Times New Roman" w:hAnsi="Times New Roman" w:cs="Times New Roman"/>
          <w:sz w:val="32"/>
          <w:szCs w:val="32"/>
          <w:lang w:val="en-US" w:eastAsia="zh-CN"/>
        </w:rPr>
        <w:t>购置</w:t>
      </w:r>
      <w:r>
        <w:rPr>
          <w:rFonts w:ascii="Times New Roman" w:hAnsi="Times New Roman" w:cs="Times New Roman"/>
          <w:sz w:val="32"/>
          <w:szCs w:val="32"/>
        </w:rPr>
        <w:t>。故管理制度健全性得分为3分。</w:t>
      </w:r>
    </w:p>
    <w:p w14:paraId="37A3200E">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制度执行有效性：</w:t>
      </w:r>
      <w:r>
        <w:rPr>
          <w:rFonts w:ascii="Times New Roman" w:hAnsi="Times New Roman" w:cs="Times New Roman"/>
          <w:sz w:val="32"/>
          <w:szCs w:val="32"/>
        </w:rPr>
        <w:t>根据评价小组核查情况，乌鲁木齐市自然灾害应急能力提升工程基层防灾项目实施和资金支出严格遵守相关法律法规和相关管理规定，项目调整及支出调整手续完备，整体管理合理有序，项目完成后，及时将会计凭证、固定资产入库单等相关资料分类归档，制度执行有效。故制度执行有效性指标得分4分。</w:t>
      </w:r>
    </w:p>
    <w:p w14:paraId="522436A6">
      <w:pPr>
        <w:autoSpaceDE w:val="0"/>
        <w:spacing w:line="560" w:lineRule="exact"/>
        <w:ind w:firstLine="643"/>
        <w:rPr>
          <w:rFonts w:ascii="Times New Roman" w:hAnsi="Times New Roman" w:cs="Times New Roman"/>
          <w:b/>
          <w:kern w:val="0"/>
          <w:sz w:val="32"/>
          <w:szCs w:val="32"/>
        </w:rPr>
      </w:pPr>
      <w:bookmarkStart w:id="44" w:name="_Hlk67670213"/>
      <w:r>
        <w:rPr>
          <w:rFonts w:ascii="Times New Roman" w:hAnsi="Times New Roman" w:cs="Times New Roman"/>
          <w:b/>
          <w:kern w:val="0"/>
          <w:sz w:val="32"/>
          <w:szCs w:val="32"/>
        </w:rPr>
        <w:t>综上，该指标满分7分，得分7分。</w:t>
      </w:r>
      <w:bookmarkEnd w:id="44"/>
    </w:p>
    <w:p w14:paraId="2FC5B8D6">
      <w:pPr>
        <w:pStyle w:val="5"/>
        <w:spacing w:before="0" w:after="0" w:line="560" w:lineRule="exact"/>
        <w:ind w:firstLine="643"/>
        <w:rPr>
          <w:rFonts w:ascii="Times New Roman" w:hAnsi="Times New Roman" w:eastAsia="仿宋" w:cs="Times New Roman"/>
          <w:lang w:bidi="en-US"/>
        </w:rPr>
      </w:pPr>
      <w:bookmarkStart w:id="45" w:name="_Toc67911614"/>
      <w:bookmarkStart w:id="46" w:name="_Toc165277248"/>
      <w:r>
        <w:rPr>
          <w:rFonts w:ascii="Times New Roman" w:hAnsi="Times New Roman" w:eastAsia="楷体_GB2312" w:cs="Times New Roman"/>
          <w:lang w:bidi="en-US"/>
        </w:rPr>
        <w:t>（三）项目产出情况</w:t>
      </w:r>
      <w:bookmarkEnd w:id="45"/>
      <w:bookmarkEnd w:id="46"/>
    </w:p>
    <w:p w14:paraId="5C1BA088">
      <w:pPr>
        <w:spacing w:line="560" w:lineRule="exact"/>
        <w:ind w:firstLine="640"/>
        <w:rPr>
          <w:rFonts w:ascii="Times New Roman" w:hAnsi="Times New Roman" w:cs="Times New Roman"/>
          <w:sz w:val="32"/>
          <w:szCs w:val="32"/>
          <w:highlight w:val="none"/>
        </w:rPr>
      </w:pPr>
      <w:r>
        <w:rPr>
          <w:rFonts w:ascii="Times New Roman" w:hAnsi="Times New Roman" w:cs="Times New Roman"/>
          <w:sz w:val="32"/>
          <w:szCs w:val="32"/>
          <w:highlight w:val="none"/>
        </w:rPr>
        <w:t>项目产出指标由</w:t>
      </w:r>
      <w:r>
        <w:rPr>
          <w:rFonts w:hint="eastAsia" w:ascii="Times New Roman" w:hAnsi="Times New Roman" w:cs="Times New Roman"/>
          <w:sz w:val="32"/>
          <w:szCs w:val="32"/>
          <w:highlight w:val="none"/>
          <w:lang w:val="en-US" w:eastAsia="zh-CN"/>
        </w:rPr>
        <w:t>4</w:t>
      </w:r>
      <w:r>
        <w:rPr>
          <w:rFonts w:ascii="Times New Roman" w:hAnsi="Times New Roman" w:cs="Times New Roman"/>
          <w:sz w:val="32"/>
          <w:szCs w:val="32"/>
          <w:highlight w:val="none"/>
        </w:rPr>
        <w:t>个二级指标和</w:t>
      </w:r>
      <w:r>
        <w:rPr>
          <w:rFonts w:hint="eastAsia" w:ascii="Times New Roman" w:hAnsi="Times New Roman" w:cs="Times New Roman"/>
          <w:sz w:val="32"/>
          <w:szCs w:val="32"/>
          <w:highlight w:val="none"/>
          <w:lang w:val="en-US" w:eastAsia="zh-CN"/>
        </w:rPr>
        <w:t>9</w:t>
      </w:r>
      <w:r>
        <w:rPr>
          <w:rFonts w:ascii="Times New Roman" w:hAnsi="Times New Roman" w:cs="Times New Roman"/>
          <w:sz w:val="32"/>
          <w:szCs w:val="32"/>
          <w:highlight w:val="none"/>
        </w:rPr>
        <w:t>个三级指标构成，权重为</w:t>
      </w:r>
      <w:r>
        <w:rPr>
          <w:rFonts w:hint="eastAsia" w:ascii="Times New Roman" w:hAnsi="Times New Roman" w:cs="Times New Roman"/>
          <w:sz w:val="32"/>
          <w:szCs w:val="32"/>
          <w:highlight w:val="none"/>
          <w:lang w:val="en-US" w:eastAsia="zh-CN"/>
        </w:rPr>
        <w:t>45</w:t>
      </w:r>
      <w:r>
        <w:rPr>
          <w:rFonts w:ascii="Times New Roman" w:hAnsi="Times New Roman" w:cs="Times New Roman"/>
          <w:sz w:val="32"/>
          <w:szCs w:val="32"/>
          <w:highlight w:val="none"/>
        </w:rPr>
        <w:t>分，实际得分</w:t>
      </w:r>
      <w:r>
        <w:rPr>
          <w:rFonts w:hint="eastAsia" w:ascii="Times New Roman" w:hAnsi="Times New Roman" w:cs="Times New Roman"/>
          <w:sz w:val="32"/>
          <w:szCs w:val="32"/>
          <w:highlight w:val="none"/>
          <w:lang w:val="en-US" w:eastAsia="zh-CN"/>
        </w:rPr>
        <w:t>44.1</w:t>
      </w:r>
      <w:r>
        <w:rPr>
          <w:rFonts w:ascii="Times New Roman" w:hAnsi="Times New Roman" w:cs="Times New Roman"/>
          <w:sz w:val="32"/>
          <w:szCs w:val="32"/>
          <w:highlight w:val="none"/>
        </w:rPr>
        <w:t>分。</w:t>
      </w:r>
      <w:bookmarkStart w:id="47" w:name="_Toc165277249"/>
    </w:p>
    <w:p w14:paraId="34604A70">
      <w:pPr>
        <w:spacing w:line="56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根据乌鲁木齐市发展和改革委员会《关于乌鲁木齐市自然灾害应急能力提升工程基层防灾项目可行性研究报告（代项目建议书）和概算的批复》（乌发改投资〔2023〕347号）、《关于调整乌鲁木齐市自然灾害应急能力提升工程基层防灾项目建设内容和概算的批复》（乌发改函〔2024〕4号）</w:t>
      </w:r>
      <w:r>
        <w:rPr>
          <w:rFonts w:hint="eastAsia" w:ascii="Times New Roman" w:hAnsi="Times New Roman" w:cs="Times New Roman"/>
          <w:sz w:val="32"/>
          <w:szCs w:val="32"/>
          <w:highlight w:val="none"/>
          <w:lang w:val="en-US" w:eastAsia="zh-CN"/>
        </w:rPr>
        <w:t>有关内容，该项目</w:t>
      </w:r>
      <w:r>
        <w:rPr>
          <w:rFonts w:ascii="Times New Roman" w:hAnsi="Times New Roman" w:cs="Times New Roman"/>
          <w:sz w:val="32"/>
          <w:szCs w:val="32"/>
        </w:rPr>
        <w:t>为天山区、米东区、经开区（头屯河区）及各乡镇级应急救援队伍配备抢险救援装备1610台（套）</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因该项目购置结束后，有结余资金，按照自治区发展改革委《自治区发展改革委关于自治区自然灾害应急能力提升工程基层防灾项目结余资金使用事项的批复》（新发改函〔2024〕56号）要求，该项目结余资金用于购置</w:t>
      </w:r>
      <w:r>
        <w:rPr>
          <w:rFonts w:ascii="Times New Roman" w:hAnsi="Times New Roman" w:cs="Times New Roman"/>
          <w:sz w:val="32"/>
          <w:szCs w:val="32"/>
        </w:rPr>
        <w:t>抢险救援装备</w:t>
      </w:r>
      <w:r>
        <w:rPr>
          <w:rFonts w:hint="eastAsia" w:ascii="Times New Roman" w:hAnsi="Times New Roman" w:cs="Times New Roman"/>
          <w:sz w:val="32"/>
          <w:szCs w:val="32"/>
          <w:lang w:val="en-US" w:eastAsia="zh-CN"/>
        </w:rPr>
        <w:t>319</w:t>
      </w:r>
      <w:r>
        <w:rPr>
          <w:rFonts w:ascii="Times New Roman" w:hAnsi="Times New Roman" w:cs="Times New Roman"/>
          <w:sz w:val="32"/>
          <w:szCs w:val="32"/>
        </w:rPr>
        <w:t>台（套）</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故该项目数量指标中</w:t>
      </w:r>
      <w:r>
        <w:rPr>
          <w:rFonts w:ascii="Times New Roman" w:hAnsi="Times New Roman" w:cs="Times New Roman"/>
          <w:bCs/>
          <w:sz w:val="32"/>
          <w:szCs w:val="32"/>
        </w:rPr>
        <w:t>购置地震地质灾害救援类救援装备</w:t>
      </w:r>
      <w:r>
        <w:rPr>
          <w:rFonts w:hint="eastAsia" w:ascii="Times New Roman" w:hAnsi="Times New Roman" w:cs="Times New Roman"/>
          <w:bCs/>
          <w:sz w:val="32"/>
          <w:szCs w:val="32"/>
          <w:lang w:eastAsia="zh-CN"/>
        </w:rPr>
        <w:t>、</w:t>
      </w:r>
      <w:r>
        <w:rPr>
          <w:rFonts w:ascii="Times New Roman" w:hAnsi="Times New Roman" w:cs="Times New Roman"/>
          <w:bCs/>
          <w:sz w:val="32"/>
          <w:szCs w:val="32"/>
        </w:rPr>
        <w:t>购置抗洪抢险类救援装备</w:t>
      </w:r>
      <w:r>
        <w:rPr>
          <w:rFonts w:hint="eastAsia" w:ascii="Times New Roman" w:hAnsi="Times New Roman" w:cs="Times New Roman"/>
          <w:bCs/>
          <w:sz w:val="32"/>
          <w:szCs w:val="32"/>
          <w:lang w:val="en-US" w:eastAsia="zh-CN"/>
        </w:rPr>
        <w:t>和</w:t>
      </w:r>
      <w:r>
        <w:rPr>
          <w:rFonts w:ascii="Times New Roman" w:hAnsi="Times New Roman" w:cs="Times New Roman"/>
          <w:bCs/>
          <w:sz w:val="32"/>
          <w:szCs w:val="32"/>
        </w:rPr>
        <w:t>购置综合保障类救援装备</w:t>
      </w:r>
      <w:r>
        <w:rPr>
          <w:rFonts w:hint="eastAsia" w:ascii="Times New Roman" w:hAnsi="Times New Roman" w:cs="Times New Roman"/>
          <w:bCs/>
          <w:sz w:val="32"/>
          <w:szCs w:val="32"/>
          <w:lang w:val="en-US" w:eastAsia="zh-CN"/>
        </w:rPr>
        <w:t>实际完成数量大于目标值。</w:t>
      </w:r>
    </w:p>
    <w:p w14:paraId="78683EE8">
      <w:pPr>
        <w:pStyle w:val="6"/>
        <w:spacing w:before="0" w:after="0" w:line="560" w:lineRule="exact"/>
        <w:ind w:firstLine="643"/>
        <w:rPr>
          <w:rFonts w:ascii="Times New Roman" w:hAnsi="Times New Roman" w:cs="Times New Roman"/>
          <w:highlight w:val="none"/>
        </w:rPr>
      </w:pPr>
      <w:r>
        <w:rPr>
          <w:rFonts w:ascii="Times New Roman" w:hAnsi="Times New Roman" w:cs="Times New Roman"/>
          <w:highlight w:val="none"/>
        </w:rPr>
        <w:t>1.产出数量</w:t>
      </w:r>
      <w:bookmarkEnd w:id="47"/>
    </w:p>
    <w:p w14:paraId="19805B3C">
      <w:pPr>
        <w:spacing w:line="560" w:lineRule="exact"/>
        <w:ind w:firstLine="640"/>
        <w:rPr>
          <w:rFonts w:ascii="Times New Roman" w:hAnsi="Times New Roman" w:cs="Times New Roman"/>
          <w:sz w:val="32"/>
          <w:szCs w:val="32"/>
          <w:highlight w:val="yellow"/>
        </w:rPr>
      </w:pPr>
      <w:r>
        <w:rPr>
          <w:rFonts w:hint="eastAsia" w:ascii="Times New Roman" w:hAnsi="Times New Roman" w:cs="Times New Roman"/>
          <w:sz w:val="32"/>
          <w:szCs w:val="32"/>
          <w:lang w:val="en-US" w:eastAsia="zh-CN"/>
        </w:rPr>
        <w:t>数量指标“购置地震地质灾害救援类救援装备”的目标值是大于等于664台（套），该项目严格按照批复内容和政府采购有关规定，以公开招投标的形式开展政府采购，该项目共分为20个标段，于2024年5月16日至11月26日期间发布招标公告，并于2024年6月25日至12月18日期间共签订合同20份，2024年度我单位实际购置地震地质灾害救援类救援装备完</w:t>
      </w:r>
      <w:r>
        <w:rPr>
          <w:rFonts w:hint="eastAsia" w:ascii="Times New Roman" w:hAnsi="Times New Roman" w:cs="Times New Roman"/>
          <w:sz w:val="32"/>
          <w:szCs w:val="32"/>
          <w:highlight w:val="none"/>
          <w:lang w:val="en-US" w:eastAsia="zh-CN"/>
        </w:rPr>
        <w:t>成781台（套），</w:t>
      </w:r>
      <w:r>
        <w:rPr>
          <w:rFonts w:ascii="Times New Roman" w:hAnsi="Times New Roman" w:cs="Times New Roman"/>
          <w:b/>
          <w:bCs/>
          <w:sz w:val="32"/>
          <w:szCs w:val="32"/>
          <w:highlight w:val="none"/>
        </w:rPr>
        <w:t>实际完成率</w:t>
      </w:r>
      <w:r>
        <w:rPr>
          <w:rFonts w:hint="eastAsia" w:ascii="Times New Roman" w:hAnsi="Times New Roman" w:cs="Times New Roman"/>
          <w:b/>
          <w:bCs/>
          <w:sz w:val="32"/>
          <w:szCs w:val="32"/>
          <w:highlight w:val="none"/>
          <w:lang w:val="en-US" w:eastAsia="zh-CN"/>
        </w:rPr>
        <w:t>117.62</w:t>
      </w:r>
      <w:r>
        <w:rPr>
          <w:rFonts w:ascii="Times New Roman" w:hAnsi="Times New Roman" w:cs="Times New Roman"/>
          <w:b/>
          <w:bCs/>
          <w:sz w:val="32"/>
          <w:szCs w:val="32"/>
          <w:highlight w:val="none"/>
        </w:rPr>
        <w:t>%，</w:t>
      </w:r>
      <w:r>
        <w:rPr>
          <w:rFonts w:ascii="Times New Roman" w:hAnsi="Times New Roman" w:cs="Times New Roman"/>
          <w:sz w:val="32"/>
          <w:szCs w:val="32"/>
          <w:highlight w:val="none"/>
        </w:rPr>
        <w:t>故实际完成率得分为5分。</w:t>
      </w:r>
    </w:p>
    <w:p w14:paraId="73CF11FD">
      <w:pPr>
        <w:spacing w:line="560" w:lineRule="exact"/>
        <w:ind w:firstLine="640"/>
        <w:rPr>
          <w:rFonts w:ascii="Times New Roman" w:hAnsi="Times New Roman" w:cs="Times New Roman"/>
          <w:sz w:val="32"/>
          <w:szCs w:val="32"/>
          <w:highlight w:val="none"/>
        </w:rPr>
      </w:pPr>
      <w:r>
        <w:rPr>
          <w:rFonts w:ascii="Times New Roman" w:hAnsi="Times New Roman" w:cs="Times New Roman"/>
          <w:bCs/>
          <w:sz w:val="32"/>
          <w:szCs w:val="32"/>
          <w:highlight w:val="none"/>
        </w:rPr>
        <w:t>数量指标“购置抗洪抢险类救援装备”的目标值是大于等于59</w:t>
      </w:r>
      <w:r>
        <w:rPr>
          <w:rFonts w:hint="eastAsia" w:ascii="Times New Roman" w:hAnsi="Times New Roman" w:cs="Times New Roman"/>
          <w:bCs/>
          <w:sz w:val="32"/>
          <w:szCs w:val="32"/>
          <w:highlight w:val="none"/>
          <w:lang w:eastAsia="zh-CN"/>
        </w:rPr>
        <w:t>台（套）</w:t>
      </w:r>
      <w:r>
        <w:rPr>
          <w:rFonts w:ascii="Times New Roman" w:hAnsi="Times New Roman" w:cs="Times New Roman"/>
          <w:bCs/>
          <w:sz w:val="32"/>
          <w:szCs w:val="32"/>
          <w:highlight w:val="none"/>
        </w:rPr>
        <w:t>，</w:t>
      </w:r>
      <w:r>
        <w:rPr>
          <w:rFonts w:hint="eastAsia" w:ascii="Times New Roman" w:hAnsi="Times New Roman" w:cs="Times New Roman"/>
          <w:sz w:val="32"/>
          <w:szCs w:val="32"/>
          <w:highlight w:val="none"/>
          <w:lang w:val="en-US" w:eastAsia="zh-CN"/>
        </w:rPr>
        <w:t>该项目严格按照批复内容和政府采购有关规定，以公开招投标的形式开展政府采购，该项目共分为20个标段，于2024年5月16日至11月26日期间发布招标公告，并于2024年6月25日至12月18日期间共签订合同20份，</w:t>
      </w:r>
      <w:r>
        <w:rPr>
          <w:rFonts w:ascii="Times New Roman" w:hAnsi="Times New Roman" w:cs="Times New Roman"/>
          <w:bCs/>
          <w:sz w:val="32"/>
          <w:szCs w:val="32"/>
          <w:highlight w:val="none"/>
        </w:rPr>
        <w:t>2024年度我单位实际购置抗洪抢险类救援装备完成93</w:t>
      </w:r>
      <w:r>
        <w:rPr>
          <w:rFonts w:hint="eastAsia" w:ascii="Times New Roman" w:hAnsi="Times New Roman" w:cs="Times New Roman"/>
          <w:bCs/>
          <w:sz w:val="32"/>
          <w:szCs w:val="32"/>
          <w:highlight w:val="none"/>
          <w:lang w:eastAsia="zh-CN"/>
        </w:rPr>
        <w:t>台（套）</w:t>
      </w:r>
      <w:r>
        <w:rPr>
          <w:rFonts w:ascii="Times New Roman" w:hAnsi="Times New Roman" w:cs="Times New Roman"/>
          <w:bCs/>
          <w:sz w:val="32"/>
          <w:szCs w:val="32"/>
          <w:highlight w:val="none"/>
        </w:rPr>
        <w:t>，</w:t>
      </w:r>
      <w:r>
        <w:rPr>
          <w:rFonts w:ascii="Times New Roman" w:hAnsi="Times New Roman" w:cs="Times New Roman"/>
          <w:b/>
          <w:bCs/>
          <w:sz w:val="32"/>
          <w:szCs w:val="32"/>
          <w:highlight w:val="none"/>
        </w:rPr>
        <w:t>实际完成率1</w:t>
      </w:r>
      <w:r>
        <w:rPr>
          <w:rFonts w:hint="eastAsia" w:ascii="Times New Roman" w:hAnsi="Times New Roman" w:cs="Times New Roman"/>
          <w:b/>
          <w:bCs/>
          <w:sz w:val="32"/>
          <w:szCs w:val="32"/>
          <w:highlight w:val="none"/>
          <w:lang w:val="en-US" w:eastAsia="zh-CN"/>
        </w:rPr>
        <w:t>57.63</w:t>
      </w:r>
      <w:r>
        <w:rPr>
          <w:rFonts w:ascii="Times New Roman" w:hAnsi="Times New Roman" w:cs="Times New Roman"/>
          <w:b/>
          <w:bCs/>
          <w:sz w:val="32"/>
          <w:szCs w:val="32"/>
          <w:highlight w:val="none"/>
        </w:rPr>
        <w:t>%，</w:t>
      </w:r>
      <w:r>
        <w:rPr>
          <w:rFonts w:ascii="Times New Roman" w:hAnsi="Times New Roman" w:cs="Times New Roman"/>
          <w:sz w:val="32"/>
          <w:szCs w:val="32"/>
          <w:highlight w:val="none"/>
        </w:rPr>
        <w:t>故实际完成率得分为5分。</w:t>
      </w:r>
    </w:p>
    <w:p w14:paraId="21058608">
      <w:pPr>
        <w:spacing w:line="560" w:lineRule="exact"/>
        <w:ind w:firstLine="640"/>
        <w:rPr>
          <w:rFonts w:ascii="Times New Roman" w:hAnsi="Times New Roman" w:cs="Times New Roman"/>
          <w:bCs/>
          <w:sz w:val="32"/>
          <w:szCs w:val="32"/>
        </w:rPr>
      </w:pPr>
      <w:r>
        <w:rPr>
          <w:rFonts w:ascii="Times New Roman" w:hAnsi="Times New Roman" w:cs="Times New Roman"/>
          <w:bCs/>
          <w:sz w:val="32"/>
          <w:szCs w:val="32"/>
          <w:highlight w:val="none"/>
        </w:rPr>
        <w:t>数量指标“购置森林（草原）火灾扑救类救援装备”的</w:t>
      </w:r>
      <w:r>
        <w:rPr>
          <w:rFonts w:ascii="Times New Roman" w:hAnsi="Times New Roman" w:cs="Times New Roman"/>
          <w:bCs/>
          <w:sz w:val="32"/>
          <w:szCs w:val="32"/>
        </w:rPr>
        <w:t>目标值是大于等于1辆，</w:t>
      </w:r>
      <w:r>
        <w:rPr>
          <w:rFonts w:hint="eastAsia" w:ascii="Times New Roman" w:hAnsi="Times New Roman" w:cs="Times New Roman"/>
          <w:sz w:val="32"/>
          <w:szCs w:val="32"/>
          <w:lang w:val="en-US" w:eastAsia="zh-CN"/>
        </w:rPr>
        <w:t>该项目严格按照批复内容和政府采购有关规定，以公开招投标的形式开展政府采购，该项目共分为20个标段，于2024年5月16日至11月26日期间发布招标公告，并于2024年6月25日至12月18日期间共签订合同20份，</w:t>
      </w:r>
      <w:r>
        <w:rPr>
          <w:rFonts w:ascii="Times New Roman" w:hAnsi="Times New Roman" w:cs="Times New Roman"/>
          <w:bCs/>
          <w:sz w:val="32"/>
          <w:szCs w:val="32"/>
        </w:rPr>
        <w:t>2024年度我单位实际购置森林（草原）火灾扑救类救援装备完成1辆，</w:t>
      </w:r>
      <w:r>
        <w:rPr>
          <w:rFonts w:ascii="Times New Roman" w:hAnsi="Times New Roman" w:cs="Times New Roman"/>
          <w:b/>
          <w:bCs/>
          <w:sz w:val="32"/>
          <w:szCs w:val="32"/>
        </w:rPr>
        <w:t>实际完成率100%，</w:t>
      </w:r>
      <w:r>
        <w:rPr>
          <w:rFonts w:ascii="Times New Roman" w:hAnsi="Times New Roman" w:cs="Times New Roman"/>
          <w:sz w:val="32"/>
          <w:szCs w:val="32"/>
        </w:rPr>
        <w:t>故</w:t>
      </w:r>
      <w:r>
        <w:rPr>
          <w:rFonts w:ascii="Times New Roman" w:hAnsi="Times New Roman" w:cs="Times New Roman"/>
          <w:bCs/>
          <w:sz w:val="32"/>
          <w:szCs w:val="32"/>
        </w:rPr>
        <w:t>实际完成率得分为5分。</w:t>
      </w:r>
    </w:p>
    <w:p w14:paraId="2048E71D">
      <w:pPr>
        <w:spacing w:line="560" w:lineRule="exact"/>
        <w:ind w:firstLine="640"/>
        <w:rPr>
          <w:rFonts w:ascii="Times New Roman" w:hAnsi="Times New Roman" w:cs="Times New Roman"/>
          <w:bCs/>
          <w:sz w:val="32"/>
          <w:szCs w:val="32"/>
        </w:rPr>
      </w:pPr>
      <w:r>
        <w:rPr>
          <w:rFonts w:ascii="Times New Roman" w:hAnsi="Times New Roman" w:cs="Times New Roman"/>
          <w:bCs/>
          <w:sz w:val="32"/>
          <w:szCs w:val="32"/>
        </w:rPr>
        <w:t>数量指标“购置水域救援类救援装备”的目标值是大于等于20</w:t>
      </w:r>
      <w:r>
        <w:rPr>
          <w:rFonts w:hint="eastAsia" w:ascii="Times New Roman" w:hAnsi="Times New Roman" w:cs="Times New Roman"/>
          <w:bCs/>
          <w:sz w:val="32"/>
          <w:szCs w:val="32"/>
          <w:lang w:eastAsia="zh-CN"/>
        </w:rPr>
        <w:t>台（套）</w:t>
      </w:r>
      <w:r>
        <w:rPr>
          <w:rFonts w:ascii="Times New Roman" w:hAnsi="Times New Roman" w:cs="Times New Roman"/>
          <w:bCs/>
          <w:sz w:val="32"/>
          <w:szCs w:val="32"/>
        </w:rPr>
        <w:t>，</w:t>
      </w:r>
      <w:r>
        <w:rPr>
          <w:rFonts w:hint="eastAsia" w:ascii="Times New Roman" w:hAnsi="Times New Roman" w:cs="Times New Roman"/>
          <w:sz w:val="32"/>
          <w:szCs w:val="32"/>
          <w:lang w:val="en-US" w:eastAsia="zh-CN"/>
        </w:rPr>
        <w:t>该项目严格按照批复内容和政府采购有关规定，以公开招投标的形式开展政府采购，该项目共分为20个标段，于2024年5月16日至11月26日期间发布招标公告，并于2024年6月25日至12月18日期间共签订合同20份，</w:t>
      </w:r>
      <w:r>
        <w:rPr>
          <w:rFonts w:ascii="Times New Roman" w:hAnsi="Times New Roman" w:cs="Times New Roman"/>
          <w:bCs/>
          <w:sz w:val="32"/>
          <w:szCs w:val="32"/>
        </w:rPr>
        <w:t>2024年度我单位实际购置水域救援类救援装备完成20</w:t>
      </w:r>
      <w:r>
        <w:rPr>
          <w:rFonts w:hint="eastAsia" w:ascii="Times New Roman" w:hAnsi="Times New Roman" w:cs="Times New Roman"/>
          <w:bCs/>
          <w:sz w:val="32"/>
          <w:szCs w:val="32"/>
          <w:lang w:eastAsia="zh-CN"/>
        </w:rPr>
        <w:t>台（套）</w:t>
      </w:r>
      <w:r>
        <w:rPr>
          <w:rFonts w:ascii="Times New Roman" w:hAnsi="Times New Roman" w:cs="Times New Roman"/>
          <w:bCs/>
          <w:sz w:val="32"/>
          <w:szCs w:val="32"/>
        </w:rPr>
        <w:t>，</w:t>
      </w:r>
      <w:r>
        <w:rPr>
          <w:rFonts w:ascii="Times New Roman" w:hAnsi="Times New Roman" w:cs="Times New Roman"/>
          <w:b/>
          <w:sz w:val="32"/>
          <w:szCs w:val="32"/>
        </w:rPr>
        <w:t>实际完成率100%，</w:t>
      </w:r>
      <w:r>
        <w:rPr>
          <w:rFonts w:ascii="Times New Roman" w:hAnsi="Times New Roman" w:cs="Times New Roman"/>
          <w:bCs/>
          <w:sz w:val="32"/>
          <w:szCs w:val="32"/>
        </w:rPr>
        <w:t>故实际完成率得分为5分。</w:t>
      </w:r>
    </w:p>
    <w:p w14:paraId="775F3A73">
      <w:pPr>
        <w:spacing w:line="560" w:lineRule="exact"/>
        <w:ind w:firstLine="640"/>
        <w:rPr>
          <w:rFonts w:ascii="Times New Roman" w:hAnsi="Times New Roman" w:cs="Times New Roman"/>
          <w:bCs/>
          <w:sz w:val="32"/>
          <w:szCs w:val="32"/>
        </w:rPr>
      </w:pPr>
      <w:r>
        <w:rPr>
          <w:rFonts w:ascii="Times New Roman" w:hAnsi="Times New Roman" w:cs="Times New Roman"/>
          <w:bCs/>
          <w:sz w:val="32"/>
          <w:szCs w:val="32"/>
        </w:rPr>
        <w:t>数量指标“购置综合保障类救援装备”的目标值是大于等于866</w:t>
      </w:r>
      <w:r>
        <w:rPr>
          <w:rFonts w:hint="eastAsia" w:ascii="Times New Roman" w:hAnsi="Times New Roman" w:cs="Times New Roman"/>
          <w:bCs/>
          <w:sz w:val="32"/>
          <w:szCs w:val="32"/>
          <w:lang w:eastAsia="zh-CN"/>
        </w:rPr>
        <w:t>台（套）</w:t>
      </w:r>
      <w:r>
        <w:rPr>
          <w:rFonts w:ascii="Times New Roman" w:hAnsi="Times New Roman" w:cs="Times New Roman"/>
          <w:bCs/>
          <w:sz w:val="32"/>
          <w:szCs w:val="32"/>
        </w:rPr>
        <w:t>，</w:t>
      </w:r>
      <w:r>
        <w:rPr>
          <w:rFonts w:hint="eastAsia" w:ascii="Times New Roman" w:hAnsi="Times New Roman" w:cs="Times New Roman"/>
          <w:sz w:val="32"/>
          <w:szCs w:val="32"/>
          <w:lang w:val="en-US" w:eastAsia="zh-CN"/>
        </w:rPr>
        <w:t>该项目严格按照批复内容和政府采购有关规定，以公开招投标的形式开展政府采购，该项目共分为20个标段，于2024年5月16日至11月26日期间发布招标公告，并于2024年6月25日至12月18日期间共签订合同20份，</w:t>
      </w:r>
      <w:r>
        <w:rPr>
          <w:rFonts w:ascii="Times New Roman" w:hAnsi="Times New Roman" w:cs="Times New Roman"/>
          <w:bCs/>
          <w:sz w:val="32"/>
          <w:szCs w:val="32"/>
        </w:rPr>
        <w:t>2024年度我单位实际购置综合保障类救援装备完成1034</w:t>
      </w:r>
      <w:r>
        <w:rPr>
          <w:rFonts w:hint="eastAsia" w:ascii="Times New Roman" w:hAnsi="Times New Roman" w:cs="Times New Roman"/>
          <w:bCs/>
          <w:sz w:val="32"/>
          <w:szCs w:val="32"/>
          <w:lang w:eastAsia="zh-CN"/>
        </w:rPr>
        <w:t>台（套）</w:t>
      </w:r>
      <w:r>
        <w:rPr>
          <w:rFonts w:ascii="Times New Roman" w:hAnsi="Times New Roman" w:cs="Times New Roman"/>
          <w:bCs/>
          <w:sz w:val="32"/>
          <w:szCs w:val="32"/>
        </w:rPr>
        <w:t>，</w:t>
      </w:r>
      <w:r>
        <w:rPr>
          <w:rFonts w:ascii="Times New Roman" w:hAnsi="Times New Roman" w:cs="Times New Roman"/>
          <w:b/>
          <w:sz w:val="32"/>
          <w:szCs w:val="32"/>
        </w:rPr>
        <w:t>实际完成率</w:t>
      </w:r>
      <w:r>
        <w:rPr>
          <w:rFonts w:hint="eastAsia" w:ascii="Times New Roman" w:hAnsi="Times New Roman" w:cs="Times New Roman"/>
          <w:b/>
          <w:sz w:val="32"/>
          <w:szCs w:val="32"/>
          <w:lang w:val="en-US" w:eastAsia="zh-CN"/>
        </w:rPr>
        <w:t>119.4</w:t>
      </w:r>
      <w:r>
        <w:rPr>
          <w:rFonts w:ascii="Times New Roman" w:hAnsi="Times New Roman" w:cs="Times New Roman"/>
          <w:b/>
          <w:sz w:val="32"/>
          <w:szCs w:val="32"/>
        </w:rPr>
        <w:t>%，</w:t>
      </w:r>
      <w:r>
        <w:rPr>
          <w:rFonts w:ascii="Times New Roman" w:hAnsi="Times New Roman" w:cs="Times New Roman"/>
          <w:bCs/>
          <w:sz w:val="32"/>
          <w:szCs w:val="32"/>
        </w:rPr>
        <w:t>故实际完成率得分为</w:t>
      </w:r>
      <w:r>
        <w:rPr>
          <w:rFonts w:hint="eastAsia" w:ascii="Times New Roman" w:hAnsi="Times New Roman" w:cs="Times New Roman"/>
          <w:bCs/>
          <w:sz w:val="32"/>
          <w:szCs w:val="32"/>
          <w:lang w:val="en-US" w:eastAsia="zh-CN"/>
        </w:rPr>
        <w:t>5</w:t>
      </w:r>
      <w:r>
        <w:rPr>
          <w:rFonts w:ascii="Times New Roman" w:hAnsi="Times New Roman" w:cs="Times New Roman"/>
          <w:bCs/>
          <w:sz w:val="32"/>
          <w:szCs w:val="32"/>
        </w:rPr>
        <w:t>分。</w:t>
      </w:r>
    </w:p>
    <w:p w14:paraId="5D90F0E7">
      <w:pPr>
        <w:spacing w:line="560" w:lineRule="exact"/>
        <w:ind w:firstLine="643"/>
        <w:rPr>
          <w:rFonts w:ascii="Times New Roman" w:hAnsi="Times New Roman" w:cs="Times New Roman"/>
          <w:b/>
          <w:bCs/>
          <w:sz w:val="32"/>
          <w:szCs w:val="32"/>
        </w:rPr>
      </w:pPr>
      <w:r>
        <w:rPr>
          <w:rFonts w:ascii="Times New Roman" w:hAnsi="Times New Roman" w:cs="Times New Roman"/>
          <w:b/>
          <w:bCs/>
          <w:sz w:val="32"/>
          <w:szCs w:val="32"/>
        </w:rPr>
        <w:t>综上，数量指标得分为</w:t>
      </w:r>
      <w:r>
        <w:rPr>
          <w:rFonts w:hint="eastAsia" w:ascii="Times New Roman" w:hAnsi="Times New Roman" w:cs="Times New Roman"/>
          <w:b/>
          <w:bCs/>
          <w:sz w:val="32"/>
          <w:szCs w:val="32"/>
          <w:lang w:val="en-US" w:eastAsia="zh-CN"/>
        </w:rPr>
        <w:t>25</w:t>
      </w:r>
      <w:r>
        <w:rPr>
          <w:rFonts w:ascii="Times New Roman" w:hAnsi="Times New Roman" w:cs="Times New Roman"/>
          <w:b/>
          <w:bCs/>
          <w:sz w:val="32"/>
          <w:szCs w:val="32"/>
        </w:rPr>
        <w:t>分。</w:t>
      </w:r>
    </w:p>
    <w:p w14:paraId="5C77D0D3">
      <w:pPr>
        <w:pStyle w:val="6"/>
        <w:spacing w:before="0" w:after="0" w:line="560" w:lineRule="exact"/>
        <w:ind w:firstLine="643"/>
        <w:rPr>
          <w:rFonts w:ascii="Times New Roman" w:hAnsi="Times New Roman" w:cs="Times New Roman"/>
        </w:rPr>
      </w:pPr>
      <w:bookmarkStart w:id="48" w:name="_Toc165277250"/>
      <w:r>
        <w:rPr>
          <w:rFonts w:ascii="Times New Roman" w:hAnsi="Times New Roman" w:cs="Times New Roman"/>
        </w:rPr>
        <w:t>2.产出质量</w:t>
      </w:r>
      <w:bookmarkEnd w:id="48"/>
    </w:p>
    <w:p w14:paraId="516505FA">
      <w:pPr>
        <w:spacing w:line="560" w:lineRule="exact"/>
        <w:ind w:firstLine="640"/>
        <w:rPr>
          <w:rFonts w:ascii="Times New Roman" w:hAnsi="Times New Roman" w:cs="Times New Roman"/>
          <w:bCs/>
          <w:sz w:val="32"/>
          <w:szCs w:val="32"/>
        </w:rPr>
      </w:pPr>
      <w:r>
        <w:rPr>
          <w:rFonts w:ascii="Times New Roman" w:hAnsi="Times New Roman" w:cs="Times New Roman"/>
          <w:bCs/>
          <w:sz w:val="32"/>
          <w:szCs w:val="32"/>
        </w:rPr>
        <w:t>质量指标“设备验收合格率”的目标值是100%，该项目购置装备合计1929台</w:t>
      </w:r>
      <w:r>
        <w:rPr>
          <w:rFonts w:hint="eastAsia" w:ascii="Times New Roman" w:hAnsi="Times New Roman" w:cs="Times New Roman"/>
          <w:bCs/>
          <w:sz w:val="32"/>
          <w:szCs w:val="32"/>
          <w:lang w:eastAsia="zh-CN"/>
        </w:rPr>
        <w:t>（</w:t>
      </w:r>
      <w:r>
        <w:rPr>
          <w:rFonts w:hint="eastAsia" w:ascii="Times New Roman" w:hAnsi="Times New Roman" w:cs="Times New Roman"/>
          <w:bCs/>
          <w:sz w:val="32"/>
          <w:szCs w:val="32"/>
          <w:lang w:val="en-US" w:eastAsia="zh-CN"/>
        </w:rPr>
        <w:t>套</w:t>
      </w:r>
      <w:r>
        <w:rPr>
          <w:rFonts w:hint="eastAsia" w:ascii="Times New Roman" w:hAnsi="Times New Roman" w:cs="Times New Roman"/>
          <w:bCs/>
          <w:sz w:val="32"/>
          <w:szCs w:val="32"/>
          <w:lang w:eastAsia="zh-CN"/>
        </w:rPr>
        <w:t>）</w:t>
      </w:r>
      <w:r>
        <w:rPr>
          <w:rFonts w:ascii="Times New Roman" w:hAnsi="Times New Roman" w:cs="Times New Roman"/>
          <w:bCs/>
          <w:sz w:val="32"/>
          <w:szCs w:val="32"/>
        </w:rPr>
        <w:t>，其中综合保障类救援装备中2台救援无人机（灭火无人机）经验收不合格，</w:t>
      </w:r>
      <w:r>
        <w:rPr>
          <w:rFonts w:ascii="Times New Roman" w:hAnsi="Times New Roman" w:cs="Times New Roman"/>
          <w:b/>
          <w:sz w:val="32"/>
          <w:szCs w:val="32"/>
        </w:rPr>
        <w:t>实际完成率为99.9%，</w:t>
      </w:r>
      <w:r>
        <w:rPr>
          <w:rFonts w:ascii="Times New Roman" w:hAnsi="Times New Roman" w:cs="Times New Roman"/>
          <w:bCs/>
          <w:sz w:val="32"/>
          <w:szCs w:val="32"/>
        </w:rPr>
        <w:t>故设备验收合格率得分为</w:t>
      </w:r>
      <w:r>
        <w:rPr>
          <w:rFonts w:hint="eastAsia" w:ascii="Times New Roman" w:hAnsi="Times New Roman" w:cs="Times New Roman"/>
          <w:bCs/>
          <w:sz w:val="32"/>
          <w:szCs w:val="32"/>
          <w:lang w:val="en-US" w:eastAsia="zh-CN"/>
        </w:rPr>
        <w:t>4</w:t>
      </w:r>
      <w:r>
        <w:rPr>
          <w:rFonts w:ascii="Times New Roman" w:hAnsi="Times New Roman" w:cs="Times New Roman"/>
          <w:bCs/>
          <w:sz w:val="32"/>
          <w:szCs w:val="32"/>
        </w:rPr>
        <w:t>.99分。</w:t>
      </w:r>
    </w:p>
    <w:p w14:paraId="5EDD00D2">
      <w:pPr>
        <w:pStyle w:val="6"/>
        <w:spacing w:before="0" w:after="0" w:line="560" w:lineRule="exact"/>
        <w:ind w:firstLine="643"/>
        <w:rPr>
          <w:rFonts w:ascii="Times New Roman" w:hAnsi="Times New Roman" w:cs="Times New Roman"/>
        </w:rPr>
      </w:pPr>
      <w:r>
        <w:rPr>
          <w:rFonts w:ascii="Times New Roman" w:hAnsi="Times New Roman" w:cs="Times New Roman"/>
        </w:rPr>
        <w:t>综上，质量指标得分为</w:t>
      </w:r>
      <w:r>
        <w:rPr>
          <w:rFonts w:hint="eastAsia" w:ascii="Times New Roman" w:hAnsi="Times New Roman" w:cs="Times New Roman"/>
          <w:lang w:val="en-US" w:eastAsia="zh-CN"/>
        </w:rPr>
        <w:t>4</w:t>
      </w:r>
      <w:r>
        <w:rPr>
          <w:rFonts w:ascii="Times New Roman" w:hAnsi="Times New Roman" w:cs="Times New Roman"/>
        </w:rPr>
        <w:t>.99分。</w:t>
      </w:r>
    </w:p>
    <w:p w14:paraId="5F9C34AD">
      <w:pPr>
        <w:pStyle w:val="6"/>
        <w:spacing w:before="0" w:after="0" w:line="560" w:lineRule="exact"/>
        <w:ind w:firstLine="643"/>
        <w:rPr>
          <w:rFonts w:ascii="Times New Roman" w:hAnsi="Times New Roman" w:cs="Times New Roman"/>
          <w:highlight w:val="none"/>
        </w:rPr>
      </w:pPr>
      <w:bookmarkStart w:id="49" w:name="_Toc165277251"/>
      <w:r>
        <w:rPr>
          <w:rFonts w:ascii="Times New Roman" w:hAnsi="Times New Roman" w:cs="Times New Roman"/>
          <w:highlight w:val="none"/>
        </w:rPr>
        <w:t>3.</w:t>
      </w:r>
      <w:bookmarkEnd w:id="49"/>
      <w:bookmarkStart w:id="50" w:name="_Toc165277253"/>
      <w:bookmarkStart w:id="51" w:name="_Toc67911615"/>
      <w:r>
        <w:rPr>
          <w:rFonts w:ascii="Times New Roman" w:hAnsi="Times New Roman" w:cs="Times New Roman"/>
          <w:highlight w:val="none"/>
        </w:rPr>
        <w:t>产出时效</w:t>
      </w:r>
    </w:p>
    <w:p w14:paraId="6136656C">
      <w:pPr>
        <w:spacing w:line="560" w:lineRule="exact"/>
        <w:ind w:firstLine="640"/>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时效指标“</w:t>
      </w:r>
      <w:r>
        <w:rPr>
          <w:rFonts w:ascii="Times New Roman" w:hAnsi="Times New Roman" w:cs="Times New Roman"/>
          <w:bCs/>
          <w:sz w:val="32"/>
          <w:szCs w:val="32"/>
        </w:rPr>
        <w:t>采购完成及时率</w:t>
      </w:r>
      <w:r>
        <w:rPr>
          <w:rFonts w:hint="eastAsia" w:ascii="Times New Roman" w:hAnsi="Times New Roman" w:cs="Times New Roman"/>
          <w:bCs/>
          <w:sz w:val="32"/>
          <w:szCs w:val="32"/>
          <w:lang w:val="en-US" w:eastAsia="zh-CN"/>
        </w:rPr>
        <w:t>”的目标值是100%，该项目已按照政府采购相关规定和要求，按期完成采购，实际完成率为100%，故</w:t>
      </w:r>
      <w:r>
        <w:rPr>
          <w:rFonts w:ascii="Times New Roman" w:hAnsi="Times New Roman" w:cs="Times New Roman"/>
          <w:bCs/>
          <w:sz w:val="32"/>
          <w:szCs w:val="32"/>
        </w:rPr>
        <w:t>采购完成及时率</w:t>
      </w:r>
      <w:r>
        <w:rPr>
          <w:rFonts w:hint="eastAsia" w:ascii="Times New Roman" w:hAnsi="Times New Roman" w:cs="Times New Roman"/>
          <w:bCs/>
          <w:sz w:val="32"/>
          <w:szCs w:val="32"/>
          <w:lang w:val="en-US" w:eastAsia="zh-CN"/>
        </w:rPr>
        <w:t>得分为5分。</w:t>
      </w:r>
    </w:p>
    <w:p w14:paraId="3BDF59EE">
      <w:pPr>
        <w:pStyle w:val="6"/>
        <w:spacing w:before="0" w:after="0" w:line="560" w:lineRule="exact"/>
        <w:ind w:firstLine="643"/>
        <w:rPr>
          <w:rFonts w:ascii="Times New Roman" w:hAnsi="Times New Roman" w:cs="Times New Roman"/>
        </w:rPr>
      </w:pPr>
      <w:r>
        <w:rPr>
          <w:rFonts w:ascii="Times New Roman" w:hAnsi="Times New Roman" w:cs="Times New Roman"/>
        </w:rPr>
        <w:t>综上，</w:t>
      </w:r>
      <w:r>
        <w:rPr>
          <w:rFonts w:hint="eastAsia" w:ascii="Times New Roman" w:hAnsi="Times New Roman" w:cs="Times New Roman"/>
          <w:lang w:val="en-US" w:eastAsia="zh-CN"/>
        </w:rPr>
        <w:t>时效</w:t>
      </w:r>
      <w:r>
        <w:rPr>
          <w:rFonts w:ascii="Times New Roman" w:hAnsi="Times New Roman" w:cs="Times New Roman"/>
        </w:rPr>
        <w:t>指标得分为</w:t>
      </w:r>
      <w:r>
        <w:rPr>
          <w:rFonts w:hint="eastAsia" w:ascii="Times New Roman" w:hAnsi="Times New Roman" w:cs="Times New Roman"/>
          <w:lang w:val="en-US" w:eastAsia="zh-CN"/>
        </w:rPr>
        <w:t>5</w:t>
      </w:r>
      <w:r>
        <w:rPr>
          <w:rFonts w:ascii="Times New Roman" w:hAnsi="Times New Roman" w:cs="Times New Roman"/>
        </w:rPr>
        <w:t>分。</w:t>
      </w:r>
    </w:p>
    <w:p w14:paraId="423FE348">
      <w:pPr>
        <w:pStyle w:val="6"/>
        <w:spacing w:before="0" w:after="0" w:line="560" w:lineRule="exact"/>
        <w:ind w:firstLine="643"/>
        <w:rPr>
          <w:rFonts w:ascii="Times New Roman" w:hAnsi="Times New Roman" w:cs="Times New Roman"/>
          <w:highlight w:val="none"/>
        </w:rPr>
      </w:pPr>
      <w:r>
        <w:rPr>
          <w:rFonts w:ascii="Times New Roman" w:hAnsi="Times New Roman" w:cs="Times New Roman"/>
          <w:highlight w:val="none"/>
        </w:rPr>
        <w:t>4.产出成本</w:t>
      </w:r>
      <w:bookmarkEnd w:id="50"/>
      <w:bookmarkEnd w:id="51"/>
    </w:p>
    <w:p w14:paraId="0204C8FB">
      <w:pPr>
        <w:spacing w:line="560" w:lineRule="exact"/>
        <w:ind w:firstLine="643"/>
        <w:rPr>
          <w:rFonts w:ascii="Times New Roman" w:hAnsi="Times New Roman" w:cs="Times New Roman"/>
          <w:sz w:val="32"/>
          <w:szCs w:val="32"/>
        </w:rPr>
      </w:pPr>
      <w:bookmarkStart w:id="52" w:name="_Toc165277252"/>
      <w:r>
        <w:rPr>
          <w:rFonts w:ascii="Times New Roman" w:hAnsi="Times New Roman" w:cs="Times New Roman"/>
          <w:sz w:val="32"/>
          <w:szCs w:val="32"/>
          <w:highlight w:val="none"/>
        </w:rPr>
        <w:t>产出成本指标</w:t>
      </w:r>
      <w:bookmarkEnd w:id="52"/>
      <w:r>
        <w:rPr>
          <w:rFonts w:ascii="Times New Roman" w:hAnsi="Times New Roman" w:cs="Times New Roman"/>
          <w:sz w:val="32"/>
          <w:szCs w:val="32"/>
        </w:rPr>
        <w:t>“县级应急救援队装备成本”的目标值是小于等于1500万元，实际支出140</w:t>
      </w:r>
      <w:r>
        <w:rPr>
          <w:rFonts w:hint="eastAsia" w:ascii="Times New Roman" w:hAnsi="Times New Roman" w:cs="Times New Roman"/>
          <w:sz w:val="32"/>
          <w:szCs w:val="32"/>
          <w:lang w:val="en-US" w:eastAsia="zh-CN"/>
        </w:rPr>
        <w:t>9.86</w:t>
      </w:r>
      <w:r>
        <w:rPr>
          <w:rFonts w:ascii="Times New Roman" w:hAnsi="Times New Roman" w:cs="Times New Roman"/>
          <w:sz w:val="32"/>
          <w:szCs w:val="32"/>
        </w:rPr>
        <w:t>万元，无超支情况，</w:t>
      </w:r>
      <w:r>
        <w:rPr>
          <w:rFonts w:hint="eastAsia" w:ascii="Times New Roman" w:hAnsi="Times New Roman" w:cs="Times New Roman"/>
          <w:sz w:val="32"/>
          <w:szCs w:val="32"/>
          <w:lang w:val="en-US" w:eastAsia="zh-CN"/>
        </w:rPr>
        <w:t>支出进度为93.99%，</w:t>
      </w:r>
      <w:r>
        <w:rPr>
          <w:rFonts w:ascii="Times New Roman" w:hAnsi="Times New Roman" w:cs="Times New Roman"/>
          <w:sz w:val="32"/>
          <w:szCs w:val="32"/>
        </w:rPr>
        <w:t>得分为</w:t>
      </w:r>
      <w:r>
        <w:rPr>
          <w:rFonts w:hint="eastAsia" w:ascii="Times New Roman" w:hAnsi="Times New Roman" w:cs="Times New Roman"/>
          <w:sz w:val="32"/>
          <w:szCs w:val="32"/>
          <w:lang w:val="en-US" w:eastAsia="zh-CN"/>
        </w:rPr>
        <w:t>4.7</w:t>
      </w:r>
      <w:r>
        <w:rPr>
          <w:rFonts w:ascii="Times New Roman" w:hAnsi="Times New Roman" w:cs="Times New Roman"/>
          <w:sz w:val="32"/>
          <w:szCs w:val="32"/>
        </w:rPr>
        <w:t>分。</w:t>
      </w:r>
    </w:p>
    <w:p w14:paraId="783BEE39">
      <w:pPr>
        <w:spacing w:line="560" w:lineRule="exact"/>
        <w:ind w:firstLine="643"/>
        <w:rPr>
          <w:rFonts w:hint="eastAsia" w:ascii="Times New Roman" w:hAnsi="Times New Roman" w:cs="Times New Roman"/>
          <w:sz w:val="32"/>
          <w:szCs w:val="32"/>
          <w:lang w:val="en-US" w:eastAsia="zh-CN"/>
        </w:rPr>
      </w:pPr>
      <w:r>
        <w:rPr>
          <w:rFonts w:ascii="Times New Roman" w:hAnsi="Times New Roman" w:cs="Times New Roman"/>
          <w:sz w:val="32"/>
          <w:szCs w:val="32"/>
        </w:rPr>
        <w:t>产出成本指标“乡镇应急救援队装备成本”的目标值是小于等于1844万元，实际支出</w:t>
      </w:r>
      <w:r>
        <w:rPr>
          <w:rFonts w:hint="eastAsia" w:ascii="Times New Roman" w:hAnsi="Times New Roman" w:cs="Times New Roman"/>
          <w:sz w:val="32"/>
          <w:szCs w:val="32"/>
          <w:lang w:val="en-US" w:eastAsia="zh-CN"/>
        </w:rPr>
        <w:t>1625.28万元，无超支情况，支出进度为88.14%，得分为4.41分。</w:t>
      </w:r>
    </w:p>
    <w:p w14:paraId="7AFC8C6B">
      <w:pPr>
        <w:spacing w:line="560" w:lineRule="exact"/>
        <w:ind w:firstLine="643"/>
        <w:rPr>
          <w:rFonts w:ascii="Times New Roman" w:hAnsi="Times New Roman" w:cs="Times New Roman"/>
          <w:b/>
          <w:bCs/>
          <w:sz w:val="32"/>
          <w:szCs w:val="32"/>
        </w:rPr>
      </w:pPr>
      <w:r>
        <w:rPr>
          <w:rFonts w:ascii="Times New Roman" w:hAnsi="Times New Roman" w:cs="Times New Roman"/>
          <w:b/>
          <w:bCs/>
          <w:sz w:val="32"/>
          <w:szCs w:val="32"/>
        </w:rPr>
        <w:t>综上，产出成本指标得分为9.1</w:t>
      </w:r>
      <w:r>
        <w:rPr>
          <w:rFonts w:hint="eastAsia" w:ascii="Times New Roman" w:hAnsi="Times New Roman" w:cs="Times New Roman"/>
          <w:b/>
          <w:bCs/>
          <w:sz w:val="32"/>
          <w:szCs w:val="32"/>
          <w:lang w:val="en-US" w:eastAsia="zh-CN"/>
        </w:rPr>
        <w:t>1</w:t>
      </w:r>
      <w:r>
        <w:rPr>
          <w:rFonts w:ascii="Times New Roman" w:hAnsi="Times New Roman" w:cs="Times New Roman"/>
          <w:b/>
          <w:bCs/>
          <w:sz w:val="32"/>
          <w:szCs w:val="32"/>
        </w:rPr>
        <w:t>分。</w:t>
      </w:r>
    </w:p>
    <w:p w14:paraId="13DD0BBB">
      <w:pPr>
        <w:pStyle w:val="5"/>
        <w:spacing w:before="0" w:after="0" w:line="560" w:lineRule="exact"/>
        <w:ind w:firstLine="643"/>
        <w:rPr>
          <w:rFonts w:ascii="Times New Roman" w:hAnsi="Times New Roman" w:eastAsia="楷体_GB2312" w:cs="Times New Roman"/>
          <w:lang w:bidi="en-US"/>
        </w:rPr>
      </w:pPr>
      <w:r>
        <w:rPr>
          <w:rFonts w:ascii="Times New Roman" w:hAnsi="Times New Roman" w:eastAsia="楷体_GB2312" w:cs="Times New Roman"/>
          <w:lang w:bidi="en-US"/>
        </w:rPr>
        <w:t>（四）项目效益</w:t>
      </w:r>
    </w:p>
    <w:p w14:paraId="3BCB4815">
      <w:pPr>
        <w:spacing w:line="560" w:lineRule="exact"/>
        <w:ind w:firstLine="640"/>
        <w:rPr>
          <w:rFonts w:ascii="Times New Roman" w:hAnsi="Times New Roman" w:cs="Times New Roman"/>
          <w:sz w:val="32"/>
          <w:szCs w:val="32"/>
        </w:rPr>
      </w:pPr>
      <w:r>
        <w:rPr>
          <w:rFonts w:ascii="Times New Roman" w:hAnsi="Times New Roman" w:cs="Times New Roman"/>
          <w:sz w:val="32"/>
          <w:szCs w:val="32"/>
        </w:rPr>
        <w:t xml:space="preserve">项目效益指标由1个二级指标和2个三级指标构成，权重为10分，实际得分10分。 </w:t>
      </w:r>
    </w:p>
    <w:p w14:paraId="07F70011">
      <w:pPr>
        <w:spacing w:line="560" w:lineRule="exact"/>
        <w:ind w:firstLine="643"/>
        <w:rPr>
          <w:rFonts w:ascii="Times New Roman" w:hAnsi="Times New Roman" w:cs="Times New Roman"/>
          <w:b/>
          <w:bCs/>
          <w:sz w:val="32"/>
          <w:szCs w:val="32"/>
        </w:rPr>
      </w:pPr>
      <w:r>
        <w:rPr>
          <w:rFonts w:ascii="Times New Roman" w:hAnsi="Times New Roman" w:cs="Times New Roman"/>
          <w:b/>
          <w:bCs/>
          <w:sz w:val="32"/>
          <w:szCs w:val="32"/>
        </w:rPr>
        <w:t>（1）经济效益指标：</w:t>
      </w:r>
      <w:r>
        <w:rPr>
          <w:rFonts w:ascii="Times New Roman" w:hAnsi="Times New Roman" w:cs="Times New Roman"/>
          <w:sz w:val="32"/>
          <w:szCs w:val="32"/>
        </w:rPr>
        <w:t>不适用。</w:t>
      </w:r>
    </w:p>
    <w:p w14:paraId="49823175">
      <w:pPr>
        <w:spacing w:line="560" w:lineRule="exact"/>
        <w:ind w:firstLine="643"/>
        <w:rPr>
          <w:rFonts w:ascii="Times New Roman" w:hAnsi="Times New Roman" w:cs="Times New Roman"/>
        </w:rPr>
      </w:pPr>
      <w:r>
        <w:rPr>
          <w:rFonts w:ascii="Times New Roman" w:hAnsi="Times New Roman" w:cs="Times New Roman"/>
          <w:b/>
          <w:bCs/>
          <w:sz w:val="32"/>
          <w:szCs w:val="32"/>
        </w:rPr>
        <w:t>（2）社会效益指标</w:t>
      </w:r>
      <w:r>
        <w:rPr>
          <w:rFonts w:ascii="Times New Roman" w:hAnsi="Times New Roman" w:cs="Times New Roman"/>
          <w:sz w:val="32"/>
          <w:szCs w:val="32"/>
        </w:rPr>
        <w:t>：评价指标“提高社会应对灾害的能力”，指标值：有效提高，实际完成值：达成年度指标。本项目的实施实现专业应急救援力量体系，实现专业应急救援力量各有所长，社会应急力量有效辅助，基层应急救援力量有效覆盖，为人民群众生命财产安全提供坚强保障。一是专业能力有效提升。特殊区域、复杂条件、极端环境下专业指挥和救援能力持续巩固提高，应急救援装备智能化、轻型化、模块化、标准化水平持续提升，人装协同水平显著提升。二是保障水平稳步提高。应急救援力量建设发展、运行管理、培训考核、科技支撑、任务保障等政策制度、标准规范进一步健全，协同联动机制进一步完善，救援资源共建共用、联战联训水平进一步提升。</w:t>
      </w:r>
    </w:p>
    <w:p w14:paraId="6556B5D5">
      <w:pPr>
        <w:spacing w:line="560" w:lineRule="exact"/>
        <w:ind w:firstLine="640"/>
        <w:rPr>
          <w:rFonts w:ascii="Times New Roman" w:hAnsi="Times New Roman" w:cs="Times New Roman"/>
          <w:sz w:val="32"/>
          <w:szCs w:val="32"/>
        </w:rPr>
      </w:pPr>
      <w:r>
        <w:rPr>
          <w:rFonts w:ascii="Times New Roman" w:hAnsi="Times New Roman" w:cs="Times New Roman"/>
          <w:sz w:val="32"/>
          <w:szCs w:val="32"/>
        </w:rPr>
        <w:t>评价指标“基层应急救援力量有效覆盖”，指标值：有效覆盖，实际完成值：达成年度指标。本项目的实施建成了乌鲁木齐规模适度、布局科学、结构合理、专长突出的应急救援力量体系。一是力量构成逐步优化。县级专业应急救援力量、社会应急力量和基层应急救援力量体系逐步完善，实现与乌鲁木齐市综合性消防救援队伍有效协同、有力支撑。二是力量布局更趋合理。乌鲁木齐市专业应急救援力量任务范围基本覆盖重大灾害事故发生区域和新生高风险区域，安全生产应急救援力量与高危行业、新兴产业分布和发展需要基本匹配。</w:t>
      </w:r>
    </w:p>
    <w:p w14:paraId="1ED86BD2">
      <w:pPr>
        <w:spacing w:line="560" w:lineRule="exact"/>
        <w:ind w:firstLine="643"/>
        <w:rPr>
          <w:rFonts w:ascii="Times New Roman" w:hAnsi="Times New Roman" w:cs="Times New Roman"/>
          <w:sz w:val="32"/>
          <w:szCs w:val="32"/>
        </w:rPr>
      </w:pPr>
      <w:r>
        <w:rPr>
          <w:rFonts w:ascii="Times New Roman" w:hAnsi="Times New Roman" w:cs="Times New Roman"/>
          <w:b/>
          <w:bCs/>
          <w:sz w:val="32"/>
          <w:szCs w:val="32"/>
        </w:rPr>
        <w:t>（3）生态效益指标：</w:t>
      </w:r>
      <w:r>
        <w:rPr>
          <w:rFonts w:ascii="Times New Roman" w:hAnsi="Times New Roman" w:cs="Times New Roman"/>
          <w:sz w:val="32"/>
          <w:szCs w:val="32"/>
        </w:rPr>
        <w:t>不适用。</w:t>
      </w:r>
    </w:p>
    <w:p w14:paraId="316A4FD1">
      <w:pPr>
        <w:autoSpaceDE w:val="0"/>
        <w:spacing w:line="560" w:lineRule="exact"/>
        <w:ind w:firstLine="643"/>
        <w:rPr>
          <w:rFonts w:ascii="Times New Roman" w:hAnsi="Times New Roman" w:cs="Times New Roman"/>
          <w:b/>
          <w:kern w:val="0"/>
          <w:sz w:val="32"/>
          <w:szCs w:val="32"/>
        </w:rPr>
      </w:pPr>
      <w:r>
        <w:rPr>
          <w:rFonts w:ascii="Times New Roman" w:hAnsi="Times New Roman" w:cs="Times New Roman"/>
          <w:b/>
          <w:kern w:val="0"/>
          <w:sz w:val="32"/>
          <w:szCs w:val="32"/>
        </w:rPr>
        <w:t>综上，该指标满分10分，得分10分。</w:t>
      </w:r>
    </w:p>
    <w:p w14:paraId="6C0C1D12">
      <w:pPr>
        <w:pStyle w:val="5"/>
        <w:spacing w:before="0" w:after="0" w:line="560" w:lineRule="exact"/>
        <w:ind w:firstLine="643"/>
        <w:rPr>
          <w:rFonts w:ascii="Times New Roman" w:hAnsi="Times New Roman" w:eastAsia="楷体_GB2312" w:cs="Times New Roman"/>
          <w:highlight w:val="none"/>
          <w:lang w:bidi="en-US"/>
        </w:rPr>
      </w:pPr>
      <w:bookmarkStart w:id="53" w:name="_Toc165277255"/>
      <w:r>
        <w:rPr>
          <w:rFonts w:ascii="Times New Roman" w:hAnsi="Times New Roman" w:eastAsia="楷体_GB2312" w:cs="Times New Roman"/>
          <w:highlight w:val="none"/>
          <w:lang w:bidi="en-US"/>
        </w:rPr>
        <w:t>（五）满意度指标完成情况分析</w:t>
      </w:r>
      <w:bookmarkEnd w:id="53"/>
    </w:p>
    <w:p w14:paraId="454D9539">
      <w:pPr>
        <w:spacing w:line="560" w:lineRule="exact"/>
        <w:ind w:firstLine="640"/>
        <w:rPr>
          <w:rFonts w:ascii="Times New Roman" w:hAnsi="Times New Roman" w:cs="Times New Roman"/>
          <w:sz w:val="32"/>
          <w:szCs w:val="32"/>
        </w:rPr>
      </w:pPr>
      <w:r>
        <w:rPr>
          <w:rFonts w:hint="eastAsia" w:ascii="Times New Roman" w:hAnsi="Times New Roman" w:cs="Times New Roman"/>
          <w:sz w:val="32"/>
          <w:szCs w:val="32"/>
          <w:highlight w:val="none"/>
        </w:rPr>
        <w:t>群众满意度：评价指标“</w:t>
      </w:r>
      <w:r>
        <w:rPr>
          <w:rFonts w:hint="eastAsia" w:ascii="Times New Roman" w:hAnsi="Times New Roman" w:cs="Times New Roman"/>
          <w:sz w:val="32"/>
          <w:szCs w:val="32"/>
          <w:highlight w:val="none"/>
          <w:lang w:val="en-US" w:eastAsia="zh-CN"/>
        </w:rPr>
        <w:t>使用单位满意度</w:t>
      </w:r>
      <w:r>
        <w:rPr>
          <w:rFonts w:hint="eastAsia" w:ascii="Times New Roman" w:hAnsi="Times New Roman" w:cs="Times New Roman"/>
          <w:sz w:val="32"/>
          <w:szCs w:val="32"/>
          <w:highlight w:val="none"/>
        </w:rPr>
        <w:t>”，指标值：≥</w:t>
      </w:r>
      <w:r>
        <w:rPr>
          <w:rFonts w:hint="eastAsia" w:ascii="Times New Roman" w:hAnsi="Times New Roman" w:cs="Times New Roman"/>
          <w:sz w:val="32"/>
          <w:szCs w:val="32"/>
          <w:highlight w:val="none"/>
          <w:lang w:val="en-US" w:eastAsia="zh-CN"/>
        </w:rPr>
        <w:t>95</w:t>
      </w:r>
      <w:r>
        <w:rPr>
          <w:rFonts w:hint="eastAsia" w:ascii="Times New Roman" w:hAnsi="Times New Roman" w:cs="Times New Roman"/>
          <w:sz w:val="32"/>
          <w:szCs w:val="32"/>
          <w:highlight w:val="none"/>
        </w:rPr>
        <w:t>%，实际完成值</w:t>
      </w:r>
      <w:r>
        <w:rPr>
          <w:rFonts w:hint="eastAsia" w:ascii="Times New Roman" w:hAnsi="Times New Roman" w:cs="Times New Roman"/>
          <w:sz w:val="32"/>
          <w:szCs w:val="32"/>
          <w:highlight w:val="none"/>
          <w:lang w:val="en-US" w:eastAsia="zh-CN"/>
        </w:rPr>
        <w:t>100</w:t>
      </w:r>
      <w:r>
        <w:rPr>
          <w:rFonts w:hint="eastAsia" w:ascii="Times New Roman" w:hAnsi="Times New Roman" w:cs="Times New Roman"/>
          <w:sz w:val="32"/>
          <w:szCs w:val="32"/>
          <w:highlight w:val="none"/>
        </w:rPr>
        <w:t>%。通过设置问卷调查的方式进行考评评价，共计调查样本总量为</w:t>
      </w:r>
      <w:r>
        <w:rPr>
          <w:rFonts w:hint="eastAsia" w:ascii="Times New Roman" w:hAnsi="Times New Roman" w:cs="Times New Roman"/>
          <w:sz w:val="32"/>
          <w:szCs w:val="32"/>
          <w:highlight w:val="none"/>
          <w:lang w:val="en-US" w:eastAsia="zh-CN"/>
        </w:rPr>
        <w:t>240</w:t>
      </w:r>
      <w:r>
        <w:rPr>
          <w:rFonts w:hint="eastAsia" w:ascii="Times New Roman" w:hAnsi="Times New Roman" w:cs="Times New Roman"/>
          <w:sz w:val="32"/>
          <w:szCs w:val="32"/>
          <w:highlight w:val="none"/>
        </w:rPr>
        <w:t>个</w:t>
      </w:r>
      <w:r>
        <w:rPr>
          <w:rFonts w:hint="eastAsia" w:ascii="Times New Roman" w:hAnsi="Times New Roman" w:cs="Times New Roman"/>
          <w:sz w:val="32"/>
          <w:szCs w:val="32"/>
        </w:rPr>
        <w:t>样本，有效调查问卷</w:t>
      </w:r>
      <w:r>
        <w:rPr>
          <w:rFonts w:hint="eastAsia" w:ascii="Times New Roman" w:hAnsi="Times New Roman" w:cs="Times New Roman"/>
          <w:sz w:val="32"/>
          <w:szCs w:val="32"/>
          <w:lang w:val="en-US" w:eastAsia="zh-CN"/>
        </w:rPr>
        <w:t>240</w:t>
      </w:r>
      <w:r>
        <w:rPr>
          <w:rFonts w:hint="eastAsia" w:ascii="Times New Roman" w:hAnsi="Times New Roman" w:cs="Times New Roman"/>
          <w:sz w:val="32"/>
          <w:szCs w:val="32"/>
        </w:rPr>
        <w:t>份。其中，统计“</w:t>
      </w:r>
      <w:r>
        <w:rPr>
          <w:rFonts w:hint="eastAsia" w:ascii="Times New Roman" w:hAnsi="Times New Roman" w:cs="Times New Roman"/>
          <w:sz w:val="32"/>
          <w:szCs w:val="32"/>
          <w:lang w:val="en-US" w:eastAsia="zh-CN"/>
        </w:rPr>
        <w:t>使用单位满意度</w:t>
      </w:r>
      <w:r>
        <w:rPr>
          <w:rFonts w:hint="eastAsia" w:ascii="Times New Roman" w:hAnsi="Times New Roman" w:cs="Times New Roman"/>
          <w:sz w:val="32"/>
          <w:szCs w:val="32"/>
        </w:rPr>
        <w:t>”的平均值为</w:t>
      </w:r>
      <w:r>
        <w:rPr>
          <w:rFonts w:hint="eastAsia" w:ascii="Times New Roman" w:hAnsi="Times New Roman" w:cs="Times New Roman"/>
          <w:sz w:val="32"/>
          <w:szCs w:val="32"/>
          <w:lang w:val="en-US" w:eastAsia="zh-CN"/>
        </w:rPr>
        <w:t>100</w:t>
      </w:r>
      <w:r>
        <w:rPr>
          <w:rFonts w:hint="eastAsia" w:ascii="Times New Roman" w:hAnsi="Times New Roman" w:cs="Times New Roman"/>
          <w:sz w:val="32"/>
          <w:szCs w:val="32"/>
        </w:rPr>
        <w:t>%。故满意度指标得分为</w:t>
      </w:r>
      <w:r>
        <w:rPr>
          <w:rFonts w:hint="eastAsia" w:ascii="Times New Roman" w:hAnsi="Times New Roman" w:cs="Times New Roman"/>
          <w:sz w:val="32"/>
          <w:szCs w:val="32"/>
          <w:lang w:val="en-US" w:eastAsia="zh-CN"/>
        </w:rPr>
        <w:t>5</w:t>
      </w:r>
      <w:r>
        <w:rPr>
          <w:rFonts w:hint="eastAsia" w:ascii="Times New Roman" w:hAnsi="Times New Roman" w:cs="Times New Roman"/>
          <w:sz w:val="32"/>
          <w:szCs w:val="32"/>
        </w:rPr>
        <w:t>分。</w:t>
      </w:r>
    </w:p>
    <w:p w14:paraId="2BE2060B">
      <w:pPr>
        <w:spacing w:line="560" w:lineRule="exact"/>
        <w:ind w:firstLine="640"/>
        <w:rPr>
          <w:rFonts w:ascii="Times New Roman" w:hAnsi="Times New Roman" w:cs="Times New Roman"/>
          <w:b/>
          <w:bCs/>
          <w:sz w:val="32"/>
          <w:szCs w:val="32"/>
        </w:rPr>
      </w:pPr>
      <w:r>
        <w:rPr>
          <w:rFonts w:hint="eastAsia" w:ascii="Times New Roman" w:hAnsi="Times New Roman" w:cs="Times New Roman"/>
          <w:b/>
          <w:bCs/>
          <w:sz w:val="32"/>
          <w:szCs w:val="32"/>
        </w:rPr>
        <w:t>综上，该指标满分</w:t>
      </w:r>
      <w:r>
        <w:rPr>
          <w:rFonts w:hint="eastAsia" w:ascii="Times New Roman" w:hAnsi="Times New Roman" w:cs="Times New Roman"/>
          <w:b/>
          <w:bCs/>
          <w:sz w:val="32"/>
          <w:szCs w:val="32"/>
          <w:lang w:val="en-US" w:eastAsia="zh-CN"/>
        </w:rPr>
        <w:t>5</w:t>
      </w:r>
      <w:r>
        <w:rPr>
          <w:rFonts w:hint="eastAsia" w:ascii="Times New Roman" w:hAnsi="Times New Roman" w:cs="Times New Roman"/>
          <w:b/>
          <w:bCs/>
          <w:sz w:val="32"/>
          <w:szCs w:val="32"/>
        </w:rPr>
        <w:t>分，得分</w:t>
      </w:r>
      <w:r>
        <w:rPr>
          <w:rFonts w:hint="eastAsia" w:ascii="Times New Roman" w:hAnsi="Times New Roman" w:cs="Times New Roman"/>
          <w:b/>
          <w:bCs/>
          <w:sz w:val="32"/>
          <w:szCs w:val="32"/>
          <w:lang w:val="en-US" w:eastAsia="zh-CN"/>
        </w:rPr>
        <w:t>5</w:t>
      </w:r>
      <w:r>
        <w:rPr>
          <w:rFonts w:hint="eastAsia" w:ascii="Times New Roman" w:hAnsi="Times New Roman" w:cs="Times New Roman"/>
          <w:b/>
          <w:bCs/>
          <w:sz w:val="32"/>
          <w:szCs w:val="32"/>
        </w:rPr>
        <w:t>分。</w:t>
      </w:r>
    </w:p>
    <w:p w14:paraId="23D51939">
      <w:pPr>
        <w:pStyle w:val="4"/>
        <w:spacing w:before="0" w:after="0" w:line="560" w:lineRule="exact"/>
        <w:ind w:firstLine="640"/>
        <w:jc w:val="left"/>
        <w:rPr>
          <w:rFonts w:ascii="Times New Roman" w:hAnsi="Times New Roman" w:eastAsia="黑体" w:cs="Times New Roman"/>
          <w:b w:val="0"/>
          <w:bCs w:val="0"/>
          <w:sz w:val="32"/>
          <w:szCs w:val="32"/>
          <w:lang w:bidi="en-US"/>
        </w:rPr>
      </w:pPr>
      <w:bookmarkStart w:id="54" w:name="_Toc165277256"/>
      <w:bookmarkStart w:id="55" w:name="_Toc67911617"/>
      <w:r>
        <w:rPr>
          <w:rFonts w:ascii="Times New Roman" w:hAnsi="Times New Roman" w:eastAsia="黑体" w:cs="Times New Roman"/>
          <w:b w:val="0"/>
          <w:bCs w:val="0"/>
          <w:sz w:val="32"/>
          <w:szCs w:val="32"/>
          <w:lang w:bidi="en-US"/>
        </w:rPr>
        <w:t>五、主要经验及做法、存在的问题及原因分析</w:t>
      </w:r>
      <w:bookmarkEnd w:id="54"/>
      <w:bookmarkEnd w:id="55"/>
    </w:p>
    <w:p w14:paraId="551B3063">
      <w:pPr>
        <w:pStyle w:val="5"/>
        <w:spacing w:before="0" w:after="0" w:line="560" w:lineRule="exact"/>
        <w:ind w:firstLine="643"/>
        <w:rPr>
          <w:rFonts w:ascii="Times New Roman" w:hAnsi="Times New Roman" w:eastAsia="楷体_GB2312" w:cs="Times New Roman"/>
          <w:lang w:bidi="en-US"/>
        </w:rPr>
      </w:pPr>
      <w:bookmarkStart w:id="56" w:name="_Toc165277257"/>
      <w:bookmarkStart w:id="57" w:name="_Toc67911618"/>
      <w:r>
        <w:rPr>
          <w:rFonts w:ascii="Times New Roman" w:hAnsi="Times New Roman" w:eastAsia="楷体_GB2312" w:cs="Times New Roman"/>
          <w:lang w:bidi="en-US"/>
        </w:rPr>
        <w:t>（一）主要经验及做法</w:t>
      </w:r>
      <w:bookmarkEnd w:id="56"/>
      <w:bookmarkEnd w:id="57"/>
    </w:p>
    <w:p w14:paraId="55340601">
      <w:pPr>
        <w:spacing w:line="560" w:lineRule="exact"/>
        <w:ind w:firstLine="640"/>
        <w:rPr>
          <w:rFonts w:ascii="Times New Roman" w:hAnsi="Times New Roman" w:cs="Times New Roman"/>
          <w:sz w:val="32"/>
          <w:szCs w:val="32"/>
        </w:rPr>
      </w:pPr>
      <w:bookmarkStart w:id="58" w:name="_Toc165277258"/>
      <w:r>
        <w:rPr>
          <w:rFonts w:ascii="Times New Roman" w:hAnsi="Times New Roman" w:cs="Times New Roman"/>
          <w:sz w:val="32"/>
          <w:szCs w:val="32"/>
        </w:rPr>
        <w:t>通过实施乌鲁木齐市自然灾害应急能力提升工程基层防灾项目，建成乌鲁木齐规模适度、布局科学、结构合理、专长突出的应急救援力量体系，实现专业应急救援力量体系，实现专业应急救援力量各有所长，社会应急力量有效辅助，基层应急救援力量有效覆盖，为人民群众生命财产安全提供坚强保障。</w:t>
      </w:r>
    </w:p>
    <w:p w14:paraId="06186C76">
      <w:pPr>
        <w:spacing w:line="560" w:lineRule="exact"/>
        <w:ind w:firstLine="640"/>
        <w:rPr>
          <w:rFonts w:ascii="Times New Roman" w:hAnsi="Times New Roman" w:cs="Times New Roman"/>
          <w:sz w:val="32"/>
          <w:szCs w:val="32"/>
        </w:rPr>
      </w:pPr>
      <w:r>
        <w:rPr>
          <w:rFonts w:ascii="Times New Roman" w:hAnsi="Times New Roman" w:cs="Times New Roman"/>
          <w:sz w:val="32"/>
          <w:szCs w:val="32"/>
        </w:rPr>
        <w:t>1.科学规划，精准配置。按照天山区、米东区、经开区（头屯河区）区乡级应急救援队的功能定位，根据县级、乡级救援队伍数量和现有装备配备情况及现实需求分析部分梳理的能力短板，对照《县乡应急救援队伍装备配备指导目录》，提出天山区、米东区、经开区（头屯河区）县（区）乡级应急救援装备需增加配备种类及数量，确保设备购置契合实际需求。</w:t>
      </w:r>
    </w:p>
    <w:p w14:paraId="715CE3D7">
      <w:pPr>
        <w:spacing w:line="560" w:lineRule="exact"/>
        <w:ind w:firstLine="640"/>
        <w:rPr>
          <w:rFonts w:ascii="Times New Roman" w:hAnsi="Times New Roman" w:cs="Times New Roman"/>
          <w:sz w:val="32"/>
          <w:szCs w:val="32"/>
        </w:rPr>
      </w:pPr>
      <w:r>
        <w:rPr>
          <w:rFonts w:ascii="Times New Roman" w:hAnsi="Times New Roman" w:cs="Times New Roman"/>
          <w:sz w:val="32"/>
          <w:szCs w:val="32"/>
        </w:rPr>
        <w:t>2.严格流程，保障质量。严格遵循政府采购法规和项目管理要求，采用公开招标等规范采购方式，确保采购过程公平、公正、公开。在招标阶段，对供应商资质进行严格审核，考察其生产能力、技术水平、售后服务等方面。同时，强化质量管控，设备到货后，进行外观检查、性能测试、功能验证等全方位验收，对不合格产品坚决不予通过，确保投入使用的设备质量达标。</w:t>
      </w:r>
    </w:p>
    <w:p w14:paraId="263CBD09">
      <w:pPr>
        <w:spacing w:line="560" w:lineRule="exact"/>
        <w:ind w:firstLine="640"/>
        <w:rPr>
          <w:rFonts w:ascii="Times New Roman" w:hAnsi="Times New Roman" w:cs="Times New Roman"/>
          <w:sz w:val="32"/>
          <w:szCs w:val="32"/>
        </w:rPr>
      </w:pPr>
      <w:r>
        <w:rPr>
          <w:rFonts w:ascii="Times New Roman" w:hAnsi="Times New Roman" w:cs="Times New Roman"/>
          <w:sz w:val="32"/>
          <w:szCs w:val="32"/>
        </w:rPr>
        <w:t>3.规范支出，强化监管。在资金拨付、执行、监管等方面，严格按照国家财经法规和《乌鲁木齐市应急管理局内部控制管理制度》的规定，资金的拨付按照市财政局要求进行申报和审批，按照要求在预算管理一体化系统进行申报，财务处理及时、会计核算规范，支出责任履行到位，确保了各项财务活动的合规性与高效性。</w:t>
      </w:r>
    </w:p>
    <w:p w14:paraId="07BC1C83">
      <w:pPr>
        <w:spacing w:line="560" w:lineRule="exact"/>
        <w:ind w:firstLine="640"/>
        <w:rPr>
          <w:rFonts w:ascii="Times New Roman" w:hAnsi="Times New Roman" w:cs="Times New Roman"/>
          <w:sz w:val="32"/>
          <w:szCs w:val="32"/>
        </w:rPr>
      </w:pPr>
      <w:r>
        <w:rPr>
          <w:rFonts w:ascii="Times New Roman" w:hAnsi="Times New Roman" w:cs="Times New Roman"/>
          <w:sz w:val="32"/>
          <w:szCs w:val="32"/>
        </w:rPr>
        <w:t>4.完善管理，长效保障。建立健全设备登记、保管、使用、维护等全流程管理制度，明确管理职责，实时掌握设备状态，及时发现和解决设备潜在问题，实现设备科学配置、高效使用和长效管理，显著提升基层防灾减灾救灾能力，为保障人民群众生命财产安全奠定坚实的基础。</w:t>
      </w:r>
    </w:p>
    <w:p w14:paraId="12034446">
      <w:pPr>
        <w:pStyle w:val="5"/>
        <w:spacing w:before="0" w:after="0" w:line="560" w:lineRule="exact"/>
        <w:ind w:firstLine="643"/>
        <w:rPr>
          <w:rFonts w:ascii="Times New Roman" w:hAnsi="Times New Roman" w:eastAsia="楷体_GB2312" w:cs="Times New Roman"/>
          <w:highlight w:val="none"/>
          <w:lang w:bidi="en-US"/>
        </w:rPr>
      </w:pPr>
      <w:r>
        <w:rPr>
          <w:rFonts w:ascii="Times New Roman" w:hAnsi="Times New Roman" w:eastAsia="楷体_GB2312" w:cs="Times New Roman"/>
          <w:highlight w:val="none"/>
          <w:lang w:bidi="en-US"/>
        </w:rPr>
        <w:t>（二）存在的问题及原因分析</w:t>
      </w:r>
      <w:bookmarkEnd w:id="58"/>
    </w:p>
    <w:p w14:paraId="026C4E74">
      <w:pPr>
        <w:spacing w:line="560" w:lineRule="exact"/>
        <w:ind w:firstLine="640"/>
        <w:rPr>
          <w:rFonts w:hint="default"/>
          <w:lang w:val="en-US" w:eastAsia="zh-CN"/>
        </w:rPr>
      </w:pPr>
      <w:r>
        <w:rPr>
          <w:rFonts w:ascii="Times New Roman" w:hAnsi="Times New Roman" w:cs="Times New Roman"/>
          <w:sz w:val="32"/>
          <w:szCs w:val="32"/>
          <w:highlight w:val="none"/>
        </w:rPr>
        <w:t>1.</w:t>
      </w:r>
      <w:r>
        <w:rPr>
          <w:rFonts w:hint="eastAsia" w:ascii="Times New Roman" w:hAnsi="Times New Roman" w:cs="Times New Roman"/>
          <w:sz w:val="32"/>
          <w:szCs w:val="32"/>
          <w:highlight w:val="none"/>
          <w:lang w:val="en-US" w:eastAsia="zh-CN"/>
        </w:rPr>
        <w:t>在项目申报环节的问题。国债资金项目</w:t>
      </w:r>
      <w:r>
        <w:rPr>
          <w:rFonts w:hint="eastAsia" w:ascii="Times New Roman" w:hAnsi="Times New Roman" w:cs="Times New Roman"/>
          <w:sz w:val="32"/>
          <w:szCs w:val="32"/>
          <w:lang w:val="en-US" w:eastAsia="zh-CN"/>
        </w:rPr>
        <w:t>申报时间紧，部分设备配备方案缺乏前瞻性规划，对项目总体规划设计、资金预算考虑不周全，导致项目存在结余资金。结余资金批复后，项目实施时间紧，影响了项目整体的进度。</w:t>
      </w:r>
    </w:p>
    <w:p w14:paraId="5E95D84D">
      <w:pPr>
        <w:spacing w:line="560" w:lineRule="exact"/>
        <w:ind w:firstLine="640"/>
        <w:rPr>
          <w:rFonts w:ascii="Times New Roman" w:hAnsi="Times New Roman" w:cs="Times New Roman"/>
          <w:sz w:val="32"/>
          <w:szCs w:val="32"/>
        </w:rPr>
      </w:pPr>
      <w:r>
        <w:rPr>
          <w:rFonts w:hint="eastAsia" w:ascii="Times New Roman" w:hAnsi="Times New Roman" w:cs="Times New Roman"/>
          <w:sz w:val="32"/>
          <w:szCs w:val="32"/>
          <w:lang w:val="en-US" w:eastAsia="zh-CN"/>
        </w:rPr>
        <w:t>2.</w:t>
      </w:r>
      <w:r>
        <w:rPr>
          <w:rFonts w:ascii="Times New Roman" w:hAnsi="Times New Roman" w:cs="Times New Roman"/>
          <w:sz w:val="32"/>
          <w:szCs w:val="32"/>
        </w:rPr>
        <w:t>在设备采购环节的问题。全国范围内均在开展实施自然灾害应急能力提升工程基层防灾项目，应急救援装备类的供应商、经销商疲于投标，在项目实施过程中我局部分标项出现投标单位不足三家的情况，致使招标工作较为滞后。</w:t>
      </w:r>
    </w:p>
    <w:p w14:paraId="07186C8B">
      <w:pPr>
        <w:spacing w:line="560" w:lineRule="exact"/>
        <w:ind w:firstLine="640"/>
        <w:rPr>
          <w:rFonts w:ascii="Times New Roman" w:hAnsi="Times New Roman" w:cs="Times New Roman"/>
          <w:sz w:val="32"/>
          <w:szCs w:val="32"/>
        </w:rPr>
      </w:pPr>
      <w:r>
        <w:rPr>
          <w:rFonts w:hint="eastAsia" w:ascii="Times New Roman" w:hAnsi="Times New Roman" w:cs="Times New Roman"/>
          <w:sz w:val="32"/>
          <w:szCs w:val="32"/>
          <w:lang w:val="en-US" w:eastAsia="zh-CN"/>
        </w:rPr>
        <w:t>3.</w:t>
      </w:r>
      <w:r>
        <w:rPr>
          <w:rFonts w:ascii="Times New Roman" w:hAnsi="Times New Roman" w:cs="Times New Roman"/>
          <w:sz w:val="32"/>
          <w:szCs w:val="32"/>
        </w:rPr>
        <w:t>在设备验收环节的问题。采购的设备存在验收不合格的问题，影响项目验收合格率，该项目购置装备合计1929台</w:t>
      </w:r>
      <w:r>
        <w:rPr>
          <w:rFonts w:hint="eastAsia" w:ascii="Times New Roman" w:hAnsi="Times New Roman" w:cs="Times New Roman"/>
          <w:sz w:val="32"/>
          <w:szCs w:val="32"/>
          <w:lang w:eastAsia="zh-CN"/>
        </w:rPr>
        <w:t>（</w:t>
      </w:r>
      <w:r>
        <w:rPr>
          <w:rFonts w:ascii="Times New Roman" w:hAnsi="Times New Roman" w:cs="Times New Roman"/>
          <w:sz w:val="32"/>
          <w:szCs w:val="32"/>
        </w:rPr>
        <w:t>套</w:t>
      </w:r>
      <w:r>
        <w:rPr>
          <w:rFonts w:hint="eastAsia" w:ascii="Times New Roman" w:hAnsi="Times New Roman" w:cs="Times New Roman"/>
          <w:sz w:val="32"/>
          <w:szCs w:val="32"/>
          <w:lang w:eastAsia="zh-CN"/>
        </w:rPr>
        <w:t>）</w:t>
      </w:r>
      <w:r>
        <w:rPr>
          <w:rFonts w:ascii="Times New Roman" w:hAnsi="Times New Roman" w:cs="Times New Roman"/>
          <w:sz w:val="32"/>
          <w:szCs w:val="32"/>
        </w:rPr>
        <w:t>，其中综合保障类救援装备中2台救援无人机（灭火无人机）经验收不合格，实际完成率为99.9%。</w:t>
      </w:r>
    </w:p>
    <w:p w14:paraId="434CC015">
      <w:pPr>
        <w:pStyle w:val="4"/>
        <w:spacing w:before="0" w:after="0" w:line="560" w:lineRule="exact"/>
        <w:ind w:firstLine="640"/>
        <w:jc w:val="left"/>
        <w:rPr>
          <w:rFonts w:ascii="Times New Roman" w:hAnsi="Times New Roman" w:eastAsia="仿宋" w:cs="Times New Roman"/>
          <w:sz w:val="32"/>
          <w:szCs w:val="32"/>
          <w:lang w:bidi="en-US"/>
        </w:rPr>
      </w:pPr>
      <w:bookmarkStart w:id="59" w:name="_Toc165277259"/>
      <w:bookmarkStart w:id="60" w:name="_Toc67911620"/>
      <w:bookmarkStart w:id="61" w:name="_Toc67911619"/>
      <w:r>
        <w:rPr>
          <w:rFonts w:ascii="Times New Roman" w:hAnsi="Times New Roman" w:eastAsia="黑体" w:cs="Times New Roman"/>
          <w:b w:val="0"/>
          <w:bCs w:val="0"/>
          <w:sz w:val="32"/>
          <w:szCs w:val="32"/>
          <w:lang w:bidi="en-US"/>
        </w:rPr>
        <w:t>六、有关建议</w:t>
      </w:r>
      <w:bookmarkEnd w:id="59"/>
      <w:bookmarkEnd w:id="60"/>
    </w:p>
    <w:p w14:paraId="72F9C866">
      <w:pPr>
        <w:spacing w:line="560" w:lineRule="exact"/>
        <w:ind w:firstLine="643"/>
        <w:rPr>
          <w:rFonts w:ascii="Times New Roman" w:hAnsi="Times New Roman" w:eastAsia="楷体_GB2312" w:cs="Times New Roman"/>
          <w:b/>
          <w:bCs/>
          <w:sz w:val="32"/>
          <w:szCs w:val="32"/>
        </w:rPr>
      </w:pPr>
      <w:bookmarkStart w:id="62" w:name="_Toc165277260"/>
      <w:r>
        <w:rPr>
          <w:rFonts w:ascii="Times New Roman" w:hAnsi="Times New Roman" w:eastAsia="楷体_GB2312" w:cs="Times New Roman"/>
          <w:b/>
          <w:bCs/>
          <w:sz w:val="32"/>
          <w:szCs w:val="32"/>
        </w:rPr>
        <w:t>（一）对项目决策的建议</w:t>
      </w:r>
    </w:p>
    <w:p w14:paraId="08E197F1">
      <w:pPr>
        <w:spacing w:line="560" w:lineRule="exact"/>
        <w:ind w:firstLine="640"/>
        <w:rPr>
          <w:rFonts w:ascii="Times New Roman" w:hAnsi="Times New Roman" w:cs="Times New Roman"/>
          <w:sz w:val="32"/>
          <w:szCs w:val="32"/>
        </w:rPr>
      </w:pPr>
      <w:r>
        <w:rPr>
          <w:rFonts w:ascii="Times New Roman" w:hAnsi="Times New Roman" w:cs="Times New Roman"/>
          <w:sz w:val="32"/>
          <w:szCs w:val="32"/>
        </w:rPr>
        <w:t>1.强化需求评估，对基层面临的自然灾害类型、频率、危害程度进行详细调查，同时了解基层应急救援队伍的现状和任务需求，明确所需设备的种类和数量。广泛征求基层应急管理部门、救援队伍、相关专家以及受灾害影响群众的意见和建议，确保购置的设备符合实际需求。</w:t>
      </w:r>
    </w:p>
    <w:p w14:paraId="4F459B0D">
      <w:pPr>
        <w:spacing w:line="560" w:lineRule="exact"/>
        <w:ind w:firstLine="640"/>
        <w:rPr>
          <w:rFonts w:ascii="Times New Roman" w:hAnsi="Times New Roman" w:cs="Times New Roman"/>
          <w:sz w:val="32"/>
          <w:szCs w:val="32"/>
        </w:rPr>
      </w:pPr>
      <w:r>
        <w:rPr>
          <w:rFonts w:ascii="Times New Roman" w:hAnsi="Times New Roman" w:cs="Times New Roman"/>
          <w:sz w:val="32"/>
          <w:szCs w:val="32"/>
        </w:rPr>
        <w:t>2.优先选择技术先进、操作简便、适用性强的设备，要能适应不同的灾害场景和复杂的环境条件，同时考虑设备的兼容性和扩展性，便于与现有设备协同使用。</w:t>
      </w:r>
    </w:p>
    <w:p w14:paraId="57E025D2">
      <w:pPr>
        <w:spacing w:line="560" w:lineRule="exact"/>
        <w:ind w:firstLine="643"/>
        <w:rPr>
          <w:rFonts w:ascii="Times New Roman" w:hAnsi="Times New Roman" w:cs="Times New Roman"/>
          <w:sz w:val="32"/>
          <w:szCs w:val="32"/>
        </w:rPr>
      </w:pPr>
      <w:r>
        <w:rPr>
          <w:rFonts w:ascii="Times New Roman" w:hAnsi="Times New Roman" w:eastAsia="楷体_GB2312" w:cs="Times New Roman"/>
          <w:b/>
          <w:bCs/>
          <w:sz w:val="32"/>
          <w:szCs w:val="32"/>
        </w:rPr>
        <w:t>（二）对预算安排与执行的建议。</w:t>
      </w:r>
      <w:r>
        <w:rPr>
          <w:rFonts w:ascii="Times New Roman" w:hAnsi="Times New Roman" w:cs="Times New Roman"/>
          <w:sz w:val="32"/>
          <w:szCs w:val="32"/>
        </w:rPr>
        <w:t>根据设备购置清单和市场价格，精准测算设备购置资金，制定详细、合理的预算方案，确保预算执行精准有效。充分考虑设备后期运行维护成本，通过中央、地方财政资金安排资金用于设备运行维护，指导项目单位拓宽资金来源渠道，提高设备使用寿命和效率。</w:t>
      </w:r>
    </w:p>
    <w:p w14:paraId="5A7E5CD9">
      <w:pPr>
        <w:spacing w:line="560" w:lineRule="exact"/>
        <w:ind w:firstLine="643"/>
        <w:rPr>
          <w:rFonts w:ascii="Times New Roman" w:hAnsi="Times New Roman" w:cs="Times New Roman"/>
          <w:sz w:val="32"/>
          <w:szCs w:val="32"/>
        </w:rPr>
      </w:pPr>
      <w:r>
        <w:rPr>
          <w:rFonts w:ascii="Times New Roman" w:hAnsi="Times New Roman" w:eastAsia="楷体_GB2312" w:cs="Times New Roman"/>
          <w:b/>
          <w:bCs/>
          <w:sz w:val="32"/>
          <w:szCs w:val="32"/>
        </w:rPr>
        <w:t>（三）对资金管理的建议。</w:t>
      </w:r>
      <w:r>
        <w:rPr>
          <w:rFonts w:ascii="Times New Roman" w:hAnsi="Times New Roman" w:cs="Times New Roman"/>
          <w:sz w:val="32"/>
          <w:szCs w:val="32"/>
        </w:rPr>
        <w:t>根据项目实施进度，严格按照约定的付款节点支付资金，避免超进度或延迟支付，确保资金支付与项目实施进度相匹配。同时，加强资金支付审核，确保支付凭证齐全、合规，防止虚假支付、违规支出，并建立资金支付审批制度，明确各级审批人员的权限和责任，确保资金支付的安全性和合理性。</w:t>
      </w:r>
    </w:p>
    <w:p w14:paraId="366FCB61">
      <w:pPr>
        <w:spacing w:line="560" w:lineRule="exact"/>
        <w:ind w:firstLine="643"/>
        <w:rPr>
          <w:rFonts w:ascii="Times New Roman" w:hAnsi="Times New Roman" w:cs="Times New Roman"/>
          <w:sz w:val="32"/>
          <w:szCs w:val="32"/>
          <w:highlight w:val="none"/>
        </w:rPr>
      </w:pPr>
      <w:r>
        <w:rPr>
          <w:rFonts w:ascii="Times New Roman" w:hAnsi="Times New Roman" w:eastAsia="楷体_GB2312" w:cs="Times New Roman"/>
          <w:b/>
          <w:bCs/>
          <w:sz w:val="32"/>
          <w:szCs w:val="32"/>
        </w:rPr>
        <w:t>（四）项目管理的建议。</w:t>
      </w:r>
      <w:r>
        <w:rPr>
          <w:rFonts w:ascii="Times New Roman" w:hAnsi="Times New Roman" w:cs="Times New Roman"/>
          <w:sz w:val="32"/>
          <w:szCs w:val="32"/>
        </w:rPr>
        <w:t>充分发挥国债项目效益，认真做好乌鲁木齐市自然灾害应急能力提升工程“后半篇文章”，严把履约供货监督、设备交付验收、项目资金审计、建设档案管理等重要关口，制定实施装备管理、运维保障、使用培训、平台运行等工作制度，特别是配备给乡镇的装备，区（县）应急管理部门要坚持下管一级，承担起管理职责，确保装备用好用足，发挥应有作用。</w:t>
      </w:r>
    </w:p>
    <w:p w14:paraId="398434DF">
      <w:pPr>
        <w:spacing w:line="560" w:lineRule="exact"/>
        <w:ind w:firstLine="640"/>
        <w:rPr>
          <w:rFonts w:ascii="Times New Roman" w:hAnsi="Times New Roman" w:eastAsia="黑体" w:cs="Times New Roman"/>
          <w:sz w:val="32"/>
          <w:szCs w:val="32"/>
          <w:highlight w:val="none"/>
          <w:lang w:bidi="en-US"/>
        </w:rPr>
      </w:pPr>
      <w:r>
        <w:rPr>
          <w:rFonts w:ascii="Times New Roman" w:hAnsi="Times New Roman" w:eastAsia="黑体" w:cs="Times New Roman"/>
          <w:sz w:val="32"/>
          <w:szCs w:val="32"/>
          <w:highlight w:val="none"/>
          <w:lang w:bidi="en-US"/>
        </w:rPr>
        <w:t>七、其他需要说明的问题</w:t>
      </w:r>
      <w:bookmarkEnd w:id="61"/>
      <w:bookmarkEnd w:id="62"/>
    </w:p>
    <w:p w14:paraId="0770A4A6">
      <w:pPr>
        <w:spacing w:line="560" w:lineRule="exact"/>
        <w:ind w:firstLine="640"/>
        <w:rPr>
          <w:rFonts w:hint="default" w:ascii="Times New Roman" w:hAnsi="Times New Roman" w:cs="Times New Roman"/>
          <w:sz w:val="32"/>
          <w:szCs w:val="32"/>
          <w:highlight w:val="yellow"/>
          <w:lang w:val="en-US"/>
        </w:rPr>
      </w:pPr>
      <w:r>
        <w:rPr>
          <w:rFonts w:ascii="Times New Roman" w:hAnsi="Times New Roman" w:cs="Times New Roman"/>
          <w:sz w:val="32"/>
          <w:szCs w:val="32"/>
          <w:highlight w:val="none"/>
        </w:rPr>
        <w:t>1.项目支出政策和路径设计科</w:t>
      </w:r>
      <w:r>
        <w:rPr>
          <w:rFonts w:ascii="Times New Roman" w:hAnsi="Times New Roman" w:cs="Times New Roman"/>
          <w:sz w:val="32"/>
          <w:szCs w:val="32"/>
        </w:rPr>
        <w:t>学，符合实际需要</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该</w:t>
      </w:r>
      <w:r>
        <w:rPr>
          <w:rFonts w:ascii="Times New Roman" w:hAnsi="Times New Roman" w:cs="Times New Roman"/>
          <w:sz w:val="32"/>
          <w:szCs w:val="32"/>
        </w:rPr>
        <w:t>项目按照规定的程序申请设立</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我局</w:t>
      </w:r>
      <w:r>
        <w:rPr>
          <w:rFonts w:ascii="Times New Roman" w:hAnsi="Times New Roman" w:cs="Times New Roman"/>
          <w:sz w:val="32"/>
          <w:szCs w:val="32"/>
        </w:rPr>
        <w:t>委托第三方对</w:t>
      </w:r>
      <w:r>
        <w:rPr>
          <w:rFonts w:hint="eastAsia" w:ascii="Times New Roman" w:hAnsi="Times New Roman" w:cs="Times New Roman"/>
          <w:sz w:val="32"/>
          <w:szCs w:val="32"/>
          <w:lang w:val="en-US" w:eastAsia="zh-CN"/>
        </w:rPr>
        <w:t>项目需求分析、基础现状、投资概算、影响效果分析评价等方面进行分析论证，并出具《乌鲁木齐市自然灾害应急能力提升工程基层防灾项目可行性研究报告（代项目建议书）》，该项目通过救援装备的配备进一步提高应急救援水平和防灾减灾救灾能力的需要，也是实现应急管理应急救援装备现代化跨越式发展的首要任务，符合相关法律法规、文件、政策和规范要求，符合乌鲁木齐市实际需求。</w:t>
      </w:r>
    </w:p>
    <w:p w14:paraId="19EAD293">
      <w:pPr>
        <w:spacing w:line="560" w:lineRule="exact"/>
        <w:ind w:firstLine="640"/>
        <w:rPr>
          <w:rFonts w:ascii="Times New Roman" w:hAnsi="Times New Roman" w:cs="Times New Roman"/>
          <w:sz w:val="32"/>
          <w:szCs w:val="32"/>
        </w:rPr>
      </w:pPr>
      <w:r>
        <w:rPr>
          <w:rFonts w:ascii="Times New Roman" w:hAnsi="Times New Roman" w:cs="Times New Roman"/>
          <w:sz w:val="32"/>
          <w:szCs w:val="32"/>
        </w:rPr>
        <w:t>2.未发现虚假行为和骗取财政资金的问题。</w:t>
      </w:r>
      <w:r>
        <w:rPr>
          <w:rFonts w:hint="eastAsia" w:ascii="Times New Roman" w:hAnsi="Times New Roman" w:cs="Times New Roman"/>
          <w:sz w:val="32"/>
          <w:szCs w:val="32"/>
          <w:lang w:val="en-US" w:eastAsia="zh-CN"/>
        </w:rPr>
        <w:t>该项目</w:t>
      </w:r>
      <w:r>
        <w:rPr>
          <w:rFonts w:ascii="Times New Roman" w:hAnsi="Times New Roman" w:cs="Times New Roman"/>
          <w:sz w:val="32"/>
          <w:szCs w:val="32"/>
        </w:rPr>
        <w:t>在资金拨付、执行、监管等方面，严格按照国家财经法规</w:t>
      </w:r>
      <w:r>
        <w:rPr>
          <w:rFonts w:hint="eastAsia" w:ascii="Times New Roman" w:hAnsi="Times New Roman" w:cs="Times New Roman"/>
          <w:sz w:val="32"/>
          <w:szCs w:val="32"/>
          <w:lang w:eastAsia="zh-CN"/>
        </w:rPr>
        <w:t>、</w:t>
      </w:r>
      <w:r>
        <w:rPr>
          <w:rFonts w:ascii="Times New Roman" w:hAnsi="Times New Roman" w:cs="Times New Roman"/>
          <w:sz w:val="32"/>
          <w:szCs w:val="32"/>
        </w:rPr>
        <w:t>《增发2023年国债资金</w:t>
      </w:r>
      <w:r>
        <w:rPr>
          <w:rFonts w:ascii="Times New Roman" w:hAnsi="Times New Roman" w:cs="Times New Roman"/>
          <w:sz w:val="32"/>
          <w:szCs w:val="32"/>
          <w:highlight w:val="none"/>
        </w:rPr>
        <w:t>管理办法》（财预〔2023〕122号）</w:t>
      </w:r>
      <w:r>
        <w:rPr>
          <w:rFonts w:ascii="Times New Roman" w:hAnsi="Times New Roman" w:cs="Times New Roman"/>
          <w:sz w:val="32"/>
          <w:szCs w:val="32"/>
        </w:rPr>
        <w:t>和《乌鲁木齐市应急管理局内部控制管理制度》的规定，支付凭证齐全、合规，</w:t>
      </w:r>
      <w:r>
        <w:rPr>
          <w:rFonts w:hint="eastAsia" w:ascii="Times New Roman" w:hAnsi="Times New Roman" w:cs="Times New Roman"/>
          <w:sz w:val="32"/>
          <w:szCs w:val="32"/>
          <w:lang w:val="en-US" w:eastAsia="zh-CN"/>
        </w:rPr>
        <w:t>无</w:t>
      </w:r>
      <w:r>
        <w:rPr>
          <w:rFonts w:ascii="Times New Roman" w:hAnsi="Times New Roman" w:cs="Times New Roman"/>
          <w:sz w:val="32"/>
          <w:szCs w:val="32"/>
        </w:rPr>
        <w:t>虚假支付、违规支出</w:t>
      </w:r>
      <w:r>
        <w:rPr>
          <w:rFonts w:hint="eastAsia" w:ascii="Times New Roman" w:hAnsi="Times New Roman" w:cs="Times New Roman"/>
          <w:sz w:val="32"/>
          <w:szCs w:val="32"/>
          <w:lang w:val="en-US" w:eastAsia="zh-CN"/>
        </w:rPr>
        <w:t>情况。同时，</w:t>
      </w:r>
      <w:r>
        <w:rPr>
          <w:rFonts w:ascii="Times New Roman" w:hAnsi="Times New Roman" w:cs="Times New Roman"/>
          <w:sz w:val="32"/>
          <w:szCs w:val="32"/>
        </w:rPr>
        <w:t>根据项目实施进度</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合同</w:t>
      </w:r>
      <w:r>
        <w:rPr>
          <w:rFonts w:ascii="Times New Roman" w:hAnsi="Times New Roman" w:cs="Times New Roman"/>
          <w:sz w:val="32"/>
          <w:szCs w:val="32"/>
        </w:rPr>
        <w:t>约定的付款节点支付资金，避免超进度或延迟支付，确保资金支付与项目实施进度相匹配</w:t>
      </w:r>
      <w:r>
        <w:rPr>
          <w:rFonts w:hint="eastAsia" w:ascii="Times New Roman" w:hAnsi="Times New Roman" w:cs="Times New Roman"/>
          <w:sz w:val="32"/>
          <w:szCs w:val="32"/>
          <w:lang w:eastAsia="zh-CN"/>
        </w:rPr>
        <w:t>。</w:t>
      </w:r>
    </w:p>
    <w:sectPr>
      <w:headerReference r:id="rId13" w:type="default"/>
      <w:footerReference r:id="rId14" w:type="default"/>
      <w:footnotePr>
        <w:numFmt w:val="decimalEnclosedCircleChinese"/>
        <w:numRestart w:val="eachPage"/>
      </w:footnotePr>
      <w:type w:val="continuous"/>
      <w:pgSz w:w="11906" w:h="16838"/>
      <w:pgMar w:top="2098" w:right="1474" w:bottom="1984" w:left="1587" w:header="992"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FAD1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8F35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0B4D4">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182009"/>
    </w:sdtPr>
    <w:sdtEndPr>
      <w:rPr>
        <w:rFonts w:hint="eastAsia" w:ascii="仿宋_GB2312" w:eastAsia="仿宋_GB2312"/>
        <w:sz w:val="21"/>
        <w:szCs w:val="21"/>
      </w:rPr>
    </w:sdtEndPr>
    <w:sdtContent>
      <w:p w14:paraId="75CE5F5C">
        <w:pPr>
          <w:pStyle w:val="11"/>
          <w:ind w:firstLine="560"/>
          <w:jc w:val="center"/>
          <w:rPr>
            <w:rFonts w:ascii="仿宋_GB2312" w:eastAsia="仿宋_GB2312"/>
            <w:sz w:val="21"/>
            <w:szCs w:val="21"/>
          </w:rPr>
        </w:pPr>
        <w:r>
          <w:rPr>
            <w:rFonts w:hint="eastAsia" w:ascii="仿宋_GB2312" w:eastAsia="仿宋_GB2312"/>
            <w:sz w:val="21"/>
            <w:szCs w:val="21"/>
          </w:rPr>
          <w:fldChar w:fldCharType="begin"/>
        </w:r>
        <w:r>
          <w:rPr>
            <w:rFonts w:hint="eastAsia" w:ascii="仿宋_GB2312" w:eastAsia="仿宋_GB2312"/>
            <w:sz w:val="21"/>
            <w:szCs w:val="21"/>
          </w:rPr>
          <w:instrText xml:space="preserve">PAGE   \* MERGEFORMAT</w:instrText>
        </w:r>
        <w:r>
          <w:rPr>
            <w:rFonts w:hint="eastAsia" w:ascii="仿宋_GB2312" w:eastAsia="仿宋_GB2312"/>
            <w:sz w:val="21"/>
            <w:szCs w:val="21"/>
          </w:rPr>
          <w:fldChar w:fldCharType="separate"/>
        </w:r>
        <w:r>
          <w:rPr>
            <w:rFonts w:ascii="仿宋_GB2312" w:eastAsia="仿宋_GB2312"/>
            <w:sz w:val="21"/>
            <w:szCs w:val="21"/>
            <w:lang w:val="zh-CN"/>
          </w:rPr>
          <w:t>13</w:t>
        </w:r>
        <w:r>
          <w:rPr>
            <w:rFonts w:hint="eastAsia" w:ascii="仿宋_GB2312" w:eastAsia="仿宋_GB2312"/>
            <w:sz w:val="21"/>
            <w:szCs w:val="21"/>
          </w:rPr>
          <w:fldChar w:fldCharType="end"/>
        </w:r>
      </w:p>
    </w:sdtContent>
  </w:sdt>
  <w:p w14:paraId="20C47862">
    <w:pPr>
      <w:pStyle w:val="11"/>
      <w:rPr>
        <w:rFonts w:ascii="仿宋_GB2312" w:eastAsia="仿宋_GB2312"/>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1836155"/>
    </w:sdtPr>
    <w:sdtEndPr>
      <w:rPr>
        <w:rFonts w:hint="eastAsia" w:ascii="仿宋_GB2312" w:eastAsia="仿宋_GB2312"/>
        <w:sz w:val="21"/>
        <w:szCs w:val="21"/>
      </w:rPr>
    </w:sdtEndPr>
    <w:sdtContent>
      <w:p w14:paraId="7907121F">
        <w:pPr>
          <w:pStyle w:val="11"/>
          <w:ind w:firstLine="560"/>
          <w:jc w:val="center"/>
          <w:rPr>
            <w:rFonts w:ascii="仿宋_GB2312" w:eastAsia="仿宋_GB2312"/>
            <w:sz w:val="21"/>
            <w:szCs w:val="21"/>
          </w:rPr>
        </w:pPr>
        <w:r>
          <w:rPr>
            <w:rFonts w:hint="eastAsia" w:ascii="仿宋_GB2312" w:eastAsia="仿宋_GB2312"/>
            <w:sz w:val="21"/>
            <w:szCs w:val="21"/>
          </w:rPr>
          <w:fldChar w:fldCharType="begin"/>
        </w:r>
        <w:r>
          <w:rPr>
            <w:rFonts w:hint="eastAsia" w:ascii="仿宋_GB2312" w:eastAsia="仿宋_GB2312"/>
            <w:sz w:val="21"/>
            <w:szCs w:val="21"/>
          </w:rPr>
          <w:instrText xml:space="preserve">PAGE   \* MERGEFORMAT</w:instrText>
        </w:r>
        <w:r>
          <w:rPr>
            <w:rFonts w:hint="eastAsia" w:ascii="仿宋_GB2312" w:eastAsia="仿宋_GB2312"/>
            <w:sz w:val="21"/>
            <w:szCs w:val="21"/>
          </w:rPr>
          <w:fldChar w:fldCharType="separate"/>
        </w:r>
        <w:r>
          <w:rPr>
            <w:rFonts w:ascii="仿宋_GB2312" w:eastAsia="仿宋_GB2312"/>
            <w:sz w:val="21"/>
            <w:szCs w:val="21"/>
            <w:lang w:val="zh-CN"/>
          </w:rPr>
          <w:t>35</w:t>
        </w:r>
        <w:r>
          <w:rPr>
            <w:rFonts w:hint="eastAsia" w:ascii="仿宋_GB2312" w:eastAsia="仿宋_GB2312"/>
            <w:sz w:val="21"/>
            <w:szCs w:val="21"/>
          </w:rPr>
          <w:fldChar w:fldCharType="end"/>
        </w:r>
      </w:p>
    </w:sdtContent>
  </w:sdt>
  <w:p w14:paraId="45402C66">
    <w:pPr>
      <w:pStyle w:val="11"/>
      <w:rPr>
        <w:rFonts w:ascii="仿宋_GB2312" w:eastAsia="仿宋_GB2312"/>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ind w:firstLine="560"/>
      </w:pPr>
      <w:r>
        <w:separator/>
      </w:r>
    </w:p>
  </w:footnote>
  <w:footnote w:type="continuationSeparator" w:id="5">
    <w:p>
      <w:pPr>
        <w:ind w:firstLine="560"/>
      </w:pPr>
      <w:r>
        <w:continuationSeparator/>
      </w:r>
    </w:p>
  </w:footnote>
  <w:footnote w:id="0">
    <w:p w14:paraId="4DC9E652">
      <w:pPr>
        <w:pStyle w:val="14"/>
        <w:ind w:firstLine="0" w:firstLineChars="0"/>
        <w:jc w:val="both"/>
        <w:rPr>
          <w:rFonts w:ascii="仿宋_GB2312"/>
        </w:rPr>
      </w:pPr>
      <w:r>
        <w:rPr>
          <w:rStyle w:val="19"/>
          <w:rFonts w:hint="eastAsia" w:ascii="仿宋_GB2312"/>
        </w:rPr>
        <w:footnoteRef/>
      </w:r>
      <w:r>
        <w:rPr>
          <w:rFonts w:hint="eastAsia" w:ascii="仿宋_GB2312"/>
        </w:rPr>
        <w:t xml:space="preserve"> 前期准备主要包括实地调研和认真研读相关文件，根据绩效评价的基本原理、原则和项目特点，结合项目绩效目标，项目绩效评组制定了评价指标体系、评分标准、评价方法和相关的工作程序及步骤，形成评价初步方案。</w:t>
      </w:r>
    </w:p>
  </w:footnote>
  <w:footnote w:id="1">
    <w:p w14:paraId="75322746">
      <w:pPr>
        <w:pStyle w:val="14"/>
        <w:ind w:firstLine="0" w:firstLineChars="0"/>
        <w:jc w:val="both"/>
        <w:rPr>
          <w:rFonts w:ascii="仿宋_GB2312"/>
        </w:rPr>
      </w:pPr>
      <w:r>
        <w:rPr>
          <w:rFonts w:hint="eastAsia" w:ascii="仿宋_GB2312"/>
        </w:rPr>
        <w:t>本次绩效评价结果实施百分制和四级分类，其中90（含）-100分为优、80（含）-90分为良、</w:t>
      </w:r>
      <w:r>
        <w:rPr>
          <w:rFonts w:ascii="仿宋_GB2312"/>
        </w:rPr>
        <w:t>7</w:t>
      </w:r>
      <w:r>
        <w:rPr>
          <w:rFonts w:hint="eastAsia" w:ascii="仿宋_GB2312"/>
        </w:rPr>
        <w:t>0（含）-80分为中、</w:t>
      </w:r>
      <w:r>
        <w:rPr>
          <w:rFonts w:ascii="仿宋_GB2312"/>
        </w:rPr>
        <w:t>7</w:t>
      </w:r>
      <w:r>
        <w:rPr>
          <w:rFonts w:hint="eastAsia" w:ascii="仿宋_GB2312"/>
        </w:rPr>
        <w:t>0分以下为差。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ECB74">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68B66">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1904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3718F">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ED627">
    <w:pPr>
      <w:pStyle w:val="12"/>
      <w:ind w:firstLine="560"/>
      <w:jc w:val="right"/>
      <w:rPr>
        <w:rFonts w:ascii="仿宋_GB2312" w:eastAsia="仿宋_GB2312"/>
        <w:sz w:val="21"/>
        <w:szCs w:val="21"/>
      </w:rPr>
    </w:pPr>
    <w:r>
      <w:rPr>
        <w:rFonts w:hint="eastAsia" w:ascii="仿宋_GB2312" w:eastAsia="仿宋_GB2312"/>
        <w:sz w:val="21"/>
        <w:szCs w:val="21"/>
      </w:rPr>
      <w:t>部门项目报告模板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40"/>
  <w:drawingGridVerticalSpacing w:val="38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2D6A2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00" w:firstLineChars="200"/>
      <w:jc w:val="both"/>
    </w:pPr>
    <w:rPr>
      <w:rFonts w:ascii="Calibri" w:hAnsi="Calibri" w:eastAsia="仿宋_GB2312" w:cs="黑体"/>
      <w:kern w:val="2"/>
      <w:sz w:val="28"/>
      <w:szCs w:val="22"/>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paragraph" w:styleId="7">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kern w:val="0"/>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sz w:val="30"/>
      <w:szCs w:val="24"/>
    </w:rPr>
  </w:style>
  <w:style w:type="paragraph" w:styleId="3">
    <w:name w:val="toc 2"/>
    <w:basedOn w:val="1"/>
    <w:next w:val="1"/>
    <w:unhideWhenUsed/>
    <w:qFormat/>
    <w:uiPriority w:val="39"/>
    <w:pPr>
      <w:ind w:left="420" w:leftChars="200"/>
    </w:pPr>
  </w:style>
  <w:style w:type="paragraph" w:styleId="8">
    <w:name w:val="toc 3"/>
    <w:basedOn w:val="1"/>
    <w:next w:val="1"/>
    <w:unhideWhenUsed/>
    <w:qFormat/>
    <w:uiPriority w:val="39"/>
    <w:pPr>
      <w:ind w:left="840" w:leftChars="400"/>
    </w:pPr>
  </w:style>
  <w:style w:type="paragraph" w:styleId="9">
    <w:name w:val="Date"/>
    <w:basedOn w:val="1"/>
    <w:next w:val="1"/>
    <w:link w:val="25"/>
    <w:semiHidden/>
    <w:unhideWhenUsed/>
    <w:qFormat/>
    <w:uiPriority w:val="99"/>
    <w:pPr>
      <w:ind w:left="100" w:leftChars="2500"/>
    </w:pPr>
  </w:style>
  <w:style w:type="paragraph" w:styleId="10">
    <w:name w:val="Balloon Text"/>
    <w:basedOn w:val="1"/>
    <w:link w:val="34"/>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ind w:firstLine="0" w:firstLineChars="0"/>
      <w:jc w:val="left"/>
    </w:pPr>
    <w:rPr>
      <w:rFonts w:asciiTheme="minorHAnsi" w:hAnsiTheme="minorHAnsi" w:eastAsiaTheme="minorEastAsia" w:cstheme="minorBidi"/>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ind w:firstLine="0" w:firstLineChars="0"/>
      <w:jc w:val="center"/>
    </w:pPr>
    <w:rPr>
      <w:rFonts w:asciiTheme="minorHAnsi" w:hAnsiTheme="minorHAnsi" w:eastAsiaTheme="minorEastAsia" w:cstheme="minorBidi"/>
      <w:sz w:val="18"/>
      <w:szCs w:val="18"/>
    </w:rPr>
  </w:style>
  <w:style w:type="paragraph" w:styleId="13">
    <w:name w:val="toc 1"/>
    <w:basedOn w:val="1"/>
    <w:next w:val="1"/>
    <w:unhideWhenUsed/>
    <w:qFormat/>
    <w:uiPriority w:val="39"/>
  </w:style>
  <w:style w:type="paragraph" w:styleId="14">
    <w:name w:val="footnote text"/>
    <w:basedOn w:val="1"/>
    <w:link w:val="27"/>
    <w:semiHidden/>
    <w:unhideWhenUsed/>
    <w:qFormat/>
    <w:uiPriority w:val="99"/>
    <w:pPr>
      <w:snapToGrid w:val="0"/>
      <w:jc w:val="left"/>
    </w:pPr>
    <w:rPr>
      <w:sz w:val="18"/>
      <w:szCs w:val="18"/>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footnote reference"/>
    <w:basedOn w:val="17"/>
    <w:semiHidden/>
    <w:unhideWhenUsed/>
    <w:qFormat/>
    <w:uiPriority w:val="99"/>
    <w:rPr>
      <w:vertAlign w:val="superscript"/>
    </w:rPr>
  </w:style>
  <w:style w:type="paragraph" w:customStyle="1" w:styleId="20">
    <w:name w:val="Comment Text"/>
    <w:basedOn w:val="1"/>
    <w:link w:val="32"/>
    <w:unhideWhenUsed/>
    <w:qFormat/>
    <w:uiPriority w:val="99"/>
    <w:pPr>
      <w:jc w:val="left"/>
    </w:pPr>
  </w:style>
  <w:style w:type="paragraph" w:customStyle="1" w:styleId="21">
    <w:name w:val="Comment Subject"/>
    <w:basedOn w:val="20"/>
    <w:next w:val="20"/>
    <w:link w:val="33"/>
    <w:semiHidden/>
    <w:unhideWhenUsed/>
    <w:qFormat/>
    <w:uiPriority w:val="99"/>
    <w:rPr>
      <w:b/>
      <w:bCs/>
    </w:rPr>
  </w:style>
  <w:style w:type="character" w:customStyle="1" w:styleId="22">
    <w:name w:val="Comment Reference"/>
    <w:basedOn w:val="17"/>
    <w:semiHidden/>
    <w:unhideWhenUsed/>
    <w:qFormat/>
    <w:uiPriority w:val="99"/>
    <w:rPr>
      <w:sz w:val="21"/>
      <w:szCs w:val="21"/>
    </w:rPr>
  </w:style>
  <w:style w:type="character" w:customStyle="1" w:styleId="23">
    <w:name w:val="页眉 Char"/>
    <w:basedOn w:val="17"/>
    <w:link w:val="12"/>
    <w:qFormat/>
    <w:uiPriority w:val="99"/>
    <w:rPr>
      <w:sz w:val="18"/>
      <w:szCs w:val="18"/>
    </w:rPr>
  </w:style>
  <w:style w:type="character" w:customStyle="1" w:styleId="24">
    <w:name w:val="页脚 Char"/>
    <w:basedOn w:val="17"/>
    <w:link w:val="11"/>
    <w:qFormat/>
    <w:uiPriority w:val="99"/>
    <w:rPr>
      <w:sz w:val="18"/>
      <w:szCs w:val="18"/>
    </w:rPr>
  </w:style>
  <w:style w:type="character" w:customStyle="1" w:styleId="25">
    <w:name w:val="日期 Char"/>
    <w:basedOn w:val="17"/>
    <w:link w:val="9"/>
    <w:semiHidden/>
    <w:qFormat/>
    <w:uiPriority w:val="99"/>
    <w:rPr>
      <w:rFonts w:ascii="Calibri" w:hAnsi="Calibri" w:eastAsia="仿宋_GB2312" w:cs="黑体"/>
      <w:sz w:val="28"/>
    </w:rPr>
  </w:style>
  <w:style w:type="character" w:customStyle="1" w:styleId="26">
    <w:name w:val="标题 2 Char"/>
    <w:basedOn w:val="17"/>
    <w:link w:val="5"/>
    <w:qFormat/>
    <w:uiPriority w:val="9"/>
    <w:rPr>
      <w:rFonts w:asciiTheme="majorHAnsi" w:hAnsiTheme="majorHAnsi" w:eastAsiaTheme="majorEastAsia" w:cstheme="majorBidi"/>
      <w:b/>
      <w:bCs/>
      <w:sz w:val="32"/>
      <w:szCs w:val="32"/>
    </w:rPr>
  </w:style>
  <w:style w:type="character" w:customStyle="1" w:styleId="27">
    <w:name w:val="脚注文本 Char"/>
    <w:basedOn w:val="17"/>
    <w:link w:val="14"/>
    <w:semiHidden/>
    <w:qFormat/>
    <w:uiPriority w:val="99"/>
    <w:rPr>
      <w:rFonts w:ascii="Calibri" w:hAnsi="Calibri" w:eastAsia="仿宋_GB2312" w:cs="黑体"/>
      <w:sz w:val="18"/>
      <w:szCs w:val="18"/>
    </w:rPr>
  </w:style>
  <w:style w:type="paragraph" w:styleId="28">
    <w:name w:val="List Paragraph"/>
    <w:basedOn w:val="1"/>
    <w:qFormat/>
    <w:uiPriority w:val="34"/>
    <w:pPr>
      <w:ind w:firstLine="420"/>
    </w:pPr>
  </w:style>
  <w:style w:type="table" w:customStyle="1" w:styleId="29">
    <w:name w:val="网格型1"/>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0">
    <w:name w:val="标题 1 Char"/>
    <w:basedOn w:val="17"/>
    <w:link w:val="4"/>
    <w:qFormat/>
    <w:uiPriority w:val="9"/>
    <w:rPr>
      <w:rFonts w:ascii="Calibri" w:hAnsi="Calibri" w:eastAsia="仿宋_GB2312" w:cs="黑体"/>
      <w:b/>
      <w:bCs/>
      <w:kern w:val="44"/>
      <w:sz w:val="44"/>
      <w:szCs w:val="44"/>
    </w:rPr>
  </w:style>
  <w:style w:type="paragraph" w:customStyle="1" w:styleId="31">
    <w:name w:val="TOC 标题1"/>
    <w:basedOn w:val="4"/>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2">
    <w:name w:val="批注文字 Char"/>
    <w:basedOn w:val="17"/>
    <w:link w:val="20"/>
    <w:qFormat/>
    <w:uiPriority w:val="99"/>
    <w:rPr>
      <w:rFonts w:ascii="Calibri" w:hAnsi="Calibri" w:eastAsia="仿宋_GB2312" w:cs="黑体"/>
      <w:sz w:val="28"/>
    </w:rPr>
  </w:style>
  <w:style w:type="character" w:customStyle="1" w:styleId="33">
    <w:name w:val="批注主题 Char"/>
    <w:basedOn w:val="32"/>
    <w:link w:val="21"/>
    <w:semiHidden/>
    <w:qFormat/>
    <w:uiPriority w:val="99"/>
    <w:rPr>
      <w:rFonts w:ascii="Calibri" w:hAnsi="Calibri" w:eastAsia="仿宋_GB2312" w:cs="黑体"/>
      <w:b/>
      <w:bCs/>
      <w:sz w:val="28"/>
    </w:rPr>
  </w:style>
  <w:style w:type="character" w:customStyle="1" w:styleId="34">
    <w:name w:val="批注框文本 Char"/>
    <w:basedOn w:val="17"/>
    <w:link w:val="10"/>
    <w:semiHidden/>
    <w:qFormat/>
    <w:uiPriority w:val="99"/>
    <w:rPr>
      <w:rFonts w:ascii="Calibri" w:hAnsi="Calibri" w:eastAsia="仿宋_GB2312" w:cs="黑体"/>
      <w:sz w:val="18"/>
      <w:szCs w:val="18"/>
    </w:rPr>
  </w:style>
  <w:style w:type="character" w:customStyle="1" w:styleId="35">
    <w:name w:val="标题 3 Char"/>
    <w:basedOn w:val="17"/>
    <w:link w:val="6"/>
    <w:qFormat/>
    <w:uiPriority w:val="9"/>
    <w:rPr>
      <w:rFonts w:ascii="Calibri" w:hAnsi="Calibri" w:eastAsia="仿宋_GB2312" w:cs="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19A67179DD94455D803EA4A6EECE2710_13</vt:lpwstr>
  </property>
</Properties>
</file>

<file path=customXml/itemProps1.xml><?xml version="1.0" encoding="utf-8"?>
<ds:datastoreItem xmlns:ds="http://schemas.openxmlformats.org/officeDocument/2006/customXml" ds:itemID="{7F46A1DE-1A70-440F-BC98-2809D3DA1739}">
  <ds:schemaRefs/>
</ds:datastoreItem>
</file>

<file path=customXml/itemProps2.xml><?xml version="1.0" encoding="utf-8"?>
<ds:datastoreItem xmlns:ds="http://schemas.openxmlformats.org/officeDocument/2006/customXml" ds:itemID="{0570330d-1201-4362-ae74-4c64120f66b3}">
  <ds:schemaRefs/>
</ds:datastoreItem>
</file>

<file path=docProps/app.xml><?xml version="1.0" encoding="utf-8"?>
<Properties xmlns="http://schemas.openxmlformats.org/officeDocument/2006/extended-properties" xmlns:vt="http://schemas.openxmlformats.org/officeDocument/2006/docPropsVTypes">
  <Template>Normal</Template>
  <Pages>41</Pages>
  <Words>2996</Words>
  <Characters>17081</Characters>
  <Lines>142</Lines>
  <Paragraphs>40</Paragraphs>
  <TotalTime>20</TotalTime>
  <ScaleCrop>false</ScaleCrop>
  <LinksUpToDate>false</LinksUpToDate>
  <CharactersWithSpaces>20037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2025-04-25T07:26:00Z</dcterms:created>
  <dc:creator>张 宇</dc:creator>
  <cp:lastModifiedBy>薇芙</cp:lastModifiedBy>
  <cp:lastPrinted>2025-05-13T04:05:00Z</cp:lastPrinted>
  <dcterms:modified xsi:type="dcterms:W3CDTF">2025-09-28T05:00:44Z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19A67179DD94455D803EA4A6EECE2710_13</vt:lpwstr>
  </property>
</Properties>
</file>