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乌鲁木齐市人工影响天气办公室</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部门概况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部门概况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乌鲁木齐市人工影响天气办公室成立于1991年，受乌鲁木齐市委市政府及乌鲁木齐市气象局的双重领导下，行使乌鲁木齐地区的人工影响天气管理工作职能，即负责贯彻执行国家、自治区、市政府对乌鲁木齐地区制定的方针政策、指导思想和基本原则；负责乌鲁木齐市人影计财、人事、业务管理、培训、经验交流、效果评估等；负责制定乌鲁木齐地区人影规划并组织实施；负责制定乌鲁木齐市人工影响天气工作的规章制度及监督检查工作；负责乌鲁木齐市人工影响天气装备、物资、器材的计划、供应、审验和技术保障，做好安全管理工作。负责全市人影新技术、新装备的引进及科研开发、推广应用、技术服务、重大人影项目的管理和实施；负责指导下级人工影响天气工作及市政府交办的其他事项。人影办的经费（含专项经费）来源均为财政拨款，办公地点设在市气象局，负责全市以人工增水为主要业务的人工影响天气工作。近年来，在各级领导的关心支持下，乌鲁木齐市的人影事业有了很大发展。</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乌鲁木齐市人工影响天气办公室无下属预算单位。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2025年度收入总计745.44万元，</w:t>
      </w:r>
      <w:r>
        <w:rPr>
          <w:rFonts w:ascii="仿宋_GB2312" w:hAnsi="仿宋_GB2312" w:eastAsia="仿宋_GB2312"/>
          <w:b w:val="0"/>
          <w:sz w:val="32"/>
        </w:rPr>
        <w:t>其中：本年收入合计745.35万元，使用非财政拨款结余（含专用结余）0.00万元，年初结转和结余0.08万元。</w:t>
      </w:r>
    </w:p>
    <w:p>
      <w:pPr>
        <w:spacing w:line="580" w:lineRule="exact"/>
        <w:ind w:firstLine="640"/>
        <w:jc w:val="both"/>
      </w:pPr>
      <w:r>
        <w:rPr>
          <w:rFonts w:ascii="仿宋_GB2312" w:hAnsi="仿宋_GB2312" w:eastAsia="仿宋_GB2312"/>
          <w:b/>
          <w:sz w:val="32"/>
        </w:rPr>
        <w:t>2025年度支出总计745.44万元，</w:t>
      </w:r>
      <w:r>
        <w:rPr>
          <w:rFonts w:ascii="仿宋_GB2312" w:hAnsi="仿宋_GB2312" w:eastAsia="仿宋_GB2312"/>
          <w:b w:val="0"/>
          <w:sz w:val="32"/>
        </w:rPr>
        <w:t>其中：本年支出合计745.41万元，结余分配0.00万元，年末结转和结余0.03万元。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73.08万元，增长10.87%，主要原因是：本年在职人员工资调增，社保、公积金基数调增，人员经费增加。本年新增2025年人工增水试点工作专项经费项目，同时本年人工增水项目资金增加，导致项目经费较上年有所增加。</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本年收入745.35万元，</w:t>
      </w:r>
      <w:r>
        <w:rPr>
          <w:rFonts w:ascii="仿宋_GB2312" w:hAnsi="仿宋_GB2312" w:eastAsia="仿宋_GB2312"/>
          <w:b w:val="0"/>
          <w:sz w:val="32"/>
        </w:rPr>
        <w:t>其中：财政拨款收入745.35万元，占100.00%；上级补助收入0.00万元，占0.00%；事业收入0.00万元，占0.00%；经营收入0.00万元，占0.00%；附属单位上缴收入0.00万元，占0.00%；其他收入0.00万元，占0.00%。</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本年支出745.41万元，</w:t>
      </w:r>
      <w:r>
        <w:rPr>
          <w:rFonts w:ascii="仿宋_GB2312" w:hAnsi="仿宋_GB2312" w:eastAsia="仿宋_GB2312"/>
          <w:b w:val="0"/>
          <w:sz w:val="32"/>
        </w:rPr>
        <w:t>其中：基本支出165.33万元，占22.18%；项目支出580.09万元，占77.82%；上缴上级支出0.00万元，占0.00%；经营支出0.00万元，占0.00%；对附属单位补助支出0.00万元，占0.00%。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2025年度财政拨款收入总计745.35万元，</w:t>
      </w:r>
      <w:r>
        <w:rPr>
          <w:rFonts w:ascii="仿宋_GB2312" w:hAnsi="仿宋_GB2312" w:eastAsia="仿宋_GB2312"/>
          <w:b w:val="0"/>
          <w:sz w:val="32"/>
        </w:rPr>
        <w:t>其中：年初财政拨款结转和结余0.00万元，本年财政拨款收入745.35万元。</w:t>
      </w:r>
      <w:r>
        <w:rPr>
          <w:rFonts w:ascii="仿宋_GB2312" w:hAnsi="仿宋_GB2312" w:eastAsia="仿宋_GB2312"/>
          <w:b/>
          <w:sz w:val="32"/>
        </w:rPr>
        <w:t>财政拨款支出总计745.35万元，</w:t>
      </w:r>
      <w:r>
        <w:rPr>
          <w:rFonts w:ascii="仿宋_GB2312" w:hAnsi="仿宋_GB2312" w:eastAsia="仿宋_GB2312"/>
          <w:b w:val="0"/>
          <w:sz w:val="32"/>
        </w:rPr>
        <w:t>其中：年末财政拨款结转和结余0.00万元，本年财政拨款支出745.35万元。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73.17万元，增长10.89%，主要原因是：本年在职人员工资调增，社保、公积金基数调增，人员经费增加。本年新增2025年人工增水试点工作专项经费项目，同时本年人工增水项目资金增加，导致项目经费较上年有所增加。</w:t>
      </w:r>
      <w:r>
        <w:rPr>
          <w:rFonts w:ascii="仿宋_GB2312" w:hAnsi="仿宋_GB2312" w:eastAsia="仿宋_GB2312"/>
          <w:b/>
          <w:sz w:val="32"/>
        </w:rPr>
        <w:t>与年初预算相比，</w:t>
      </w:r>
      <w:r>
        <w:rPr>
          <w:rFonts w:ascii="仿宋_GB2312" w:hAnsi="仿宋_GB2312" w:eastAsia="仿宋_GB2312"/>
          <w:b w:val="0"/>
          <w:sz w:val="32"/>
        </w:rPr>
        <w:t>年初预算数736.15万元，决算数745.35万元，预决算差异率1.25%，主要原因是：年中追加2025年人工增水试点工作专项经费项目，导致预决算存在差异。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构运行、民生保障等重点支出，体现在有关支出科目中。</w:t>
      </w:r>
    </w:p>
    <w:p>
      <w:pPr>
        <w:spacing w:line="580" w:lineRule="exact"/>
        <w:ind w:firstLine="640"/>
        <w:jc w:val="both"/>
      </w:pPr>
      <w:r>
        <w:rPr>
          <w:rFonts w:ascii="仿宋_GB2312" w:hAnsi="仿宋_GB2312" w:eastAsia="仿宋_GB2312"/>
          <w:b w:val="0"/>
          <w:sz w:val="32"/>
        </w:rPr>
        <w:t>按照支出功能分类，自然资源海洋气象等支出（类）气象事务（款）气象服务（项）的支出占本年财政拨款支出总额的比重最高，2025年度决算数为580.09万元，占比77.83%，主要用于2025年人工增水项目经费和辅助履职人员支出等项目。</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2025年度一般公共预算财政拨款支出745.35万元，</w:t>
      </w:r>
      <w:r>
        <w:rPr>
          <w:rFonts w:ascii="仿宋_GB2312" w:hAnsi="仿宋_GB2312" w:eastAsia="仿宋_GB2312"/>
          <w:b w:val="0"/>
          <w:sz w:val="32"/>
        </w:rPr>
        <w:t>占本年支出合计的99.99%。</w:t>
      </w:r>
      <w:r>
        <w:rPr>
          <w:rFonts w:ascii="仿宋_GB2312" w:hAnsi="仿宋_GB2312" w:eastAsia="仿宋_GB2312"/>
          <w:b/>
          <w:sz w:val="32"/>
        </w:rPr>
        <w:t>与上年相比，</w:t>
      </w:r>
      <w:r>
        <w:rPr>
          <w:rFonts w:ascii="仿宋_GB2312" w:hAnsi="仿宋_GB2312" w:eastAsia="仿宋_GB2312"/>
          <w:b w:val="0"/>
          <w:sz w:val="32"/>
        </w:rPr>
        <w:t>增加73.17万元，增长10.89%，主要原因是：本年在职人员工资调增，社保、公积金基数调增，人员经费增加。本年新增2025年人工增水试点工作专项经费项目，同时本年人工增水项目资金增加，导致项目经费较上年有所增加。</w:t>
      </w:r>
      <w:r>
        <w:rPr>
          <w:rFonts w:ascii="仿宋_GB2312" w:hAnsi="仿宋_GB2312" w:eastAsia="仿宋_GB2312"/>
          <w:b/>
          <w:sz w:val="32"/>
        </w:rPr>
        <w:t>与年初预算相比，</w:t>
      </w:r>
      <w:r>
        <w:rPr>
          <w:rFonts w:ascii="仿宋_GB2312" w:hAnsi="仿宋_GB2312" w:eastAsia="仿宋_GB2312"/>
          <w:b w:val="0"/>
          <w:sz w:val="32"/>
        </w:rPr>
        <w:t>年初预算数736.15万元，决算数745.35万元，预决算差异率1.25%，主要原因是：年中追加2025年人工增水试点工作专项经费项目，导致预决算存在差异。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1.社会保障和就业支出（类）21.29万元，占2.86%。</w:t>
      </w:r>
    </w:p>
    <w:p>
      <w:pPr>
        <w:spacing w:line="580" w:lineRule="exact"/>
        <w:ind w:firstLine="640"/>
        <w:jc w:val="both"/>
      </w:pPr>
      <w:r>
        <w:rPr>
          <w:rFonts w:ascii="仿宋_GB2312" w:hAnsi="仿宋_GB2312" w:eastAsia="仿宋_GB2312"/>
          <w:b w:val="0"/>
          <w:sz w:val="32"/>
        </w:rPr>
        <w:t>2.自然资源海洋气象等支出（类）724.06万元，占97.14%。</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1.社会保障和就业支出（类）行政事业单位养老支出（款）行政单位离退休（项）：支出决算数为6.21万元，比上年决算增加1.26万元，增长25.45%，主要原因是：本年增加退休人员基础绩效奖，退休费支出增加。</w:t>
      </w:r>
    </w:p>
    <w:p>
      <w:pPr>
        <w:spacing w:line="580" w:lineRule="exact"/>
        <w:ind w:firstLine="640"/>
        <w:jc w:val="both"/>
      </w:pPr>
      <w:r>
        <w:rPr>
          <w:rFonts w:ascii="仿宋_GB2312" w:hAnsi="仿宋_GB2312" w:eastAsia="仿宋_GB2312"/>
          <w:b w:val="0"/>
          <w:sz w:val="32"/>
        </w:rPr>
        <w:t>2.社会保障和就业支出（类）行政事业单位养老支出（款）机关事业单位基本养老保险缴费支出（项）：支出决算数为12.07万元，比上年决算增加1.57万元，增长14.95%，主要原因是：本年在职人员工资基数调增，养老缴费基数上涨，相应支出增加。</w:t>
      </w:r>
    </w:p>
    <w:p>
      <w:pPr>
        <w:spacing w:line="580" w:lineRule="exact"/>
        <w:ind w:firstLine="640"/>
        <w:jc w:val="both"/>
      </w:pPr>
      <w:r>
        <w:rPr>
          <w:rFonts w:ascii="仿宋_GB2312" w:hAnsi="仿宋_GB2312" w:eastAsia="仿宋_GB2312"/>
          <w:b w:val="0"/>
          <w:sz w:val="32"/>
        </w:rPr>
        <w:t>3.社会保障和就业支出（类）行政事业单位养老支出（款）机关事业单位职业年金缴费支出（项）：支出决算数为3.02万元，比上年决算增加3.02万元，增长100.00%，主要原因是：根据政策要求，2025年7月开始，在职人员职业年金单位缴纳部分做实，导致职业年金缴费较上年增加。</w:t>
      </w:r>
    </w:p>
    <w:p>
      <w:pPr>
        <w:spacing w:line="580" w:lineRule="exact"/>
        <w:ind w:firstLine="640"/>
        <w:jc w:val="both"/>
      </w:pPr>
      <w:r>
        <w:rPr>
          <w:rFonts w:ascii="仿宋_GB2312" w:hAnsi="仿宋_GB2312" w:eastAsia="仿宋_GB2312"/>
          <w:b w:val="0"/>
          <w:sz w:val="32"/>
        </w:rPr>
        <w:t>4.自然资源海洋气象等支出（类）自然资源事务（款）行政运行（项）：支出决算数为0.00万元，比上年决算减少0.31万元，下降100.00%，主要原因是：本年功能科目调整，职工奖金上年单独列支，本年度在气象事务行政运行科目列支，导致经费较上年减少。</w:t>
      </w:r>
    </w:p>
    <w:p>
      <w:pPr>
        <w:spacing w:line="580" w:lineRule="exact"/>
        <w:ind w:firstLine="640"/>
        <w:jc w:val="both"/>
      </w:pPr>
      <w:r>
        <w:rPr>
          <w:rFonts w:ascii="仿宋_GB2312" w:hAnsi="仿宋_GB2312" w:eastAsia="仿宋_GB2312"/>
          <w:b w:val="0"/>
          <w:sz w:val="32"/>
        </w:rPr>
        <w:t>5.自然资源海洋气象等支出（类）气象事务（款）行政运行（项）：支出决算数为143.97万元，比上年决算增加9.91万元，增长7.39%，主要原因是：本年在职人员工资调增，导致相关人员经费较上年有所增加。本年功能科目调整，职工奖金上年在自然资源事务行政运行科目列支，本年度在气象事务行政运行科目列支，导致经费较上年增加。</w:t>
      </w:r>
    </w:p>
    <w:p>
      <w:pPr>
        <w:spacing w:line="580" w:lineRule="exact"/>
        <w:ind w:firstLine="640"/>
        <w:jc w:val="both"/>
      </w:pPr>
      <w:r>
        <w:rPr>
          <w:rFonts w:ascii="仿宋_GB2312" w:hAnsi="仿宋_GB2312" w:eastAsia="仿宋_GB2312"/>
          <w:b w:val="0"/>
          <w:sz w:val="32"/>
        </w:rPr>
        <w:t>6.自然资源海洋气象等支出（类）气象事务（款）气象服务（项）：支出决算数为580.09万元，比上年决算增加57.75万元，增长11.06%，主要原因是：本年新增2025年人工增水试点工作专项经费项目，同时本年人工增水项目资金增加，导致项目经费较上年有所增加。</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2025年度一般公共预算财政拨款基本支出165.27万元，其中：</w:t>
      </w:r>
      <w:r>
        <w:rPr>
          <w:rFonts w:ascii="仿宋_GB2312" w:hAnsi="仿宋_GB2312" w:eastAsia="仿宋_GB2312"/>
          <w:b/>
          <w:sz w:val="32"/>
        </w:rPr>
        <w:t>人员经费131.58万元，</w:t>
      </w:r>
      <w:r>
        <w:rPr>
          <w:rFonts w:ascii="仿宋_GB2312" w:hAnsi="仿宋_GB2312" w:eastAsia="仿宋_GB2312"/>
          <w:b w:val="0"/>
          <w:sz w:val="32"/>
        </w:rPr>
        <w:t>包括：基本工资、津贴补贴、奖金、机关事业单位基本养老保险缴费、职业年金缴费、职工基本医疗保险缴费、公务员医疗补助缴费、其他社会保障缴费、住房公积金、退休费。</w:t>
      </w:r>
    </w:p>
    <w:p>
      <w:pPr>
        <w:spacing w:line="580" w:lineRule="exact"/>
        <w:ind w:firstLine="640"/>
        <w:jc w:val="both"/>
      </w:pPr>
      <w:r>
        <w:rPr>
          <w:rFonts w:ascii="仿宋_GB2312" w:hAnsi="仿宋_GB2312" w:eastAsia="仿宋_GB2312"/>
          <w:b/>
          <w:sz w:val="32"/>
        </w:rPr>
        <w:t>公用经费33.68万元，</w:t>
      </w:r>
      <w:r>
        <w:rPr>
          <w:rFonts w:ascii="仿宋_GB2312" w:hAnsi="仿宋_GB2312" w:eastAsia="仿宋_GB2312"/>
          <w:b w:val="0"/>
          <w:sz w:val="32"/>
        </w:rPr>
        <w:t>包括：办公费、手续费、取暖费、差旅费、维修（护）费、租赁费、公务接待费、专用材料费、委托业务费、工会经费、福利费、公务用车运行维护费、其他商品和服务支出。</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本部门本年度无政府性基金预算财政拨款收入、支出及结转和结余，政府性基金预算财政拨款收入支出决算表为空表。</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本部门本年度无国有资本经营预算财政拨款收入、支出及结转和结余，国有资本经营预算财政拨款收入支出决算表为空表。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2025年度财政拨款“三公”经费支出24.16万元，</w:t>
      </w:r>
      <w:r>
        <w:rPr>
          <w:rFonts w:ascii="仿宋_GB2312" w:hAnsi="仿宋_GB2312" w:eastAsia="仿宋_GB2312"/>
          <w:b w:val="0"/>
          <w:sz w:val="32"/>
        </w:rPr>
        <w:t>比上年增加6.74万元，增长38.69%，主要原因是：本年因业务需求，用车次数增加，燃油费增加，导致公务用车运行维护费较上年增加。</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公务用车购置及运行维护费支出24.12万元，占99.83%，比上年增加6.74万元，增长38.78%，主要原因是：本年因业务需求，用车次数增加，燃油费增加，导致公务用车运行维护费较上年增加。</w:t>
      </w:r>
      <w:r>
        <w:rPr>
          <w:rFonts w:ascii="仿宋_GB2312" w:hAnsi="仿宋_GB2312" w:eastAsia="仿宋_GB2312"/>
          <w:b w:val="0"/>
          <w:sz w:val="32"/>
        </w:rPr>
        <w:t>公务接待费支出0.04万元，占0.17%，比上年增加0.00万元，增长0.00%，主要原因是：本部门公务接待费与上年一致无变化。</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因公出国（境）费用0.00万元，开支内容包括本部门无因公出国（境）费用。部门全年安排的因公出国（境）团组0个，因公出国（境）0人次。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24.12万元，其中：公务用车购置费0.00万元，公务用车运行维护费24.12万元。公务用车运行维护费开支内容包括车辆加油费、维修费、保险费、审车费等。公务用车购置数0辆，公务用车保有量18辆。国有资产占用情况中固定资产车辆18辆，与公务用车保有量差异原因是：本部门公务用车保有量与固定资产车辆一致无差异。</w:t>
      </w:r>
    </w:p>
    <w:p>
      <w:pPr>
        <w:spacing w:line="580" w:lineRule="exact"/>
        <w:ind w:firstLine="640"/>
        <w:jc w:val="both"/>
      </w:pPr>
      <w:r>
        <w:rPr>
          <w:rFonts w:ascii="仿宋_GB2312" w:hAnsi="仿宋_GB2312" w:eastAsia="仿宋_GB2312"/>
          <w:b w:val="0"/>
          <w:sz w:val="32"/>
        </w:rPr>
        <w:t>公务接待费0.04万元，开支内容包括因接待上级领导考察人影业务工作产生的就餐费。部门全年安排的国内公务接待1批次，6人次。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24.16万元，决算数24.16万元，预决算差异率0.00%，主要原因是：严格按照预算执行，预决算无差异。其中：因公出国（境）费用全年预算数0.00万元，决算数0.00万元，预决算差异率0.00%，主要原因是：本部门无因公出国（境）费用。公务用车购置费全年预算数0.00万元，决算数0.00万元，预决算差异率0.00%，主要原因是：本部门无公务用车购置费。公务用车运行维护费全年预算数24.12万元，决算数24.12万元，预决算差异率0.00%，主要原因是：严格按照预算执行，预决算无差异。公务接待费全年预算数0.04万元，决算数0.04万元，预决算差异率0.00%，主要原因是：严格按照预算执行，预决算无差异。</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乌鲁木齐市人工影响天气办公室（行政单位和参照公务员法管理事业单位）机关运行经费支出33.68万元，比上年增加5.89万元，增长21.19%，主要原因是：本年业务量增加，差旅费、维修费等增加，导致公用经费增加。</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2025年度政府采购支出总额3.65万元，其中：政府采购货物支出0.00万元、政府采购工程支出0.00万元、政府采购服务支出3.65万元。</w:t>
      </w:r>
    </w:p>
    <w:p>
      <w:pPr>
        <w:spacing w:line="580" w:lineRule="exact"/>
        <w:ind w:firstLine="640"/>
        <w:jc w:val="both"/>
      </w:pPr>
      <w:r>
        <w:rPr>
          <w:rFonts w:ascii="仿宋_GB2312" w:hAnsi="仿宋_GB2312" w:eastAsia="仿宋_GB2312"/>
          <w:b w:val="0"/>
          <w:sz w:val="32"/>
        </w:rPr>
        <w:t>授予中小企业合同金额3.65万元，占政府采购支出总额的100.00%，其中：授予小微企业合同金额3.65万元，占政府采购支出总额的100.00%。</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1,099.68平方米，价值432.49万元。车辆18辆，价值483.19万元，其中：副部（省）级及以上领导用车0辆、主要负责人用车0辆、机要通信用车0辆、应急保障用车0辆、执法执勤用车0辆、特种专业技术用车17辆、离退休干部服务用车0辆、其他用车1辆，其他用车主要是：一般公务用车。单价100万元（含）以上设备（不含车辆）1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部门2025年度预算绩效管理形成整体支出绩效自评表1个，全年预算总额745.44万元，实际执行总额745.41万元；预算绩效评价项目4个，全年预算数1,265.34万元，全年执行数1,064.08万元。预算绩效管理取得的成效：一是健全了事前绩效目标编审体系；二是构建了事后预算绩效评价体系；三是强化了绩效评价结果运用。发现的问题及原因：一是预算绩效观念不强，工作质量有待提高；二是绩效评价指标体系不完善，实际操作有难度；三是绩效管理体系不健全，工作流程需优化。下一步改进措施：一是完善制度体系；二是进一步提升绩效管理的质量和时效；三是夯实绩效管理基础工作。具体附整体支出绩效自评表、项目支出绩效自评表及项目支出绩效评价报告。</w:t>
      </w:r>
    </w:p>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355"/>
        <w:gridCol w:w="885"/>
        <w:gridCol w:w="933"/>
        <w:gridCol w:w="1957"/>
        <w:gridCol w:w="1240"/>
        <w:gridCol w:w="1483"/>
        <w:gridCol w:w="592"/>
        <w:gridCol w:w="696"/>
        <w:gridCol w:w="703"/>
      </w:tblGrid>
      <w:tr>
        <w:trPr>
          <w:trHeight w:val="522"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部门（单位）整体支出绩效目标自评表</w:t>
            </w:r>
          </w:p>
        </w:tc>
      </w:tr>
      <w:tr>
        <w:trPr>
          <w:trHeight w:val="360"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66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部门（单位）名称</w:t>
            </w:r>
          </w:p>
        </w:tc>
        <w:tc>
          <w:tcPr>
            <w:tcW w:type="dxa" w:w="98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乌鲁木齐市人工影响天气办公室</w:t>
            </w:r>
          </w:p>
        </w:tc>
      </w:tr>
      <w:tr>
        <w:trPr>
          <w:trHeight w:val="57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部门资金（万元）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资金来源</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得分</w:t>
            </w:r>
          </w:p>
        </w:tc>
      </w:tr>
      <w:tr>
        <w:trPr>
          <w:trHeight w:val="882"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736.15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745.44</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745.41</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882"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2"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736.15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745.44</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745.41</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2"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705"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实际完成情况</w:t>
            </w:r>
          </w:p>
        </w:tc>
      </w:tr>
      <w:tr>
        <w:trPr>
          <w:trHeight w:val="1999" w:hRule="atLeast"/>
        </w:trPr>
        <w:tc>
          <w:tcPr>
            <w:tcW w:type="dxa" w:w="983"/>
            <w:gridSpan w:val="2"/>
            <w:vMerge/>
            <w:tcBorders>
              <w:start w:sz="10" w:val="single"/>
              <w:top w:sz="10" w:val="single"/>
              <w:end w:sz="10" w:val="single"/>
              <w:bottom w:sz="10" w:val="single"/>
              <w:insideV w:sz="10" w:val="single"/>
            </w:tcBorders>
          </w:tcP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建立健全组织领导体系，充分发挥乌鲁木齐市人工影响天气工作领导小组的职能和作用，全面加强对全市人工影响天气工作的统筹规划、政策指导和区域协调。主要工作内容：1、积极开展人影增水作业，进一步缓解乌鲁木齐市水资源短缺的现状，支持生态保护与修复，天气达到标准开展人工增水工作次数大于150次。2、加强安全生产管理，严格落实责任清单制度，明确各级单位及人员的责任，规范化开展年度安全检查，规范人影弹药及装备的使用流程，确保不发生任何安全事故。3、在年度目标确定后、积极采取措施，提高经费的使用效力，提高人影作业的科学性、有效性，争取最大程度增加水库库容量。</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底，单位组织开展人工增雨（雪）地面作业656次，其中火箭作业219次、发射火箭弹591枚，烟炉作业412次、燃烧焰条1138根，在南山山区等水源地、生态保护区全年增加降水1.1亿吨，年末大西沟水库库容达981.14万方；严格落实安全作业底线，全年未发生安全事故；全年全面履行紧盯天气过程、抢抓作业时机，提升水资源利用效率，严守人影安全作业底线，开展重大活动气象保障，服务地方生态保护与经济社会发展的核心职能。</w:t>
            </w:r>
          </w:p>
        </w:tc>
      </w:tr>
      <w:tr>
        <w:trPr>
          <w:trHeight w:val="582"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预期指标值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指标值设定依据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得分</w:t>
            </w:r>
          </w:p>
        </w:tc>
      </w:tr>
      <w:tr>
        <w:trPr>
          <w:trHeight w:val="739"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履职效能</w:t>
            </w: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全年开展人工增水作业次数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&gt;=150次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2025年单位工作计划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656次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w:t>
            </w:r>
          </w:p>
        </w:tc>
      </w:tr>
      <w:tr>
        <w:trPr>
          <w:trHeight w:val="739"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增加水库库容量，年底大西沟水库库容量</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&gt;=300万方</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2025年单位工作计划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981.14万方</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w:t>
            </w:r>
          </w:p>
        </w:tc>
      </w:tr>
      <w:tr>
        <w:trPr>
          <w:trHeight w:val="739"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重大事故发生次数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安全考核细则</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bl>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W w:type="pct" w:w="5000"/>
        <w:tblLook w:firstColumn="1" w:firstRow="1" w:lastColumn="0" w:lastRow="0" w:noHBand="0" w:noVBand="1" w:val="04A0"/>
        <w:tblCellMar>
          <w:top w:w="36" w:type="dxa"/>
          <w:left w:w="36" w:type="dxa"/>
          <w:bottom w:w="36" w:type="dxa"/>
          <w:right w:w="36" w:type="dxa"/>
        </w:tblCellMar>
      </w:tblPr>
      <w:tblGrid>
        <w:gridCol w:w="614"/>
        <w:gridCol w:w="614"/>
        <w:gridCol w:w="597"/>
        <w:gridCol w:w="430"/>
        <w:gridCol w:w="451"/>
        <w:gridCol w:w="225"/>
        <w:gridCol w:w="821"/>
        <w:gridCol w:w="614"/>
        <w:gridCol w:w="559"/>
        <w:gridCol w:w="284"/>
        <w:gridCol w:w="520"/>
        <w:gridCol w:w="412"/>
        <w:gridCol w:w="464"/>
        <w:gridCol w:w="614"/>
        <w:gridCol w:w="473"/>
        <w:gridCol w:w="614"/>
      </w:tblGrid>
      <w:tr>
        <w:trPr>
          <w:trHeight w:val="420" w:hRule="atLeast"/>
        </w:trPr>
        <w:tc>
          <w:tcPr>
            <w:tcW w:type="dxa" w:w="519"/>
            <w:gridSpan w:val="1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400" w:hRule="atLeast"/>
        </w:trPr>
        <w:tc>
          <w:tcPr>
            <w:tcW w:type="dxa" w:w="519"/>
            <w:gridSpan w:val="1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499" w:hRule="atLeast"/>
        </w:trPr>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项目名称</w:t>
            </w:r>
          </w:p>
        </w:tc>
        <w:tc>
          <w:tcPr>
            <w:tcW w:type="dxa" w:w="519"/>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2025年人工增水试点工作专项经费</w:t>
            </w:r>
          </w:p>
        </w:tc>
      </w:tr>
      <w:tr>
        <w:trPr>
          <w:trHeight w:val="499" w:hRule="atLeast"/>
        </w:trPr>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主管部门</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乌鲁木齐市人工影响天气办公室</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实施单位</w:t>
            </w:r>
          </w:p>
        </w:tc>
        <w:tc>
          <w:tcPr>
            <w:tcW w:type="dxa" w:w="519"/>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乌鲁木齐市人工影响天气办公室</w:t>
            </w:r>
          </w:p>
        </w:tc>
      </w:tr>
      <w:tr>
        <w:trPr>
          <w:trHeight w:val="499" w:hRule="atLeast"/>
        </w:trPr>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项目资金
（万元）</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分值</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执行率</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得分</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年度资金总额</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688.00</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688.00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496.91</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72.23%</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7.22分</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其中：当年财政拨款</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688.00</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688.00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496.91</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499" w:hRule="atLeast"/>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519"/>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519"/>
            <w:gridSpan w:val="8"/>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实际完成情况</w:t>
            </w:r>
          </w:p>
        </w:tc>
      </w:tr>
      <w:tr>
        <w:trPr>
          <w:trHeight w:val="2430" w:hRule="atLeast"/>
        </w:trPr>
        <w:tc>
          <w:tcPr>
            <w:tcW w:type="dxa" w:w="519"/>
            <w:vMerge/>
            <w:tcBorders>
              <w:start w:sz="10" w:val="single"/>
              <w:top w:sz="10" w:val="single"/>
              <w:end w:sz="10" w:val="single"/>
              <w:bottom w:sz="10" w:val="single"/>
              <w:insideV w:sz="10" w:val="single"/>
            </w:tcBorders>
          </w:tcPr>
          <w:p/>
        </w:tc>
        <w:tc>
          <w:tcPr>
            <w:tcW w:type="dxa" w:w="519"/>
            <w:gridSpan w:val="7"/>
            <w:tcBorders>
              <w:start w:sz="10" w:val="single"/>
              <w:top w:sz="10" w:val="single"/>
              <w:end w:sz="10" w:val="single"/>
              <w:bottom w:sz="10" w:val="single"/>
              <w:insideV w:sz="10" w:val="single"/>
            </w:tcBorders>
            <w:vAlign w:val="top"/>
          </w:tcPr>
          <w:p>
            <w:pPr>
              <w:spacing w:before="0" w:after="0" w:line="240" w:lineRule="auto"/>
              <w:jc w:val="center"/>
            </w:pPr>
            <w:r>
              <w:rPr>
                <w:rFonts w:ascii="宋体" w:hAnsi="宋体" w:eastAsia="宋体" w:cs="宋体"/>
                <w:b w:val="0"/>
                <w:i w:val="0"/>
                <w:sz w:val="18"/>
              </w:rPr>
              <w:t>通过本项目度实施，建设新的增水试验点，开展大飞机人工增雨雪、无人机人工增水作业，有效提升周边降水量，强化区域水资源储备能力。</w:t>
            </w:r>
          </w:p>
        </w:tc>
        <w:tc>
          <w:tcPr>
            <w:tcW w:type="dxa" w:w="519"/>
            <w:gridSpan w:val="8"/>
            <w:tcBorders>
              <w:start w:sz="10" w:val="single"/>
              <w:top w:sz="10" w:val="single"/>
              <w:end w:sz="10" w:val="single"/>
              <w:bottom w:sz="10" w:val="single"/>
              <w:insideV w:sz="10" w:val="single"/>
            </w:tcBorders>
            <w:vAlign w:val="top"/>
          </w:tcPr>
          <w:p>
            <w:pPr>
              <w:spacing w:before="0" w:after="0" w:line="240" w:lineRule="auto"/>
              <w:jc w:val="center"/>
            </w:pPr>
            <w:r>
              <w:rPr>
                <w:rFonts w:ascii="宋体" w:hAnsi="宋体" w:eastAsia="宋体" w:cs="宋体"/>
                <w:b w:val="0"/>
                <w:i w:val="0"/>
                <w:sz w:val="18"/>
              </w:rPr>
              <w:t>截至2025年底，项目派4名业务骨干前往石河子基地参与人人工增水作业，共开展大飞机人工增水作业14次，无人机人工增水作业14次，作业范围涵盖全市各区县，全年增水量1.135亿万方；完成增水基地前期规划设计工作，基地建设项目科研报告已获发改委批复。项目共支出496.91万元，通过项目实施达到了有效开展人工作增水作业，增加水库蓄水，改善山区生态环境的效益。</w:t>
            </w:r>
          </w:p>
        </w:tc>
      </w:tr>
      <w:tr>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519"/>
            <w:gridSpan w:val="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年度指标值</w:t>
            </w:r>
          </w:p>
        </w:tc>
        <w:tc>
          <w:tcPr>
            <w:tcW w:type="dxa" w:w="519"/>
            <w:gridSpan w:val="2"/>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分值</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得分</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实际完成值</w:t>
            </w:r>
          </w:p>
        </w:tc>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偏差原因分析及改进措施</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完成率</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指标性质</w:t>
            </w:r>
          </w:p>
        </w:tc>
      </w:tr>
      <w:tr>
        <w:trPr>
          <w:trHeight w:val="345"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gridSpan w:val="3"/>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r>
      <w:tr>
        <w:trPr>
          <w:trHeight w:val="580" w:hRule="atLeast"/>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年度绩效指标完成情况</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大飞机冬季人工增水作业次数</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&gt;=10次</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=14次</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空中作业受天气变化及空域管制影响较大，在允许范围内尽量多开展作业，存在偏差在合理范围内</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140%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租赁无人机开展人工增水作业次数</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&gt;=15次</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9.33</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=14次</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空中作业受天气变化及空域管制影响较大，在允许范围内尽量多开展作业，存在偏差在合理范围内</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93.33%</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完成增水基地建设前期规划设计手续的数量</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大飞机冬季增雪飞行前检查合格率</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租赁无人机质量合格率</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大飞机冬季人工增水设备检查待飞，在11月底之前完成率</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大飞机按时完成检查，合格率较好</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有效开展人工作增水作业，增加水库蓄水，改善山区生态环境</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显著改善</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基本达成目标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定性</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开展人工增雨雪作业地区群众满意度</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群众满意度高于预期值</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499" w:hRule="atLeast"/>
        </w:trPr>
        <w:tc>
          <w:tcPr>
            <w:tcW w:type="dxa" w:w="519"/>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总分</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96.55</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614"/>
        <w:gridCol w:w="614"/>
        <w:gridCol w:w="597"/>
        <w:gridCol w:w="430"/>
        <w:gridCol w:w="451"/>
        <w:gridCol w:w="225"/>
        <w:gridCol w:w="821"/>
        <w:gridCol w:w="614"/>
        <w:gridCol w:w="559"/>
        <w:gridCol w:w="284"/>
        <w:gridCol w:w="520"/>
        <w:gridCol w:w="412"/>
        <w:gridCol w:w="464"/>
        <w:gridCol w:w="614"/>
        <w:gridCol w:w="473"/>
        <w:gridCol w:w="614"/>
      </w:tblGrid>
      <w:tr>
        <w:trPr>
          <w:trHeight w:val="420" w:hRule="atLeast"/>
        </w:trPr>
        <w:tc>
          <w:tcPr>
            <w:tcW w:type="dxa" w:w="519"/>
            <w:gridSpan w:val="1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400" w:hRule="atLeast"/>
        </w:trPr>
        <w:tc>
          <w:tcPr>
            <w:tcW w:type="dxa" w:w="519"/>
            <w:gridSpan w:val="1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499" w:hRule="atLeast"/>
        </w:trPr>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项目名称</w:t>
            </w:r>
          </w:p>
        </w:tc>
        <w:tc>
          <w:tcPr>
            <w:tcW w:type="dxa" w:w="519"/>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2025年人工增水项目经费</w:t>
            </w:r>
          </w:p>
        </w:tc>
      </w:tr>
      <w:tr>
        <w:trPr>
          <w:trHeight w:val="499" w:hRule="atLeast"/>
        </w:trPr>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主管部门</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乌鲁木齐市人工影响天气办公室</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实施单位</w:t>
            </w:r>
          </w:p>
        </w:tc>
        <w:tc>
          <w:tcPr>
            <w:tcW w:type="dxa" w:w="519"/>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乌鲁木齐市人工影响天气办公室</w:t>
            </w:r>
          </w:p>
        </w:tc>
      </w:tr>
      <w:tr>
        <w:trPr>
          <w:trHeight w:val="499" w:hRule="atLeast"/>
        </w:trPr>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项目资金
（万元）</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分值</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执行率</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得分</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年度资金总额</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472.64</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472.64</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462.47</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97.85%</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9.79分</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其中：当年财政拨款</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472.64</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472.64</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462.47</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499" w:hRule="atLeast"/>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519"/>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519"/>
            <w:gridSpan w:val="8"/>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实际完成情况</w:t>
            </w:r>
          </w:p>
        </w:tc>
      </w:tr>
      <w:tr>
        <w:trPr>
          <w:trHeight w:val="2430" w:hRule="atLeast"/>
        </w:trPr>
        <w:tc>
          <w:tcPr>
            <w:tcW w:type="dxa" w:w="519"/>
            <w:vMerge/>
            <w:tcBorders>
              <w:start w:sz="10" w:val="single"/>
              <w:top w:sz="10" w:val="single"/>
              <w:end w:sz="10" w:val="single"/>
              <w:bottom w:sz="10" w:val="single"/>
              <w:insideV w:sz="10" w:val="single"/>
            </w:tcBorders>
          </w:tcPr>
          <w:p/>
        </w:tc>
        <w:tc>
          <w:tcPr>
            <w:tcW w:type="dxa" w:w="519"/>
            <w:gridSpan w:val="7"/>
            <w:tcBorders>
              <w:start w:sz="10" w:val="single"/>
              <w:top w:sz="10" w:val="single"/>
              <w:end w:sz="10" w:val="single"/>
              <w:bottom w:sz="10" w:val="single"/>
              <w:insideV w:sz="10" w:val="single"/>
            </w:tcBorders>
            <w:vAlign w:val="top"/>
          </w:tcPr>
          <w:p>
            <w:pPr>
              <w:spacing w:before="0" w:after="0" w:line="240" w:lineRule="auto"/>
              <w:jc w:val="center"/>
            </w:pPr>
            <w:r>
              <w:rPr>
                <w:rFonts w:ascii="宋体" w:hAnsi="宋体" w:eastAsia="宋体" w:cs="宋体"/>
                <w:b w:val="0"/>
                <w:i w:val="0"/>
                <w:sz w:val="18"/>
              </w:rPr>
              <w:t>通过密切监视天气变化，不放过任何一次可以作业的天气过程。根据每次天气及时作业，发射火箭弹或燃放烟条，进行人工增雨增雪，以达到增加乌鲁木齐地区降水量和降雪量，进一步改善生态环境。</w:t>
            </w:r>
          </w:p>
        </w:tc>
        <w:tc>
          <w:tcPr>
            <w:tcW w:type="dxa" w:w="519"/>
            <w:gridSpan w:val="8"/>
            <w:tcBorders>
              <w:start w:sz="10" w:val="single"/>
              <w:top w:sz="10" w:val="single"/>
              <w:end w:sz="10" w:val="single"/>
              <w:bottom w:sz="10" w:val="single"/>
              <w:insideV w:sz="10" w:val="single"/>
            </w:tcBorders>
            <w:vAlign w:val="top"/>
          </w:tcPr>
          <w:p>
            <w:pPr>
              <w:spacing w:before="0" w:after="0" w:line="240" w:lineRule="auto"/>
              <w:jc w:val="center"/>
            </w:pPr>
            <w:r>
              <w:rPr>
                <w:rFonts w:ascii="宋体" w:hAnsi="宋体" w:eastAsia="宋体" w:cs="宋体"/>
                <w:b w:val="0"/>
                <w:i w:val="0"/>
                <w:sz w:val="18"/>
              </w:rPr>
              <w:t>截至2025年底，该项目实际完成地面人工增水作业656次，发射火箭弹591枚，燃烧焰条1138根，项目实际支出462.47万元。项目全面落实年初紧盯天气过程、抢抓作业时机的绩效预期，提升了区域云水资源开发利用率，切实达到增加降水量、助力生态保护与修复的核心效益。</w:t>
            </w:r>
          </w:p>
        </w:tc>
      </w:tr>
      <w:tr>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519"/>
            <w:gridSpan w:val="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年度指标值</w:t>
            </w:r>
          </w:p>
        </w:tc>
        <w:tc>
          <w:tcPr>
            <w:tcW w:type="dxa" w:w="519"/>
            <w:gridSpan w:val="2"/>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分值</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得分</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实际完成值</w:t>
            </w:r>
          </w:p>
        </w:tc>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偏差原因分析及改进措施</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完成率</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指标性质</w:t>
            </w:r>
          </w:p>
        </w:tc>
      </w:tr>
      <w:tr>
        <w:trPr>
          <w:trHeight w:val="345"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gridSpan w:val="3"/>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r>
      <w:tr>
        <w:trPr>
          <w:trHeight w:val="580" w:hRule="atLeast"/>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年度绩效指标完成情况</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本年度开展人工影响天气增水作业次数</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&gt;=350次</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=656次</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作业量根据当年作业力量及天气变化会存在偏差，且年初目标定的偏低</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187.42%</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本年度发射人工增水火箭弹数量</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&gt;=450枚</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=591枚</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作业量根据当年作业力量及天气变化会存在偏差，且年初目标定的偏低</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131.33%</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本年度开展烟炉作业，燃烧烟条数量</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&gt;=500根</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=1138根</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作业量根据当年作业力量及天气变化会存在偏差，且年初目标定的偏低</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227.6%</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人影火箭发射装置合格率</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应用于人工增水作业弹药的费用控制在预算额度内</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&lt;=210.3万元</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=202.99万元</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人影作业各项经费保持则预算内</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&lt;=262.34万元</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=259.47万元</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有效开展人工作增水作业，增加乌鲁木齐河来水，增加水库蓄水，改善山区生态环境</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明显改善</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基本达成目标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人影作业生态效益体现在多年累计上，当年的效益偏差在接受范围内</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定性</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生态效益指标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积雪覆盖面积</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&gt;=1850平方千米</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=6217平方千米</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此值为动态值，相关业务部门未做2025年末监测，只能用相近时段作为参考（接近最大值），故出现偏差。</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336.05%</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开展人工增雨雪作业地区群众满意度</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当地牧民对人影满意度较好，高于预期目标</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定性</w:t>
            </w:r>
          </w:p>
        </w:tc>
      </w:tr>
      <w:tr>
        <w:trPr>
          <w:trHeight w:val="499" w:hRule="atLeast"/>
        </w:trPr>
        <w:tc>
          <w:tcPr>
            <w:tcW w:type="dxa" w:w="519"/>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总分</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98.79</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614"/>
        <w:gridCol w:w="614"/>
        <w:gridCol w:w="597"/>
        <w:gridCol w:w="430"/>
        <w:gridCol w:w="451"/>
        <w:gridCol w:w="225"/>
        <w:gridCol w:w="821"/>
        <w:gridCol w:w="614"/>
        <w:gridCol w:w="559"/>
        <w:gridCol w:w="284"/>
        <w:gridCol w:w="520"/>
        <w:gridCol w:w="412"/>
        <w:gridCol w:w="464"/>
        <w:gridCol w:w="614"/>
        <w:gridCol w:w="473"/>
        <w:gridCol w:w="614"/>
      </w:tblGrid>
      <w:tr>
        <w:trPr>
          <w:trHeight w:val="420" w:hRule="atLeast"/>
        </w:trPr>
        <w:tc>
          <w:tcPr>
            <w:tcW w:type="dxa" w:w="519"/>
            <w:gridSpan w:val="1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400" w:hRule="atLeast"/>
        </w:trPr>
        <w:tc>
          <w:tcPr>
            <w:tcW w:type="dxa" w:w="519"/>
            <w:gridSpan w:val="1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499" w:hRule="atLeast"/>
        </w:trPr>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项目名称</w:t>
            </w:r>
          </w:p>
        </w:tc>
        <w:tc>
          <w:tcPr>
            <w:tcW w:type="dxa" w:w="519"/>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乌鲁木齐市“十五五”气象协同发展规划</w:t>
            </w:r>
          </w:p>
        </w:tc>
      </w:tr>
      <w:tr>
        <w:trPr>
          <w:trHeight w:val="499" w:hRule="atLeast"/>
        </w:trPr>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主管部门</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乌鲁木齐市人工影响天气办公室</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实施单位</w:t>
            </w:r>
          </w:p>
        </w:tc>
        <w:tc>
          <w:tcPr>
            <w:tcW w:type="dxa" w:w="519"/>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乌鲁木齐市人工影响天气办公室</w:t>
            </w:r>
          </w:p>
        </w:tc>
      </w:tr>
      <w:tr>
        <w:trPr>
          <w:trHeight w:val="499" w:hRule="atLeast"/>
        </w:trPr>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项目资金
（万元）</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分值</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执行率</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得分</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年度资金总额</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40.00</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40.00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40.00</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10.00分</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其中：当年财政拨款</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40.00</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40.00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40.00</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499" w:hRule="atLeast"/>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519"/>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519"/>
            <w:gridSpan w:val="8"/>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实际完成情况</w:t>
            </w:r>
          </w:p>
        </w:tc>
      </w:tr>
      <w:tr>
        <w:trPr>
          <w:trHeight w:val="2430" w:hRule="atLeast"/>
        </w:trPr>
        <w:tc>
          <w:tcPr>
            <w:tcW w:type="dxa" w:w="519"/>
            <w:vMerge/>
            <w:tcBorders>
              <w:start w:sz="10" w:val="single"/>
              <w:top w:sz="10" w:val="single"/>
              <w:end w:sz="10" w:val="single"/>
              <w:bottom w:sz="10" w:val="single"/>
              <w:insideV w:sz="10" w:val="single"/>
            </w:tcBorders>
          </w:tcPr>
          <w:p/>
        </w:tc>
        <w:tc>
          <w:tcPr>
            <w:tcW w:type="dxa" w:w="519"/>
            <w:gridSpan w:val="7"/>
            <w:tcBorders>
              <w:start w:sz="10" w:val="single"/>
              <w:top w:sz="10" w:val="single"/>
              <w:end w:sz="10" w:val="single"/>
              <w:bottom w:sz="10" w:val="single"/>
              <w:insideV w:sz="10" w:val="single"/>
            </w:tcBorders>
            <w:vAlign w:val="top"/>
          </w:tcPr>
          <w:p>
            <w:pPr>
              <w:spacing w:before="0" w:after="0" w:line="240" w:lineRule="auto"/>
              <w:jc w:val="center"/>
            </w:pPr>
            <w:r>
              <w:rPr>
                <w:rFonts w:ascii="宋体" w:hAnsi="宋体" w:eastAsia="宋体" w:cs="宋体"/>
                <w:b w:val="0"/>
                <w:i w:val="0"/>
                <w:sz w:val="18"/>
              </w:rPr>
              <w:t>通过本项目度实施，能有效提高乌鲁木齐气象预报的科技水平，更好地服务于防灾减灾和生态环境度保护和治理。</w:t>
            </w:r>
          </w:p>
        </w:tc>
        <w:tc>
          <w:tcPr>
            <w:tcW w:type="dxa" w:w="519"/>
            <w:gridSpan w:val="8"/>
            <w:tcBorders>
              <w:start w:sz="10" w:val="single"/>
              <w:top w:sz="10" w:val="single"/>
              <w:end w:sz="10" w:val="single"/>
              <w:bottom w:sz="10" w:val="single"/>
              <w:insideV w:sz="10" w:val="single"/>
            </w:tcBorders>
            <w:vAlign w:val="top"/>
          </w:tcPr>
          <w:p>
            <w:pPr>
              <w:spacing w:before="0" w:after="0" w:line="240" w:lineRule="auto"/>
              <w:jc w:val="center"/>
            </w:pPr>
            <w:r>
              <w:rPr>
                <w:rFonts w:ascii="宋体" w:hAnsi="宋体" w:eastAsia="宋体" w:cs="宋体"/>
                <w:b w:val="0"/>
                <w:i w:val="0"/>
                <w:sz w:val="18"/>
              </w:rPr>
              <w:t>截至2025年底，项目实际完成规划文本1件，组织专家咨询会3次，项目实际支出40万元，项目已初步完成规划文本编制，资金使用规范。通过调研及专家咨询，形成科学可行的气象协同发展规划，有效提升预报服务能力，更好的支撑气象现代化发展及防灾减灾能力提高，完成预期目标。</w:t>
            </w:r>
          </w:p>
        </w:tc>
      </w:tr>
      <w:tr>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519"/>
            <w:gridSpan w:val="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年度指标值</w:t>
            </w:r>
          </w:p>
        </w:tc>
        <w:tc>
          <w:tcPr>
            <w:tcW w:type="dxa" w:w="519"/>
            <w:gridSpan w:val="2"/>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分值</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得分</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实际完成值</w:t>
            </w:r>
          </w:p>
        </w:tc>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偏差原因分析及改进措施</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完成率</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指标性质</w:t>
            </w:r>
          </w:p>
        </w:tc>
      </w:tr>
      <w:tr>
        <w:trPr>
          <w:trHeight w:val="345"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gridSpan w:val="3"/>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r>
      <w:tr>
        <w:trPr>
          <w:trHeight w:val="580" w:hRule="atLeast"/>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年度绩效指标完成情况</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规划文本完成数</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=1件</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=1件</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专家咨询会次数</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&gt;=3次</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=3次</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验收通过率</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本项目只有一个规划文本，且完整通过验收</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按时结题率</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=4个月</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=4个月</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防灾减灾社会效益</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显著改善</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基本达成目标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定性</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生态效益指标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支撑气象现代化能力</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显著改善</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基本达成目标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定性</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气象人员对文本满意度</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满意度较好</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499" w:hRule="atLeast"/>
        </w:trPr>
        <w:tc>
          <w:tcPr>
            <w:tcW w:type="dxa" w:w="519"/>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总分</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614"/>
        <w:gridCol w:w="614"/>
        <w:gridCol w:w="597"/>
        <w:gridCol w:w="430"/>
        <w:gridCol w:w="451"/>
        <w:gridCol w:w="225"/>
        <w:gridCol w:w="821"/>
        <w:gridCol w:w="614"/>
        <w:gridCol w:w="559"/>
        <w:gridCol w:w="284"/>
        <w:gridCol w:w="520"/>
        <w:gridCol w:w="412"/>
        <w:gridCol w:w="464"/>
        <w:gridCol w:w="614"/>
        <w:gridCol w:w="473"/>
        <w:gridCol w:w="614"/>
      </w:tblGrid>
      <w:tr>
        <w:trPr>
          <w:trHeight w:val="420" w:hRule="atLeast"/>
        </w:trPr>
        <w:tc>
          <w:tcPr>
            <w:tcW w:type="dxa" w:w="519"/>
            <w:gridSpan w:val="1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400" w:hRule="atLeast"/>
        </w:trPr>
        <w:tc>
          <w:tcPr>
            <w:tcW w:type="dxa" w:w="519"/>
            <w:gridSpan w:val="1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499" w:hRule="atLeast"/>
        </w:trPr>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项目名称</w:t>
            </w:r>
          </w:p>
        </w:tc>
        <w:tc>
          <w:tcPr>
            <w:tcW w:type="dxa" w:w="519"/>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辅助履职人员支出</w:t>
            </w:r>
          </w:p>
        </w:tc>
      </w:tr>
      <w:tr>
        <w:trPr>
          <w:trHeight w:val="499" w:hRule="atLeast"/>
        </w:trPr>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主管部门</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乌鲁木齐市人工影响天气办公室</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实施单位</w:t>
            </w:r>
          </w:p>
        </w:tc>
        <w:tc>
          <w:tcPr>
            <w:tcW w:type="dxa" w:w="519"/>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乌鲁木齐市人工影响天气办公室</w:t>
            </w:r>
          </w:p>
        </w:tc>
      </w:tr>
      <w:tr>
        <w:trPr>
          <w:trHeight w:val="499" w:hRule="atLeast"/>
        </w:trPr>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项目资金
（万元）</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分值</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执行率</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得分</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年度资金总额</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64.70</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64.70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64.70</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10.00分</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其中：当年财政拨款</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64.70</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64.70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64.70</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499" w:hRule="atLeast"/>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519"/>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519"/>
            <w:gridSpan w:val="8"/>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实际完成情况</w:t>
            </w:r>
          </w:p>
        </w:tc>
      </w:tr>
      <w:tr>
        <w:trPr>
          <w:trHeight w:val="2430" w:hRule="atLeast"/>
        </w:trPr>
        <w:tc>
          <w:tcPr>
            <w:tcW w:type="dxa" w:w="519"/>
            <w:vMerge/>
            <w:tcBorders>
              <w:start w:sz="10" w:val="single"/>
              <w:top w:sz="10" w:val="single"/>
              <w:end w:sz="10" w:val="single"/>
              <w:bottom w:sz="10" w:val="single"/>
              <w:insideV w:sz="10" w:val="single"/>
            </w:tcBorders>
          </w:tcPr>
          <w:p/>
        </w:tc>
        <w:tc>
          <w:tcPr>
            <w:tcW w:type="dxa" w:w="519"/>
            <w:gridSpan w:val="7"/>
            <w:tcBorders>
              <w:start w:sz="10" w:val="single"/>
              <w:top w:sz="10" w:val="single"/>
              <w:end w:sz="10" w:val="single"/>
              <w:bottom w:sz="10" w:val="single"/>
              <w:insideV w:sz="10" w:val="single"/>
            </w:tcBorders>
            <w:vAlign w:val="top"/>
          </w:tcPr>
          <w:p>
            <w:pPr>
              <w:spacing w:before="0" w:after="0" w:line="240" w:lineRule="auto"/>
              <w:jc w:val="center"/>
            </w:pPr>
            <w:r>
              <w:rPr>
                <w:rFonts w:ascii="宋体" w:hAnsi="宋体" w:eastAsia="宋体" w:cs="宋体"/>
                <w:b w:val="0"/>
                <w:i w:val="0"/>
                <w:sz w:val="18"/>
              </w:rPr>
              <w:t>切实做好人工增水作业人员的经费保障工作，确保作业人员的工资能按时足额的发放到位，稳定作业人员队伍。按时缴纳作业基地的电费，保障作业基地仪器设备能正常运转，让聘用的作业人员能安心在作业点开展人影作业。</w:t>
            </w:r>
          </w:p>
        </w:tc>
        <w:tc>
          <w:tcPr>
            <w:tcW w:type="dxa" w:w="519"/>
            <w:gridSpan w:val="8"/>
            <w:tcBorders>
              <w:start w:sz="10" w:val="single"/>
              <w:top w:sz="10" w:val="single"/>
              <w:end w:sz="10" w:val="single"/>
              <w:bottom w:sz="10" w:val="single"/>
              <w:insideV w:sz="10" w:val="single"/>
            </w:tcBorders>
            <w:vAlign w:val="top"/>
          </w:tcPr>
          <w:p>
            <w:pPr>
              <w:spacing w:before="0" w:after="0" w:line="240" w:lineRule="auto"/>
              <w:jc w:val="center"/>
            </w:pPr>
            <w:r>
              <w:rPr>
                <w:rFonts w:ascii="宋体" w:hAnsi="宋体" w:eastAsia="宋体" w:cs="宋体"/>
                <w:b w:val="0"/>
                <w:i w:val="0"/>
                <w:sz w:val="18"/>
              </w:rPr>
              <w:t>截至2025年底，该项目实际完成10名外聘人员全年工资足额发放及社保按时缴纳工作，工资发放涉及基地数4个，发放率达80％，通过项目实施实现了人工增水作业人员的经费全面保障，确保人员工资按时足额发放到位，项目实际支出64.7万元。项目有效稳定了作业人员队伍，为人工增水作业的顺利开展提供了坚实的人力支撑和经费保障。</w:t>
            </w:r>
          </w:p>
        </w:tc>
      </w:tr>
      <w:tr>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519"/>
            <w:gridSpan w:val="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年度指标值</w:t>
            </w:r>
          </w:p>
        </w:tc>
        <w:tc>
          <w:tcPr>
            <w:tcW w:type="dxa" w:w="519"/>
            <w:gridSpan w:val="2"/>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分值</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得分</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实际完成值</w:t>
            </w:r>
          </w:p>
        </w:tc>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偏差原因分析及改进措施</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完成率</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指标性质</w:t>
            </w:r>
          </w:p>
        </w:tc>
      </w:tr>
      <w:tr>
        <w:trPr>
          <w:trHeight w:val="345"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gridSpan w:val="3"/>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r>
      <w:tr>
        <w:trPr>
          <w:trHeight w:val="580" w:hRule="atLeast"/>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年度绩效指标完成情况</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发放工资人数</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=10人</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=10人</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工资发放涉及基地数</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=4个</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=4个</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聘用人员持证上岗率</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工资发放及时率</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平均每月工资发放金额</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≤5.4万元</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=5.4%</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定性</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就业解决人数</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=10人</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=10人</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作业人员对工资发放工作的满意度</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外聘人员对工资发放满意度较高</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定性</w:t>
            </w:r>
          </w:p>
        </w:tc>
      </w:tr>
      <w:tr>
        <w:trPr>
          <w:trHeight w:val="499" w:hRule="atLeast"/>
        </w:trPr>
        <w:tc>
          <w:tcPr>
            <w:tcW w:type="dxa" w:w="519"/>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总分</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本部门无其他需说明的事项。</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