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乌鲁木齐市科学技术协会2024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贯彻执行国家、自治区和我市有关科普工作的方针、政策和法律、法规，拟订科协系统科普工作的目标、规划和计划并组织实施；充分发挥科学技术普及主力军的作用，动员社会各方面的力量，弘扬科学精神，普及科学知识，推广先进技术，传播科学思想和科学方法，捍卫科学尊严，提高全民科学素质。</w:t>
      </w:r>
    </w:p>
    <w:p>
      <w:pPr>
        <w:spacing w:line="580" w:lineRule="exact"/>
        <w:ind w:firstLine="640"/>
        <w:jc w:val="both"/>
      </w:pPr>
      <w:r>
        <w:rPr>
          <w:rFonts w:ascii="仿宋_GB2312" w:hAnsi="仿宋_GB2312" w:eastAsia="仿宋_GB2312"/>
          <w:sz w:val="32"/>
        </w:rPr>
        <w:t>(二)团结和组织全市广大科技工作者以经济建设为中心，开展学术交流，活跃学术思想，倡导学术民主，优化学术环境，促进学科发展，推进创新体系建设。</w:t>
      </w:r>
    </w:p>
    <w:p>
      <w:pPr>
        <w:spacing w:line="580" w:lineRule="exact"/>
        <w:ind w:firstLine="640"/>
        <w:jc w:val="both"/>
      </w:pPr>
      <w:r>
        <w:rPr>
          <w:rFonts w:ascii="仿宋_GB2312" w:hAnsi="仿宋_GB2312" w:eastAsia="仿宋_GB2312"/>
          <w:sz w:val="32"/>
        </w:rPr>
        <w:t>(三)密切联系科技工作者，宣传党的路线方针政策，反映科技工作者的建议、意见和诉求，维护科技工作者的合法权益。</w:t>
      </w:r>
    </w:p>
    <w:p>
      <w:pPr>
        <w:spacing w:line="580" w:lineRule="exact"/>
        <w:ind w:firstLine="640"/>
        <w:jc w:val="both"/>
      </w:pPr>
      <w:r>
        <w:rPr>
          <w:rFonts w:ascii="仿宋_GB2312" w:hAnsi="仿宋_GB2312" w:eastAsia="仿宋_GB2312"/>
          <w:sz w:val="32"/>
        </w:rPr>
        <w:t>(四)引导科技工作者在社会事务中发挥作用，组织科技工作者参与科学技术规划、布局、政策、法规的拟订和政治协商、科学决策、民主监督工作，建设高水平科技创新智库。</w:t>
      </w:r>
    </w:p>
    <w:p>
      <w:pPr>
        <w:spacing w:line="580" w:lineRule="exact"/>
        <w:ind w:firstLine="640"/>
        <w:jc w:val="both"/>
      </w:pPr>
      <w:r>
        <w:rPr>
          <w:rFonts w:ascii="仿宋_GB2312" w:hAnsi="仿宋_GB2312" w:eastAsia="仿宋_GB2312"/>
          <w:sz w:val="32"/>
        </w:rPr>
        <w:t>(五)注重激发青少年科技兴趣，发现培养杰出青年科学家和创新团队，表彰、宣传优秀科技工作者，推荐优秀科技人才；开展科技工作者的继续教育和培训工作。</w:t>
      </w:r>
    </w:p>
    <w:p>
      <w:pPr>
        <w:spacing w:line="580" w:lineRule="exact"/>
        <w:ind w:firstLine="640"/>
        <w:jc w:val="both"/>
      </w:pPr>
      <w:r>
        <w:rPr>
          <w:rFonts w:ascii="仿宋_GB2312" w:hAnsi="仿宋_GB2312" w:eastAsia="仿宋_GB2312"/>
          <w:sz w:val="32"/>
        </w:rPr>
        <w:t>(六)组织科技工作者开展科技创新，参与科学论证和咨询服务，加快科学技术成果转化应用，助力创新发展。</w:t>
      </w:r>
    </w:p>
    <w:p>
      <w:pPr>
        <w:spacing w:line="580" w:lineRule="exact"/>
        <w:ind w:firstLine="640"/>
        <w:jc w:val="both"/>
      </w:pPr>
      <w:r>
        <w:rPr>
          <w:rFonts w:ascii="仿宋_GB2312" w:hAnsi="仿宋_GB2312" w:eastAsia="仿宋_GB2312"/>
          <w:sz w:val="32"/>
        </w:rPr>
        <w:t>(七)开展民间国际科技交流与合作；发展与国(境)外科技团体和科技工作者的友好交往，为海外科技人才来我市创新创业提供服务。</w:t>
      </w:r>
    </w:p>
    <w:p>
      <w:pPr>
        <w:spacing w:line="580" w:lineRule="exact"/>
        <w:ind w:firstLine="640"/>
        <w:jc w:val="both"/>
      </w:pPr>
      <w:r>
        <w:rPr>
          <w:rFonts w:ascii="仿宋_GB2312" w:hAnsi="仿宋_GB2312" w:eastAsia="仿宋_GB2312"/>
          <w:sz w:val="32"/>
        </w:rPr>
        <w:t>(八)负责指导科普设施、场所的规划、管理；负责指导科普工作队伍建设工作；负责指导有关社会团体工作。</w:t>
      </w:r>
    </w:p>
    <w:p>
      <w:pPr>
        <w:spacing w:line="580" w:lineRule="exact"/>
        <w:ind w:firstLine="640"/>
        <w:jc w:val="both"/>
      </w:pPr>
      <w:r>
        <w:rPr>
          <w:rFonts w:ascii="仿宋_GB2312" w:hAnsi="仿宋_GB2312" w:eastAsia="仿宋_GB2312"/>
          <w:sz w:val="32"/>
        </w:rPr>
        <w:t>(九)开展捍卫科学尊严和反对愚昧迷信、伪科学、反科学的活动。</w:t>
      </w:r>
    </w:p>
    <w:p>
      <w:pPr>
        <w:spacing w:line="580" w:lineRule="exact"/>
        <w:ind w:firstLine="640"/>
        <w:jc w:val="both"/>
      </w:pPr>
      <w:r>
        <w:rPr>
          <w:rFonts w:ascii="仿宋_GB2312" w:hAnsi="仿宋_GB2312" w:eastAsia="仿宋_GB2312"/>
          <w:sz w:val="32"/>
        </w:rPr>
        <w:t>(十)承办市委、市人民政府交办的其他事项。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乌鲁木齐市科学技术协会2024年度，实有人数47人，其中：在职人员16人，增加0人；离休人员0人，增加0人；退休人员31人,增加0人。</w:t>
      </w:r>
    </w:p>
    <w:p>
      <w:pPr>
        <w:spacing w:line="580" w:lineRule="exact"/>
        <w:ind w:firstLine="640"/>
        <w:jc w:val="both"/>
      </w:pPr>
      <w:r>
        <w:rPr>
          <w:rFonts w:ascii="仿宋_GB2312" w:hAnsi="仿宋_GB2312" w:eastAsia="仿宋_GB2312"/>
          <w:sz w:val="32"/>
        </w:rPr>
        <w:t>乌鲁木齐市科学技术协会无下属预算单位，下设3个科室，分别是：党政办、普及部、学会部。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2024年度收入总计559.75万元，</w:t>
      </w:r>
      <w:r>
        <w:rPr>
          <w:rFonts w:ascii="仿宋_GB2312" w:hAnsi="仿宋_GB2312" w:eastAsia="仿宋_GB2312"/>
          <w:b w:val="0"/>
          <w:sz w:val="32"/>
        </w:rPr>
        <w:t>其中：本年收入合计558.44万元，使用非财政拨款结余（含专用结余）0.00万元，年初结转和结余1.31万元。</w:t>
      </w:r>
    </w:p>
    <w:p>
      <w:pPr>
        <w:spacing w:line="580" w:lineRule="exact"/>
        <w:ind w:firstLine="640"/>
        <w:jc w:val="both"/>
      </w:pPr>
      <w:r>
        <w:rPr>
          <w:rFonts w:ascii="仿宋_GB2312" w:hAnsi="仿宋_GB2312" w:eastAsia="仿宋_GB2312"/>
          <w:b/>
          <w:sz w:val="32"/>
        </w:rPr>
        <w:t>2024年度支出总计559.75万元，</w:t>
      </w:r>
      <w:r>
        <w:rPr>
          <w:rFonts w:ascii="仿宋_GB2312" w:hAnsi="仿宋_GB2312" w:eastAsia="仿宋_GB2312"/>
          <w:b w:val="0"/>
          <w:sz w:val="32"/>
        </w:rPr>
        <w:t>其中：本年支出合计558.44万元，结余分配0.00万元，年末结转和结余1.31万元。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增加10.34万元，增长1.88%，主要原因是：本年在职人员工资调增，社保、公积金基数调增，人员经费增加。本年新增硕博补贴资金，导致经费较上年增加。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本年收入558.44万元，</w:t>
      </w:r>
      <w:r>
        <w:rPr>
          <w:rFonts w:ascii="仿宋_GB2312" w:hAnsi="仿宋_GB2312" w:eastAsia="仿宋_GB2312"/>
          <w:b w:val="0"/>
          <w:sz w:val="32"/>
        </w:rPr>
        <w:t>其中：财政拨款收入558.44万元，占100.00%；上级补助收入0.00万元，占0.00%；事业收入0.00万元，占0.00%；经营收入0.00万元，占0.00%；附属单位上缴收入0.00万元，占0.00%；其他收入0.00万元，占0.00%。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本年支出558.44万元，</w:t>
      </w:r>
      <w:r>
        <w:rPr>
          <w:rFonts w:ascii="仿宋_GB2312" w:hAnsi="仿宋_GB2312" w:eastAsia="仿宋_GB2312"/>
          <w:b w:val="0"/>
          <w:sz w:val="32"/>
        </w:rPr>
        <w:t>其中：基本支出394.55万元，占70.65%；项目支出163.88万元，占29.35%；上缴上级支出0.00万元，占0.00%；经营支出0.00万元，占0.00%；对附属单位补助支出0.00万元，占0.00%。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2024年度财政拨款收入总计558.44万元，</w:t>
      </w:r>
      <w:r>
        <w:rPr>
          <w:rFonts w:ascii="仿宋_GB2312" w:hAnsi="仿宋_GB2312" w:eastAsia="仿宋_GB2312"/>
          <w:b w:val="0"/>
          <w:sz w:val="32"/>
        </w:rPr>
        <w:t>其中：年初财政拨款结转和结余0.00万元，本年财政拨款收入558.44万元。</w:t>
      </w:r>
      <w:r>
        <w:rPr>
          <w:rFonts w:ascii="仿宋_GB2312" w:hAnsi="仿宋_GB2312" w:eastAsia="仿宋_GB2312"/>
          <w:b/>
          <w:sz w:val="32"/>
        </w:rPr>
        <w:t>财政拨款支出总计558.44万元，</w:t>
      </w:r>
      <w:r>
        <w:rPr>
          <w:rFonts w:ascii="仿宋_GB2312" w:hAnsi="仿宋_GB2312" w:eastAsia="仿宋_GB2312"/>
          <w:b w:val="0"/>
          <w:sz w:val="32"/>
        </w:rPr>
        <w:t>其中：年末财政拨款结转和结余0.00万元，本年财政拨款支出558.44万元。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增加10.34万元，增长1.89%，主要原因是：本年在职人员工资调增，社保、公积金基数调增，人员经费增加。本年新增硕博补贴资金，导致经费较上年增加。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年初预算数601.52万元，决算数558.44万元，预决算差异率-7.16%，主要原因是：年中调减科普经费项目资金，导致预决算存在差异。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2024年度一般公共预算财政拨款支出558.44万元，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增加11.40万元，增长2.08%，主要原因是：本年在职人员工资调增，社保、公积金基数调增，人员经费增加。本年新增硕博补贴资金，导致经费较上年增加。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年初预算数601.52万元，决算数558.44万元，预决算差异率-7.16%，主要原因是：年中调减科普经费项目资金，导致预决算存在差异。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1.科学技术支出(类)558.44万元,占100.00%。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1.科学技术支出(类)科学技术管理事务(款)行政运行(项):支出决算数为380.65万元，比上年决算增加10.95万元，增长2.96%,主要原因是：本年在职人员工资调增，导致相关人员经费较上年增加。</w:t>
      </w:r>
    </w:p>
    <w:p>
      <w:pPr>
        <w:spacing w:line="580" w:lineRule="exact"/>
        <w:ind w:firstLine="640"/>
        <w:jc w:val="both"/>
      </w:pPr>
      <w:r>
        <w:rPr>
          <w:rFonts w:ascii="仿宋_GB2312" w:hAnsi="仿宋_GB2312" w:eastAsia="仿宋_GB2312"/>
          <w:b w:val="0"/>
          <w:sz w:val="32"/>
        </w:rPr>
        <w:t>2.科学技术支出(类)科学技术管理事务(款)一般行政管理事务(项):支出决算数为0.00万元，比上年决算减少4.25万元，下降100.00%,主要原因是：本年减少为民办实事工作经费，导致经费较上年减少。</w:t>
      </w:r>
    </w:p>
    <w:p>
      <w:pPr>
        <w:spacing w:line="580" w:lineRule="exact"/>
        <w:ind w:firstLine="640"/>
        <w:jc w:val="both"/>
      </w:pPr>
      <w:r>
        <w:rPr>
          <w:rFonts w:ascii="仿宋_GB2312" w:hAnsi="仿宋_GB2312" w:eastAsia="仿宋_GB2312"/>
          <w:b w:val="0"/>
          <w:sz w:val="32"/>
        </w:rPr>
        <w:t>3.科学技术支出(类)社会科学(款)社会科学研究机构(项):支出决算数为13.90万元，比上年决算增加5.10万元，增长57.95%,主要原因是：本年新增硕博补贴资金，导致经费较上年增加。</w:t>
      </w:r>
    </w:p>
    <w:p>
      <w:pPr>
        <w:spacing w:line="580" w:lineRule="exact"/>
        <w:ind w:firstLine="640"/>
        <w:jc w:val="both"/>
      </w:pPr>
      <w:r>
        <w:rPr>
          <w:rFonts w:ascii="仿宋_GB2312" w:hAnsi="仿宋_GB2312" w:eastAsia="仿宋_GB2312"/>
          <w:b w:val="0"/>
          <w:sz w:val="32"/>
        </w:rPr>
        <w:t>4.科学技术支出(类)科学技术普及(款)科普活动(项):支出决算数为100.78万元，比上年决算减少21.70万元，下降17.72%,主要原因是：本年功能分类调整，科普经费项目上年在科普活动科目列支，本年在其他科学技术支出科目列支，导致经费减少。</w:t>
      </w:r>
    </w:p>
    <w:p>
      <w:pPr>
        <w:spacing w:line="580" w:lineRule="exact"/>
        <w:ind w:firstLine="640"/>
        <w:jc w:val="both"/>
      </w:pPr>
      <w:r>
        <w:rPr>
          <w:rFonts w:ascii="仿宋_GB2312" w:hAnsi="仿宋_GB2312" w:eastAsia="仿宋_GB2312"/>
          <w:b w:val="0"/>
          <w:sz w:val="32"/>
        </w:rPr>
        <w:t>5.科学技术支出(类)科学技术普及(款)其他科学技术普及支出(项):支出决算数为1.00万元，比上年决算减少40.81万元，下降97.61%,主要原因是：本年功能分类调整，自治区基层科普行动计划项目上年在其他科学技术普及支出科目列支，本年在科普活动科目列支，导致经费减少。</w:t>
      </w:r>
    </w:p>
    <w:p>
      <w:pPr>
        <w:spacing w:line="580" w:lineRule="exact"/>
        <w:ind w:firstLine="640"/>
        <w:jc w:val="both"/>
      </w:pPr>
      <w:r>
        <w:rPr>
          <w:rFonts w:ascii="仿宋_GB2312" w:hAnsi="仿宋_GB2312" w:eastAsia="仿宋_GB2312"/>
          <w:b w:val="0"/>
          <w:sz w:val="32"/>
        </w:rPr>
        <w:t>6.科学技术支出(类)其他科学技术支出(款)其他科学技术支出(项):支出决算数为62.10万元，比上年决算增加62.10万元，增长100.00%,主要原因是：本年功能分类调整，科普经费项目上年在科普活动科目列支，本年在其他科学技术支出科目列支，导致经费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2024年度一般公共预算财政拨款基本支出394.55万元，其中：</w:t>
      </w:r>
      <w:r>
        <w:rPr>
          <w:rFonts w:ascii="仿宋_GB2312" w:hAnsi="仿宋_GB2312" w:eastAsia="仿宋_GB2312"/>
          <w:b/>
          <w:sz w:val="32"/>
        </w:rPr>
        <w:t>人员经费365.38万元，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w:t>
      </w:r>
    </w:p>
    <w:p>
      <w:pPr>
        <w:spacing w:line="580" w:lineRule="exact"/>
        <w:ind w:firstLine="640"/>
        <w:jc w:val="both"/>
      </w:pPr>
      <w:r>
        <w:rPr>
          <w:rFonts w:ascii="仿宋_GB2312" w:hAnsi="仿宋_GB2312" w:eastAsia="仿宋_GB2312"/>
          <w:b/>
          <w:sz w:val="32"/>
        </w:rPr>
        <w:t>公用经费29.18万元，</w:t>
      </w:r>
      <w:r>
        <w:rPr>
          <w:rFonts w:ascii="仿宋_GB2312" w:hAnsi="仿宋_GB2312" w:eastAsia="仿宋_GB2312"/>
          <w:b w:val="0"/>
          <w:sz w:val="32"/>
        </w:rPr>
        <w:t>包括：办公费、差旅费、委托业务费、工会经费、福利费、公务用车运行维护费、其他商品和服务支出。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2024年度财政拨款“三公”经费支出4.67万元，</w:t>
      </w:r>
      <w:r>
        <w:rPr>
          <w:rFonts w:ascii="仿宋_GB2312" w:hAnsi="仿宋_GB2312" w:eastAsia="仿宋_GB2312"/>
          <w:b w:val="0"/>
          <w:sz w:val="32"/>
        </w:rPr>
        <w:t>比上年增加0.74万元，增长18.83%，主要原因是：本单位公务用车日渐老化，维修维护成本增加，导致公务用车运行维护费较上年增加。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公务用车购置及运行维护费支出4.67万元，占100.00%，比上年增加0.74万元，增长18.83%，主要原因是：本单位公务用车日渐老化，维修维护成本增加，导致公务用车运行维护费较上年增加。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4.67万元，其中：公务用车购置费0.00万元，公务用车运行维护费4.67万元。公务用车运行维护费开支内容包括车辆维修费、车辆保险费、车辆燃料费。公务用车购置数0辆，公务用车保有量3辆。国有资产占用情况中固定资产车辆3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4.67万元，决算数4.67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4.67万元，决算数4.67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2024年度乌鲁木齐市科学技术协会（行政单位和参照公务员法管理事业单位）机关运行经费支出29.18万元，比上年减少6.16万元，下降17.43%，主要原因是：严格控制公用经费，合理节约办公用品，减少不必要开支。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2024年度政府采购支出总额2.11万元，其中：政府采购货物支出0.44万元、政府采购工程支出0.00万元、政府采购服务支出1.67万元。</w:t>
      </w:r>
    </w:p>
    <w:p>
      <w:pPr>
        <w:spacing w:line="580" w:lineRule="exact"/>
        <w:ind w:firstLine="640"/>
        <w:jc w:val="both"/>
      </w:pPr>
      <w:r>
        <w:rPr>
          <w:rFonts w:ascii="仿宋_GB2312" w:hAnsi="仿宋_GB2312" w:eastAsia="仿宋_GB2312"/>
          <w:b w:val="0"/>
          <w:sz w:val="32"/>
        </w:rPr>
        <w:t>授予中小企业合同金额2.11万元，占政府采购支出总额的100.00%，其中：授予小微企业合同金额2.11万元，占政府采购支出总额的100.00%。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3辆，价值52.11万元，其中：副部（省）级及以上领导用车0辆、主要负责人用车0辆、机要通信用车0辆、应急保障用车0辆、执法执勤用车0辆、特种专业技术用车0辆、离退休干部服务用车0辆、其他用车3辆，其他用车主要是：编制内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4个，全年预算数164.73万元，全年执行数161.13万元。预算绩效管理取得的成效：一是严格坚持了先做事、后验收、再拨付的原则，基本杜绝了资金被挤占和挪用现象的发生，跟踪检查到位；二是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一是绩效各环节任务下发至财务，由财务主要负责绩效相关工作，实施项目业务部门权责不明晰；二是预算编制合理性、前瞻性的问题。预算编制合理性相对不足，主要表现在预算调整数较大，年度目标与长期规划衔接的紧密程度需要增强。下一步改进措施：一是加强对绩效管理工作的组织领导，完善绩效评价管理办法，强化绩效工作考核制度；二是加大全局对实施预算绩效管理和绩效管理工作的学习力度，让“花钱必问效，无效必问责”的理念深入项目工作每个环节。具体附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全国2024年“基层科普行动计划”</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拍摄宣传片、制作短视频、平面作品、科普视频或科普创作作品4个；奖补市属先进学协会（研究会）基层科普行动计划先进集体15个。评选科技小院、科普产业示范基地2个。</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本年根据实际工作安排，完成年初设定拍摄科协宣传片、制作科普系列短视频；评选科技小院2个、市属先进学协会（研究会）5个，由于国库财力紧张暂未支付；评选并奖补基层科普行动计划先进集体15个。</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当年开展各类科普活动的次数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奖补市属先进学协会数量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科普产业示范基地、科技小院立项（个）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拍摄科普短视频（个）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选择了报价较低的供应商，维持原成本不变前提下，拍摄数量增加，导致存在偏差率。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科普活动较为圆满完成，数量场次达到预期值，导致存在偏差率。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市属先进学协会合格率（%）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业务开展过程中有针对性地筛选了先进学协会导致合格率较高，存在偏差率。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科普视频制作验收合格率（%）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科普视频制作水平较好，验收完全合格，导致存在偏差率。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科普产业示范基地、科技小院评选合格率（%）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业务实际开展过程中有针对性地筛选了科技小院导致合格率较高，存在偏差率。</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科普活动经费支出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&lt;=17.38万元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=17.38万元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拍摄科普及科技工作者宣传片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学协会及示范科普基地奖补资金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科普活动公众参与率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受益群众满意度（%）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开展科普活动收益群众满意度较高，导致存在偏差率。</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科普经费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推动科普文化传播，通过开展科普宣传活动、媒介传播和普及科学知识，展示科技成果。2.、开展科技辅导员培训。引导社会多元主体参与科普宣传。3、开展科技工作者慰问工作。建立科技工作者之间的纽带。</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1、通过开展科普活动推动科普文化传播，展示科技成果；2、开展科技辅导员培训场次1场；3、完成年初设定科技工作者慰问，人次达462人次。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科技工作者慰问人数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&gt;=510人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因慰问负责人lz,部分慰问品暂无下落，导致未完成预定慰问人数。</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科普宣传、科技成果展示与媒体合作数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当年开展各类科普活动的次数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融媒体发布科普内容及时性</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开展各类科普活动参与人数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科普活动种类较多，且主场活动在商超，人流量不固定，参与人数较多导致与预定目标值存在较大偏差。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科技工作者慰问行业领域覆盖率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各种科普活动服务费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&lt;=15.35万元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=15.35万元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科技工作者慰问成本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=14.99万元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融媒体宣传服务费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不断提高公民科学素质比例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活动开展参与群众满意度较高，导致存在小幅偏差。</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99.41分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老年科技工作者协会活动经费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1、赴社区、农村牧区、企业开展科普讲座、健康义诊及现场培训服务35场，受益群体满意度达到100%.</w:t>
              <w:br/>
              <w:t>2、贯彻国务院《全民科学素质纲要2021-2035年》，举办智慧助老城乡老年群体参与的科普讲座10次，参加学习的老年人满意率100%。</w:t>
              <w:br/>
              <w:t>3、乌鲁木齐老科协“老科大”分校组织参加“老科大”科普视频讲座20场，满意度达到95%。</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在自治区老科协、市科协党组领导下，赴社区、农村牧区、企业开展科普讲座、健康义诊及现场培训服务，本年开展场次达到37场次；在科技助力乡村振兴、助力企业科技创新和科学健康服务、提高老年群体和青少年科学素质科学普及等方面积极开展各类活动，举办智慧助老城乡老年群体参与的科普讲座及乌鲁木齐老科协“老科大”组织科普讲座31场。同时按照自治区老科协工作安排，合规使用项目经费中的差旅费、劳务费，较为圆满地完成本年工作任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开展科普讲座科技培训场次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&gt;=35场次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根据工作安排，本年着重发展乌鲁木齐县科普传播，科普讲座讲师在乌鲁木齐县场次增加，导致存在偏差率。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老年科技大学教学参学场次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本年根据实际工作安排，考虑为老年科技大学实施惠民，与医科大学附属医院进行长期合作协商，增加了教学场次，故产生偏差率。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科普讲座培训考核合格率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科普讲座培训为公益性质，旨在惠民普及科普知识，考核较为人性化，导致培训考核合格率较设定目标存在一定偏差。</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聘请人员劳务费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&lt;=60000元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科普培训支出及差旅费成本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提高老年群体科学素质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因科普讲座受益人群对科普培训满意度较高，导致存在偏差率。</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自治区2024年“基层科普行动计划”</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9.28分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举办科普讲座4场次；制作科普视频或科普创作作品2条；开展融媒体平台深入合作1次；奖补科普教育基地15个；奖补青少年科技活动特色学校11个。</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br/>
              <w:t>开展青创赛暨成果展示活动；制作科普视频2条；开展融媒体平台深入合作1次；奖补科普教育基地15个；奖补青少年科技活动特色学校10个。</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当年开展各类科普活动的次数。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创作高质量科普视频数量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通过多方比对选择了报价合适的供应商，提升财政资金使用效率，原定资金拍摄数量增加，导致存在小幅提升。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奖补科普教育基地数量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根据工作实际开展情况，符合评选标准的科普教育基地数量为14个，导致存在小幅偏差。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青少年科技活动特色学校奖补先进集体数量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根据工作实际开展情况，符合评选标准的先进集体数量为10个，导致存在小幅偏差。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科技特色学校评选合格率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有针对性的进行了先筛选后评选，导致合格率存在小幅偏差。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实际开展工作过程安排科普活动次数4次，导致与设定完成率存在偏差。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科普教育基评选合格率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有针对性的进行了先筛选后评选，导致合格率存在小幅偏差。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科普视频制作验收合格率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因视频拍摄较好，验收合格，导致存在小幅偏差。</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举办科普讲座</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本年因实际工作安排，未开展科普讲座，,此项支出为0，导致成本指标存在偏差。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奖补科普教育基地15个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青少年科技活动特色学校奖补先进集体11个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&gt;=11万元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根据实际评选要求，评选出先进集体数量为10个，导致与年初设定目标值存在偏差。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开发创作高质量科普视频或科普创作作品1个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科普活动公众参与率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受益群众满意度（%）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根据受益群众反馈，群众满意度较高，导致与设定值存在小幅偏差。</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91.23分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