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乌鲁木齐市科学技术协会（部门）2024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部门概况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bookmarkStart w:id="0" w:name="_GoBack"/>
      <w:bookmarkEnd w:id="0"/>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r>
        <w:br w:type="page"/>
      </w:r>
    </w:p>
    <w:p>
      <w:pPr>
        <w:spacing w:line="640" w:lineRule="exact"/>
        <w:jc w:val="center"/>
        <w:outlineLvl w:val="1"/>
      </w:pPr>
      <w:r>
        <w:rPr>
          <w:rFonts w:ascii="黑体" w:hAnsi="黑体" w:eastAsia="黑体"/>
          <w:sz w:val="32"/>
        </w:rPr>
        <w:t>第一部分 部门概况</w:t>
      </w:r>
    </w:p>
    <w:p>
      <w:pPr>
        <w:spacing w:line="640" w:lineRule="exact"/>
        <w:ind w:firstLine="640"/>
        <w:jc w:val="both"/>
        <w:outlineLvl w:val="2"/>
      </w:pPr>
      <w:r>
        <w:rPr>
          <w:rFonts w:ascii="黑体" w:hAnsi="黑体" w:eastAsia="黑体"/>
          <w:sz w:val="32"/>
        </w:rPr>
        <w:t>一、主要职能</w:t>
      </w:r>
    </w:p>
    <w:p>
      <w:pPr>
        <w:spacing w:line="580" w:lineRule="exact"/>
        <w:ind w:firstLine="640"/>
        <w:jc w:val="both"/>
      </w:pPr>
      <w:r>
        <w:rPr>
          <w:rFonts w:ascii="仿宋_GB2312" w:hAnsi="仿宋_GB2312" w:eastAsia="仿宋_GB2312"/>
          <w:sz w:val="32"/>
        </w:rPr>
        <w:t>(一)贯彻执行国家、自治区和我市有关科普工作的方针、政策和法律、法规，拟订科协系统科普工作的目标、规划和计划并组织实施；充分发挥科学技术普及主力军的作用，动员社会各方面的力量，弘扬科学精神，普及科学知识，推广先进技术，传播科学思想和科学方法，捍卫科学尊严，提高全民科学素质。</w:t>
      </w:r>
    </w:p>
    <w:p>
      <w:pPr>
        <w:spacing w:line="580" w:lineRule="exact"/>
        <w:ind w:firstLine="640"/>
        <w:jc w:val="both"/>
      </w:pPr>
      <w:r>
        <w:rPr>
          <w:rFonts w:ascii="仿宋_GB2312" w:hAnsi="仿宋_GB2312" w:eastAsia="仿宋_GB2312"/>
          <w:sz w:val="32"/>
        </w:rPr>
        <w:t>(二)团结和组织全市广大科技工作者以经济建设为中心，开展学术交流，活跃学术思想，倡导学术民主，优化学术环境，促进学科发展，推进创新体系建设。</w:t>
      </w:r>
    </w:p>
    <w:p>
      <w:pPr>
        <w:spacing w:line="580" w:lineRule="exact"/>
        <w:ind w:firstLine="640"/>
        <w:jc w:val="both"/>
      </w:pPr>
      <w:r>
        <w:rPr>
          <w:rFonts w:ascii="仿宋_GB2312" w:hAnsi="仿宋_GB2312" w:eastAsia="仿宋_GB2312"/>
          <w:sz w:val="32"/>
        </w:rPr>
        <w:t>(三)密切联系科技工作者，宣传党的路线方针政策，反映科技工作者的建议、意见和诉求，维护科技工作者的合法权益。</w:t>
      </w:r>
    </w:p>
    <w:p>
      <w:pPr>
        <w:spacing w:line="580" w:lineRule="exact"/>
        <w:ind w:firstLine="640"/>
        <w:jc w:val="both"/>
      </w:pPr>
      <w:r>
        <w:rPr>
          <w:rFonts w:ascii="仿宋_GB2312" w:hAnsi="仿宋_GB2312" w:eastAsia="仿宋_GB2312"/>
          <w:sz w:val="32"/>
        </w:rPr>
        <w:t>(四)引导科技工作者在社会事务中发挥作用，组织科技工作者参与科学技术规划、布局、政策、法规的拟订和政治协商、科学决策、民主监督工作，建设高水平科技创新智库。</w:t>
      </w:r>
    </w:p>
    <w:p>
      <w:pPr>
        <w:spacing w:line="580" w:lineRule="exact"/>
        <w:ind w:firstLine="640"/>
        <w:jc w:val="both"/>
      </w:pPr>
      <w:r>
        <w:rPr>
          <w:rFonts w:ascii="仿宋_GB2312" w:hAnsi="仿宋_GB2312" w:eastAsia="仿宋_GB2312"/>
          <w:sz w:val="32"/>
        </w:rPr>
        <w:t>(五)注重激发青少年科技兴趣，发现培养杰出青年科学家和创新团队，表彰、宣传优秀科技工作者，推荐优秀科技人才；开展科技工作者的继续教育和培训工作。</w:t>
      </w:r>
    </w:p>
    <w:p>
      <w:pPr>
        <w:spacing w:line="580" w:lineRule="exact"/>
        <w:ind w:firstLine="640"/>
        <w:jc w:val="both"/>
      </w:pPr>
      <w:r>
        <w:rPr>
          <w:rFonts w:ascii="仿宋_GB2312" w:hAnsi="仿宋_GB2312" w:eastAsia="仿宋_GB2312"/>
          <w:sz w:val="32"/>
        </w:rPr>
        <w:t>(六)组织科技工作者开展科技创新，参与科学论证和咨询服务，加快科学技术成果转化应用，助力创新发展。</w:t>
      </w:r>
    </w:p>
    <w:p>
      <w:pPr>
        <w:spacing w:line="580" w:lineRule="exact"/>
        <w:ind w:firstLine="640"/>
        <w:jc w:val="both"/>
      </w:pPr>
      <w:r>
        <w:rPr>
          <w:rFonts w:ascii="仿宋_GB2312" w:hAnsi="仿宋_GB2312" w:eastAsia="仿宋_GB2312"/>
          <w:sz w:val="32"/>
        </w:rPr>
        <w:t>(七)开展民间国际科技交流与合作；发展与国(境)外科技团体和科技工作者的友好交往，为海外科技人才来我市创新创业提供服务。</w:t>
      </w:r>
    </w:p>
    <w:p>
      <w:pPr>
        <w:spacing w:line="580" w:lineRule="exact"/>
        <w:ind w:firstLine="640"/>
        <w:jc w:val="both"/>
      </w:pPr>
      <w:r>
        <w:rPr>
          <w:rFonts w:ascii="仿宋_GB2312" w:hAnsi="仿宋_GB2312" w:eastAsia="仿宋_GB2312"/>
          <w:sz w:val="32"/>
        </w:rPr>
        <w:t>(八)负责指导科普设施、场所的规划、管理；负责指导科普工作队伍建设工作；负责指导有关社会团体工作。</w:t>
      </w:r>
    </w:p>
    <w:p>
      <w:pPr>
        <w:spacing w:line="580" w:lineRule="exact"/>
        <w:ind w:firstLine="640"/>
        <w:jc w:val="both"/>
      </w:pPr>
      <w:r>
        <w:rPr>
          <w:rFonts w:ascii="仿宋_GB2312" w:hAnsi="仿宋_GB2312" w:eastAsia="仿宋_GB2312"/>
          <w:sz w:val="32"/>
        </w:rPr>
        <w:t>(九)开展捍卫科学尊严和反对愚昧迷信、伪科学、反科学的活动。</w:t>
      </w:r>
    </w:p>
    <w:p>
      <w:pPr>
        <w:spacing w:line="580" w:lineRule="exact"/>
        <w:ind w:firstLine="640"/>
        <w:jc w:val="both"/>
      </w:pPr>
      <w:r>
        <w:rPr>
          <w:rFonts w:ascii="仿宋_GB2312" w:hAnsi="仿宋_GB2312" w:eastAsia="仿宋_GB2312"/>
          <w:sz w:val="32"/>
        </w:rPr>
        <w:t>(十)承办市委、市人民政府交办的其他事项。</w:t>
      </w:r>
    </w:p>
    <w:p>
      <w:pPr>
        <w:spacing w:line="640" w:lineRule="exact"/>
        <w:ind w:firstLine="640"/>
        <w:jc w:val="both"/>
        <w:outlineLvl w:val="2"/>
      </w:pPr>
      <w:r>
        <w:rPr>
          <w:rFonts w:ascii="黑体" w:hAnsi="黑体" w:eastAsia="黑体"/>
          <w:sz w:val="32"/>
        </w:rPr>
        <w:t>二、机构设置及人员情况</w:t>
      </w:r>
    </w:p>
    <w:p>
      <w:pPr>
        <w:spacing w:line="580" w:lineRule="exact"/>
        <w:ind w:firstLine="640"/>
        <w:jc w:val="both"/>
      </w:pPr>
      <w:r>
        <w:rPr>
          <w:rFonts w:ascii="仿宋_GB2312" w:hAnsi="仿宋_GB2312" w:eastAsia="仿宋_GB2312"/>
          <w:sz w:val="32"/>
        </w:rPr>
        <w:t>乌鲁木齐市科学技术协会（部门）2024年度，实有人数102人，其中：在职人员40人，减少2人；离休人员0人，增加0人；退休人员62人,增加5人。</w:t>
      </w:r>
    </w:p>
    <w:p>
      <w:pPr>
        <w:spacing w:line="580" w:lineRule="exact"/>
        <w:ind w:firstLine="640"/>
        <w:jc w:val="both"/>
      </w:pPr>
      <w:r>
        <w:rPr>
          <w:rFonts w:ascii="仿宋_GB2312" w:hAnsi="仿宋_GB2312" w:eastAsia="仿宋_GB2312"/>
          <w:sz w:val="32"/>
        </w:rPr>
        <w:t>从部门决算单位构成看，乌鲁木齐市科学技术协会（部门）部门决算包括：乌鲁木齐市科学技术协会（本级）决算及所属单位决算。</w:t>
      </w:r>
    </w:p>
    <w:p>
      <w:pPr>
        <w:spacing w:line="580" w:lineRule="exact"/>
        <w:ind w:firstLine="640"/>
        <w:jc w:val="both"/>
      </w:pPr>
      <w:r>
        <w:rPr>
          <w:rFonts w:ascii="仿宋_GB2312" w:hAnsi="仿宋_GB2312" w:eastAsia="仿宋_GB2312"/>
          <w:sz w:val="32"/>
        </w:rPr>
        <w:t>乌鲁木齐市科学技术协会本级下设3个科室，分别是：党政办、普及部、学会部。</w:t>
      </w:r>
    </w:p>
    <w:p>
      <w:pPr>
        <w:spacing w:line="580" w:lineRule="exact"/>
        <w:ind w:firstLine="640"/>
        <w:jc w:val="both"/>
      </w:pPr>
      <w:r>
        <w:rPr>
          <w:rFonts w:ascii="仿宋_GB2312" w:hAnsi="仿宋_GB2312" w:eastAsia="仿宋_GB2312"/>
          <w:sz w:val="32"/>
        </w:rPr>
        <w:t>纳入乌鲁木齐市科学技术协会（部门）2024年度部门决算编制范围的下属预算单位包括：</w:t>
      </w:r>
    </w:p>
    <w:p>
      <w:pPr>
        <w:spacing w:line="580" w:lineRule="exact"/>
        <w:ind w:firstLine="640"/>
        <w:jc w:val="both"/>
      </w:pPr>
      <w:r>
        <w:rPr>
          <w:rFonts w:ascii="仿宋_GB2312" w:hAnsi="仿宋_GB2312" w:eastAsia="仿宋_GB2312"/>
          <w:sz w:val="32"/>
        </w:rPr>
        <w:t>1. 乌鲁木齐市科学技术馆</w:t>
      </w:r>
    </w:p>
    <w:p>
      <w:pPr>
        <w:spacing w:line="580" w:lineRule="exact"/>
        <w:ind w:firstLine="640"/>
        <w:jc w:val="both"/>
      </w:pPr>
      <w:r>
        <w:rPr>
          <w:rFonts w:ascii="仿宋_GB2312" w:hAnsi="仿宋_GB2312" w:eastAsia="仿宋_GB2312"/>
          <w:sz w:val="32"/>
        </w:rPr>
        <w:t>2. 乌鲁木齐市科普服务中心（乌鲁木齐市科技咨询服务中心）</w:t>
      </w:r>
    </w:p>
    <w:p>
      <w:pPr>
        <w:spacing w:line="580" w:lineRule="exact"/>
        <w:ind w:firstLine="640"/>
        <w:jc w:val="both"/>
      </w:pPr>
      <w:r>
        <w:rPr>
          <w:rFonts w:ascii="仿宋_GB2312" w:hAnsi="仿宋_GB2312" w:eastAsia="仿宋_GB2312"/>
          <w:sz w:val="32"/>
        </w:rPr>
        <w:t>3. 乌鲁木齐市科学技术协会</w:t>
      </w:r>
    </w:p>
    <w:p>
      <w:r>
        <w:br w:type="page"/>
      </w:r>
    </w:p>
    <w:p>
      <w:pPr>
        <w:spacing w:line="240" w:lineRule="auto"/>
        <w:jc w:val="center"/>
        <w:outlineLvl w:val="1"/>
      </w:pPr>
      <w:r>
        <w:rPr>
          <w:rFonts w:ascii="黑体" w:hAnsi="黑体" w:eastAsia="黑体"/>
          <w:sz w:val="32"/>
        </w:rPr>
        <w:t>第二部分 部门决算情况说明</w:t>
      </w:r>
    </w:p>
    <w:p>
      <w:pPr>
        <w:spacing w:line="640" w:lineRule="exact"/>
        <w:ind w:firstLine="640"/>
        <w:jc w:val="both"/>
        <w:outlineLvl w:val="2"/>
      </w:pPr>
      <w:r>
        <w:rPr>
          <w:rFonts w:ascii="黑体" w:hAnsi="黑体" w:eastAsia="黑体"/>
          <w:sz w:val="32"/>
        </w:rPr>
        <w:t>一、收入支出决算总体情况说明</w:t>
      </w:r>
    </w:p>
    <w:p>
      <w:pPr>
        <w:spacing w:line="580" w:lineRule="exact"/>
        <w:ind w:firstLine="640"/>
        <w:jc w:val="both"/>
      </w:pPr>
      <w:r>
        <w:rPr>
          <w:rFonts w:ascii="仿宋_GB2312" w:hAnsi="仿宋_GB2312" w:eastAsia="仿宋_GB2312"/>
          <w:b/>
          <w:sz w:val="32"/>
        </w:rPr>
        <w:t>2024年度收入总计1,368.01万元，</w:t>
      </w:r>
      <w:r>
        <w:rPr>
          <w:rFonts w:ascii="仿宋_GB2312" w:hAnsi="仿宋_GB2312" w:eastAsia="仿宋_GB2312"/>
          <w:b w:val="0"/>
          <w:sz w:val="32"/>
        </w:rPr>
        <w:t>其中：本年收入合计1,362.66万元，使用非财政拨款结余（含专用结余）0.00万元，年初结转和结余5.35万元。</w:t>
      </w:r>
    </w:p>
    <w:p>
      <w:pPr>
        <w:spacing w:line="580" w:lineRule="exact"/>
        <w:ind w:firstLine="640"/>
        <w:jc w:val="both"/>
      </w:pPr>
      <w:r>
        <w:rPr>
          <w:rFonts w:ascii="仿宋_GB2312" w:hAnsi="仿宋_GB2312" w:eastAsia="仿宋_GB2312"/>
          <w:b/>
          <w:sz w:val="32"/>
        </w:rPr>
        <w:t>2024年度支出总计1,368.01万元，</w:t>
      </w:r>
      <w:r>
        <w:rPr>
          <w:rFonts w:ascii="仿宋_GB2312" w:hAnsi="仿宋_GB2312" w:eastAsia="仿宋_GB2312"/>
          <w:b w:val="0"/>
          <w:sz w:val="32"/>
        </w:rPr>
        <w:t>其中：本年支出合计1,362.97万元，结余分配0.00万元，年末结转和结余5.04万元。</w:t>
      </w:r>
    </w:p>
    <w:p>
      <w:pPr>
        <w:spacing w:line="580" w:lineRule="exact"/>
        <w:ind w:firstLine="640"/>
        <w:jc w:val="both"/>
      </w:pPr>
      <w:r>
        <w:rPr>
          <w:rFonts w:ascii="仿宋_GB2312" w:hAnsi="仿宋_GB2312" w:eastAsia="仿宋_GB2312"/>
          <w:b w:val="0"/>
          <w:sz w:val="32"/>
        </w:rPr>
        <w:t>收入支出总体与上年相比，</w:t>
      </w:r>
      <w:r>
        <w:rPr>
          <w:rFonts w:ascii="仿宋_GB2312" w:hAnsi="仿宋_GB2312" w:eastAsia="仿宋_GB2312"/>
          <w:b w:val="0"/>
          <w:sz w:val="32"/>
        </w:rPr>
        <w:t>减少132.96万元，下降8.86%，主要原因是：本年在职人员减少，相关人员经费减少；本年中央免费开放补助资金较上年减少；本年减少科普大蓬车展品更新经费。</w:t>
      </w:r>
    </w:p>
    <w:p>
      <w:pPr>
        <w:spacing w:line="640" w:lineRule="exact"/>
        <w:ind w:firstLine="640"/>
        <w:jc w:val="both"/>
        <w:outlineLvl w:val="2"/>
      </w:pPr>
      <w:r>
        <w:rPr>
          <w:rFonts w:ascii="黑体" w:hAnsi="黑体" w:eastAsia="黑体"/>
          <w:sz w:val="32"/>
        </w:rPr>
        <w:t>二、收入决算情况说明</w:t>
      </w:r>
    </w:p>
    <w:p>
      <w:pPr>
        <w:spacing w:line="580" w:lineRule="exact"/>
        <w:ind w:firstLine="640"/>
        <w:jc w:val="both"/>
      </w:pPr>
      <w:r>
        <w:rPr>
          <w:rFonts w:ascii="仿宋_GB2312" w:hAnsi="仿宋_GB2312" w:eastAsia="仿宋_GB2312"/>
          <w:b/>
          <w:sz w:val="32"/>
        </w:rPr>
        <w:t>本年收入1,362.66万元，</w:t>
      </w:r>
      <w:r>
        <w:rPr>
          <w:rFonts w:ascii="仿宋_GB2312" w:hAnsi="仿宋_GB2312" w:eastAsia="仿宋_GB2312"/>
          <w:b w:val="0"/>
          <w:sz w:val="32"/>
        </w:rPr>
        <w:t>其中：财政拨款收入1,362.65万元，占100.00%；上级补助收入0.00万元，占0.00%；事业收入0.00万元，占0.00%；经营收入0.00万元，占0.00%；附属单位上缴收入0.00万元，占0.00%；其他收入0.01万元，占0.0007%。</w:t>
      </w:r>
    </w:p>
    <w:p>
      <w:pPr>
        <w:spacing w:line="640" w:lineRule="exact"/>
        <w:ind w:firstLine="640"/>
        <w:jc w:val="both"/>
        <w:outlineLvl w:val="2"/>
      </w:pPr>
      <w:r>
        <w:rPr>
          <w:rFonts w:ascii="黑体" w:hAnsi="黑体" w:eastAsia="黑体"/>
          <w:sz w:val="32"/>
        </w:rPr>
        <w:t>三、支出决算情况说明</w:t>
      </w:r>
    </w:p>
    <w:p>
      <w:pPr>
        <w:spacing w:line="580" w:lineRule="exact"/>
        <w:ind w:firstLine="640"/>
        <w:jc w:val="both"/>
      </w:pPr>
      <w:r>
        <w:rPr>
          <w:rFonts w:ascii="仿宋_GB2312" w:hAnsi="仿宋_GB2312" w:eastAsia="仿宋_GB2312"/>
          <w:b/>
          <w:sz w:val="32"/>
        </w:rPr>
        <w:t>本年支出1,362.97万元，</w:t>
      </w:r>
      <w:r>
        <w:rPr>
          <w:rFonts w:ascii="仿宋_GB2312" w:hAnsi="仿宋_GB2312" w:eastAsia="仿宋_GB2312"/>
          <w:b w:val="0"/>
          <w:sz w:val="32"/>
        </w:rPr>
        <w:t>其中：基本支出1,044.17万元，占76.61%；项目支出318.80万元，占23.39%；上缴上级支出0.00万元，占0.00%；经营支出0.00万元，占0.00%；对附属单位补助支出0.00万元，占0.00%。</w:t>
      </w:r>
    </w:p>
    <w:p>
      <w:pPr>
        <w:spacing w:line="640" w:lineRule="exact"/>
        <w:ind w:firstLine="640"/>
        <w:jc w:val="both"/>
        <w:outlineLvl w:val="2"/>
      </w:pPr>
      <w:r>
        <w:rPr>
          <w:rFonts w:ascii="黑体" w:hAnsi="黑体" w:eastAsia="黑体"/>
          <w:sz w:val="32"/>
        </w:rPr>
        <w:t>四、财政拨款收入支出决算总体情况说明</w:t>
      </w:r>
    </w:p>
    <w:p>
      <w:pPr>
        <w:spacing w:line="580" w:lineRule="exact"/>
        <w:ind w:firstLine="640"/>
        <w:jc w:val="both"/>
      </w:pPr>
      <w:r>
        <w:rPr>
          <w:rFonts w:ascii="仿宋_GB2312" w:hAnsi="仿宋_GB2312" w:eastAsia="仿宋_GB2312"/>
          <w:b/>
          <w:sz w:val="32"/>
        </w:rPr>
        <w:t>2024年度财政拨款收入总计1,362.65万元，</w:t>
      </w:r>
      <w:r>
        <w:rPr>
          <w:rFonts w:ascii="仿宋_GB2312" w:hAnsi="仿宋_GB2312" w:eastAsia="仿宋_GB2312"/>
          <w:b w:val="0"/>
          <w:sz w:val="32"/>
        </w:rPr>
        <w:t>其中：年初财政拨款结转和结余0.00万元，本年财政拨款收入1,362.65万元。</w:t>
      </w:r>
      <w:r>
        <w:rPr>
          <w:rFonts w:ascii="仿宋_GB2312" w:hAnsi="仿宋_GB2312" w:eastAsia="仿宋_GB2312"/>
          <w:b/>
          <w:sz w:val="32"/>
        </w:rPr>
        <w:t>财政拨款支出总计1,362.65万元，</w:t>
      </w:r>
      <w:r>
        <w:rPr>
          <w:rFonts w:ascii="仿宋_GB2312" w:hAnsi="仿宋_GB2312" w:eastAsia="仿宋_GB2312"/>
          <w:b w:val="0"/>
          <w:sz w:val="32"/>
        </w:rPr>
        <w:t>其中：年末财政拨款结转和结余0.00万元，本年财政拨款支出1,362.65万元。</w:t>
      </w:r>
    </w:p>
    <w:p>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减少83.66万元，下降5.78%，主要原因是：本年在职人员减少，相关人员经费减少；本年中央免费开放补助资金较上年减少。</w:t>
      </w:r>
      <w:r>
        <w:rPr>
          <w:rFonts w:ascii="仿宋_GB2312" w:hAnsi="仿宋_GB2312" w:eastAsia="仿宋_GB2312"/>
          <w:b/>
          <w:sz w:val="32"/>
        </w:rPr>
        <w:t>与年初预算相比，</w:t>
      </w:r>
      <w:r>
        <w:rPr>
          <w:rFonts w:ascii="仿宋_GB2312" w:hAnsi="仿宋_GB2312" w:eastAsia="仿宋_GB2312"/>
          <w:b w:val="0"/>
          <w:sz w:val="32"/>
        </w:rPr>
        <w:t>年初预算数1,632.62万元，决算数1,362.65万元，预决算差异率-16.54%，主要原因是：年中调减中央免费开放补助资金项目、科普经费项目资金，导致预决算存在差异。</w:t>
      </w:r>
    </w:p>
    <w:p>
      <w:pPr>
        <w:spacing w:line="640" w:lineRule="exact"/>
        <w:ind w:firstLine="640"/>
        <w:jc w:val="both"/>
        <w:outlineLvl w:val="2"/>
      </w:pPr>
      <w:r>
        <w:rPr>
          <w:rFonts w:ascii="黑体" w:hAnsi="黑体" w:eastAsia="黑体"/>
          <w:sz w:val="32"/>
        </w:rPr>
        <w:t>五、一般公共预算财政拨款支出决算情况说明</w:t>
      </w:r>
    </w:p>
    <w:p>
      <w:pPr>
        <w:spacing w:line="640" w:lineRule="exact"/>
        <w:ind w:firstLine="640"/>
        <w:jc w:val="both"/>
        <w:outlineLvl w:val="3"/>
      </w:pPr>
      <w:r>
        <w:rPr>
          <w:rFonts w:ascii="楷体_GB2312" w:hAnsi="楷体_GB2312" w:eastAsia="楷体_GB2312"/>
          <w:b/>
          <w:sz w:val="32"/>
        </w:rPr>
        <w:t>（一）一般公共预算财政拨款支出决算总体情况</w:t>
      </w:r>
    </w:p>
    <w:p>
      <w:pPr>
        <w:spacing w:line="580" w:lineRule="exact"/>
        <w:ind w:firstLine="640"/>
        <w:jc w:val="both"/>
      </w:pPr>
      <w:r>
        <w:rPr>
          <w:rFonts w:ascii="仿宋_GB2312" w:hAnsi="仿宋_GB2312" w:eastAsia="仿宋_GB2312"/>
          <w:b/>
          <w:sz w:val="32"/>
        </w:rPr>
        <w:t>2024年度一般公共预算财政拨款支出1,362.65万元，</w:t>
      </w:r>
      <w:r>
        <w:rPr>
          <w:rFonts w:ascii="仿宋_GB2312" w:hAnsi="仿宋_GB2312" w:eastAsia="仿宋_GB2312"/>
          <w:b w:val="0"/>
          <w:sz w:val="32"/>
        </w:rPr>
        <w:t>占本年支出合计的99.98%。</w:t>
      </w:r>
      <w:r>
        <w:rPr>
          <w:rFonts w:ascii="仿宋_GB2312" w:hAnsi="仿宋_GB2312" w:eastAsia="仿宋_GB2312"/>
          <w:b/>
          <w:sz w:val="32"/>
        </w:rPr>
        <w:t>与上年相比，</w:t>
      </w:r>
      <w:r>
        <w:rPr>
          <w:rFonts w:ascii="仿宋_GB2312" w:hAnsi="仿宋_GB2312" w:eastAsia="仿宋_GB2312"/>
          <w:b w:val="0"/>
          <w:sz w:val="32"/>
        </w:rPr>
        <w:t>减少74.92万元，下降5.21%，主要原因是：本年在职人员减少，相关人员经费减少；本年中央免费开放补助资金较上年减少。</w:t>
      </w:r>
      <w:r>
        <w:rPr>
          <w:rFonts w:ascii="仿宋_GB2312" w:hAnsi="仿宋_GB2312" w:eastAsia="仿宋_GB2312"/>
          <w:b/>
          <w:sz w:val="32"/>
        </w:rPr>
        <w:t>与年初预算相比,</w:t>
      </w:r>
      <w:r>
        <w:rPr>
          <w:rFonts w:ascii="仿宋_GB2312" w:hAnsi="仿宋_GB2312" w:eastAsia="仿宋_GB2312"/>
          <w:b w:val="0"/>
          <w:sz w:val="32"/>
        </w:rPr>
        <w:t>年初预算数1,632.62万元，决算数1,362.65万元，预决算差异率-16.54%，主要原因是：年中调减中央免费开放补助资金项目、科普经费项目资金，导致预决算存在差异。</w:t>
      </w:r>
    </w:p>
    <w:p>
      <w:pPr>
        <w:spacing w:line="640" w:lineRule="exact"/>
        <w:ind w:firstLine="640"/>
        <w:jc w:val="both"/>
        <w:outlineLvl w:val="3"/>
      </w:pPr>
      <w:r>
        <w:rPr>
          <w:rFonts w:ascii="楷体_GB2312" w:hAnsi="楷体_GB2312" w:eastAsia="楷体_GB2312"/>
          <w:b/>
          <w:sz w:val="32"/>
        </w:rPr>
        <w:t>（二）一般公共预算财政拨款支出决算结构情况</w:t>
      </w:r>
    </w:p>
    <w:p>
      <w:pPr>
        <w:spacing w:line="580" w:lineRule="exact"/>
        <w:ind w:firstLine="640"/>
        <w:jc w:val="both"/>
      </w:pPr>
      <w:r>
        <w:rPr>
          <w:rFonts w:ascii="仿宋_GB2312" w:hAnsi="仿宋_GB2312" w:eastAsia="仿宋_GB2312"/>
          <w:b w:val="0"/>
          <w:sz w:val="32"/>
        </w:rPr>
        <w:t>1.科学技术支出(类)1,362.65万元,占100.00%。</w:t>
      </w:r>
    </w:p>
    <w:p>
      <w:pPr>
        <w:spacing w:line="640" w:lineRule="exact"/>
        <w:ind w:firstLine="640"/>
        <w:jc w:val="both"/>
        <w:outlineLvl w:val="3"/>
      </w:pPr>
      <w:r>
        <w:rPr>
          <w:rFonts w:ascii="楷体_GB2312" w:hAnsi="楷体_GB2312" w:eastAsia="楷体_GB2312"/>
          <w:b/>
          <w:sz w:val="32"/>
        </w:rPr>
        <w:t>（三）一般公共预算财政拨款支出决算具体情况</w:t>
      </w:r>
    </w:p>
    <w:p>
      <w:pPr>
        <w:spacing w:line="580" w:lineRule="exact"/>
        <w:ind w:firstLine="640"/>
        <w:jc w:val="both"/>
      </w:pPr>
      <w:r>
        <w:rPr>
          <w:rFonts w:ascii="仿宋_GB2312" w:hAnsi="仿宋_GB2312" w:eastAsia="仿宋_GB2312"/>
          <w:b w:val="0"/>
          <w:sz w:val="32"/>
        </w:rPr>
        <w:t>1.科学技术支出(类)科学技术管理事务(款)行政运行(项):支出决算数为380.65万元，比上年决算增加10.95万元，增长2.96%,主要原因是：本年在职人员工资调增，导致相关人员经费较上年增加。</w:t>
      </w:r>
    </w:p>
    <w:p>
      <w:pPr>
        <w:spacing w:line="580" w:lineRule="exact"/>
        <w:ind w:firstLine="640"/>
        <w:jc w:val="both"/>
      </w:pPr>
      <w:r>
        <w:rPr>
          <w:rFonts w:ascii="仿宋_GB2312" w:hAnsi="仿宋_GB2312" w:eastAsia="仿宋_GB2312"/>
          <w:b w:val="0"/>
          <w:sz w:val="32"/>
        </w:rPr>
        <w:t>2.科学技术支出(类)科学技术管理事务(款)一般行政管理事务(项):支出决算数为0.00万元，比上年决算减少4.25万元，下降100.00%,主要原因是：本年减少为民办实事工作经费，导致经费较上年减少。</w:t>
      </w:r>
    </w:p>
    <w:p>
      <w:pPr>
        <w:spacing w:line="580" w:lineRule="exact"/>
        <w:ind w:firstLine="640"/>
        <w:jc w:val="both"/>
      </w:pPr>
      <w:r>
        <w:rPr>
          <w:rFonts w:ascii="仿宋_GB2312" w:hAnsi="仿宋_GB2312" w:eastAsia="仿宋_GB2312"/>
          <w:b w:val="0"/>
          <w:sz w:val="32"/>
        </w:rPr>
        <w:t>3.科学技术支出(类)社会科学(款)社会科学研究机构(项):支出决算数为13.90万元，比上年决算增加5.10万元，增长57.95%,主要原因是：本年新增硕博补贴资金，导致较上年增加。</w:t>
      </w:r>
    </w:p>
    <w:p>
      <w:pPr>
        <w:spacing w:line="580" w:lineRule="exact"/>
        <w:ind w:firstLine="640"/>
        <w:jc w:val="both"/>
      </w:pPr>
      <w:r>
        <w:rPr>
          <w:rFonts w:ascii="仿宋_GB2312" w:hAnsi="仿宋_GB2312" w:eastAsia="仿宋_GB2312"/>
          <w:b w:val="0"/>
          <w:sz w:val="32"/>
        </w:rPr>
        <w:t>4.科学技术支出(类)科学技术普及(款)机构运行(项):支出决算数为170.44万元，比上年决算减少16.51万元，下降8.83%,主要原因是：本年科普中心在职人员减少，人员经费及公用经费的支出相应减少。</w:t>
      </w:r>
    </w:p>
    <w:p>
      <w:pPr>
        <w:spacing w:line="580" w:lineRule="exact"/>
        <w:ind w:firstLine="640"/>
        <w:jc w:val="both"/>
      </w:pPr>
      <w:r>
        <w:rPr>
          <w:rFonts w:ascii="仿宋_GB2312" w:hAnsi="仿宋_GB2312" w:eastAsia="仿宋_GB2312"/>
          <w:b w:val="0"/>
          <w:sz w:val="32"/>
        </w:rPr>
        <w:t>5.科学技术支出(类)科学技术普及(款)科普活动(项):支出决算数为104.04万元，比上年决算减少18.44万元，下降15.06%,主要原因是：本年功能分类调整，科普经费项目上年在科普活动科目列支，本年在其他科学技术支出科目列支，导致经费减少。</w:t>
      </w:r>
    </w:p>
    <w:p>
      <w:pPr>
        <w:spacing w:line="580" w:lineRule="exact"/>
        <w:ind w:firstLine="640"/>
        <w:jc w:val="both"/>
      </w:pPr>
      <w:r>
        <w:rPr>
          <w:rFonts w:ascii="仿宋_GB2312" w:hAnsi="仿宋_GB2312" w:eastAsia="仿宋_GB2312"/>
          <w:b w:val="0"/>
          <w:sz w:val="32"/>
        </w:rPr>
        <w:t>6.科学技术支出(类)科学技术普及(款)科技馆站(项):支出决算数为630.51万元，比上年决算减少73.07万元，下降10.39%,主要原因是：本年中央免费开放补助资金项目资金较上年减少。</w:t>
      </w:r>
    </w:p>
    <w:p>
      <w:pPr>
        <w:spacing w:line="580" w:lineRule="exact"/>
        <w:ind w:firstLine="640"/>
        <w:jc w:val="both"/>
      </w:pPr>
      <w:r>
        <w:rPr>
          <w:rFonts w:ascii="仿宋_GB2312" w:hAnsi="仿宋_GB2312" w:eastAsia="仿宋_GB2312"/>
          <w:b w:val="0"/>
          <w:sz w:val="32"/>
        </w:rPr>
        <w:t>7.科学技术支出(类)科学技术普及(款)其他科学技术普及支出(项):支出决算数为1.00万元，比上年决算减少40.81万元，下降97.61%,主要原因是：本年功能分类调整，自治区基层科普行动计划项目上年在其他科学技术普及支出科目列支，本年在科普活动科目列支，导致经费减少。</w:t>
      </w:r>
    </w:p>
    <w:p>
      <w:pPr>
        <w:spacing w:line="580" w:lineRule="exact"/>
        <w:ind w:firstLine="640"/>
        <w:jc w:val="both"/>
      </w:pPr>
      <w:r>
        <w:rPr>
          <w:rFonts w:ascii="仿宋_GB2312" w:hAnsi="仿宋_GB2312" w:eastAsia="仿宋_GB2312"/>
          <w:b w:val="0"/>
          <w:sz w:val="32"/>
        </w:rPr>
        <w:t>8.科学技术支出(类)其他科学技术支出(款)其他科学技术支出(项):支出决算数为62.10万元，比上年决算增加62.10万元，增长100.00%,主要原因是：本年功能分类调整，科普经费项目上年在科普活动科目列支，本年在其他科学技术支出科目列支，导致经费增加。</w:t>
      </w:r>
    </w:p>
    <w:p>
      <w:pPr>
        <w:spacing w:line="640" w:lineRule="exact"/>
        <w:ind w:firstLine="640"/>
        <w:jc w:val="both"/>
        <w:outlineLvl w:val="2"/>
      </w:pPr>
      <w:r>
        <w:rPr>
          <w:rFonts w:ascii="黑体" w:hAnsi="黑体" w:eastAsia="黑体"/>
          <w:sz w:val="32"/>
        </w:rPr>
        <w:t>六、一般公共预算财政拨款基本支出决算情况说明</w:t>
      </w:r>
    </w:p>
    <w:p>
      <w:pPr>
        <w:spacing w:line="580" w:lineRule="exact"/>
        <w:ind w:firstLine="640"/>
        <w:jc w:val="both"/>
      </w:pPr>
      <w:r>
        <w:rPr>
          <w:rFonts w:ascii="仿宋_GB2312" w:hAnsi="仿宋_GB2312" w:eastAsia="仿宋_GB2312"/>
          <w:b w:val="0"/>
          <w:sz w:val="32"/>
        </w:rPr>
        <w:t>2024年度一般公共预算财政拨款基本支出1,044.17万元，其中：</w:t>
      </w:r>
      <w:r>
        <w:rPr>
          <w:rFonts w:ascii="仿宋_GB2312" w:hAnsi="仿宋_GB2312" w:eastAsia="仿宋_GB2312"/>
          <w:b/>
          <w:sz w:val="32"/>
        </w:rPr>
        <w:t>人员经费947.60万元，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包括：基本工资、津贴补贴、奖金、绩效工资、机关事业单位基本养老保险缴费、职业年金缴费、职工基本医疗保险缴费、公务员医疗补助缴费、其他社会保障缴费、住房公积金、退休费、抚恤金、生活补助。</w:t>
      </w:r>
    </w:p>
    <w:p>
      <w:pPr>
        <w:spacing w:line="580" w:lineRule="exact"/>
        <w:ind w:firstLine="640"/>
        <w:jc w:val="both"/>
      </w:pPr>
      <w:r>
        <w:rPr>
          <w:rFonts w:ascii="仿宋_GB2312" w:hAnsi="仿宋_GB2312" w:eastAsia="仿宋_GB2312"/>
          <w:b/>
          <w:sz w:val="32"/>
        </w:rPr>
        <w:t>公用经费96.57万元，</w:t>
      </w:r>
      <w:r>
        <w:rPr>
          <w:rFonts w:ascii="仿宋_GB2312" w:hAnsi="仿宋_GB2312" w:eastAsia="仿宋_GB2312"/>
          <w:b w:val="0"/>
          <w:sz w:val="32"/>
        </w:rPr>
        <w:t>包括：办公费、手续费、水费、电费、邮电费、取暖费、物业管理费、差旅费、维修（护）费、培训费、劳务费、委托业务费、工会经费、福利费、公务用车运行维护费、其他商品和服务支出。</w:t>
      </w:r>
    </w:p>
    <w:p>
      <w:pPr>
        <w:spacing w:line="640" w:lineRule="exact"/>
        <w:ind w:firstLine="640"/>
        <w:jc w:val="both"/>
        <w:outlineLvl w:val="2"/>
      </w:pPr>
      <w:r>
        <w:rPr>
          <w:rFonts w:ascii="黑体" w:hAnsi="黑体" w:eastAsia="黑体"/>
          <w:sz w:val="32"/>
        </w:rPr>
        <w:t>七、政府性基金预算财政拨款收入支出决算情况说明</w:t>
      </w:r>
    </w:p>
    <w:p>
      <w:pPr>
        <w:spacing w:line="580" w:lineRule="exact"/>
        <w:ind w:firstLine="640"/>
        <w:jc w:val="both"/>
      </w:pPr>
      <w:r>
        <w:rPr>
          <w:rFonts w:ascii="仿宋_GB2312" w:hAnsi="仿宋_GB2312" w:eastAsia="仿宋_GB2312"/>
          <w:b w:val="0"/>
          <w:sz w:val="32"/>
        </w:rPr>
        <w:t>本部门本年度无政府性基金预算财政拨款收入、支出及结转和结余，政府性基金预算财政拨款收入支出决算表为空表。</w:t>
      </w:r>
    </w:p>
    <w:p>
      <w:pPr>
        <w:spacing w:line="640" w:lineRule="exact"/>
        <w:ind w:firstLine="640"/>
        <w:jc w:val="both"/>
        <w:outlineLvl w:val="2"/>
      </w:pPr>
      <w:r>
        <w:rPr>
          <w:rFonts w:ascii="黑体" w:hAnsi="黑体" w:eastAsia="黑体"/>
          <w:sz w:val="32"/>
        </w:rPr>
        <w:t>八、国有资本经营预算财政拨款收入支出决算情况说明</w:t>
      </w:r>
    </w:p>
    <w:p>
      <w:pPr>
        <w:spacing w:line="580" w:lineRule="exact"/>
        <w:ind w:firstLine="640"/>
        <w:jc w:val="both"/>
      </w:pPr>
      <w:r>
        <w:rPr>
          <w:rFonts w:ascii="仿宋_GB2312" w:hAnsi="仿宋_GB2312" w:eastAsia="仿宋_GB2312"/>
          <w:b w:val="0"/>
          <w:sz w:val="32"/>
        </w:rPr>
        <w:t>本部门本年度无国有资本经营预算财政拨款收入、支出及结转和结余，国有资本经营预算财政拨款收入支出决算表为空表。</w:t>
      </w:r>
    </w:p>
    <w:p>
      <w:pPr>
        <w:spacing w:line="640" w:lineRule="exact"/>
        <w:ind w:firstLine="640"/>
        <w:jc w:val="both"/>
        <w:outlineLvl w:val="2"/>
      </w:pPr>
      <w:r>
        <w:rPr>
          <w:rFonts w:ascii="黑体" w:hAnsi="黑体" w:eastAsia="黑体"/>
          <w:sz w:val="32"/>
        </w:rPr>
        <w:t>九、财政拨款“三公”经费支出决算情况说明</w:t>
      </w:r>
    </w:p>
    <w:p>
      <w:pPr>
        <w:spacing w:line="580" w:lineRule="exact"/>
        <w:ind w:firstLine="640"/>
        <w:jc w:val="both"/>
      </w:pPr>
      <w:r>
        <w:rPr>
          <w:rFonts w:ascii="仿宋_GB2312" w:hAnsi="仿宋_GB2312" w:eastAsia="仿宋_GB2312"/>
          <w:b/>
          <w:sz w:val="32"/>
        </w:rPr>
        <w:t>2024年度财政拨款“三公”经费支出8.30万元，</w:t>
      </w:r>
      <w:r>
        <w:rPr>
          <w:rFonts w:ascii="仿宋_GB2312" w:hAnsi="仿宋_GB2312" w:eastAsia="仿宋_GB2312"/>
          <w:b w:val="0"/>
          <w:sz w:val="32"/>
        </w:rPr>
        <w:t>比上年增加0.92万元，增长12.47%，主要原因是：本部门公务用车日渐老化，维修维护成本增加，导致公务用车运行维护费较上年增加。</w:t>
      </w:r>
      <w:r>
        <w:rPr>
          <w:rFonts w:ascii="仿宋_GB2312" w:hAnsi="仿宋_GB2312" w:eastAsia="仿宋_GB2312"/>
          <w:b w:val="0"/>
          <w:sz w:val="32"/>
        </w:rPr>
        <w:t>其中：因公出国（境）费支出0.00万元，占0.00%，比上年增加0.00万元，增长0.00%，主要原因是：2023年与2024年均未安排因公出国（境）费支出。</w:t>
      </w:r>
      <w:r>
        <w:rPr>
          <w:rFonts w:ascii="仿宋_GB2312" w:hAnsi="仿宋_GB2312" w:eastAsia="仿宋_GB2312"/>
          <w:b w:val="0"/>
          <w:sz w:val="32"/>
        </w:rPr>
        <w:t>公务用车购置及运行维护费支出8.30万元，占100.00%，比上年增加0.92万元，增长12.47%，主要原因是：本部门公务用车日渐老化，维修维护成本增加，导致公务用车运行维护费较上年增加。</w:t>
      </w:r>
      <w:r>
        <w:rPr>
          <w:rFonts w:ascii="仿宋_GB2312" w:hAnsi="仿宋_GB2312" w:eastAsia="仿宋_GB2312"/>
          <w:b w:val="0"/>
          <w:sz w:val="32"/>
        </w:rPr>
        <w:t>公务接待费支出0.00万元，占0.00%，比上年增加0.00万元，增长0.00%，主要原因是：2023年与2024年均未安排公务接待费支出。</w:t>
      </w:r>
    </w:p>
    <w:p>
      <w:pPr>
        <w:spacing w:line="580" w:lineRule="exact"/>
        <w:ind w:firstLine="640"/>
        <w:jc w:val="both"/>
      </w:pPr>
      <w:r>
        <w:rPr>
          <w:rFonts w:ascii="仿宋_GB2312" w:hAnsi="仿宋_GB2312" w:eastAsia="仿宋_GB2312"/>
          <w:b/>
          <w:sz w:val="32"/>
        </w:rPr>
        <w:t>具体情况如下：</w:t>
      </w:r>
    </w:p>
    <w:p>
      <w:pPr>
        <w:spacing w:line="580" w:lineRule="exact"/>
        <w:ind w:firstLine="640"/>
        <w:jc w:val="both"/>
      </w:pPr>
      <w:r>
        <w:rPr>
          <w:rFonts w:ascii="仿宋_GB2312" w:hAnsi="仿宋_GB2312" w:eastAsia="仿宋_GB2312"/>
          <w:b w:val="0"/>
          <w:sz w:val="32"/>
        </w:rPr>
        <w:t>因公出国（境）费支出0.00万元，开支内容包括本部门无因公出国（境）费。部门全年安排的因公出国（境）团组0个，因公出国（境）0人次。</w:t>
      </w:r>
    </w:p>
    <w:p>
      <w:pPr>
        <w:spacing w:line="580" w:lineRule="exact"/>
        <w:ind w:firstLine="640"/>
        <w:jc w:val="both"/>
      </w:pPr>
      <w:r>
        <w:rPr>
          <w:rFonts w:ascii="仿宋_GB2312" w:hAnsi="仿宋_GB2312" w:eastAsia="仿宋_GB2312"/>
          <w:b w:val="0"/>
          <w:sz w:val="32"/>
        </w:rPr>
        <w:t>公务用车购置及运行维护费8.30万元，其中：公务用车购置费0.00万元，公务用车运行维护费8.30万元。公务用车运行维护费开支内容包括车辆维修费、保险费、加油费。公务用车购置数0辆，公务用车保有量6辆。国有资产占用情况中固定资产车辆6辆，与公务用车保有量差异原因是：本部门固定资产车辆与公务用车保有量一致无差异。</w:t>
      </w:r>
    </w:p>
    <w:p>
      <w:pPr>
        <w:spacing w:line="580" w:lineRule="exact"/>
        <w:ind w:firstLine="640"/>
        <w:jc w:val="both"/>
      </w:pPr>
      <w:r>
        <w:rPr>
          <w:rFonts w:ascii="仿宋_GB2312" w:hAnsi="仿宋_GB2312" w:eastAsia="仿宋_GB2312"/>
          <w:b w:val="0"/>
          <w:sz w:val="32"/>
        </w:rPr>
        <w:t>公务接待费0.00万元，开支内容包括本部门无公务接待费。部门全年安排的国内公务接待0批次，0人次。</w:t>
      </w:r>
    </w:p>
    <w:p>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8.30万元，决算数8.30万元，预决算差异率0.00%，主要原因是：严格按照预算执行，预决算无差异。其中：因公出国（境）费全年预算数0.00万元，决算数0.00万元，预决算差异率0.00%，主要原因是：本部门无因公出国（境）费。公务用车购置费全年预算数0.00万元，决算数0.00万元，预决算差异率0.00%，主要原因是：本部门无公务用车购置费。公务用车运行维护费全年预算数8.30万元，决算数8.30万元，预决算差异率0.00%，主要原因是：严格按照预算执行，预决算无差异。公务接待费全年预算数0.00万元，决算数0.00万元，预决算差异率0.00%，主要原因是：本部门无公务接待费。</w:t>
      </w:r>
    </w:p>
    <w:p>
      <w:pPr>
        <w:spacing w:line="640" w:lineRule="exact"/>
        <w:ind w:firstLine="640"/>
        <w:jc w:val="both"/>
        <w:outlineLvl w:val="2"/>
      </w:pPr>
      <w:r>
        <w:rPr>
          <w:rFonts w:ascii="黑体" w:hAnsi="黑体" w:eastAsia="黑体"/>
          <w:sz w:val="32"/>
        </w:rPr>
        <w:t>十、其他重要事项的情况说明</w:t>
      </w:r>
    </w:p>
    <w:p>
      <w:pPr>
        <w:spacing w:line="640" w:lineRule="exact"/>
        <w:ind w:firstLine="640"/>
        <w:jc w:val="both"/>
        <w:outlineLvl w:val="3"/>
      </w:pPr>
      <w:r>
        <w:rPr>
          <w:rFonts w:ascii="楷体_GB2312" w:hAnsi="楷体_GB2312" w:eastAsia="楷体_GB2312"/>
          <w:b/>
          <w:sz w:val="32"/>
        </w:rPr>
        <w:t>（一）机关运行经费及公用经费支出情况</w:t>
      </w:r>
    </w:p>
    <w:p>
      <w:pPr>
        <w:spacing w:line="580" w:lineRule="exact"/>
        <w:ind w:firstLine="640"/>
        <w:jc w:val="both"/>
      </w:pPr>
      <w:r>
        <w:rPr>
          <w:rFonts w:ascii="仿宋_GB2312" w:hAnsi="仿宋_GB2312" w:eastAsia="仿宋_GB2312"/>
          <w:b w:val="0"/>
          <w:sz w:val="32"/>
        </w:rPr>
        <w:t>2024年度乌鲁木齐市科学技术协会（部门）（行政单位和参照公务员法管理事业单位）机关运行经费支出29.18万元，比上年减少6.16万元，下降17.43%，主要原因是：严格控制经费，合理节约办公用品，减少不必要开支。</w:t>
      </w:r>
    </w:p>
    <w:p>
      <w:pPr>
        <w:spacing w:line="580" w:lineRule="exact"/>
        <w:ind w:firstLine="640"/>
        <w:jc w:val="both"/>
      </w:pPr>
      <w:r>
        <w:rPr>
          <w:rFonts w:ascii="仿宋_GB2312" w:hAnsi="仿宋_GB2312" w:eastAsia="仿宋_GB2312"/>
          <w:b w:val="0"/>
          <w:sz w:val="32"/>
        </w:rPr>
        <w:t>2024年度乌鲁木齐市科学技术协会（部门）（事业单位）公用经费支出67.39万元，比上年减少0.75万元，下降1.10%，主要原因是：严格控制公用经费，合理节约办公用品，减少不必要开支。</w:t>
      </w:r>
    </w:p>
    <w:p>
      <w:pPr>
        <w:spacing w:line="640" w:lineRule="exact"/>
        <w:ind w:firstLine="640"/>
        <w:jc w:val="both"/>
        <w:outlineLvl w:val="3"/>
      </w:pPr>
      <w:r>
        <w:rPr>
          <w:rFonts w:ascii="楷体_GB2312" w:hAnsi="楷体_GB2312" w:eastAsia="楷体_GB2312"/>
          <w:b/>
          <w:sz w:val="32"/>
        </w:rPr>
        <w:t>（二）政府采购情况</w:t>
      </w:r>
    </w:p>
    <w:p>
      <w:pPr>
        <w:spacing w:line="580" w:lineRule="exact"/>
        <w:ind w:firstLine="640"/>
        <w:jc w:val="both"/>
      </w:pPr>
      <w:r>
        <w:rPr>
          <w:rFonts w:ascii="仿宋_GB2312" w:hAnsi="仿宋_GB2312" w:eastAsia="仿宋_GB2312"/>
          <w:b w:val="0"/>
          <w:sz w:val="32"/>
        </w:rPr>
        <w:t>2024年度政府采购支出总额136.85万元，其中：政府采购货物支出1.66万元、政府采购工程支出0.00万元、政府采购服务支出135.19万元。</w:t>
      </w:r>
    </w:p>
    <w:p>
      <w:pPr>
        <w:spacing w:line="580" w:lineRule="exact"/>
        <w:ind w:firstLine="640"/>
        <w:jc w:val="both"/>
      </w:pPr>
      <w:r>
        <w:rPr>
          <w:rFonts w:ascii="仿宋_GB2312" w:hAnsi="仿宋_GB2312" w:eastAsia="仿宋_GB2312"/>
          <w:b w:val="0"/>
          <w:sz w:val="32"/>
        </w:rPr>
        <w:t>授予中小企业合同金额136.48万元，占政府采购支出总额的99.73%，其中：授予小微企业合同金额136.48万元，占政府采购支出总额的99.73%。</w:t>
      </w:r>
    </w:p>
    <w:p>
      <w:pPr>
        <w:spacing w:line="640" w:lineRule="exact"/>
        <w:ind w:firstLine="640"/>
        <w:jc w:val="both"/>
        <w:outlineLvl w:val="3"/>
      </w:pPr>
      <w:r>
        <w:rPr>
          <w:rFonts w:ascii="楷体_GB2312" w:hAnsi="楷体_GB2312" w:eastAsia="楷体_GB2312"/>
          <w:b/>
          <w:sz w:val="32"/>
        </w:rPr>
        <w:t>（三）国有资产占用情况说明</w:t>
      </w:r>
    </w:p>
    <w:p>
      <w:pPr>
        <w:spacing w:line="580" w:lineRule="exact"/>
        <w:ind w:firstLine="640"/>
        <w:jc w:val="both"/>
      </w:pPr>
      <w:r>
        <w:rPr>
          <w:rFonts w:ascii="仿宋_GB2312" w:hAnsi="仿宋_GB2312" w:eastAsia="仿宋_GB2312"/>
          <w:b w:val="0"/>
          <w:sz w:val="32"/>
        </w:rPr>
        <w:t>截至2024年12月31日，房屋0.00平方米，价值0.00万元。车辆6辆，价值154.76万元，其中：副部（省）级及以上领导用车0辆、主要负责人用车0辆、机要通信用车0辆、应急保障用车0辆、执法执勤用车0辆、特种专业技术用车0辆、离退休干部服务用车0辆、其他用车6辆，其他用车主要是：编制内一般公务用车。单价100万元（含）以上设备（不含车辆）0台（套）。</w:t>
      </w:r>
    </w:p>
    <w:p>
      <w:pPr>
        <w:spacing w:line="640" w:lineRule="exact"/>
        <w:ind w:firstLine="640"/>
        <w:jc w:val="both"/>
        <w:outlineLvl w:val="2"/>
      </w:pPr>
      <w:r>
        <w:rPr>
          <w:rFonts w:ascii="黑体" w:hAnsi="黑体" w:eastAsia="黑体"/>
          <w:sz w:val="32"/>
        </w:rPr>
        <w:t>十一、预算绩效的情况说明</w:t>
      </w:r>
    </w:p>
    <w:p>
      <w:pPr>
        <w:spacing w:line="580" w:lineRule="exact"/>
        <w:ind w:firstLine="640"/>
        <w:jc w:val="both"/>
      </w:pPr>
      <w:r>
        <w:rPr>
          <w:rFonts w:ascii="仿宋_GB2312" w:hAnsi="仿宋_GB2312" w:eastAsia="仿宋_GB2312"/>
          <w:b w:val="0"/>
          <w:sz w:val="32"/>
        </w:rPr>
        <w:t>根据预算绩效管理要求，本部门2024年度预算绩效管理形成整体支出绩效自评表1个，全年预算总额1,368.01万元，实际执行总额1,362.97万元；预算绩效评价项目8个，全年预算数287.46万元，全年执行数283.86万元。预算绩效管理取得的成效：一是严格坚持了先做事、后验收、再拨付的原则，基本杜绝了资金被挤占和挪用现象的发生，跟踪检查到位；二是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发现的问题及原因：一是绩效各环节任务下发至财务，由财务主要负责绩效相关工作，实施项目业务部门权责不明晰；二是预算编制合理性、前瞻性的问题。预算编制合理性相对不足，主要表现在预算调整数较大，年度目标与长期规划衔接的紧密程度需要增强。下一步改进措施：一是加强对绩效管理工作的组织领导，完善绩效评价管理办法，强化绩效工作考核制度；二是加大全局对实施预算绩效管理和绩效管理工作的学习力度，让“花钱必问效，无效必问责”的理念深入项目工作每个环节。具体附部门整体支出绩效自评表，项目支出绩效自评表和部门评价报告。</w:t>
      </w:r>
    </w:p>
    <w:p>
      <w:r>
        <w:br w:type="page"/>
      </w:r>
    </w:p>
    <w:tbl>
      <w:tblPr>
        <w:tblW w:type="auto" w:w="0"/>
        <w:tblLook w:firstColumn="1" w:firstRow="1" w:lastColumn="0" w:lastRow="0" w:noHBand="0" w:noVBand="1" w:val="04A0"/>
      </w:tblPr>
      <w:tblGrid>
        <w:gridCol w:w="1105"/>
        <w:gridCol w:w="1105"/>
        <w:gridCol w:w="1105"/>
        <w:gridCol w:w="1105"/>
        <w:gridCol w:w="1105"/>
        <w:gridCol w:w="1105"/>
        <w:gridCol w:w="1105"/>
        <w:gridCol w:w="1105"/>
      </w:tblGrid>
      <w:tr>
        <w:tc>
          <w:tcPr>
            <w:tcW w:type="dxa" w:w="8840"/>
            <w:gridSpan w:val="8"/>
            <w:vAlign w:val="center"/>
          </w:tcPr>
          <w:p>
            <w:pPr>
              <w:jc w:val="center"/>
            </w:pPr>
            <w:r>
              <w:rPr>
                <w:rFonts w:ascii="宋体" w:hAnsi="宋体" w:eastAsia="宋体"/>
                <w:sz w:val="24"/>
              </w:rPr>
              <w:t>部门整体支出绩效自评表</w:t>
            </w:r>
          </w:p>
        </w:tc>
      </w:tr>
      <w:tr>
        <w:tc>
          <w:tcPr>
            <w:tcW w:type="dxa" w:w="8840"/>
            <w:gridSpan w:val="8"/>
            <w:vAlign w:val="center"/>
          </w:tcPr>
          <w:p>
            <w:pPr>
              <w:jc w:val="center"/>
            </w:pPr>
            <w:r>
              <w:rPr>
                <w:rFonts w:ascii="宋体" w:hAnsi="宋体" w:eastAsia="宋体"/>
                <w:sz w:val="24"/>
              </w:rPr>
              <w:t>（2024年度）</w:t>
            </w:r>
          </w:p>
        </w:tc>
      </w:tr>
      <w:tr>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部门名称</w:t>
            </w:r>
          </w:p>
        </w:tc>
        <w:tc>
          <w:tcPr>
            <w:tcW w:type="dxa" w:w="7735"/>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乌鲁木齐市科学技术协会（部门）</w:t>
            </w:r>
          </w:p>
        </w:tc>
      </w:tr>
      <w:tr>
        <w:tc>
          <w:tcPr>
            <w:tcW w:type="dxa" w:w="1105"/>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部门资金（万元）</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资金来源</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1105"/>
            <w:vMerge/>
            <w:tcBorders>
              <w:start w:sz="10" w:val="single"/>
              <w:top w:sz="10" w:val="single"/>
              <w:end w:sz="10" w:val="single"/>
              <w:bottom w:sz="10" w:val="single"/>
              <w:insideV w:sz="10" w:val="single"/>
            </w:tcBorders>
          </w:tcP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年度总资金</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1,632.63</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1,368.01</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1,362.97</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99.63%</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9.96</w:t>
            </w:r>
          </w:p>
        </w:tc>
      </w:tr>
      <w:tr>
        <w:tc>
          <w:tcPr>
            <w:tcW w:type="dxa" w:w="1105"/>
            <w:vMerge/>
            <w:tcBorders>
              <w:start w:sz="10" w:val="single"/>
              <w:top w:sz="10" w:val="single"/>
              <w:end w:sz="10" w:val="single"/>
              <w:bottom w:sz="10" w:val="single"/>
              <w:insideV w:sz="10" w:val="single"/>
            </w:tcBorders>
          </w:tcP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上级资金（万元）</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303.00</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128.16</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124.56</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1105"/>
            <w:vMerge/>
            <w:tcBorders>
              <w:start w:sz="10" w:val="single"/>
              <w:top w:sz="10" w:val="single"/>
              <w:end w:sz="10" w:val="single"/>
              <w:bottom w:sz="10" w:val="single"/>
              <w:insideV w:sz="10" w:val="single"/>
            </w:tcBorders>
          </w:tcP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本级资金（万元）</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1,112.98</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1,205.23</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1,203.79</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1105"/>
            <w:vMerge/>
            <w:tcBorders>
              <w:start w:sz="10" w:val="single"/>
              <w:top w:sz="10" w:val="single"/>
              <w:end w:sz="10" w:val="single"/>
              <w:bottom w:sz="10" w:val="single"/>
              <w:insideV w:sz="10" w:val="single"/>
            </w:tcBorders>
          </w:tcP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其他资金（万元）</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216.65</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34.62</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34.62</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1105"/>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3315"/>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420"/>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实际完成目标</w:t>
            </w:r>
          </w:p>
        </w:tc>
      </w:tr>
      <w:tr>
        <w:tc>
          <w:tcPr>
            <w:tcW w:type="dxa" w:w="1105"/>
            <w:vMerge/>
            <w:tcBorders>
              <w:start w:sz="10" w:val="single"/>
              <w:top w:sz="10" w:val="single"/>
              <w:end w:sz="10" w:val="single"/>
              <w:bottom w:sz="10" w:val="single"/>
              <w:insideV w:sz="10" w:val="single"/>
            </w:tcBorders>
          </w:tcPr>
          <w:p/>
        </w:tc>
        <w:tc>
          <w:tcPr>
            <w:tcW w:type="dxa" w:w="3315"/>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一充分发挥科学技术普及主力军的作用，动员社会各方面的力量，弘扬科学精神，普及科学知识，推广先进技术，传播科学思想和科学方法，捍卫科学尊严，提高全民科学素质。扩大科普工作影响力和覆盖面，加强阵地建设。进一步提高科技工作者服务能力。二是注重激发青少年科技兴趣，发现培养杰出青年科学家和创新团队，表彰、宣传优秀科技工作者，推荐优秀科技人才；开展科技工作者的继续教育和培训工作，举办乌鲁木齐市青少年创新大赛，承办自治区第38届青少年创新大赛。三是负责指导科普设施、场所的规划、管理；负责指导科普工作队伍建设工作；负责指导有关社会团体工作。打造极具特色的科技场馆，多层面培养科普辅导员，使科技馆教育活动更具特色魅力。</w:t>
            </w:r>
          </w:p>
        </w:tc>
        <w:tc>
          <w:tcPr>
            <w:tcW w:type="dxa" w:w="4420"/>
            <w:gridSpan w:val="4"/>
            <w:tcBorders>
              <w:start w:sz="10" w:val="single"/>
              <w:top w:sz="10" w:val="single"/>
              <w:end w:sz="10" w:val="single"/>
              <w:bottom w:sz="10" w:val="single"/>
              <w:insideV w:sz="10" w:val="single"/>
            </w:tcBorders>
            <w:vAlign w:val="center"/>
          </w:tcPr>
          <w:p>
            <w:pPr>
              <w:jc w:val="both"/>
            </w:pPr>
            <w:r>
              <w:rPr>
                <w:rFonts w:ascii="宋体" w:hAnsi="宋体" w:eastAsia="宋体"/>
                <w:sz w:val="16"/>
              </w:rPr>
              <w:t>科学知识普及方面：积极开展科普活动进乡村、社区、学校等各类活动，依托“科普大篷车”和“科普小分队”开展“科普大篷车基层行”活动，利用市科技馆阵地，开展展教活动，普及科学知识。促进学科发展，推进创新体系建设。</w:t>
              <w:br/>
              <w:br/>
              <w:t>青少年科技兴趣方面：通过积极开展青少年科技创新活动，做好科学教育“加法”。组织开展第八个全国科技工作者日暨乌鲁木齐市第22个科普活动月系列活动、承办第十三届新疆青少年科学嘉年华活动等活动，</w:t>
              <w:br/>
              <w:br/>
              <w:t>指导科普设施建设方面：协助成立院士工作站、协同创新中心，开展市属学协会（研究会）工作座谈会、通过做好人才举荐工作，加强企业科协组织建设，扩大企业科协覆盖面，传播科学思想和科学方法，捍卫科学尊严，提高全民科学素质。</w:t>
            </w:r>
          </w:p>
        </w:tc>
      </w:tr>
      <w:tr>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预期指标值</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实际完成指标值</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1105"/>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履职效能</w:t>
            </w:r>
          </w:p>
        </w:tc>
        <w:tc>
          <w:tcPr>
            <w:tcW w:type="dxa" w:w="1105"/>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成立科普基地</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&gt;=5个</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《乌鲁木齐市科学技术协会领导班子2023年度工作报告》</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0个</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r>
      <w:tr>
        <w:tc>
          <w:tcPr>
            <w:tcW w:type="dxa" w:w="1105"/>
            <w:vMerge/>
            <w:tcBorders>
              <w:start w:sz="10" w:val="single"/>
              <w:top w:sz="10" w:val="single"/>
              <w:end w:sz="10" w:val="single"/>
              <w:bottom w:sz="10" w:val="single"/>
              <w:insideV w:sz="10" w:val="single"/>
            </w:tcBorders>
          </w:tcPr>
          <w:p/>
        </w:tc>
        <w:tc>
          <w:tcPr>
            <w:tcW w:type="dxa" w:w="1105"/>
            <w:vMerge/>
            <w:tcBorders>
              <w:start w:sz="10" w:val="single"/>
              <w:top w:sz="10" w:val="single"/>
              <w:end w:sz="10" w:val="single"/>
              <w:bottom w:sz="10" w:val="single"/>
              <w:insideV w:sz="10" w:val="single"/>
            </w:tcBorders>
          </w:tcP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组织科技竞赛次数</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&gt;=3场次</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《乌鲁木齐市科学技术协会领导班子2023年度工作报告》</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6场次</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r>
      <w:tr>
        <w:tc>
          <w:tcPr>
            <w:tcW w:type="dxa" w:w="1105"/>
            <w:vMerge/>
            <w:tcBorders>
              <w:start w:sz="10" w:val="single"/>
              <w:top w:sz="10" w:val="single"/>
              <w:end w:sz="10" w:val="single"/>
              <w:bottom w:sz="10" w:val="single"/>
              <w:insideV w:sz="10" w:val="single"/>
            </w:tcBorders>
          </w:tcPr>
          <w:p/>
        </w:tc>
        <w:tc>
          <w:tcPr>
            <w:tcW w:type="dxa" w:w="1105"/>
            <w:vMerge/>
            <w:tcBorders>
              <w:start w:sz="10" w:val="single"/>
              <w:top w:sz="10" w:val="single"/>
              <w:end w:sz="10" w:val="single"/>
              <w:bottom w:sz="10" w:val="single"/>
              <w:insideV w:sz="10" w:val="single"/>
            </w:tcBorders>
          </w:tcP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科普进乡村、社区、学校等开展次数</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&gt;=15次</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《乌鲁木齐市科学技术协会领导班子2023年度工作报告》</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15次</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r>
    </w:tbl>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项目支出绩效自评表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科普经费</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乌鲁木齐市科学技术协会</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932"/>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乌鲁木齐市科学技术协会</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 （万元）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106.85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60.35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60.35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106.85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60.35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60.35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1、推动科普文化传播，通过开展科普宣传活动、媒介传播和普及科学知识，展示科技成果。2.、开展科技辅导员培训。引导社会多元主体参与科普宣传。3、开展科技工作者慰问工作。建立科技工作者之间的纽带。</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1、通过开展科普活动推动科普文化传播，展示科技成果；2、开展科技辅导员培训场次1场；3、完成年初设定科技工作者慰问，人次达462人次。</w:t>
            </w:r>
          </w:p>
        </w:tc>
      </w:tr>
      <w:tr>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年度指标值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科技工作者慰问人数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&gt;=510人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=462人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4.53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因慰问负责人lz,部分慰问品暂无下落，导致未完成预定慰问人数。</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科普宣传、科技成果展示与媒体合作数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当年开展各类科普活动的次数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&gt;=6场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融媒体发布科普内容及时性</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&lt;=24小时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=10小时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开展各类科普活动参与人数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&gt;=5000人次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=8000人次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科普活动种类较多，且主场活动在商超，人流量不固定，参与人数较多导致与预定目标值存在较大偏差。</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科技工作者慰问行业领域覆盖率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&gt;=5个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各种科普活动服务费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&lt;=15.35万元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=15.35万元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科技工作者慰问成本</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&lt;=15万元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=14.99万元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融媒体宣传服务费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&lt;=30万元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=29.5万元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6.88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不断提高公民科学素质比例</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不断提高</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完全达到预期</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群众满意度</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活动开展参与群众满意度较高，导致存在小幅偏差。</w:t>
            </w:r>
          </w:p>
        </w:tc>
      </w:tr>
      <w:tr>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99.41分</w:t>
            </w:r>
          </w:p>
        </w:tc>
        <w:tc>
          <w:tcPr>
            <w:tcW w:type="dxa" w:w="983"/>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项目支出绩效自评表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老年科技工作者协会活动经费</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乌鲁木齐市科学技术协会</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932"/>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乌鲁木齐市科学技术协会</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 （万元）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1、赴社区、农村牧区、企业开展科普讲座、健康义诊及现场培训服务35场，受益群体满意度达到100%.</w:t>
              <w:br/>
              <w:t>2、贯彻国务院《全民科学素质纲要2021-2035年》，举办智慧助老城乡老年群体参与的科普讲座10次，参加学习的老年人满意率100%。</w:t>
              <w:br/>
              <w:t>3、乌鲁木齐老科协“老科大”分校组织参加“老科大”科普视频讲座20场，满意度达到95%。</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在自治区老科协、市科协党组领导下，赴社区、农村牧区、企业开展科普讲座、健康义诊及现场培训服务，本年开展场次达到37场次；在科技助力乡村振兴、助力企业科技创新和科学健康服务、提高老年群体和青少年科学素质科学普及等方面积极开展各类活动，举办智慧助老城乡老年群体参与的科普讲座及乌鲁木齐老科协“老科大”组织科普讲座31场。同时按照自治区老科协工作安排，合规使用项目经费中的差旅费、劳务费，较为圆满地完成本年工作任务。</w:t>
            </w:r>
          </w:p>
        </w:tc>
      </w:tr>
      <w:tr>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年度指标值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开展科普讲座科技培训场次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&gt;=35场次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=37场次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根据工作安排，本年着重发展乌鲁木齐县科普传播，科普讲座讲师在乌鲁木齐县场次增加，导致存在偏差率。</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老年科技大学教学参学场次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&gt;=20场次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=31场次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本年根据实际工作安排，考虑为老年科技大学实施惠民，与医科大学附属医院进行长期合作协商，增加了教学场次，故产生偏差率。</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科普讲座培训考核合格率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=97.3%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科普讲座培训为公益性质，旨在惠民普及科普知识，考核较为人性化，导致培训考核合格率较设定目标存在一定偏差。</w:t>
            </w:r>
          </w:p>
        </w:tc>
      </w:tr>
      <w:tr>
        <w:tc>
          <w:tcPr>
            <w:tcW w:type="dxa" w:w="983"/>
            <w:vMerge/>
            <w:tcBorders>
              <w:start w:sz="10" w:val="single"/>
              <w:top w:sz="10" w:val="single"/>
              <w:end w:sz="10" w:val="single"/>
              <w:bottom w:sz="10" w:val="single"/>
              <w:insideV w:sz="10" w:val="single"/>
            </w:tcBorders>
          </w:tcP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聘请人员劳务费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&lt;=60000元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=60000元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科普培训支出及差旅费成本</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&lt;=40000元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=40000元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提高老年群体科学素质</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不断提高</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不断提高</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群众满意度（%）</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因科普讲座受益人群对科普培训满意度较高，导致存在偏差率。</w:t>
            </w:r>
          </w:p>
        </w:tc>
      </w:tr>
      <w:tr>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983"/>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项目支出绩效自评表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自治区2024年“基层科普行动计划”</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乌鲁木齐市科学技术协会</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932"/>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乌鲁木齐市科学技术协会</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 （万元）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46.40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92.80%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9.28分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46.40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举办科普讲座4场次；制作科普视频或科普创作作品2条；开展融媒体平台深入合作1次；奖补科普教育基地15个；奖补青少年科技活动特色学校11个。</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br/>
              <w:t>开展青创赛暨成果展示活动；制作科普视频2条；开展融媒体平台深入合作1次；奖补科普教育基地15个；奖补青少年科技活动特色学校10个。</w:t>
            </w:r>
          </w:p>
        </w:tc>
      </w:tr>
      <w:tr>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年度指标值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当年开展各类科普活动的次数。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&gt;=4次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创作高质量科普视频数量</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通过多方比对选择了报价合适的供应商，提升财政资金使用效率，原定资金拍摄数量增加，导致存在小幅提升。</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奖补科普教育基地数量</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&gt;=15个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=14个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4.67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根据工作实际开展情况，符合评选标准的科普教育基地数量为14个，导致存在小幅偏差。</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青少年科技活动特色学校奖补先进集体数量</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&gt;=11个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4.55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根据工作实际开展情况，符合评选标准的先进集体数量为10个，导致存在小幅偏差。</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科技特色学校评选合格率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=90.91%</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有针对性的进行了先筛选后评选，导致合格率存在小幅偏差。</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科普活动完成率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实际开展工作过程安排科普活动次数4次，导致与设定完成率存在偏差。</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科普教育基评选合格率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=93.33%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有针对性的进行了先筛选后评选，导致合格率存在小幅偏差。</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科普视频制作验收合格率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因视频拍摄较好，验收合格，导致存在小幅偏差。</w:t>
            </w:r>
          </w:p>
        </w:tc>
      </w:tr>
      <w:tr>
        <w:tc>
          <w:tcPr>
            <w:tcW w:type="dxa" w:w="983"/>
            <w:vMerge/>
            <w:tcBorders>
              <w:start w:sz="10" w:val="single"/>
              <w:top w:sz="10" w:val="single"/>
              <w:end w:sz="10" w:val="single"/>
              <w:bottom w:sz="10" w:val="single"/>
              <w:insideV w:sz="10" w:val="single"/>
            </w:tcBorders>
          </w:tcP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举办科普讲座</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&gt;=2万元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本年因实际工作安排，未开展科普讲座，,此项支出为0，导致成本指标存在偏差。</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奖补科普教育基地15个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&gt;=15万元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青少年科技活动特色学校奖补先进集体11个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&gt;=11万元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2.73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根据实际评选要求，评选出先进集体数量为10个，导致与年初设定目标值存在偏差。</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开发创作高质量科普视频或科普创作作品1个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&gt;=22万元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=22万元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科普活动公众参与率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不断提高</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完全达到预期</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受益群众满意度（%）</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=96.4%</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根据受益群众反馈，群众满意度较高，导致与设定值存在小幅偏差。</w:t>
            </w:r>
          </w:p>
        </w:tc>
      </w:tr>
      <w:tr>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91.23分</w:t>
            </w:r>
          </w:p>
        </w:tc>
        <w:tc>
          <w:tcPr>
            <w:tcW w:type="dxa" w:w="983"/>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项目支出绩效自评表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物业管理费</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乌鲁木齐市科学技术协会</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932"/>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乌鲁木齐市科普服务中心（乌鲁木齐市科技咨询服务中心）</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 （万元）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3.26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3.26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3.26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3.26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3.26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3.26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按时支付保安公司月保安服务费2717元，年服务费共计3.26万元，确保1名保安人员定期12小时在岗值班，有效防范和应对突发事件，避免正常工作日及节假日期间安全灾害事故发生，提高办公楼安全水平，保障我单位安全平稳运行。</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br/>
              <w:t>2024年按时完成保安服务费年服务费支出共计3.26万元，确保1名保安人员定期12小时在岗值班，做到有效防范和应对突发事件，避免正常工作日及节假日期间安全灾害事故发生，提高办公楼安全水平，保障我单位安全平稳运行。</w:t>
            </w:r>
          </w:p>
        </w:tc>
      </w:tr>
      <w:tr>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年度指标值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聘用保安人数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聘用保安人数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保安服务时间</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=12小时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=12小时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保安服务时间</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=12小时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=12小时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保安持证上岗率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保安持证上岗率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资金发放及时率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8.33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因下半年重新签订保安服务合同，未及时进行上会等流程，存在2个月的迟发。</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资金发放及时率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8.33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保安月服务费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=2717元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=4800元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由于我中心聘用人数较少且人员社保调整基数导致工资发放标准提高。</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保安月服务费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=2717元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=4800元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确保职工人身安全，保障单位正常运</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有效保障</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完全达到预期</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确保职工人身安全，保障单位正常运</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有效保障</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基本达到预期</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内部工作人员的满意度</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内部工作人员的满意度</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78.33分</w:t>
            </w:r>
          </w:p>
        </w:tc>
        <w:tc>
          <w:tcPr>
            <w:tcW w:type="dxa" w:w="983"/>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项目支出绩效自评表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2024年科技馆免费开放补助资金（第一批资金）</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乌鲁木齐市科学技术协会</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932"/>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乌鲁木齐市科学技术馆</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 （万元）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173.00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33.78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33.78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173.00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33.78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33.78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2024年乌鲁木齐市科学技术馆利用免费开放补助资金（第一批资金），对科技馆的长远发展来说十分有利，中期按照预期目标支付相关物业管理费、劳务费以及市场调研采购展品申报工作，丰富展教活动，持续更新展品，改善体验环境。</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本年使用中央免费开放补助资金，根据项目安排，于本年各个时间节点按时支付劳务费和物业管理费，通过保障科学技术馆基础配套设施，为丰富展教活动提供坚实基础。</w:t>
            </w:r>
          </w:p>
        </w:tc>
      </w:tr>
      <w:tr>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年度指标值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保洁人员人数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物业管理安保人员持证上岗人数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=12人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=12人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展品更新数量</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&gt;=2项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展品未采购更新</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保洁人员出勤率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保洁人员按时到岗没有出现迟到早退现象</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保安人员持证上岗率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未出现没有保安证人员</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展品验收合格率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展品未采购更新故没有展品验收合格率</w:t>
            </w:r>
          </w:p>
        </w:tc>
      </w:tr>
      <w:tr>
        <w:tc>
          <w:tcPr>
            <w:tcW w:type="dxa" w:w="983"/>
            <w:vMerge/>
            <w:tcBorders>
              <w:start w:sz="10" w:val="single"/>
              <w:top w:sz="10" w:val="single"/>
              <w:end w:sz="10" w:val="single"/>
              <w:bottom w:sz="10" w:val="single"/>
              <w:insideV w:sz="10" w:val="single"/>
            </w:tcBorders>
          </w:tcP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劳务费费用</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=27万元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=27万元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物业管理费费用</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=6.78万元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=6.78万元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科技馆年服务人次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&gt;=4万人次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=4.11万人次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进馆参观人数有所提高</w:t>
            </w:r>
          </w:p>
        </w:tc>
      </w:tr>
      <w:tr>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参观群众满意度</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80.00分</w:t>
            </w:r>
          </w:p>
        </w:tc>
        <w:tc>
          <w:tcPr>
            <w:tcW w:type="dxa" w:w="983"/>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项目支出绩效自评表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场馆运行</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乌鲁木齐市科学技术协会</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932"/>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乌鲁木齐市科学技术馆</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 （万元）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81.49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51.77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51.77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81.49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51.77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51.77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1、依据相关文件做好科普讲解人员培训，做好学术交流工作；2、通过维修展品、购买科普实验用具，科普物品，更好服务进馆参观人群；3、支付保洁人员及相关志愿者劳务费。不断提升科技馆服务质量，改善体验环境，吸引更多的观众参观学习科学知识，切实为全民科学素质提高发挥重要作用。</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1、完成科普讲解人员培训、交流等工作；2、购买科普实验用具，开展了各类线上线下科普活动，更好的服务进馆参观人群；3、按时支付保洁人员劳务费。通过不断提升科技馆服务质量，切实为全民科学素质提高发挥重要作用。</w:t>
            </w:r>
          </w:p>
        </w:tc>
      </w:tr>
      <w:tr>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年度指标值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开展线上线下开展各类科普活动次数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&gt;=120次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=120次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开展青少年科普制作次数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&gt;=30次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=30次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全年接待参观团队次数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&gt;=30次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=30次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聘用场馆保洁人员人数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购置专用设备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本年度未采购专用设备</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科普讲解投诉率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&lt;=2%</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设备购置验收合格率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本年度未采购专用设备没有验收合格率</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主题科普活动完成率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维修费用及其他</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&lt;=15.49万元/年</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=15.49万元/年</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开展线上线下开展各类科普活动成本</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&lt;=15.66万元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=15.66万元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厉行节约，个别活动内容有所变化。</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劳务费费用</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&lt;=20.62万元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=20.62万元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保障科技馆的正常运行，提高全民科学素质</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有效提高</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完全达到预期效果</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参观人员满意度</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90.00分</w:t>
            </w:r>
          </w:p>
        </w:tc>
        <w:tc>
          <w:tcPr>
            <w:tcW w:type="dxa" w:w="983"/>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项目支出绩效自评表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物业管理费</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乌鲁木齐市科学技术协会</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932"/>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乌鲁木齐市科学技术馆</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 （万元）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39.12</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33.92</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33.92</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39.12</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33.92</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33.92</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按时按月支付保安费用，并对工作开展情况进行重点关注和管理，落实保安工作有序开展，保障参观人员及工作人员及财产的安全。</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按月支付了保安费用，落实保安工作有序开展，保障参观人员及工作人员及财产的安全。</w:t>
            </w:r>
          </w:p>
        </w:tc>
      </w:tr>
      <w:tr>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年度指标值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单位配备保安人数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&gt;=12人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=12人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保安工资发放次数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=12次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=12次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保安服务时长</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=24小时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=24小时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保安持证上岗率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资金发放及时率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保安人员工资</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&lt;=2716.67元/人/月</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=2355.56元/人/月</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17.34</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按考勤天数核算</w:t>
            </w:r>
          </w:p>
        </w:tc>
      </w:tr>
      <w:tr>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保障进馆参观及工作人员的财产生命安全，营造安全舒适文明的参观环境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有效保障</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完全达到预期效果</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聘用人员满意度</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97.34分</w:t>
            </w:r>
          </w:p>
        </w:tc>
        <w:tc>
          <w:tcPr>
            <w:tcW w:type="dxa" w:w="983"/>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项目支出绩效自评表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全国2024年“基层科普行动计划”</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932"/>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乌鲁木齐市科学技术协会</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 （万元）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44.38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44.38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44.38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44.38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拍摄宣传片、制作短视频、平面作品、科普视频或科普创作作品4个；奖补市属先进学协会（研究会）基层科普行动计划先进集体15个。评选科技小院、科普产业示范基地2个。</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本年根据实际工作安排，完成年初设定拍摄科协宣传片、制作科普系列短视频；评选科技小院2个、市属先进学协会（研究会）5个，由于国库财力紧张暂未支付；评选并奖补基层科普行动计划先进集体15个。</w:t>
            </w:r>
          </w:p>
        </w:tc>
      </w:tr>
      <w:tr>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年度指标值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当年开展各类科普活动的次数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&gt;=4场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奖补市属先进学协会数量</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&gt;=5个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科普产业示范基地、科技小院立项（个）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&gt;=2个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拍摄科普短视频（个）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&gt;=4个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选择了报价较低的供应商，维持原成本不变前提下，拍摄数量增加，导致存在偏差率。</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科普活动完成率（%）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科普活动较为圆满完成，数量场次达到预期值，导致存在偏差率。</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市属先进学协会合格率（%）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业务开展过程中有针对性地筛选了先进学协会导致合格率较高，存在偏差率。</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科普视频制作验收合格率（%）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科普视频制作水平较好，验收完全合格，导致存在偏差率。</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科普产业示范基地、科技小院评选合格率（%）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业务实际开展过程中有针对性地筛选了科技小院导致合格率较高，存在偏差率。</w:t>
            </w:r>
          </w:p>
        </w:tc>
      </w:tr>
      <w:tr>
        <w:tc>
          <w:tcPr>
            <w:tcW w:type="dxa" w:w="983"/>
            <w:vMerge/>
            <w:tcBorders>
              <w:start w:sz="10" w:val="single"/>
              <w:top w:sz="10" w:val="single"/>
              <w:end w:sz="10" w:val="single"/>
              <w:bottom w:sz="10" w:val="single"/>
              <w:insideV w:sz="10" w:val="single"/>
            </w:tcBorders>
          </w:tcP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科普活动经费支出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&lt;=17.38万元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=17.38万元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拍摄科普及科技工作者宣传片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&lt;=12万元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=12万元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学协会及示范科普基地奖补资金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&lt;=15万元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科普活动公众参与率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不断提高</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不断提高</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受益群众满意度（%）</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=96.4%</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开展科普活动收益群众满意度较高，导致存在偏差率。</w:t>
            </w:r>
          </w:p>
        </w:tc>
      </w:tr>
      <w:tr>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983"/>
            <w:tcBorders>
              <w:start w:sz="10" w:val="single"/>
              <w:top w:sz="10" w:val="single"/>
              <w:end w:sz="10" w:val="single"/>
              <w:bottom w:sz="10" w:val="single"/>
              <w:insideV w:sz="10" w:val="single"/>
            </w:tcBorders>
          </w:tcPr>
          <w:p/>
        </w:tc>
      </w:tr>
    </w:tbl>
    <w:p>
      <w:r>
        <w:br w:type="page"/>
      </w:r>
    </w:p>
    <w:p>
      <w:pPr>
        <w:spacing w:line="640" w:lineRule="exact"/>
        <w:ind w:firstLine="640"/>
        <w:jc w:val="both"/>
        <w:outlineLvl w:val="2"/>
      </w:pPr>
      <w:r>
        <w:rPr>
          <w:rFonts w:ascii="黑体" w:hAnsi="黑体" w:eastAsia="黑体"/>
          <w:sz w:val="32"/>
        </w:rPr>
        <w:t>十二、其他需说明的事项</w:t>
      </w:r>
    </w:p>
    <w:p>
      <w:pPr>
        <w:spacing w:line="580" w:lineRule="exact"/>
        <w:ind w:firstLine="640"/>
        <w:jc w:val="both"/>
      </w:pPr>
      <w:r>
        <w:rPr>
          <w:rFonts w:ascii="仿宋_GB2312" w:hAnsi="仿宋_GB2312" w:eastAsia="仿宋_GB2312"/>
          <w:b w:val="0"/>
          <w:sz w:val="32"/>
        </w:rPr>
        <w:t>本部门无其他需说明的事项。</w:t>
      </w:r>
    </w:p>
    <w:p>
      <w:r>
        <w:br w:type="page"/>
      </w:r>
    </w:p>
    <w:p>
      <w:pPr>
        <w:spacing w:line="240" w:lineRule="auto"/>
        <w:jc w:val="center"/>
        <w:outlineLvl w:val="1"/>
      </w:pPr>
      <w:r>
        <w:rPr>
          <w:rFonts w:ascii="黑体" w:hAnsi="黑体" w:eastAsia="黑体"/>
          <w:sz w:val="32"/>
        </w:rPr>
        <w:t>第三部分 专业名词解释</w:t>
      </w:r>
    </w:p>
    <w:p>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r>
        <w:br w:type="page"/>
      </w:r>
    </w:p>
    <w:p>
      <w:pPr>
        <w:spacing w:line="240" w:lineRule="auto"/>
        <w:jc w:val="center"/>
        <w:outlineLvl w:val="1"/>
      </w:pPr>
      <w:r>
        <w:rPr>
          <w:rFonts w:ascii="黑体" w:hAnsi="黑体" w:eastAsia="黑体"/>
          <w:sz w:val="32"/>
        </w:rPr>
        <w:t>第四部分 部门决算报表（见附表）</w:t>
      </w:r>
    </w:p>
    <w:p>
      <w:pPr>
        <w:spacing w:line="240" w:lineRule="auto"/>
        <w:ind w:firstLine="640"/>
        <w:jc w:val="both"/>
      </w:pPr>
      <w:r>
        <w:rPr>
          <w:rFonts w:ascii="仿宋_GB2312" w:hAnsi="仿宋_GB2312" w:eastAsia="仿宋_GB2312"/>
          <w:b w:val="0"/>
          <w:sz w:val="32"/>
        </w:rPr>
        <w:t>一、《收入支出决算总表》</w:t>
      </w:r>
    </w:p>
    <w:p>
      <w:pPr>
        <w:spacing w:line="240" w:lineRule="auto"/>
        <w:ind w:firstLine="640"/>
        <w:jc w:val="both"/>
      </w:pPr>
      <w:r>
        <w:rPr>
          <w:rFonts w:ascii="仿宋_GB2312" w:hAnsi="仿宋_GB2312" w:eastAsia="仿宋_GB2312"/>
          <w:b w:val="0"/>
          <w:sz w:val="32"/>
        </w:rPr>
        <w:t>二、《收入决算表》</w:t>
      </w:r>
    </w:p>
    <w:p>
      <w:pPr>
        <w:spacing w:line="240" w:lineRule="auto"/>
        <w:ind w:firstLine="640"/>
        <w:jc w:val="both"/>
      </w:pPr>
      <w:r>
        <w:rPr>
          <w:rFonts w:ascii="仿宋_GB2312" w:hAnsi="仿宋_GB2312" w:eastAsia="仿宋_GB2312"/>
          <w:b w:val="0"/>
          <w:sz w:val="32"/>
        </w:rPr>
        <w:t>三、《支出决算表》</w:t>
      </w:r>
    </w:p>
    <w:p>
      <w:pPr>
        <w:spacing w:line="240" w:lineRule="auto"/>
        <w:ind w:firstLine="640"/>
        <w:jc w:val="both"/>
      </w:pPr>
      <w:r>
        <w:rPr>
          <w:rFonts w:ascii="仿宋_GB2312" w:hAnsi="仿宋_GB2312" w:eastAsia="仿宋_GB2312"/>
          <w:b w:val="0"/>
          <w:sz w:val="32"/>
        </w:rPr>
        <w:t>四、《财政拨款收入支出决算总表》</w:t>
      </w:r>
    </w:p>
    <w:p>
      <w:pPr>
        <w:spacing w:line="240" w:lineRule="auto"/>
        <w:ind w:firstLine="640"/>
        <w:jc w:val="both"/>
      </w:pPr>
      <w:r>
        <w:rPr>
          <w:rFonts w:ascii="仿宋_GB2312" w:hAnsi="仿宋_GB2312" w:eastAsia="仿宋_GB2312"/>
          <w:b w:val="0"/>
          <w:sz w:val="32"/>
        </w:rPr>
        <w:t>五、《一般公共预算财政拨款支出决算表》</w:t>
      </w:r>
    </w:p>
    <w:p>
      <w:pPr>
        <w:spacing w:line="240" w:lineRule="auto"/>
        <w:ind w:firstLine="640"/>
        <w:jc w:val="both"/>
      </w:pPr>
      <w:r>
        <w:rPr>
          <w:rFonts w:ascii="仿宋_GB2312" w:hAnsi="仿宋_GB2312" w:eastAsia="仿宋_GB2312"/>
          <w:b w:val="0"/>
          <w:sz w:val="32"/>
        </w:rPr>
        <w:t>六、《一般公共预算财政拨款基本支出决算表》</w:t>
      </w:r>
    </w:p>
    <w:p>
      <w:pPr>
        <w:spacing w:line="240" w:lineRule="auto"/>
        <w:ind w:firstLine="640"/>
        <w:jc w:val="both"/>
      </w:pPr>
      <w:r>
        <w:rPr>
          <w:rFonts w:ascii="仿宋_GB2312" w:hAnsi="仿宋_GB2312" w:eastAsia="仿宋_GB2312"/>
          <w:b w:val="0"/>
          <w:sz w:val="32"/>
        </w:rPr>
        <w:t>七、《政府性基金预算财政拨款收入支出决算表》</w:t>
      </w:r>
    </w:p>
    <w:p>
      <w:pPr>
        <w:spacing w:line="240" w:lineRule="auto"/>
        <w:ind w:firstLine="640"/>
        <w:jc w:val="both"/>
      </w:pPr>
      <w:r>
        <w:rPr>
          <w:rFonts w:ascii="仿宋_GB2312" w:hAnsi="仿宋_GB2312" w:eastAsia="仿宋_GB2312"/>
          <w:b w:val="0"/>
          <w:sz w:val="32"/>
        </w:rPr>
        <w:t>八、《国有资本经营预算财政拨款收入支出决算表》</w:t>
      </w:r>
    </w:p>
    <w:p>
      <w:pPr>
        <w:spacing w:line="240" w:lineRule="auto"/>
        <w:ind w:firstLine="640"/>
        <w:jc w:val="both"/>
      </w:pPr>
      <w:r>
        <w:rPr>
          <w:rFonts w:ascii="仿宋_GB2312" w:hAnsi="仿宋_GB2312" w:eastAsia="仿宋_GB2312"/>
          <w:b w:val="0"/>
          <w:sz w:val="32"/>
        </w:rPr>
        <w:t>九、《财政拨款“三公”经费支出决算表》</w:t>
      </w: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523</Words>
  <Characters>541</Characters>
  <Lines>0</Lines>
  <Paragraphs>0</Paragraphs>
  <TotalTime>0</TotalTime>
  <ScaleCrop>false</ScaleCrop>
  <LinksUpToDate>false</LinksUpToDate>
  <CharactersWithSpaces>547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郭子歪</cp:lastModifiedBy>
  <cp:lastPrinted>2024-07-22T11:58:00Z</cp:lastPrinted>
  <dcterms:modified xsi:type="dcterms:W3CDTF">2025-08-08T11:56:24Z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B858A68E913346F885B5BC17D4DBEB06_13</vt:lpwstr>
  </property>
  <property fmtid="{D5CDD505-2E9C-101B-9397-08002B2CF9AE}" pid="4" name="KSOTemplateDocerSaveRecord">
    <vt:lpwstr>eyJoZGlkIjoiODY5ZWEwNzk5MThkZjUwOTQxNjE1MDdiYWJiNGU5YzAiLCJ1c2VySWQiOiI0Nzg3NDM5MjgifQ==</vt:lpwstr>
  </property>
</Properties>
</file>