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96A460"/>
    <w:p w14:paraId="0280A66C">
      <w:pPr>
        <w:spacing w:line="480" w:lineRule="auto"/>
        <w:ind w:firstLine="0" w:firstLineChars="0"/>
        <w:rPr>
          <w:rFonts w:ascii="Times New Roman" w:hAnsi="Times New Roman" w:eastAsia="黑体" w:cs="Times New Roman"/>
          <w:b/>
          <w:kern w:val="0"/>
          <w:sz w:val="50"/>
          <w:szCs w:val="50"/>
          <w:lang w:bidi="en-US"/>
        </w:rPr>
      </w:pPr>
    </w:p>
    <w:p w14:paraId="3F6A177B">
      <w:pPr>
        <w:spacing w:line="480" w:lineRule="auto"/>
        <w:ind w:firstLine="0" w:firstLineChars="0"/>
        <w:rPr>
          <w:rFonts w:ascii="Times New Roman" w:hAnsi="Times New Roman" w:eastAsia="黑体" w:cs="Times New Roman"/>
          <w:b/>
          <w:kern w:val="0"/>
          <w:sz w:val="50"/>
          <w:szCs w:val="50"/>
          <w:lang w:bidi="en-US"/>
        </w:rPr>
      </w:pPr>
    </w:p>
    <w:p w14:paraId="35CC3BC7">
      <w:pPr>
        <w:spacing w:line="480" w:lineRule="auto"/>
        <w:ind w:firstLine="0" w:firstLineChars="0"/>
        <w:jc w:val="center"/>
        <w:rPr>
          <w:rFonts w:ascii="Times New Roman" w:hAnsi="Times New Roman" w:eastAsia="黑体" w:cs="Times New Roman"/>
          <w:b/>
          <w:kern w:val="0"/>
          <w:sz w:val="50"/>
          <w:szCs w:val="50"/>
          <w:lang w:bidi="en-US"/>
        </w:rPr>
      </w:pPr>
    </w:p>
    <w:p w14:paraId="6FA7DDFF">
      <w:pPr>
        <w:spacing w:before="120" w:after="120" w:line="480" w:lineRule="auto"/>
        <w:ind w:firstLine="0" w:firstLineChars="0"/>
        <w:jc w:val="center"/>
        <w:rPr>
          <w:rFonts w:ascii="仿宋_GB2312" w:hAnsi="Arial"/>
          <w:b/>
          <w:sz w:val="44"/>
          <w:szCs w:val="44"/>
        </w:rPr>
      </w:pPr>
      <w:r>
        <w:rPr>
          <w:rFonts w:hint="eastAsia" w:ascii="仿宋_GB2312" w:hAnsi="Arial"/>
          <w:b/>
          <w:sz w:val="44"/>
          <w:szCs w:val="44"/>
        </w:rPr>
        <w:t>财政项目支出绩效评价报告</w:t>
      </w:r>
    </w:p>
    <w:p w14:paraId="2B47B412">
      <w:pPr>
        <w:spacing w:line="480" w:lineRule="auto"/>
        <w:ind w:firstLine="0" w:firstLineChars="0"/>
        <w:jc w:val="center"/>
        <w:rPr>
          <w:rFonts w:ascii="Times New Roman" w:hAnsi="Times New Roman" w:eastAsia="黑体" w:cs="Times New Roman"/>
          <w:b/>
          <w:kern w:val="0"/>
          <w:sz w:val="50"/>
          <w:szCs w:val="50"/>
          <w:lang w:bidi="en-US"/>
        </w:rPr>
      </w:pPr>
    </w:p>
    <w:p w14:paraId="0B42D538">
      <w:pPr>
        <w:spacing w:line="480" w:lineRule="auto"/>
        <w:ind w:firstLine="0" w:firstLineChars="0"/>
        <w:jc w:val="center"/>
        <w:rPr>
          <w:rFonts w:ascii="Times New Roman" w:hAnsi="Times New Roman" w:eastAsia="黑体" w:cs="Times New Roman"/>
          <w:b/>
          <w:kern w:val="0"/>
          <w:sz w:val="50"/>
          <w:szCs w:val="50"/>
          <w:lang w:bidi="en-US"/>
        </w:rPr>
      </w:pPr>
    </w:p>
    <w:p w14:paraId="626913C8">
      <w:pPr>
        <w:spacing w:line="480" w:lineRule="auto"/>
        <w:ind w:firstLine="0" w:firstLineChars="0"/>
        <w:jc w:val="center"/>
        <w:rPr>
          <w:rFonts w:ascii="Times New Roman" w:hAnsi="Times New Roman" w:eastAsia="黑体" w:cs="Times New Roman"/>
          <w:b/>
          <w:kern w:val="0"/>
          <w:sz w:val="50"/>
          <w:szCs w:val="50"/>
          <w:lang w:bidi="en-US"/>
        </w:rPr>
      </w:pPr>
    </w:p>
    <w:p w14:paraId="031B865E">
      <w:pPr>
        <w:spacing w:line="480" w:lineRule="auto"/>
        <w:ind w:firstLine="0" w:firstLineChars="0"/>
        <w:jc w:val="center"/>
        <w:rPr>
          <w:rFonts w:ascii="Times New Roman" w:hAnsi="Times New Roman" w:eastAsia="黑体" w:cs="Times New Roman"/>
          <w:b/>
          <w:kern w:val="0"/>
          <w:sz w:val="50"/>
          <w:szCs w:val="50"/>
          <w:lang w:bidi="en-US"/>
        </w:rPr>
      </w:pPr>
    </w:p>
    <w:p w14:paraId="22529482">
      <w:pPr>
        <w:spacing w:line="480" w:lineRule="auto"/>
        <w:ind w:firstLine="0" w:firstLineChars="0"/>
        <w:jc w:val="center"/>
        <w:rPr>
          <w:rFonts w:ascii="Times New Roman" w:hAnsi="Times New Roman" w:eastAsia="黑体" w:cs="Times New Roman"/>
          <w:b/>
          <w:kern w:val="0"/>
          <w:sz w:val="50"/>
          <w:szCs w:val="50"/>
          <w:lang w:bidi="en-US"/>
        </w:rPr>
      </w:pPr>
    </w:p>
    <w:p w14:paraId="2E885179">
      <w:pPr>
        <w:spacing w:line="480" w:lineRule="auto"/>
        <w:ind w:firstLine="0" w:firstLineChars="0"/>
        <w:jc w:val="center"/>
        <w:rPr>
          <w:rFonts w:ascii="Times New Roman" w:hAnsi="Times New Roman" w:eastAsia="黑体" w:cs="Times New Roman"/>
          <w:b/>
          <w:kern w:val="0"/>
          <w:sz w:val="50"/>
          <w:szCs w:val="50"/>
          <w:lang w:bidi="en-US"/>
        </w:rPr>
      </w:pPr>
    </w:p>
    <w:p w14:paraId="14F4395A">
      <w:pPr>
        <w:spacing w:line="480" w:lineRule="auto"/>
        <w:ind w:firstLine="0" w:firstLineChars="0"/>
        <w:jc w:val="center"/>
        <w:rPr>
          <w:rFonts w:ascii="仿宋_GB2312" w:hAnsi="Times New Roman" w:cs="Times New Roman"/>
          <w:kern w:val="0"/>
          <w:sz w:val="30"/>
          <w:szCs w:val="30"/>
          <w:lang w:bidi="en-US"/>
        </w:rPr>
      </w:pPr>
    </w:p>
    <w:p w14:paraId="22154141">
      <w:pPr>
        <w:spacing w:line="480" w:lineRule="auto"/>
        <w:ind w:firstLine="1411" w:firstLineChars="441"/>
        <w:jc w:val="left"/>
        <w:rPr>
          <w:rFonts w:hint="default" w:ascii="仿宋_GB2312" w:hAnsi="Times New Roman" w:eastAsia="仿宋_GB2312" w:cs="Times New Roman"/>
          <w:kern w:val="0"/>
          <w:sz w:val="32"/>
          <w:szCs w:val="32"/>
          <w:lang w:val="en-US" w:eastAsia="zh-CN" w:bidi="en-US"/>
        </w:rPr>
      </w:pPr>
      <w:r>
        <w:rPr>
          <w:rFonts w:hint="eastAsia" w:ascii="仿宋_GB2312" w:hAnsi="Times New Roman" w:cs="Times New Roman"/>
          <w:kern w:val="0"/>
          <w:sz w:val="32"/>
          <w:szCs w:val="32"/>
          <w:lang w:bidi="en-US"/>
        </w:rPr>
        <w:t>项目名称：</w:t>
      </w:r>
      <w:r>
        <w:rPr>
          <w:rFonts w:hint="eastAsia" w:ascii="仿宋_GB2312" w:hAnsi="Times New Roman" w:cs="Times New Roman"/>
          <w:kern w:val="0"/>
          <w:sz w:val="32"/>
          <w:szCs w:val="32"/>
          <w:lang w:val="en-US" w:eastAsia="zh-CN" w:bidi="en-US"/>
        </w:rPr>
        <w:t>自治区2024年“基层科普行动计划”</w:t>
      </w:r>
    </w:p>
    <w:p w14:paraId="78B56E74">
      <w:pPr>
        <w:spacing w:line="480" w:lineRule="auto"/>
        <w:ind w:left="280" w:leftChars="100" w:firstLine="1091" w:firstLineChars="341"/>
        <w:jc w:val="left"/>
        <w:rPr>
          <w:rFonts w:hint="eastAsia" w:ascii="仿宋_GB2312" w:hAnsi="Times New Roman" w:cs="Times New Roman"/>
          <w:kern w:val="0"/>
          <w:sz w:val="32"/>
          <w:szCs w:val="32"/>
          <w:lang w:bidi="en-US"/>
        </w:rPr>
      </w:pPr>
      <w:r>
        <w:rPr>
          <w:rFonts w:hint="eastAsia" w:ascii="仿宋_GB2312" w:hAnsi="Times New Roman" w:cs="Times New Roman"/>
          <w:kern w:val="0"/>
          <w:sz w:val="32"/>
          <w:szCs w:val="32"/>
          <w:lang w:bidi="en-US"/>
        </w:rPr>
        <w:t>项目单位：乌鲁木齐市科学技术协会</w:t>
      </w:r>
    </w:p>
    <w:p w14:paraId="7D92FEC9">
      <w:pPr>
        <w:spacing w:line="480" w:lineRule="auto"/>
        <w:ind w:left="280" w:leftChars="100" w:firstLine="1091" w:firstLineChars="3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主管部门：乌鲁木齐市科学技术协会</w:t>
      </w:r>
    </w:p>
    <w:p w14:paraId="3253B18F">
      <w:pPr>
        <w:spacing w:line="480" w:lineRule="auto"/>
        <w:ind w:firstLine="1411" w:firstLineChars="441"/>
        <w:jc w:val="left"/>
        <w:rPr>
          <w:rFonts w:ascii="仿宋_GB2312" w:hAnsi="Times New Roman" w:cs="Times New Roman"/>
          <w:kern w:val="0"/>
          <w:sz w:val="32"/>
          <w:szCs w:val="32"/>
          <w:lang w:bidi="en-US"/>
        </w:rPr>
      </w:pPr>
    </w:p>
    <w:p w14:paraId="5ACB30ED">
      <w:pPr>
        <w:spacing w:line="480" w:lineRule="auto"/>
        <w:ind w:firstLine="0" w:firstLineChars="0"/>
        <w:rPr>
          <w:rFonts w:ascii="黑体" w:hAnsi="Times New Roman" w:eastAsia="黑体" w:cs="Times New Roman"/>
          <w:b/>
          <w:kern w:val="0"/>
          <w:sz w:val="32"/>
          <w:szCs w:val="32"/>
          <w:lang w:bidi="en-US"/>
        </w:rPr>
      </w:pPr>
    </w:p>
    <w:p w14:paraId="287A7BB7">
      <w:pPr>
        <w:spacing w:line="480" w:lineRule="auto"/>
        <w:ind w:firstLine="0" w:firstLineChars="0"/>
        <w:rPr>
          <w:rFonts w:ascii="黑体" w:hAnsi="Times New Roman" w:eastAsia="黑体" w:cs="Times New Roman"/>
          <w:b/>
          <w:kern w:val="0"/>
          <w:sz w:val="32"/>
          <w:szCs w:val="32"/>
          <w:lang w:bidi="en-US"/>
        </w:rPr>
      </w:pPr>
    </w:p>
    <w:p w14:paraId="46233313">
      <w:pPr>
        <w:spacing w:line="480" w:lineRule="auto"/>
        <w:ind w:firstLine="0" w:firstLineChars="0"/>
        <w:jc w:val="center"/>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2024年0</w:t>
      </w:r>
      <w:r>
        <w:rPr>
          <w:rFonts w:hint="eastAsia" w:ascii="仿宋_GB2312" w:hAnsi="Times New Roman" w:cs="Times New Roman"/>
          <w:kern w:val="0"/>
          <w:sz w:val="32"/>
          <w:szCs w:val="32"/>
          <w:lang w:val="en-US" w:eastAsia="zh-CN" w:bidi="en-US"/>
        </w:rPr>
        <w:t>5</w:t>
      </w:r>
      <w:r>
        <w:rPr>
          <w:rFonts w:hint="eastAsia" w:ascii="仿宋_GB2312" w:hAnsi="Times New Roman" w:cs="Times New Roman"/>
          <w:kern w:val="0"/>
          <w:sz w:val="32"/>
          <w:szCs w:val="32"/>
          <w:lang w:bidi="en-US"/>
        </w:rPr>
        <w:t>月</w:t>
      </w:r>
    </w:p>
    <w:p w14:paraId="7B7897D2">
      <w:pPr>
        <w:spacing w:line="480" w:lineRule="auto"/>
        <w:ind w:firstLine="0" w:firstLineChars="0"/>
        <w:jc w:val="center"/>
        <w:rPr>
          <w:rFonts w:ascii="仿宋_GB2312" w:hAnsi="Times New Roman" w:cs="Times New Roman"/>
          <w:kern w:val="0"/>
          <w:sz w:val="32"/>
          <w:szCs w:val="32"/>
          <w:lang w:bidi="en-US"/>
        </w:rPr>
      </w:pPr>
    </w:p>
    <w:p w14:paraId="260AE992">
      <w:pPr>
        <w:tabs>
          <w:tab w:val="left" w:pos="3324"/>
        </w:tabs>
        <w:spacing w:line="480" w:lineRule="auto"/>
        <w:ind w:firstLine="0" w:firstLineChars="0"/>
        <w:rPr>
          <w:rFonts w:ascii="仿宋_GB2312" w:hAnsi="Times New Roman" w:cs="Times New Roman"/>
          <w:kern w:val="0"/>
          <w:sz w:val="32"/>
          <w:szCs w:val="32"/>
          <w:lang w:bidi="en-US"/>
        </w:rPr>
      </w:pPr>
      <w:r>
        <w:rPr>
          <w:rFonts w:ascii="仿宋_GB2312" w:hAnsi="Times New Roman" w:cs="Times New Roman"/>
          <w:kern w:val="0"/>
          <w:sz w:val="32"/>
          <w:szCs w:val="32"/>
          <w:lang w:bidi="en-US"/>
        </w:rPr>
        <w:tab/>
      </w:r>
    </w:p>
    <w:p w14:paraId="37684EA0">
      <w:pPr>
        <w:ind w:firstLine="640"/>
        <w:rPr>
          <w:rFonts w:ascii="仿宋_GB2312" w:hAnsi="Times New Roman" w:cs="Times New Roman"/>
          <w:kern w:val="0"/>
          <w:sz w:val="32"/>
          <w:szCs w:val="32"/>
          <w:lang w:bidi="en-US"/>
        </w:rPr>
      </w:pPr>
      <w:bookmarkStart w:id="64" w:name="_GoBack"/>
      <w:bookmarkEnd w:id="64"/>
    </w:p>
    <w:sdt>
      <w:sdtPr>
        <w:rPr>
          <w:rFonts w:ascii="Calibri" w:hAnsi="Calibri" w:eastAsia="仿宋_GB2312" w:cs="黑体"/>
          <w:color w:val="auto"/>
          <w:kern w:val="2"/>
          <w:sz w:val="28"/>
          <w:szCs w:val="22"/>
          <w:lang w:val="zh-CN"/>
        </w:rPr>
        <w:id w:val="-1822651860"/>
        <w:docPartObj>
          <w:docPartGallery w:val="Table of Contents"/>
          <w:docPartUnique/>
        </w:docPartObj>
      </w:sdtPr>
      <w:sdtEndPr>
        <w:rPr>
          <w:rFonts w:ascii="Calibri" w:hAnsi="Calibri" w:eastAsia="仿宋_GB2312" w:cs="黑体"/>
          <w:b/>
          <w:bCs/>
          <w:color w:val="auto"/>
          <w:kern w:val="2"/>
          <w:sz w:val="28"/>
          <w:szCs w:val="22"/>
          <w:lang w:val="zh-CN"/>
        </w:rPr>
      </w:sdtEndPr>
      <w:sdtContent>
        <w:p w14:paraId="0F6BFE14">
          <w:pPr>
            <w:pStyle w:val="30"/>
            <w:ind w:firstLine="560"/>
            <w:jc w:val="center"/>
            <w:rPr>
              <w:color w:val="auto"/>
            </w:rPr>
          </w:pPr>
          <w:r>
            <w:rPr>
              <w:color w:val="auto"/>
              <w:lang w:val="zh-CN"/>
            </w:rPr>
            <w:t>目录</w:t>
          </w:r>
        </w:p>
        <w:p w14:paraId="029AB59B">
          <w:pPr>
            <w:pStyle w:val="11"/>
            <w:tabs>
              <w:tab w:val="right" w:leader="dot" w:pos="8296"/>
            </w:tabs>
            <w:ind w:firstLine="560"/>
            <w:rPr>
              <w:rFonts w:asciiTheme="minorHAnsi" w:hAnsiTheme="minorHAnsi" w:eastAsiaTheme="minorEastAsia" w:cstheme="minorBidi"/>
              <w:sz w:val="21"/>
            </w:rPr>
          </w:pPr>
          <w:r>
            <w:fldChar w:fldCharType="begin"/>
          </w:r>
          <w:r>
            <w:instrText xml:space="preserve">TOC \o "1-3" \h \z \u</w:instrText>
          </w:r>
          <w:r>
            <w:fldChar w:fldCharType="separate"/>
          </w:r>
          <w:r>
            <w:rPr>
              <w:rStyle w:val="17"/>
              <w:color w:val="0563C1" w:themeColor="hyperlink"/>
              <w14:textFill>
                <w14:solidFill>
                  <w14:schemeClr w14:val="hlink"/>
                </w14:solidFill>
              </w14:textFill>
            </w:rPr>
            <w:fldChar w:fldCharType="begin"/>
          </w:r>
          <w:r>
            <w:rPr>
              <w:rStyle w:val="17"/>
              <w:color w:val="0563C1" w:themeColor="hyperlink"/>
              <w14:textFill>
                <w14:solidFill>
                  <w14:schemeClr w14:val="hlink"/>
                </w14:solidFill>
              </w14:textFill>
            </w:rPr>
            <w:instrText xml:space="preserve"> </w:instrText>
          </w:r>
          <w:r>
            <w:instrText xml:space="preserve">HYPERLINK \l "_Toc196487532"</w:instrText>
          </w:r>
          <w:r>
            <w:rPr>
              <w:rStyle w:val="17"/>
              <w:color w:val="0563C1" w:themeColor="hyperlink"/>
              <w14:textFill>
                <w14:solidFill>
                  <w14:schemeClr w14:val="hlink"/>
                </w14:solidFill>
              </w14:textFill>
            </w:rPr>
            <w:instrText xml:space="preserve"> </w:instrText>
          </w:r>
          <w:r>
            <w:rPr>
              <w:rStyle w:val="17"/>
              <w:color w:val="0563C1" w:themeColor="hyperlink"/>
              <w14:textFill>
                <w14:solidFill>
                  <w14:schemeClr w14:val="hlink"/>
                </w14:solidFill>
              </w14:textFill>
            </w:rPr>
            <w:fldChar w:fldCharType="separate"/>
          </w:r>
          <w:r>
            <w:rPr>
              <w:rStyle w:val="17"/>
              <w:rFonts w:hint="eastAsia" w:ascii="仿宋" w:hAnsi="仿宋" w:eastAsia="仿宋"/>
              <w:color w:val="0563C1" w:themeColor="hyperlink"/>
              <w:lang w:bidi="en-US"/>
              <w14:textFill>
                <w14:solidFill>
                  <w14:schemeClr w14:val="hlink"/>
                </w14:solidFill>
              </w14:textFill>
            </w:rPr>
            <w:t>一、基本情况</w:t>
          </w:r>
          <w:r>
            <w:tab/>
          </w:r>
          <w:r>
            <w:fldChar w:fldCharType="begin"/>
          </w:r>
          <w:r>
            <w:instrText xml:space="preserve"> PAGEREF _Toc196487532 \h </w:instrText>
          </w:r>
          <w:r>
            <w:fldChar w:fldCharType="separate"/>
          </w:r>
          <w:r>
            <w:t>1</w:t>
          </w:r>
          <w:r>
            <w:fldChar w:fldCharType="end"/>
          </w:r>
          <w:r>
            <w:rPr>
              <w:rStyle w:val="17"/>
              <w:color w:val="0563C1" w:themeColor="hyperlink"/>
              <w14:textFill>
                <w14:solidFill>
                  <w14:schemeClr w14:val="hlink"/>
                </w14:solidFill>
              </w14:textFill>
            </w:rPr>
            <w:fldChar w:fldCharType="end"/>
          </w:r>
        </w:p>
        <w:p w14:paraId="6FFECE01">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"_Toc196487533" </w:instrText>
          </w:r>
          <w:r>
            <w:fldChar w:fldCharType="separate"/>
          </w:r>
          <w:r>
            <w:rPr>
              <w:rStyle w:val="17"/>
              <w:rFonts w:hint="eastAsia" w:ascii="仿宋" w:hAnsi="仿宋" w:eastAsia="仿宋"/>
              <w:color w:val="0563C1" w:themeColor="hyperlink"/>
              <w:lang w:bidi="en-US"/>
              <w14:textFill>
                <w14:solidFill>
                  <w14:schemeClr w14:val="hlink"/>
                </w14:solidFill>
              </w14:textFill>
            </w:rPr>
            <w:t>（一）项目概况：</w:t>
          </w:r>
          <w:r>
            <w:tab/>
          </w:r>
          <w:r>
            <w:fldChar w:fldCharType="begin"/>
          </w:r>
          <w:r>
            <w:instrText xml:space="preserve"> PAGEREF _Toc196487533 \h </w:instrText>
          </w:r>
          <w:r>
            <w:fldChar w:fldCharType="separate"/>
          </w:r>
          <w:r>
            <w:t>1</w:t>
          </w:r>
          <w:r>
            <w:fldChar w:fldCharType="end"/>
          </w:r>
          <w:r>
            <w:fldChar w:fldCharType="end"/>
          </w:r>
        </w:p>
        <w:p w14:paraId="683385EF">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"_Toc196487534" </w:instrText>
          </w:r>
          <w:r>
            <w:fldChar w:fldCharType="separate"/>
          </w:r>
          <w:r>
            <w:rPr>
              <w:rStyle w:val="17"/>
              <w:color w:val="0563C1" w:themeColor="hyperlink"/>
              <w14:textFill>
                <w14:solidFill>
                  <w14:schemeClr w14:val="hlink"/>
                </w14:solidFill>
              </w14:textFill>
            </w:rPr>
            <w:t>1</w:t>
          </w:r>
          <w:r>
            <w:rPr>
              <w:rStyle w:val="17"/>
              <w:rFonts w:hint="eastAsia"/>
              <w:color w:val="0563C1" w:themeColor="hyperlink"/>
              <w14:textFill>
                <w14:solidFill>
                  <w14:schemeClr w14:val="hlink"/>
                </w14:solidFill>
              </w14:textFill>
            </w:rPr>
            <w:t>．项目背景、主要内容及实施情况</w:t>
          </w:r>
          <w:r>
            <w:tab/>
          </w:r>
          <w:r>
            <w:fldChar w:fldCharType="begin"/>
          </w:r>
          <w:r>
            <w:instrText xml:space="preserve"> PAGEREF _Toc196487534 \h </w:instrText>
          </w:r>
          <w:r>
            <w:fldChar w:fldCharType="separate"/>
          </w:r>
          <w:r>
            <w:t>1</w:t>
          </w:r>
          <w:r>
            <w:fldChar w:fldCharType="end"/>
          </w:r>
          <w:r>
            <w:fldChar w:fldCharType="end"/>
          </w:r>
        </w:p>
        <w:p w14:paraId="0CF55B10">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"_Toc196487535" </w:instrText>
          </w:r>
          <w:r>
            <w:fldChar w:fldCharType="separate"/>
          </w:r>
          <w:r>
            <w:rPr>
              <w:rStyle w:val="17"/>
              <w:color w:val="0563C1" w:themeColor="hyperlink"/>
              <w14:textFill>
                <w14:solidFill>
                  <w14:schemeClr w14:val="hlink"/>
                </w14:solidFill>
              </w14:textFill>
            </w:rPr>
            <w:t>2.</w:t>
          </w:r>
          <w:r>
            <w:rPr>
              <w:rStyle w:val="17"/>
              <w:rFonts w:hint="eastAsia"/>
              <w:color w:val="0563C1" w:themeColor="hyperlink"/>
              <w14:textFill>
                <w14:solidFill>
                  <w14:schemeClr w14:val="hlink"/>
                </w14:solidFill>
              </w14:textFill>
            </w:rPr>
            <w:t>资金投入和使用情况</w:t>
          </w:r>
          <w:r>
            <w:tab/>
          </w:r>
          <w:r>
            <w:fldChar w:fldCharType="begin"/>
          </w:r>
          <w:r>
            <w:instrText xml:space="preserve"> PAGEREF _Toc196487535 \h </w:instrText>
          </w:r>
          <w:r>
            <w:fldChar w:fldCharType="separate"/>
          </w:r>
          <w:r>
            <w:t>1</w:t>
          </w:r>
          <w:r>
            <w:fldChar w:fldCharType="end"/>
          </w:r>
          <w:r>
            <w:fldChar w:fldCharType="end"/>
          </w:r>
        </w:p>
        <w:p w14:paraId="4317C7E9">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"_Toc196487536" </w:instrText>
          </w:r>
          <w:r>
            <w:fldChar w:fldCharType="separate"/>
          </w:r>
          <w:r>
            <w:rPr>
              <w:rStyle w:val="17"/>
              <w:rFonts w:hint="eastAsia" w:ascii="仿宋" w:hAnsi="仿宋" w:eastAsia="仿宋"/>
              <w:color w:val="0563C1" w:themeColor="hyperlink"/>
              <w:lang w:bidi="en-US"/>
              <w14:textFill>
                <w14:solidFill>
                  <w14:schemeClr w14:val="hlink"/>
                </w14:solidFill>
              </w14:textFill>
            </w:rPr>
            <w:t>（二）项目绩效目标：</w:t>
          </w:r>
          <w:r>
            <w:tab/>
          </w:r>
          <w:r>
            <w:fldChar w:fldCharType="begin"/>
          </w:r>
          <w:r>
            <w:instrText xml:space="preserve"> PAGEREF _Toc196487536 \h </w:instrText>
          </w:r>
          <w:r>
            <w:fldChar w:fldCharType="separate"/>
          </w:r>
          <w:r>
            <w:t>1</w:t>
          </w:r>
          <w:r>
            <w:fldChar w:fldCharType="end"/>
          </w:r>
          <w:r>
            <w:fldChar w:fldCharType="end"/>
          </w:r>
        </w:p>
        <w:p w14:paraId="67574A37">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"_Toc196487537" </w:instrText>
          </w:r>
          <w:r>
            <w:fldChar w:fldCharType="separate"/>
          </w:r>
          <w:r>
            <w:rPr>
              <w:rStyle w:val="17"/>
              <w:rFonts w:hint="eastAsia" w:ascii="仿宋" w:hAnsi="仿宋" w:eastAsia="仿宋"/>
              <w:color w:val="0563C1" w:themeColor="hyperlink"/>
              <w:lang w:bidi="en-US"/>
              <w14:textFill>
                <w14:solidFill>
                  <w14:schemeClr w14:val="hlink"/>
                </w14:solidFill>
              </w14:textFill>
            </w:rPr>
            <w:t>二、绩效评价工作开展情况</w:t>
          </w:r>
          <w:r>
            <w:tab/>
          </w:r>
          <w:r>
            <w:fldChar w:fldCharType="begin"/>
          </w:r>
          <w:r>
            <w:instrText xml:space="preserve"> PAGEREF _Toc196487537 \h </w:instrText>
          </w:r>
          <w:r>
            <w:fldChar w:fldCharType="separate"/>
          </w:r>
          <w:r>
            <w:t>2</w:t>
          </w:r>
          <w:r>
            <w:fldChar w:fldCharType="end"/>
          </w:r>
          <w:r>
            <w:fldChar w:fldCharType="end"/>
          </w:r>
        </w:p>
        <w:p w14:paraId="4F59B5C6">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"_Toc196487538" </w:instrText>
          </w:r>
          <w:r>
            <w:fldChar w:fldCharType="separate"/>
          </w:r>
          <w:r>
            <w:rPr>
              <w:rStyle w:val="17"/>
              <w:rFonts w:hint="eastAsia" w:ascii="仿宋" w:hAnsi="仿宋" w:eastAsia="仿宋"/>
              <w:color w:val="0563C1" w:themeColor="hyperlink"/>
              <w:lang w:bidi="en-US"/>
              <w14:textFill>
                <w14:solidFill>
                  <w14:schemeClr w14:val="hlink"/>
                </w14:solidFill>
              </w14:textFill>
            </w:rPr>
            <w:t>（一）绩效评价目的、对象和范围</w:t>
          </w:r>
          <w:r>
            <w:tab/>
          </w:r>
          <w:r>
            <w:fldChar w:fldCharType="begin"/>
          </w:r>
          <w:r>
            <w:instrText xml:space="preserve"> PAGEREF _Toc196487538 \h </w:instrText>
          </w:r>
          <w:r>
            <w:fldChar w:fldCharType="separate"/>
          </w:r>
          <w:r>
            <w:t>2</w:t>
          </w:r>
          <w:r>
            <w:fldChar w:fldCharType="end"/>
          </w:r>
          <w:r>
            <w:fldChar w:fldCharType="end"/>
          </w:r>
        </w:p>
        <w:p w14:paraId="066369B2">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"_Toc196487539" </w:instrText>
          </w:r>
          <w:r>
            <w:fldChar w:fldCharType="separate"/>
          </w:r>
          <w:r>
            <w:rPr>
              <w:rStyle w:val="17"/>
              <w:color w:val="0563C1" w:themeColor="hyperlink"/>
              <w14:textFill>
                <w14:solidFill>
                  <w14:schemeClr w14:val="hlink"/>
                </w14:solidFill>
              </w14:textFill>
            </w:rPr>
            <w:t>1.</w:t>
          </w:r>
          <w:r>
            <w:rPr>
              <w:rStyle w:val="17"/>
              <w:rFonts w:hint="eastAsia"/>
              <w:color w:val="0563C1" w:themeColor="hyperlink"/>
              <w14:textFill>
                <w14:solidFill>
                  <w14:schemeClr w14:val="hlink"/>
                </w14:solidFill>
              </w14:textFill>
            </w:rPr>
            <w:t>绩效评价完整性</w:t>
          </w:r>
          <w:r>
            <w:tab/>
          </w:r>
          <w:r>
            <w:fldChar w:fldCharType="begin"/>
          </w:r>
          <w:r>
            <w:instrText xml:space="preserve"> PAGEREF _Toc196487539 \h </w:instrText>
          </w:r>
          <w:r>
            <w:fldChar w:fldCharType="separate"/>
          </w:r>
          <w:r>
            <w:t>2</w:t>
          </w:r>
          <w:r>
            <w:fldChar w:fldCharType="end"/>
          </w:r>
          <w:r>
            <w:fldChar w:fldCharType="end"/>
          </w:r>
        </w:p>
        <w:p w14:paraId="60CDC37A">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"_Toc196487540" </w:instrText>
          </w:r>
          <w:r>
            <w:fldChar w:fldCharType="separate"/>
          </w:r>
          <w:r>
            <w:rPr>
              <w:rStyle w:val="17"/>
              <w:color w:val="0563C1" w:themeColor="hyperlink"/>
              <w14:textFill>
                <w14:solidFill>
                  <w14:schemeClr w14:val="hlink"/>
                </w14:solidFill>
              </w14:textFill>
            </w:rPr>
            <w:t>2.</w:t>
          </w:r>
          <w:r>
            <w:rPr>
              <w:rStyle w:val="17"/>
              <w:rFonts w:hint="eastAsia"/>
              <w:color w:val="0563C1" w:themeColor="hyperlink"/>
              <w14:textFill>
                <w14:solidFill>
                  <w14:schemeClr w14:val="hlink"/>
                </w14:solidFill>
              </w14:textFill>
            </w:rPr>
            <w:t>评价目的</w:t>
          </w:r>
          <w:r>
            <w:tab/>
          </w:r>
          <w:r>
            <w:fldChar w:fldCharType="begin"/>
          </w:r>
          <w:r>
            <w:instrText xml:space="preserve"> PAGEREF _Toc196487540 \h </w:instrText>
          </w:r>
          <w:r>
            <w:fldChar w:fldCharType="separate"/>
          </w:r>
          <w:r>
            <w:t>3</w:t>
          </w:r>
          <w:r>
            <w:fldChar w:fldCharType="end"/>
          </w:r>
          <w:r>
            <w:fldChar w:fldCharType="end"/>
          </w:r>
        </w:p>
        <w:p w14:paraId="6CE65506">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"_Toc196487541" </w:instrText>
          </w:r>
          <w:r>
            <w:fldChar w:fldCharType="separate"/>
          </w:r>
          <w:r>
            <w:rPr>
              <w:rStyle w:val="17"/>
              <w:color w:val="0563C1" w:themeColor="hyperlink"/>
              <w14:textFill>
                <w14:solidFill>
                  <w14:schemeClr w14:val="hlink"/>
                </w14:solidFill>
              </w14:textFill>
            </w:rPr>
            <w:t>3.</w:t>
          </w:r>
          <w:r>
            <w:rPr>
              <w:rStyle w:val="17"/>
              <w:rFonts w:hint="eastAsia"/>
              <w:color w:val="0563C1" w:themeColor="hyperlink"/>
              <w14:textFill>
                <w14:solidFill>
                  <w14:schemeClr w14:val="hlink"/>
                </w14:solidFill>
              </w14:textFill>
            </w:rPr>
            <w:t>评价对象</w:t>
          </w:r>
          <w:r>
            <w:tab/>
          </w:r>
          <w:r>
            <w:fldChar w:fldCharType="begin"/>
          </w:r>
          <w:r>
            <w:instrText xml:space="preserve"> PAGEREF _Toc196487541 \h </w:instrText>
          </w:r>
          <w:r>
            <w:fldChar w:fldCharType="separate"/>
          </w:r>
          <w:r>
            <w:t>3</w:t>
          </w:r>
          <w:r>
            <w:fldChar w:fldCharType="end"/>
          </w:r>
          <w:r>
            <w:fldChar w:fldCharType="end"/>
          </w:r>
        </w:p>
        <w:p w14:paraId="2157D631">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"_Toc196487542" </w:instrText>
          </w:r>
          <w:r>
            <w:fldChar w:fldCharType="separate"/>
          </w:r>
          <w:r>
            <w:rPr>
              <w:rStyle w:val="17"/>
              <w:color w:val="0563C1" w:themeColor="hyperlink"/>
              <w14:textFill>
                <w14:solidFill>
                  <w14:schemeClr w14:val="hlink"/>
                </w14:solidFill>
              </w14:textFill>
            </w:rPr>
            <w:t>4.</w:t>
          </w:r>
          <w:r>
            <w:rPr>
              <w:rStyle w:val="17"/>
              <w:rFonts w:hint="eastAsia"/>
              <w:color w:val="0563C1" w:themeColor="hyperlink"/>
              <w14:textFill>
                <w14:solidFill>
                  <w14:schemeClr w14:val="hlink"/>
                </w14:solidFill>
              </w14:textFill>
            </w:rPr>
            <w:t>绩效评价范围</w:t>
          </w:r>
          <w:r>
            <w:tab/>
          </w:r>
          <w:r>
            <w:fldChar w:fldCharType="begin"/>
          </w:r>
          <w:r>
            <w:instrText xml:space="preserve"> PAGEREF _Toc196487542 \h </w:instrText>
          </w:r>
          <w:r>
            <w:fldChar w:fldCharType="separate"/>
          </w:r>
          <w:r>
            <w:t>3</w:t>
          </w:r>
          <w:r>
            <w:fldChar w:fldCharType="end"/>
          </w:r>
          <w:r>
            <w:fldChar w:fldCharType="end"/>
          </w:r>
        </w:p>
        <w:p w14:paraId="5BE7C655">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"_Toc196487543" </w:instrText>
          </w:r>
          <w:r>
            <w:fldChar w:fldCharType="separate"/>
          </w:r>
          <w:r>
            <w:rPr>
              <w:rStyle w:val="17"/>
              <w:rFonts w:hint="eastAsia" w:ascii="仿宋" w:hAnsi="仿宋" w:eastAsia="仿宋"/>
              <w:color w:val="0563C1" w:themeColor="hyperlink"/>
              <w:lang w:bidi="en-US"/>
              <w14:textFill>
                <w14:solidFill>
                  <w14:schemeClr w14:val="hlink"/>
                </w14:solidFill>
              </w14:textFill>
            </w:rPr>
            <w:t>（二）绩效评价原则、指标体系、方法及标准</w:t>
          </w:r>
          <w:r>
            <w:tab/>
          </w:r>
          <w:r>
            <w:fldChar w:fldCharType="begin"/>
          </w:r>
          <w:r>
            <w:instrText xml:space="preserve"> PAGEREF _Toc196487543 \h </w:instrText>
          </w:r>
          <w:r>
            <w:fldChar w:fldCharType="separate"/>
          </w:r>
          <w:r>
            <w:t>4</w:t>
          </w:r>
          <w:r>
            <w:fldChar w:fldCharType="end"/>
          </w:r>
          <w:r>
            <w:fldChar w:fldCharType="end"/>
          </w:r>
        </w:p>
        <w:p w14:paraId="508F1703">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"_Toc196487544" </w:instrText>
          </w:r>
          <w:r>
            <w:fldChar w:fldCharType="separate"/>
          </w:r>
          <w:r>
            <w:rPr>
              <w:rStyle w:val="17"/>
              <w:color w:val="0563C1" w:themeColor="hyperlink"/>
              <w14:textFill>
                <w14:solidFill>
                  <w14:schemeClr w14:val="hlink"/>
                </w14:solidFill>
              </w14:textFill>
            </w:rPr>
            <w:t>1.</w:t>
          </w:r>
          <w:r>
            <w:rPr>
              <w:rStyle w:val="17"/>
              <w:rFonts w:hint="eastAsia"/>
              <w:color w:val="0563C1" w:themeColor="hyperlink"/>
              <w14:textFill>
                <w14:solidFill>
                  <w14:schemeClr w14:val="hlink"/>
                </w14:solidFill>
              </w14:textFill>
            </w:rPr>
            <w:t>评价原则</w:t>
          </w:r>
          <w:r>
            <w:tab/>
          </w:r>
          <w:r>
            <w:fldChar w:fldCharType="begin"/>
          </w:r>
          <w:r>
            <w:instrText xml:space="preserve"> PAGEREF _Toc196487544 \h </w:instrText>
          </w:r>
          <w:r>
            <w:fldChar w:fldCharType="separate"/>
          </w:r>
          <w:r>
            <w:t>4</w:t>
          </w:r>
          <w:r>
            <w:fldChar w:fldCharType="end"/>
          </w:r>
          <w:r>
            <w:fldChar w:fldCharType="end"/>
          </w:r>
        </w:p>
        <w:p w14:paraId="48437D53">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"_Toc196487545" </w:instrText>
          </w:r>
          <w:r>
            <w:fldChar w:fldCharType="separate"/>
          </w:r>
          <w:r>
            <w:rPr>
              <w:rStyle w:val="17"/>
              <w:color w:val="0563C1" w:themeColor="hyperlink"/>
              <w14:textFill>
                <w14:solidFill>
                  <w14:schemeClr w14:val="hlink"/>
                </w14:solidFill>
              </w14:textFill>
            </w:rPr>
            <w:t>2.</w:t>
          </w:r>
          <w:r>
            <w:rPr>
              <w:rStyle w:val="17"/>
              <w:rFonts w:hint="eastAsia"/>
              <w:color w:val="0563C1" w:themeColor="hyperlink"/>
              <w14:textFill>
                <w14:solidFill>
                  <w14:schemeClr w14:val="hlink"/>
                </w14:solidFill>
              </w14:textFill>
            </w:rPr>
            <w:t>评价指标体系</w:t>
          </w:r>
          <w:r>
            <w:tab/>
          </w:r>
          <w:r>
            <w:fldChar w:fldCharType="begin"/>
          </w:r>
          <w:r>
            <w:instrText xml:space="preserve"> PAGEREF _Toc196487545 \h </w:instrText>
          </w:r>
          <w:r>
            <w:fldChar w:fldCharType="separate"/>
          </w:r>
          <w:r>
            <w:t>4</w:t>
          </w:r>
          <w:r>
            <w:fldChar w:fldCharType="end"/>
          </w:r>
          <w:r>
            <w:fldChar w:fldCharType="end"/>
          </w:r>
        </w:p>
        <w:p w14:paraId="2D301662">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"_Toc196487546" </w:instrText>
          </w:r>
          <w:r>
            <w:fldChar w:fldCharType="separate"/>
          </w:r>
          <w:r>
            <w:rPr>
              <w:rStyle w:val="17"/>
              <w:color w:val="0563C1" w:themeColor="hyperlink"/>
              <w14:textFill>
                <w14:solidFill>
                  <w14:schemeClr w14:val="hlink"/>
                </w14:solidFill>
              </w14:textFill>
            </w:rPr>
            <w:t>3.</w:t>
          </w:r>
          <w:r>
            <w:rPr>
              <w:rStyle w:val="17"/>
              <w:rFonts w:hint="eastAsia"/>
              <w:color w:val="0563C1" w:themeColor="hyperlink"/>
              <w14:textFill>
                <w14:solidFill>
                  <w14:schemeClr w14:val="hlink"/>
                </w14:solidFill>
              </w14:textFill>
            </w:rPr>
            <w:t>评价方法</w:t>
          </w:r>
          <w:r>
            <w:tab/>
          </w:r>
          <w:r>
            <w:fldChar w:fldCharType="begin"/>
          </w:r>
          <w:r>
            <w:instrText xml:space="preserve"> PAGEREF _Toc196487546 \h </w:instrText>
          </w:r>
          <w:r>
            <w:fldChar w:fldCharType="separate"/>
          </w:r>
          <w:r>
            <w:t>12</w:t>
          </w:r>
          <w:r>
            <w:fldChar w:fldCharType="end"/>
          </w:r>
          <w:r>
            <w:fldChar w:fldCharType="end"/>
          </w:r>
        </w:p>
        <w:p w14:paraId="241021C0">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"_Toc196487547" </w:instrText>
          </w:r>
          <w:r>
            <w:fldChar w:fldCharType="separate"/>
          </w:r>
          <w:r>
            <w:rPr>
              <w:rStyle w:val="17"/>
              <w:color w:val="0563C1" w:themeColor="hyperlink"/>
              <w14:textFill>
                <w14:solidFill>
                  <w14:schemeClr w14:val="hlink"/>
                </w14:solidFill>
              </w14:textFill>
            </w:rPr>
            <w:t>4.</w:t>
          </w:r>
          <w:r>
            <w:rPr>
              <w:rStyle w:val="17"/>
              <w:rFonts w:hint="eastAsia"/>
              <w:color w:val="0563C1" w:themeColor="hyperlink"/>
              <w14:textFill>
                <w14:solidFill>
                  <w14:schemeClr w14:val="hlink"/>
                </w14:solidFill>
              </w14:textFill>
            </w:rPr>
            <w:t>评价标准</w:t>
          </w:r>
          <w:r>
            <w:tab/>
          </w:r>
          <w:r>
            <w:fldChar w:fldCharType="begin"/>
          </w:r>
          <w:r>
            <w:instrText xml:space="preserve"> PAGEREF _Toc196487547 \h </w:instrText>
          </w:r>
          <w:r>
            <w:fldChar w:fldCharType="separate"/>
          </w:r>
          <w:r>
            <w:t>13</w:t>
          </w:r>
          <w:r>
            <w:fldChar w:fldCharType="end"/>
          </w:r>
          <w:r>
            <w:fldChar w:fldCharType="end"/>
          </w:r>
        </w:p>
        <w:p w14:paraId="4BC7C68F">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"_Toc196487548" </w:instrText>
          </w:r>
          <w:r>
            <w:fldChar w:fldCharType="separate"/>
          </w:r>
          <w:r>
            <w:rPr>
              <w:rStyle w:val="17"/>
              <w:rFonts w:hint="eastAsia" w:ascii="仿宋" w:hAnsi="仿宋" w:eastAsia="仿宋"/>
              <w:color w:val="0563C1" w:themeColor="hyperlink"/>
              <w:lang w:bidi="en-US"/>
              <w14:textFill>
                <w14:solidFill>
                  <w14:schemeClr w14:val="hlink"/>
                </w14:solidFill>
              </w14:textFill>
            </w:rPr>
            <w:t>（三）绩效评价工作过程</w:t>
          </w:r>
          <w:r>
            <w:tab/>
          </w:r>
          <w:r>
            <w:fldChar w:fldCharType="begin"/>
          </w:r>
          <w:r>
            <w:instrText xml:space="preserve"> PAGEREF _Toc196487548 \h </w:instrText>
          </w:r>
          <w:r>
            <w:fldChar w:fldCharType="separate"/>
          </w:r>
          <w:r>
            <w:t>13</w:t>
          </w:r>
          <w:r>
            <w:fldChar w:fldCharType="end"/>
          </w:r>
          <w:r>
            <w:fldChar w:fldCharType="end"/>
          </w:r>
        </w:p>
        <w:p w14:paraId="41D89ECD">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"_Toc196487549" </w:instrText>
          </w:r>
          <w:r>
            <w:fldChar w:fldCharType="separate"/>
          </w:r>
          <w:r>
            <w:rPr>
              <w:rStyle w:val="17"/>
              <w:rFonts w:hint="eastAsia" w:ascii="仿宋" w:hAnsi="仿宋" w:eastAsia="仿宋"/>
              <w:color w:val="0563C1" w:themeColor="hyperlink"/>
              <w:lang w:bidi="en-US"/>
              <w14:textFill>
                <w14:solidFill>
                  <w14:schemeClr w14:val="hlink"/>
                </w14:solidFill>
              </w14:textFill>
            </w:rPr>
            <w:t>三、综合评价情况及评价结论</w:t>
          </w:r>
          <w:r>
            <w:tab/>
          </w:r>
          <w:r>
            <w:fldChar w:fldCharType="begin"/>
          </w:r>
          <w:r>
            <w:instrText xml:space="preserve"> PAGEREF _Toc196487549 \h </w:instrText>
          </w:r>
          <w:r>
            <w:fldChar w:fldCharType="separate"/>
          </w:r>
          <w:r>
            <w:t>14</w:t>
          </w:r>
          <w:r>
            <w:fldChar w:fldCharType="end"/>
          </w:r>
          <w:r>
            <w:fldChar w:fldCharType="end"/>
          </w:r>
        </w:p>
        <w:p w14:paraId="64EE90BA">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"_Toc196487550" </w:instrText>
          </w:r>
          <w:r>
            <w:fldChar w:fldCharType="separate"/>
          </w:r>
          <w:r>
            <w:rPr>
              <w:rStyle w:val="17"/>
              <w:rFonts w:hint="eastAsia" w:ascii="仿宋" w:hAnsi="仿宋" w:eastAsia="仿宋"/>
              <w:color w:val="0563C1" w:themeColor="hyperlink"/>
              <w:lang w:bidi="en-US"/>
              <w14:textFill>
                <w14:solidFill>
                  <w14:schemeClr w14:val="hlink"/>
                </w14:solidFill>
              </w14:textFill>
            </w:rPr>
            <w:t>（一）评价结论</w:t>
          </w:r>
          <w:r>
            <w:tab/>
          </w:r>
          <w:r>
            <w:fldChar w:fldCharType="begin"/>
          </w:r>
          <w:r>
            <w:instrText xml:space="preserve"> PAGEREF _Toc196487550 \h </w:instrText>
          </w:r>
          <w:r>
            <w:fldChar w:fldCharType="separate"/>
          </w:r>
          <w:r>
            <w:t>14</w:t>
          </w:r>
          <w:r>
            <w:fldChar w:fldCharType="end"/>
          </w:r>
          <w:r>
            <w:fldChar w:fldCharType="end"/>
          </w:r>
        </w:p>
        <w:p w14:paraId="2BCEFC10">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"_Toc196487551" </w:instrText>
          </w:r>
          <w:r>
            <w:fldChar w:fldCharType="separate"/>
          </w:r>
          <w:r>
            <w:rPr>
              <w:rStyle w:val="17"/>
              <w:rFonts w:hint="eastAsia" w:ascii="仿宋" w:hAnsi="仿宋" w:eastAsia="仿宋"/>
              <w:color w:val="0563C1" w:themeColor="hyperlink"/>
              <w:lang w:bidi="en-US"/>
              <w14:textFill>
                <w14:solidFill>
                  <w14:schemeClr w14:val="hlink"/>
                </w14:solidFill>
              </w14:textFill>
            </w:rPr>
            <w:t>（二）主要绩效</w:t>
          </w:r>
          <w:r>
            <w:tab/>
          </w:r>
          <w:r>
            <w:fldChar w:fldCharType="begin"/>
          </w:r>
          <w:r>
            <w:instrText xml:space="preserve"> PAGEREF _Toc196487551 \h </w:instrText>
          </w:r>
          <w:r>
            <w:fldChar w:fldCharType="separate"/>
          </w:r>
          <w:r>
            <w:t>15</w:t>
          </w:r>
          <w:r>
            <w:fldChar w:fldCharType="end"/>
          </w:r>
          <w:r>
            <w:fldChar w:fldCharType="end"/>
          </w:r>
        </w:p>
        <w:p w14:paraId="4AE618E9">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"_Toc196487552" </w:instrText>
          </w:r>
          <w:r>
            <w:fldChar w:fldCharType="separate"/>
          </w:r>
          <w:r>
            <w:rPr>
              <w:rStyle w:val="17"/>
              <w:rFonts w:hint="eastAsia" w:ascii="仿宋" w:hAnsi="仿宋" w:eastAsia="仿宋"/>
              <w:color w:val="0563C1" w:themeColor="hyperlink"/>
              <w:lang w:bidi="en-US"/>
              <w14:textFill>
                <w14:solidFill>
                  <w14:schemeClr w14:val="hlink"/>
                </w14:solidFill>
              </w14:textFill>
            </w:rPr>
            <w:t>四、绩效评价指标分析</w:t>
          </w:r>
          <w:r>
            <w:tab/>
          </w:r>
          <w:r>
            <w:fldChar w:fldCharType="begin"/>
          </w:r>
          <w:r>
            <w:instrText xml:space="preserve"> PAGEREF _Toc196487552 \h </w:instrText>
          </w:r>
          <w:r>
            <w:fldChar w:fldCharType="separate"/>
          </w:r>
          <w:r>
            <w:t>15</w:t>
          </w:r>
          <w:r>
            <w:fldChar w:fldCharType="end"/>
          </w:r>
          <w:r>
            <w:fldChar w:fldCharType="end"/>
          </w:r>
        </w:p>
        <w:p w14:paraId="26DD088D">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"_Toc196487553" </w:instrText>
          </w:r>
          <w:r>
            <w:fldChar w:fldCharType="separate"/>
          </w:r>
          <w:r>
            <w:rPr>
              <w:rStyle w:val="17"/>
              <w:rFonts w:hint="eastAsia" w:ascii="仿宋" w:hAnsi="仿宋" w:eastAsia="仿宋"/>
              <w:color w:val="0563C1" w:themeColor="hyperlink"/>
              <w:lang w:bidi="en-US"/>
              <w14:textFill>
                <w14:solidFill>
                  <w14:schemeClr w14:val="hlink"/>
                </w14:solidFill>
              </w14:textFill>
            </w:rPr>
            <w:t>（一）项目决策情况</w:t>
          </w:r>
          <w:r>
            <w:tab/>
          </w:r>
          <w:r>
            <w:fldChar w:fldCharType="begin"/>
          </w:r>
          <w:r>
            <w:instrText xml:space="preserve"> PAGEREF _Toc196487553 \h </w:instrText>
          </w:r>
          <w:r>
            <w:fldChar w:fldCharType="separate"/>
          </w:r>
          <w:r>
            <w:t>15</w:t>
          </w:r>
          <w:r>
            <w:fldChar w:fldCharType="end"/>
          </w:r>
          <w:r>
            <w:fldChar w:fldCharType="end"/>
          </w:r>
        </w:p>
        <w:p w14:paraId="0FA5CF43">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"_Toc196487554" </w:instrText>
          </w:r>
          <w:r>
            <w:fldChar w:fldCharType="separate"/>
          </w:r>
          <w:r>
            <w:rPr>
              <w:rStyle w:val="17"/>
              <w:color w:val="0563C1" w:themeColor="hyperlink"/>
              <w14:textFill>
                <w14:solidFill>
                  <w14:schemeClr w14:val="hlink"/>
                </w14:solidFill>
              </w14:textFill>
            </w:rPr>
            <w:t>1.</w:t>
          </w:r>
          <w:r>
            <w:rPr>
              <w:rStyle w:val="17"/>
              <w:rFonts w:hint="eastAsia"/>
              <w:color w:val="0563C1" w:themeColor="hyperlink"/>
              <w14:textFill>
                <w14:solidFill>
                  <w14:schemeClr w14:val="hlink"/>
                </w14:solidFill>
              </w14:textFill>
            </w:rPr>
            <w:t>项目立项</w:t>
          </w:r>
          <w:r>
            <w:tab/>
          </w:r>
          <w:r>
            <w:fldChar w:fldCharType="begin"/>
          </w:r>
          <w:r>
            <w:instrText xml:space="preserve"> PAGEREF _Toc196487554 \h </w:instrText>
          </w:r>
          <w:r>
            <w:fldChar w:fldCharType="separate"/>
          </w:r>
          <w:r>
            <w:t>16</w:t>
          </w:r>
          <w:r>
            <w:fldChar w:fldCharType="end"/>
          </w:r>
          <w:r>
            <w:fldChar w:fldCharType="end"/>
          </w:r>
        </w:p>
        <w:p w14:paraId="070F7F60">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"_Toc196487555" </w:instrText>
          </w:r>
          <w:r>
            <w:fldChar w:fldCharType="separate"/>
          </w:r>
          <w:r>
            <w:rPr>
              <w:rStyle w:val="17"/>
              <w:color w:val="0563C1" w:themeColor="hyperlink"/>
              <w14:textFill>
                <w14:solidFill>
                  <w14:schemeClr w14:val="hlink"/>
                </w14:solidFill>
              </w14:textFill>
            </w:rPr>
            <w:t>2.</w:t>
          </w:r>
          <w:r>
            <w:rPr>
              <w:rStyle w:val="17"/>
              <w:rFonts w:hint="eastAsia"/>
              <w:color w:val="0563C1" w:themeColor="hyperlink"/>
              <w14:textFill>
                <w14:solidFill>
                  <w14:schemeClr w14:val="hlink"/>
                </w14:solidFill>
              </w14:textFill>
            </w:rPr>
            <w:t>绩效目标</w:t>
          </w:r>
          <w:r>
            <w:tab/>
          </w:r>
          <w:r>
            <w:fldChar w:fldCharType="begin"/>
          </w:r>
          <w:r>
            <w:instrText xml:space="preserve"> PAGEREF _Toc196487555 \h </w:instrText>
          </w:r>
          <w:r>
            <w:fldChar w:fldCharType="separate"/>
          </w:r>
          <w:r>
            <w:t>16</w:t>
          </w:r>
          <w:r>
            <w:fldChar w:fldCharType="end"/>
          </w:r>
          <w:r>
            <w:fldChar w:fldCharType="end"/>
          </w:r>
        </w:p>
        <w:p w14:paraId="16A26BBE">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"_Toc196487556" </w:instrText>
          </w:r>
          <w:r>
            <w:fldChar w:fldCharType="separate"/>
          </w:r>
          <w:r>
            <w:rPr>
              <w:rStyle w:val="17"/>
              <w:color w:val="0563C1" w:themeColor="hyperlink"/>
              <w14:textFill>
                <w14:solidFill>
                  <w14:schemeClr w14:val="hlink"/>
                </w14:solidFill>
              </w14:textFill>
            </w:rPr>
            <w:t>3.</w:t>
          </w:r>
          <w:r>
            <w:rPr>
              <w:rStyle w:val="17"/>
              <w:rFonts w:hint="eastAsia"/>
              <w:color w:val="0563C1" w:themeColor="hyperlink"/>
              <w14:textFill>
                <w14:solidFill>
                  <w14:schemeClr w14:val="hlink"/>
                </w14:solidFill>
              </w14:textFill>
            </w:rPr>
            <w:t>资金投入</w:t>
          </w:r>
          <w:r>
            <w:tab/>
          </w:r>
          <w:r>
            <w:fldChar w:fldCharType="begin"/>
          </w:r>
          <w:r>
            <w:instrText xml:space="preserve"> PAGEREF _Toc196487556 \h </w:instrText>
          </w:r>
          <w:r>
            <w:fldChar w:fldCharType="separate"/>
          </w:r>
          <w:r>
            <w:t>17</w:t>
          </w:r>
          <w:r>
            <w:fldChar w:fldCharType="end"/>
          </w:r>
          <w:r>
            <w:fldChar w:fldCharType="end"/>
          </w:r>
        </w:p>
        <w:p w14:paraId="3659CF74">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"_Toc196487557" </w:instrText>
          </w:r>
          <w:r>
            <w:fldChar w:fldCharType="separate"/>
          </w:r>
          <w:r>
            <w:rPr>
              <w:rStyle w:val="17"/>
              <w:rFonts w:hint="eastAsia" w:ascii="仿宋" w:hAnsi="仿宋" w:eastAsia="仿宋"/>
              <w:color w:val="0563C1" w:themeColor="hyperlink"/>
              <w:lang w:bidi="en-US"/>
              <w14:textFill>
                <w14:solidFill>
                  <w14:schemeClr w14:val="hlink"/>
                </w14:solidFill>
              </w14:textFill>
            </w:rPr>
            <w:t>（二）项目过程情况</w:t>
          </w:r>
          <w:r>
            <w:tab/>
          </w:r>
          <w:r>
            <w:fldChar w:fldCharType="begin"/>
          </w:r>
          <w:r>
            <w:instrText xml:space="preserve"> PAGEREF _Toc196487557 \h </w:instrText>
          </w:r>
          <w:r>
            <w:fldChar w:fldCharType="separate"/>
          </w:r>
          <w:r>
            <w:t>17</w:t>
          </w:r>
          <w:r>
            <w:fldChar w:fldCharType="end"/>
          </w:r>
          <w:r>
            <w:fldChar w:fldCharType="end"/>
          </w:r>
        </w:p>
        <w:p w14:paraId="068CE71A">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"_Toc196487558" </w:instrText>
          </w:r>
          <w:r>
            <w:fldChar w:fldCharType="separate"/>
          </w:r>
          <w:r>
            <w:rPr>
              <w:rStyle w:val="17"/>
              <w:color w:val="0563C1" w:themeColor="hyperlink"/>
              <w14:textFill>
                <w14:solidFill>
                  <w14:schemeClr w14:val="hlink"/>
                </w14:solidFill>
              </w14:textFill>
            </w:rPr>
            <w:t>1.</w:t>
          </w:r>
          <w:r>
            <w:rPr>
              <w:rStyle w:val="17"/>
              <w:rFonts w:hint="eastAsia"/>
              <w:color w:val="0563C1" w:themeColor="hyperlink"/>
              <w14:textFill>
                <w14:solidFill>
                  <w14:schemeClr w14:val="hlink"/>
                </w14:solidFill>
              </w14:textFill>
            </w:rPr>
            <w:t>资金管理</w:t>
          </w:r>
          <w:r>
            <w:tab/>
          </w:r>
          <w:r>
            <w:fldChar w:fldCharType="begin"/>
          </w:r>
          <w:r>
            <w:instrText xml:space="preserve"> PAGEREF _Toc196487558 \h </w:instrText>
          </w:r>
          <w:r>
            <w:fldChar w:fldCharType="separate"/>
          </w:r>
          <w:r>
            <w:t>17</w:t>
          </w:r>
          <w:r>
            <w:fldChar w:fldCharType="end"/>
          </w:r>
          <w:r>
            <w:fldChar w:fldCharType="end"/>
          </w:r>
        </w:p>
        <w:p w14:paraId="50AA88CB">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"_Toc196487559" </w:instrText>
          </w:r>
          <w:r>
            <w:fldChar w:fldCharType="separate"/>
          </w:r>
          <w:r>
            <w:rPr>
              <w:rStyle w:val="17"/>
              <w:color w:val="0563C1" w:themeColor="hyperlink"/>
              <w14:textFill>
                <w14:solidFill>
                  <w14:schemeClr w14:val="hlink"/>
                </w14:solidFill>
              </w14:textFill>
            </w:rPr>
            <w:t>2.</w:t>
          </w:r>
          <w:r>
            <w:rPr>
              <w:rStyle w:val="17"/>
              <w:rFonts w:hint="eastAsia"/>
              <w:color w:val="0563C1" w:themeColor="hyperlink"/>
              <w14:textFill>
                <w14:solidFill>
                  <w14:schemeClr w14:val="hlink"/>
                </w14:solidFill>
              </w14:textFill>
            </w:rPr>
            <w:t>组织实施</w:t>
          </w:r>
          <w:r>
            <w:tab/>
          </w:r>
          <w:r>
            <w:fldChar w:fldCharType="begin"/>
          </w:r>
          <w:r>
            <w:instrText xml:space="preserve"> PAGEREF _Toc196487559 \h </w:instrText>
          </w:r>
          <w:r>
            <w:fldChar w:fldCharType="separate"/>
          </w:r>
          <w:r>
            <w:t>18</w:t>
          </w:r>
          <w:r>
            <w:fldChar w:fldCharType="end"/>
          </w:r>
          <w:r>
            <w:fldChar w:fldCharType="end"/>
          </w:r>
        </w:p>
        <w:p w14:paraId="08913565">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"_Toc196487560" </w:instrText>
          </w:r>
          <w:r>
            <w:fldChar w:fldCharType="separate"/>
          </w:r>
          <w:r>
            <w:rPr>
              <w:rStyle w:val="17"/>
              <w:rFonts w:hint="eastAsia" w:ascii="仿宋" w:hAnsi="仿宋" w:eastAsia="仿宋"/>
              <w:color w:val="0563C1" w:themeColor="hyperlink"/>
              <w:lang w:bidi="en-US"/>
              <w14:textFill>
                <w14:solidFill>
                  <w14:schemeClr w14:val="hlink"/>
                </w14:solidFill>
              </w14:textFill>
            </w:rPr>
            <w:t>（三）项目产出情况</w:t>
          </w:r>
          <w:r>
            <w:tab/>
          </w:r>
          <w:r>
            <w:fldChar w:fldCharType="begin"/>
          </w:r>
          <w:r>
            <w:instrText xml:space="preserve"> PAGEREF _Toc196487560 \h </w:instrText>
          </w:r>
          <w:r>
            <w:fldChar w:fldCharType="separate"/>
          </w:r>
          <w:r>
            <w:t>18</w:t>
          </w:r>
          <w:r>
            <w:fldChar w:fldCharType="end"/>
          </w:r>
          <w:r>
            <w:fldChar w:fldCharType="end"/>
          </w:r>
        </w:p>
        <w:p w14:paraId="074560CD">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"_Toc196487561" </w:instrText>
          </w:r>
          <w:r>
            <w:fldChar w:fldCharType="separate"/>
          </w:r>
          <w:r>
            <w:rPr>
              <w:rStyle w:val="17"/>
              <w:color w:val="0563C1" w:themeColor="hyperlink"/>
              <w14:textFill>
                <w14:solidFill>
                  <w14:schemeClr w14:val="hlink"/>
                </w14:solidFill>
              </w14:textFill>
            </w:rPr>
            <w:t>1.</w:t>
          </w:r>
          <w:r>
            <w:rPr>
              <w:rStyle w:val="17"/>
              <w:rFonts w:hint="eastAsia"/>
              <w:color w:val="0563C1" w:themeColor="hyperlink"/>
              <w14:textFill>
                <w14:solidFill>
                  <w14:schemeClr w14:val="hlink"/>
                </w14:solidFill>
              </w14:textFill>
            </w:rPr>
            <w:t>产出数量</w:t>
          </w:r>
          <w:r>
            <w:tab/>
          </w:r>
          <w:r>
            <w:fldChar w:fldCharType="begin"/>
          </w:r>
          <w:r>
            <w:instrText xml:space="preserve"> PAGEREF _Toc196487561 \h </w:instrText>
          </w:r>
          <w:r>
            <w:fldChar w:fldCharType="separate"/>
          </w:r>
          <w:r>
            <w:t>18</w:t>
          </w:r>
          <w:r>
            <w:fldChar w:fldCharType="end"/>
          </w:r>
          <w:r>
            <w:fldChar w:fldCharType="end"/>
          </w:r>
        </w:p>
        <w:p w14:paraId="5D69E24F">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"_Toc196487562" </w:instrText>
          </w:r>
          <w:r>
            <w:fldChar w:fldCharType="separate"/>
          </w:r>
          <w:r>
            <w:rPr>
              <w:rStyle w:val="17"/>
              <w:color w:val="0563C1" w:themeColor="hyperlink"/>
              <w14:textFill>
                <w14:solidFill>
                  <w14:schemeClr w14:val="hlink"/>
                </w14:solidFill>
              </w14:textFill>
            </w:rPr>
            <w:t>2.</w:t>
          </w:r>
          <w:r>
            <w:rPr>
              <w:rStyle w:val="17"/>
              <w:rFonts w:hint="eastAsia"/>
              <w:color w:val="0563C1" w:themeColor="hyperlink"/>
              <w14:textFill>
                <w14:solidFill>
                  <w14:schemeClr w14:val="hlink"/>
                </w14:solidFill>
              </w14:textFill>
            </w:rPr>
            <w:t>产出质量</w:t>
          </w:r>
          <w:r>
            <w:tab/>
          </w:r>
          <w:r>
            <w:fldChar w:fldCharType="begin"/>
          </w:r>
          <w:r>
            <w:instrText xml:space="preserve"> PAGEREF _Toc196487562 \h </w:instrText>
          </w:r>
          <w:r>
            <w:fldChar w:fldCharType="separate"/>
          </w:r>
          <w:r>
            <w:t>19</w:t>
          </w:r>
          <w:r>
            <w:fldChar w:fldCharType="end"/>
          </w:r>
          <w:r>
            <w:fldChar w:fldCharType="end"/>
          </w:r>
        </w:p>
        <w:p w14:paraId="4B21AF74">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"_Toc196487563" </w:instrText>
          </w:r>
          <w:r>
            <w:fldChar w:fldCharType="separate"/>
          </w:r>
          <w:r>
            <w:rPr>
              <w:rStyle w:val="17"/>
              <w:color w:val="0563C1" w:themeColor="hyperlink"/>
              <w14:textFill>
                <w14:solidFill>
                  <w14:schemeClr w14:val="hlink"/>
                </w14:solidFill>
              </w14:textFill>
            </w:rPr>
            <w:t>3.</w:t>
          </w:r>
          <w:r>
            <w:rPr>
              <w:rStyle w:val="17"/>
              <w:rFonts w:hint="eastAsia"/>
              <w:color w:val="0563C1" w:themeColor="hyperlink"/>
              <w14:textFill>
                <w14:solidFill>
                  <w14:schemeClr w14:val="hlink"/>
                </w14:solidFill>
              </w14:textFill>
            </w:rPr>
            <w:t>产出时效</w:t>
          </w:r>
          <w:r>
            <w:tab/>
          </w:r>
          <w:r>
            <w:fldChar w:fldCharType="begin"/>
          </w:r>
          <w:r>
            <w:instrText xml:space="preserve"> PAGEREF _Toc196487563 \h </w:instrText>
          </w:r>
          <w:r>
            <w:fldChar w:fldCharType="separate"/>
          </w:r>
          <w:r>
            <w:t>19</w:t>
          </w:r>
          <w:r>
            <w:fldChar w:fldCharType="end"/>
          </w:r>
          <w:r>
            <w:fldChar w:fldCharType="end"/>
          </w:r>
        </w:p>
        <w:p w14:paraId="1C280FC3">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"_Toc196487564" </w:instrText>
          </w:r>
          <w:r>
            <w:fldChar w:fldCharType="separate"/>
          </w:r>
          <w:r>
            <w:rPr>
              <w:rStyle w:val="17"/>
              <w:color w:val="0563C1" w:themeColor="hyperlink"/>
              <w14:textFill>
                <w14:solidFill>
                  <w14:schemeClr w14:val="hlink"/>
                </w14:solidFill>
              </w14:textFill>
            </w:rPr>
            <w:t>4.</w:t>
          </w:r>
          <w:r>
            <w:rPr>
              <w:rStyle w:val="17"/>
              <w:rFonts w:hint="eastAsia"/>
              <w:color w:val="0563C1" w:themeColor="hyperlink"/>
              <w14:textFill>
                <w14:solidFill>
                  <w14:schemeClr w14:val="hlink"/>
                </w14:solidFill>
              </w14:textFill>
            </w:rPr>
            <w:t>产出成本</w:t>
          </w:r>
          <w:r>
            <w:tab/>
          </w:r>
          <w:r>
            <w:fldChar w:fldCharType="begin"/>
          </w:r>
          <w:r>
            <w:instrText xml:space="preserve"> PAGEREF _Toc196487564 \h </w:instrText>
          </w:r>
          <w:r>
            <w:fldChar w:fldCharType="separate"/>
          </w:r>
          <w:r>
            <w:t>19</w:t>
          </w:r>
          <w:r>
            <w:fldChar w:fldCharType="end"/>
          </w:r>
          <w:r>
            <w:fldChar w:fldCharType="end"/>
          </w:r>
        </w:p>
        <w:p w14:paraId="2180B52F">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"_Toc196487565" </w:instrText>
          </w:r>
          <w:r>
            <w:fldChar w:fldCharType="separate"/>
          </w:r>
          <w:r>
            <w:rPr>
              <w:rStyle w:val="17"/>
              <w:rFonts w:hint="eastAsia" w:ascii="仿宋" w:hAnsi="仿宋" w:eastAsia="仿宋"/>
              <w:color w:val="0563C1" w:themeColor="hyperlink"/>
              <w:lang w:bidi="en-US"/>
              <w14:textFill>
                <w14:solidFill>
                  <w14:schemeClr w14:val="hlink"/>
                </w14:solidFill>
              </w14:textFill>
            </w:rPr>
            <w:t>（四）项目效益</w:t>
          </w:r>
          <w:r>
            <w:tab/>
          </w:r>
          <w:r>
            <w:fldChar w:fldCharType="begin"/>
          </w:r>
          <w:r>
            <w:instrText xml:space="preserve"> PAGEREF _Toc196487565 \h </w:instrText>
          </w:r>
          <w:r>
            <w:fldChar w:fldCharType="separate"/>
          </w:r>
          <w:r>
            <w:t>19</w:t>
          </w:r>
          <w:r>
            <w:fldChar w:fldCharType="end"/>
          </w:r>
          <w:r>
            <w:fldChar w:fldCharType="end"/>
          </w:r>
        </w:p>
        <w:p w14:paraId="4228F8C7">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"_Toc196487566" </w:instrText>
          </w:r>
          <w:r>
            <w:fldChar w:fldCharType="separate"/>
          </w:r>
          <w:r>
            <w:rPr>
              <w:rStyle w:val="17"/>
              <w:rFonts w:hint="eastAsia" w:ascii="仿宋" w:hAnsi="仿宋" w:eastAsia="仿宋"/>
              <w:color w:val="0563C1" w:themeColor="hyperlink"/>
              <w:lang w:bidi="en-US"/>
              <w14:textFill>
                <w14:solidFill>
                  <w14:schemeClr w14:val="hlink"/>
                </w14:solidFill>
              </w14:textFill>
            </w:rPr>
            <w:t>（五）满意度指标完成情况分析</w:t>
          </w:r>
          <w:r>
            <w:tab/>
          </w:r>
          <w:r>
            <w:fldChar w:fldCharType="begin"/>
          </w:r>
          <w:r>
            <w:instrText xml:space="preserve"> PAGEREF _Toc196487566 \h </w:instrText>
          </w:r>
          <w:r>
            <w:fldChar w:fldCharType="separate"/>
          </w:r>
          <w:r>
            <w:t>20</w:t>
          </w:r>
          <w:r>
            <w:fldChar w:fldCharType="end"/>
          </w:r>
          <w:r>
            <w:fldChar w:fldCharType="end"/>
          </w:r>
        </w:p>
        <w:p w14:paraId="7BAC238F">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"_Toc196487567" </w:instrText>
          </w:r>
          <w:r>
            <w:fldChar w:fldCharType="separate"/>
          </w:r>
          <w:r>
            <w:rPr>
              <w:rStyle w:val="17"/>
              <w:rFonts w:hint="eastAsia" w:ascii="仿宋" w:hAnsi="仿宋" w:eastAsia="仿宋"/>
              <w:color w:val="0563C1" w:themeColor="hyperlink"/>
              <w:lang w:bidi="en-US"/>
              <w14:textFill>
                <w14:solidFill>
                  <w14:schemeClr w14:val="hlink"/>
                </w14:solidFill>
              </w14:textFill>
            </w:rPr>
            <w:t>五、主要经验及做法、存在的问题及原因分析</w:t>
          </w:r>
          <w:r>
            <w:tab/>
          </w:r>
          <w:r>
            <w:fldChar w:fldCharType="begin"/>
          </w:r>
          <w:r>
            <w:instrText xml:space="preserve"> PAGEREF _Toc196487567 \h </w:instrText>
          </w:r>
          <w:r>
            <w:fldChar w:fldCharType="separate"/>
          </w:r>
          <w:r>
            <w:t>20</w:t>
          </w:r>
          <w:r>
            <w:fldChar w:fldCharType="end"/>
          </w:r>
          <w:r>
            <w:fldChar w:fldCharType="end"/>
          </w:r>
        </w:p>
        <w:p w14:paraId="7F5265BE">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"_Toc196487568" </w:instrText>
          </w:r>
          <w:r>
            <w:fldChar w:fldCharType="separate"/>
          </w:r>
          <w:r>
            <w:rPr>
              <w:rStyle w:val="17"/>
              <w:rFonts w:hint="eastAsia" w:ascii="仿宋" w:hAnsi="仿宋" w:eastAsia="仿宋"/>
              <w:color w:val="0563C1" w:themeColor="hyperlink"/>
              <w:lang w:bidi="en-US"/>
              <w14:textFill>
                <w14:solidFill>
                  <w14:schemeClr w14:val="hlink"/>
                </w14:solidFill>
              </w14:textFill>
            </w:rPr>
            <w:t>（一）主要经验及做法</w:t>
          </w:r>
          <w:r>
            <w:tab/>
          </w:r>
          <w:r>
            <w:fldChar w:fldCharType="begin"/>
          </w:r>
          <w:r>
            <w:instrText xml:space="preserve"> PAGEREF _Toc196487568 \h </w:instrText>
          </w:r>
          <w:r>
            <w:fldChar w:fldCharType="separate"/>
          </w:r>
          <w:r>
            <w:t>20</w:t>
          </w:r>
          <w:r>
            <w:fldChar w:fldCharType="end"/>
          </w:r>
          <w:r>
            <w:fldChar w:fldCharType="end"/>
          </w:r>
        </w:p>
        <w:p w14:paraId="035B7946">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"_Toc196487569" </w:instrText>
          </w:r>
          <w:r>
            <w:fldChar w:fldCharType="separate"/>
          </w:r>
          <w:r>
            <w:rPr>
              <w:rStyle w:val="17"/>
              <w:rFonts w:hint="eastAsia" w:ascii="仿宋" w:hAnsi="仿宋" w:eastAsia="仿宋"/>
              <w:color w:val="0563C1" w:themeColor="hyperlink"/>
              <w:lang w:bidi="en-US"/>
              <w14:textFill>
                <w14:solidFill>
                  <w14:schemeClr w14:val="hlink"/>
                </w14:solidFill>
              </w14:textFill>
            </w:rPr>
            <w:t>（二）存在的问题及原因分析</w:t>
          </w:r>
          <w:r>
            <w:tab/>
          </w:r>
          <w:r>
            <w:fldChar w:fldCharType="begin"/>
          </w:r>
          <w:r>
            <w:instrText xml:space="preserve"> PAGEREF _Toc196487569 \h </w:instrText>
          </w:r>
          <w:r>
            <w:fldChar w:fldCharType="separate"/>
          </w:r>
          <w:r>
            <w:t>20</w:t>
          </w:r>
          <w:r>
            <w:fldChar w:fldCharType="end"/>
          </w:r>
          <w:r>
            <w:fldChar w:fldCharType="end"/>
          </w:r>
        </w:p>
        <w:p w14:paraId="46ADC2C3">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"_Toc196487570" </w:instrText>
          </w:r>
          <w:r>
            <w:fldChar w:fldCharType="separate"/>
          </w:r>
          <w:r>
            <w:rPr>
              <w:rStyle w:val="17"/>
              <w:rFonts w:hint="eastAsia" w:ascii="仿宋" w:hAnsi="仿宋" w:eastAsia="仿宋"/>
              <w:color w:val="0563C1" w:themeColor="hyperlink"/>
              <w:lang w:bidi="en-US"/>
              <w14:textFill>
                <w14:solidFill>
                  <w14:schemeClr w14:val="hlink"/>
                </w14:solidFill>
              </w14:textFill>
            </w:rPr>
            <w:t>六、有关建议</w:t>
          </w:r>
          <w:r>
            <w:tab/>
          </w:r>
          <w:r>
            <w:fldChar w:fldCharType="begin"/>
          </w:r>
          <w:r>
            <w:instrText xml:space="preserve"> PAGEREF _Toc196487570 \h </w:instrText>
          </w:r>
          <w:r>
            <w:fldChar w:fldCharType="separate"/>
          </w:r>
          <w:r>
            <w:t>21</w:t>
          </w:r>
          <w:r>
            <w:fldChar w:fldCharType="end"/>
          </w:r>
          <w:r>
            <w:fldChar w:fldCharType="end"/>
          </w:r>
        </w:p>
        <w:p w14:paraId="03AC1830">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"_Toc196487571" </w:instrText>
          </w:r>
          <w:r>
            <w:fldChar w:fldCharType="separate"/>
          </w:r>
          <w:r>
            <w:rPr>
              <w:rStyle w:val="17"/>
              <w:rFonts w:hint="eastAsia" w:ascii="仿宋" w:hAnsi="仿宋" w:eastAsia="仿宋"/>
              <w:color w:val="0563C1" w:themeColor="hyperlink"/>
              <w:lang w:bidi="en-US"/>
              <w14:textFill>
                <w14:solidFill>
                  <w14:schemeClr w14:val="hlink"/>
                </w14:solidFill>
              </w14:textFill>
            </w:rPr>
            <w:t>七、其他需要说明的问题</w:t>
          </w:r>
          <w:r>
            <w:tab/>
          </w:r>
          <w:r>
            <w:fldChar w:fldCharType="begin"/>
          </w:r>
          <w:r>
            <w:instrText xml:space="preserve"> PAGEREF _Toc196487571 \h </w:instrText>
          </w:r>
          <w:r>
            <w:fldChar w:fldCharType="separate"/>
          </w:r>
          <w:r>
            <w:t>21</w:t>
          </w:r>
          <w:r>
            <w:fldChar w:fldCharType="end"/>
          </w:r>
          <w:r>
            <w:fldChar w:fldCharType="end"/>
          </w:r>
        </w:p>
        <w:p w14:paraId="221914A9">
          <w:pPr>
            <w:ind w:firstLine="562"/>
          </w:pPr>
          <w:r>
            <w:rPr>
              <w:b/>
              <w:bCs/>
              <w:lang w:val="zh-CN"/>
            </w:rPr>
            <w:fldChar w:fldCharType="end"/>
          </w:r>
        </w:p>
      </w:sdtContent>
    </w:sdt>
    <w:p w14:paraId="18BB440F">
      <w:pPr>
        <w:ind w:firstLine="598" w:firstLineChars="187"/>
        <w:rPr>
          <w:rFonts w:ascii="仿宋_GB2312" w:hAnsi="Times New Roman" w:cs="Times New Roman"/>
          <w:sz w:val="32"/>
          <w:szCs w:val="32"/>
          <w:lang w:bidi="en-US"/>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14:paraId="72DF9ED4">
      <w:pPr>
        <w:pStyle w:val="2"/>
        <w:ind w:firstLine="0" w:firstLineChars="0"/>
        <w:jc w:val="left"/>
        <w:rPr>
          <w:rFonts w:ascii="仿宋" w:hAnsi="仿宋" w:eastAsia="仿宋"/>
          <w:sz w:val="36"/>
          <w:szCs w:val="36"/>
          <w:lang w:bidi="en-US"/>
        </w:rPr>
      </w:pPr>
      <w:bookmarkStart w:id="0" w:name="_Toc196487532"/>
      <w:bookmarkStart w:id="1" w:name="_Toc67911601"/>
      <w:r>
        <w:rPr>
          <w:rFonts w:hint="eastAsia" w:ascii="仿宋" w:hAnsi="仿宋" w:eastAsia="仿宋"/>
          <w:sz w:val="36"/>
          <w:szCs w:val="36"/>
          <w:lang w:bidi="en-US"/>
        </w:rPr>
        <w:t>一、基本情况</w:t>
      </w:r>
      <w:bookmarkEnd w:id="0"/>
      <w:bookmarkEnd w:id="1"/>
    </w:p>
    <w:p w14:paraId="6B5E3645">
      <w:pPr>
        <w:pStyle w:val="3"/>
        <w:ind w:firstLine="643"/>
        <w:rPr>
          <w:rFonts w:ascii="仿宋" w:hAnsi="仿宋" w:eastAsia="仿宋"/>
          <w:lang w:bidi="en-US"/>
        </w:rPr>
      </w:pPr>
      <w:bookmarkStart w:id="2" w:name="_Toc196487533"/>
      <w:bookmarkStart w:id="3" w:name="_Toc67911602"/>
      <w:r>
        <w:rPr>
          <w:rFonts w:hint="eastAsia" w:ascii="仿宋" w:hAnsi="仿宋" w:eastAsia="仿宋"/>
          <w:lang w:bidi="en-US"/>
        </w:rPr>
        <w:t>（一）项目概况：</w:t>
      </w:r>
      <w:bookmarkEnd w:id="2"/>
      <w:bookmarkEnd w:id="3"/>
    </w:p>
    <w:p w14:paraId="48D95401">
      <w:pPr>
        <w:pStyle w:val="4"/>
        <w:ind w:firstLine="643"/>
      </w:pPr>
      <w:bookmarkStart w:id="4" w:name="_Toc196487534"/>
      <w:r>
        <w:rPr>
          <w:rFonts w:hint="eastAsia"/>
        </w:rPr>
        <w:t>1．项目背景、主要内容及实施情况</w:t>
      </w:r>
      <w:bookmarkEnd w:id="4"/>
    </w:p>
    <w:p w14:paraId="5CC5C2F8">
      <w:pPr>
        <w:spacing w:line="360" w:lineRule="auto"/>
        <w:ind w:firstLine="560"/>
        <w:rPr>
          <w:rFonts w:hint="eastAsia" w:ascii="仿宋_GB2312"/>
          <w:lang w:val="en-US" w:eastAsia="zh-CN"/>
        </w:rPr>
      </w:pPr>
      <w:r>
        <w:rPr>
          <w:rFonts w:hint="eastAsia" w:ascii="仿宋_GB2312"/>
        </w:rPr>
        <w:t>该项目实施背景：</w:t>
      </w:r>
      <w:r>
        <w:rPr>
          <w:rFonts w:hint="eastAsia" w:ascii="仿宋_GB2312"/>
          <w:lang w:val="en-US" w:eastAsia="zh-CN"/>
        </w:rPr>
        <w:t>根据中国科协印发《全民科学素质行动规划纲要（2021-2035年）》、中国科协、财政部《关于进一步加强基层科普服务能力建设的意见》（科协发普字【2017】45号）、自治区科协财政厅《关于进一步加强基层科普服务能力建设的实施办法》（新科协发【2018】45号）及自治区科协《关于2024年全国和自治区“基层科普行动计划”项目资金分配及管理使用的通知》（新科协发【2023】185号）规定，拟定乌鲁木齐科协2024年“基层科普行动计划”项目自治区资金50万。</w:t>
      </w:r>
      <w:r>
        <w:rPr>
          <w:rFonts w:hint="default" w:ascii="仿宋_GB2312"/>
          <w:lang w:val="en-US" w:eastAsia="zh-CN"/>
        </w:rPr>
        <w:t>全面落实《全民科学素质行动规划纲要（2021-2025年）》，弘扬科学精神，普及科学知识，进一步加大基层科普资源供给支撑，不断完善全市科普基础设施网络体系，充分调动全社会深入基层、贴近实际、贴近生活、贴近群众开展科普工作的积极性和创造性，让科普公共服务持续惠及广大基层群众</w:t>
      </w:r>
      <w:r>
        <w:rPr>
          <w:rFonts w:hint="eastAsia" w:ascii="仿宋_GB2312"/>
          <w:lang w:val="en-US" w:eastAsia="zh-CN"/>
        </w:rPr>
        <w:t>，</w:t>
      </w:r>
      <w:r>
        <w:rPr>
          <w:rFonts w:hint="eastAsia" w:ascii="仿宋_GB2312" w:hAnsi="仿宋"/>
          <w:szCs w:val="28"/>
          <w:lang w:val="en-US" w:eastAsia="zh-CN"/>
        </w:rPr>
        <w:t>充分发挥科学技术普及主力军的作用，动员社会各方面的力量，弘扬科学精神，普及科学知识，推广先进技术，传播科学思想和科学方法，捍卫科学尊严，提高全民科学素质，铸牢中华民族共同体意识。</w:t>
      </w:r>
    </w:p>
    <w:p w14:paraId="5D9F4BA9">
      <w:pPr>
        <w:spacing w:line="360" w:lineRule="auto"/>
        <w:ind w:left="0" w:leftChars="0" w:firstLine="560" w:firstLineChars="200"/>
        <w:rPr>
          <w:rFonts w:ascii="仿宋_GB2312"/>
          <w:color w:val="0000FF"/>
        </w:rPr>
      </w:pPr>
      <w:r>
        <w:rPr>
          <w:rFonts w:ascii="仿宋_GB2312"/>
        </w:rPr>
        <w:t>项目</w:t>
      </w:r>
      <w:r>
        <w:rPr>
          <w:rFonts w:hint="eastAsia" w:ascii="仿宋_GB2312"/>
        </w:rPr>
        <w:t>2024</w:t>
      </w:r>
      <w:r>
        <w:rPr>
          <w:rFonts w:ascii="仿宋_GB2312"/>
        </w:rPr>
        <w:t>年的主要实施内容：</w:t>
      </w:r>
      <w:r>
        <w:rPr>
          <w:rFonts w:hint="eastAsia" w:ascii="仿宋_GB2312"/>
          <w:color w:val="auto"/>
          <w:lang w:val="en-US" w:eastAsia="zh-CN"/>
        </w:rPr>
        <w:t>①开展青创赛暨成果展示活动；②制作科普视频2条；</w:t>
      </w:r>
      <w:r>
        <w:rPr>
          <w:rFonts w:hint="default" w:ascii="Calibri" w:hAnsi="Calibri" w:cs="Calibri"/>
          <w:color w:val="auto"/>
          <w:lang w:val="en-US" w:eastAsia="zh-CN"/>
        </w:rPr>
        <w:t>③</w:t>
      </w:r>
      <w:r>
        <w:rPr>
          <w:rFonts w:hint="eastAsia" w:ascii="仿宋_GB2312"/>
          <w:color w:val="auto"/>
          <w:lang w:val="en-US" w:eastAsia="zh-CN"/>
        </w:rPr>
        <w:t>奖补科普教育基地15个、奖补青少年科技活动特色学校10个。</w:t>
      </w:r>
    </w:p>
    <w:p w14:paraId="76354476">
      <w:pPr>
        <w:pStyle w:val="5"/>
        <w:keepNext w:val="0"/>
        <w:keepLines w:val="0"/>
        <w:pageBreakBefore w:val="0"/>
        <w:widowControl w:val="0"/>
        <w:kinsoku/>
        <w:wordWrap/>
        <w:overflowPunct/>
        <w:topLinePunct w:val="0"/>
        <w:autoSpaceDE/>
        <w:autoSpaceDN/>
        <w:bidi w:val="0"/>
        <w:adjustRightInd/>
        <w:snapToGrid/>
        <w:spacing w:line="520" w:lineRule="exact"/>
        <w:ind w:left="0" w:leftChars="0" w:firstLine="560" w:firstLineChars="200"/>
        <w:textAlignment w:val="auto"/>
        <w:rPr>
          <w:rFonts w:hint="default" w:ascii="仿宋_GB2312"/>
          <w:lang w:val="en-US" w:eastAsia="zh-CN"/>
        </w:rPr>
      </w:pPr>
      <w:r>
        <w:rPr>
          <w:rFonts w:ascii="仿宋_GB2312"/>
        </w:rPr>
        <w:t>实际完成情况。为：</w:t>
      </w:r>
      <w:r>
        <w:rPr>
          <w:rFonts w:hint="eastAsia" w:ascii="仿宋_GB2312"/>
        </w:rPr>
        <w:t>①</w:t>
      </w:r>
      <w:r>
        <w:rPr>
          <w:rFonts w:hint="eastAsia" w:ascii="仿宋_GB2312"/>
          <w:lang w:val="en-US" w:eastAsia="zh-CN"/>
        </w:rPr>
        <w:t>开展青创赛暨成果展示活动。在新疆国际会展中心</w:t>
      </w:r>
      <w:r>
        <w:rPr>
          <w:rFonts w:hint="default" w:ascii="仿宋_GB2312"/>
          <w:lang w:val="en-US" w:eastAsia="zh-CN"/>
        </w:rPr>
        <w:t>联合举办乌鲁木齐市青少年科技创新大赛暨</w:t>
      </w:r>
      <w:r>
        <w:rPr>
          <w:rFonts w:hint="eastAsia" w:ascii="仿宋_GB2312"/>
          <w:lang w:val="en-US" w:eastAsia="zh-CN"/>
        </w:rPr>
        <w:t>科技</w:t>
      </w:r>
      <w:r>
        <w:rPr>
          <w:rFonts w:hint="default" w:ascii="仿宋_GB2312"/>
          <w:lang w:val="en-US" w:eastAsia="zh-CN"/>
        </w:rPr>
        <w:t>成果展览</w:t>
      </w:r>
      <w:r>
        <w:rPr>
          <w:rFonts w:hint="eastAsia" w:ascii="仿宋_GB2312"/>
          <w:lang w:val="en-US" w:eastAsia="zh-CN"/>
        </w:rPr>
        <w:t>活动</w:t>
      </w:r>
      <w:r>
        <w:rPr>
          <w:rFonts w:hint="default" w:ascii="仿宋_GB2312"/>
          <w:lang w:val="en-US" w:eastAsia="zh-CN"/>
        </w:rPr>
        <w:t>。</w:t>
      </w:r>
      <w:r>
        <w:rPr>
          <w:rFonts w:hint="eastAsia" w:ascii="仿宋_GB2312"/>
          <w:lang w:val="en-US" w:eastAsia="zh-CN"/>
        </w:rPr>
        <w:t>乌鲁木齐市4.3万名青少年报名参</w:t>
      </w:r>
      <w:r>
        <w:rPr>
          <w:rFonts w:hint="default" w:ascii="仿宋_GB2312"/>
          <w:lang w:val="en-US" w:eastAsia="zh-CN"/>
        </w:rPr>
        <w:t>赛</w:t>
      </w:r>
      <w:r>
        <w:rPr>
          <w:rFonts w:hint="eastAsia" w:ascii="仿宋_GB2312"/>
          <w:lang w:val="en-US" w:eastAsia="zh-CN"/>
        </w:rPr>
        <w:t>，3517名青少年现场竞技。比赛内容涉及青少年科技模型教育竞赛、青少年航天创新大赛、青少年信息素养大赛、青少年3D创意设计大赛等6项大赛项目。科技成果展示现场，</w:t>
      </w:r>
      <w:r>
        <w:rPr>
          <w:rFonts w:hint="default" w:ascii="仿宋_GB2312"/>
          <w:lang w:val="en-US" w:eastAsia="zh-CN"/>
        </w:rPr>
        <w:t>科技特色学校、</w:t>
      </w:r>
      <w:r>
        <w:rPr>
          <w:rFonts w:hint="eastAsia" w:ascii="仿宋_GB2312"/>
          <w:lang w:val="en-US" w:eastAsia="zh-CN"/>
        </w:rPr>
        <w:t>科普教育基地、企业科协</w:t>
      </w:r>
      <w:r>
        <w:rPr>
          <w:rFonts w:hint="default" w:ascii="仿宋_GB2312"/>
          <w:lang w:val="en-US" w:eastAsia="zh-CN"/>
        </w:rPr>
        <w:t>等</w:t>
      </w:r>
      <w:r>
        <w:rPr>
          <w:rFonts w:hint="eastAsia" w:ascii="仿宋_GB2312"/>
          <w:lang w:val="en-US" w:eastAsia="zh-CN"/>
        </w:rPr>
        <w:t>122家单位分11个区域集中设置展位开展了反电诈、</w:t>
      </w:r>
      <w:r>
        <w:rPr>
          <w:rFonts w:hint="default" w:ascii="仿宋_GB2312"/>
          <w:lang w:val="en-US" w:eastAsia="zh-CN"/>
        </w:rPr>
        <w:t>反邪教</w:t>
      </w:r>
      <w:r>
        <w:rPr>
          <w:rFonts w:hint="eastAsia" w:ascii="仿宋_GB2312"/>
          <w:lang w:val="en-US" w:eastAsia="zh-CN"/>
        </w:rPr>
        <w:t>等</w:t>
      </w:r>
      <w:r>
        <w:rPr>
          <w:rFonts w:hint="default" w:ascii="仿宋_GB2312"/>
          <w:lang w:val="en-US" w:eastAsia="zh-CN"/>
        </w:rPr>
        <w:t>科普宣传</w:t>
      </w:r>
      <w:r>
        <w:rPr>
          <w:rFonts w:hint="eastAsia" w:ascii="仿宋_GB2312"/>
          <w:lang w:val="en-US" w:eastAsia="zh-CN"/>
        </w:rPr>
        <w:t>和</w:t>
      </w:r>
      <w:r>
        <w:rPr>
          <w:rFonts w:hint="default" w:ascii="仿宋_GB2312"/>
          <w:lang w:val="en-US" w:eastAsia="zh-CN"/>
        </w:rPr>
        <w:t>卫生健康</w:t>
      </w:r>
      <w:r>
        <w:rPr>
          <w:rFonts w:hint="eastAsia" w:ascii="仿宋_GB2312"/>
          <w:lang w:val="en-US" w:eastAsia="zh-CN"/>
        </w:rPr>
        <w:t>、</w:t>
      </w:r>
      <w:r>
        <w:rPr>
          <w:rFonts w:hint="default" w:ascii="仿宋_GB2312"/>
          <w:lang w:val="en-US" w:eastAsia="zh-CN"/>
        </w:rPr>
        <w:t>食品安全</w:t>
      </w:r>
      <w:r>
        <w:rPr>
          <w:rFonts w:hint="eastAsia" w:ascii="仿宋_GB2312"/>
          <w:lang w:val="en-US" w:eastAsia="zh-CN"/>
        </w:rPr>
        <w:t>等</w:t>
      </w:r>
      <w:r>
        <w:rPr>
          <w:rFonts w:hint="default" w:ascii="仿宋_GB2312"/>
          <w:lang w:val="en-US" w:eastAsia="zh-CN"/>
        </w:rPr>
        <w:t>现场咨询服务活动，</w:t>
      </w:r>
      <w:r>
        <w:rPr>
          <w:rFonts w:hint="eastAsia" w:ascii="仿宋_GB2312"/>
          <w:lang w:val="en-US" w:eastAsia="zh-CN"/>
        </w:rPr>
        <w:t>天文、航空、电子、人工智能等高科技成果展示吸引了大批青少年的围观，</w:t>
      </w:r>
      <w:r>
        <w:rPr>
          <w:rFonts w:hint="default" w:ascii="仿宋_GB2312"/>
          <w:lang w:val="en-US" w:eastAsia="zh-CN"/>
        </w:rPr>
        <w:t>2</w:t>
      </w:r>
      <w:r>
        <w:rPr>
          <w:rFonts w:hint="eastAsia" w:ascii="仿宋_GB2312"/>
          <w:lang w:val="en-US" w:eastAsia="zh-CN"/>
        </w:rPr>
        <w:t>万余人参与了现场活动，41.5万余人通过石榴云、红山眼APP、新疆科协等融媒体平台观看了现场直播。活动激发了青少年的创新热情，拓展了科学视野，有效引导了青少年融入现代文明生活，真正让科普知识“飞入寻常百姓家”，营造了讲科学、爱科学、学科学、用科学的浓厚社会氛围。</w:t>
      </w:r>
    </w:p>
    <w:p w14:paraId="7E742012">
      <w:pPr>
        <w:pStyle w:val="5"/>
        <w:keepNext w:val="0"/>
        <w:keepLines w:val="0"/>
        <w:pageBreakBefore w:val="0"/>
        <w:widowControl w:val="0"/>
        <w:kinsoku/>
        <w:wordWrap/>
        <w:overflowPunct/>
        <w:topLinePunct w:val="0"/>
        <w:autoSpaceDE/>
        <w:autoSpaceDN/>
        <w:bidi w:val="0"/>
        <w:adjustRightInd/>
        <w:snapToGrid/>
        <w:spacing w:line="520" w:lineRule="exact"/>
        <w:ind w:left="0" w:leftChars="0" w:firstLine="0" w:firstLineChars="0"/>
        <w:textAlignment w:val="auto"/>
        <w:rPr>
          <w:rFonts w:hint="eastAsia" w:ascii="仿宋_GB2312"/>
          <w:lang w:val="en-US" w:eastAsia="zh-CN"/>
        </w:rPr>
      </w:pPr>
      <w:r>
        <w:rPr>
          <w:rFonts w:hint="eastAsia" w:ascii="仿宋_GB2312"/>
          <w:lang w:val="en-US" w:eastAsia="zh-CN"/>
        </w:rPr>
        <w:t>②制作科普视频2条。拍摄两部科普视频，对2024年乌鲁木齐开展的系列科普活动进行全面广泛的宣传。通过短视频在融媒体等平台的播放，扩大了乌鲁木齐市科普工作的宣传范围和影响力。</w:t>
      </w:r>
      <w:r>
        <w:rPr>
          <w:rFonts w:hint="default" w:ascii="仿宋_GB2312"/>
          <w:lang w:val="en-US" w:eastAsia="zh-CN"/>
        </w:rPr>
        <w:t>③</w:t>
      </w:r>
      <w:r>
        <w:rPr>
          <w:rFonts w:hint="eastAsia" w:ascii="仿宋_GB2312"/>
          <w:lang w:val="en-US" w:eastAsia="zh-CN"/>
        </w:rPr>
        <w:t>奖补科普教育基地15个、奖补青少年科技活动特色学校10个。</w:t>
      </w:r>
      <w:r>
        <w:rPr>
          <w:rFonts w:hint="default" w:ascii="仿宋_GB2312"/>
          <w:lang w:val="en-US" w:eastAsia="zh-CN"/>
        </w:rPr>
        <w:t>乌鲁木齐市科协按照《基层科普行动计划专项资金管理办法》组织实施“基层科普行动计划”。经</w:t>
      </w:r>
      <w:r>
        <w:rPr>
          <w:rFonts w:hint="eastAsia" w:ascii="仿宋_GB2312"/>
          <w:lang w:val="en-US" w:eastAsia="zh-CN"/>
        </w:rPr>
        <w:t>区县科协</w:t>
      </w:r>
      <w:r>
        <w:rPr>
          <w:rFonts w:hint="default" w:ascii="仿宋_GB2312"/>
          <w:lang w:val="en-US" w:eastAsia="zh-CN"/>
        </w:rPr>
        <w:t>推荐、</w:t>
      </w:r>
      <w:r>
        <w:rPr>
          <w:rFonts w:hint="eastAsia" w:ascii="仿宋_GB2312"/>
          <w:lang w:val="en-US" w:eastAsia="zh-CN"/>
        </w:rPr>
        <w:t>市科协</w:t>
      </w:r>
      <w:r>
        <w:rPr>
          <w:rFonts w:hint="default" w:ascii="仿宋_GB2312"/>
          <w:lang w:val="en-US" w:eastAsia="zh-CN"/>
        </w:rPr>
        <w:t>评审，综合考量</w:t>
      </w:r>
      <w:r>
        <w:rPr>
          <w:rFonts w:hint="eastAsia" w:ascii="仿宋_GB2312"/>
          <w:lang w:val="en-US" w:eastAsia="zh-CN"/>
        </w:rPr>
        <w:t>各级科普教育基地</w:t>
      </w:r>
      <w:r>
        <w:rPr>
          <w:rFonts w:hint="default" w:ascii="仿宋_GB2312"/>
          <w:lang w:val="en-US" w:eastAsia="zh-CN"/>
        </w:rPr>
        <w:t>组织开展科普活动的数量、公众参与度、社会影响力、组织单位积极性等方面因素，对</w:t>
      </w:r>
      <w:r>
        <w:rPr>
          <w:rFonts w:hint="eastAsia" w:ascii="仿宋_GB2312"/>
          <w:lang w:val="en-US" w:eastAsia="zh-CN"/>
        </w:rPr>
        <w:t>23</w:t>
      </w:r>
      <w:r>
        <w:rPr>
          <w:rFonts w:hint="default" w:ascii="仿宋_GB2312"/>
          <w:lang w:val="en-US" w:eastAsia="zh-CN"/>
        </w:rPr>
        <w:t>家</w:t>
      </w:r>
      <w:r>
        <w:rPr>
          <w:rFonts w:hint="eastAsia" w:ascii="仿宋_GB2312"/>
          <w:lang w:val="en-US" w:eastAsia="zh-CN"/>
        </w:rPr>
        <w:t>科普教育基地、10家科技特色学校</w:t>
      </w:r>
      <w:r>
        <w:rPr>
          <w:rFonts w:hint="default" w:ascii="仿宋_GB2312"/>
          <w:lang w:val="en-US" w:eastAsia="zh-CN"/>
        </w:rPr>
        <w:t>进行</w:t>
      </w:r>
      <w:r>
        <w:rPr>
          <w:rFonts w:hint="eastAsia" w:ascii="仿宋_GB2312"/>
          <w:lang w:val="en-US" w:eastAsia="zh-CN"/>
        </w:rPr>
        <w:t>了</w:t>
      </w:r>
      <w:r>
        <w:rPr>
          <w:rFonts w:hint="default" w:ascii="仿宋_GB2312"/>
          <w:lang w:val="en-US" w:eastAsia="zh-CN"/>
        </w:rPr>
        <w:t>表彰</w:t>
      </w:r>
      <w:r>
        <w:rPr>
          <w:rFonts w:hint="eastAsia" w:ascii="仿宋_GB2312"/>
          <w:lang w:val="en-US" w:eastAsia="zh-CN"/>
        </w:rPr>
        <w:t>，表彰其示范引领作用。通过表彰科普教育基地和科技特色学校，</w:t>
      </w:r>
      <w:r>
        <w:rPr>
          <w:rFonts w:hint="default" w:ascii="仿宋_GB2312"/>
          <w:lang w:val="en-US" w:eastAsia="zh-CN"/>
        </w:rPr>
        <w:t>充分调动全社会深入基层、贴近实际、贴近生活、贴近群众开展科普工作的积极性和创造性，让科普公共服务持续惠及广大基层群众</w:t>
      </w:r>
      <w:r>
        <w:rPr>
          <w:rFonts w:hint="eastAsia" w:ascii="仿宋_GB2312"/>
          <w:lang w:val="en-US" w:eastAsia="zh-CN"/>
        </w:rPr>
        <w:t>。</w:t>
      </w:r>
    </w:p>
    <w:p w14:paraId="08A83AA7">
      <w:pPr>
        <w:pStyle w:val="4"/>
        <w:ind w:firstLine="643"/>
      </w:pPr>
      <w:bookmarkStart w:id="5" w:name="_Toc196487535"/>
      <w:r>
        <w:rPr>
          <w:rFonts w:hint="eastAsia"/>
        </w:rPr>
        <w:t>2</w:t>
      </w:r>
      <w:r>
        <w:t>.资金投入和使用情况</w:t>
      </w:r>
      <w:bookmarkEnd w:id="5"/>
    </w:p>
    <w:p w14:paraId="5EDCAE3F">
      <w:pPr>
        <w:spacing w:line="360" w:lineRule="auto"/>
        <w:ind w:firstLine="560"/>
        <w:rPr>
          <w:rFonts w:ascii="仿宋_GB2312"/>
        </w:rPr>
      </w:pPr>
      <w:r>
        <w:rPr>
          <w:rFonts w:hint="eastAsia" w:ascii="仿宋_GB2312"/>
        </w:rPr>
        <w:t>该项目资金投入情况：经</w:t>
      </w:r>
      <w:r>
        <w:rPr>
          <w:rFonts w:hint="eastAsia" w:ascii="仿宋_GB2312"/>
          <w:lang w:val="en-US" w:eastAsia="zh-CN"/>
        </w:rPr>
        <w:t>乌财科教【2023】160</w:t>
      </w:r>
      <w:r>
        <w:rPr>
          <w:rFonts w:hint="eastAsia" w:ascii="仿宋_GB2312"/>
        </w:rPr>
        <w:t>号文件批准，项目系</w:t>
      </w:r>
      <w:r>
        <w:rPr>
          <w:rFonts w:ascii="仿宋_GB2312"/>
        </w:rPr>
        <w:t>2024</w:t>
      </w:r>
      <w:r>
        <w:rPr>
          <w:rFonts w:hint="eastAsia" w:ascii="仿宋_GB2312"/>
        </w:rPr>
        <w:t>年自治区资金，共安排预算</w:t>
      </w:r>
      <w:r>
        <w:rPr>
          <w:rFonts w:hint="eastAsia" w:ascii="仿宋_GB2312"/>
          <w:lang w:val="en-US" w:eastAsia="zh-CN"/>
        </w:rPr>
        <w:t>50</w:t>
      </w:r>
      <w:r>
        <w:rPr>
          <w:rFonts w:hint="eastAsia" w:ascii="仿宋_GB2312"/>
        </w:rPr>
        <w:t>万元，于2024年年初部分预算批复项目，年中资金调整情况（展开描述）。</w:t>
      </w:r>
    </w:p>
    <w:p w14:paraId="42520C78">
      <w:pPr>
        <w:spacing w:line="360" w:lineRule="auto"/>
        <w:ind w:firstLine="560"/>
        <w:rPr>
          <w:rFonts w:ascii="仿宋_GB2312"/>
        </w:rPr>
      </w:pPr>
      <w:r>
        <w:rPr>
          <w:rFonts w:hint="eastAsia" w:ascii="仿宋_GB2312"/>
        </w:rPr>
        <w:t>该项目资金使用情况：</w:t>
      </w:r>
      <w:r>
        <w:rPr>
          <w:rFonts w:hint="eastAsia" w:ascii="仿宋_GB2312"/>
          <w:color w:val="auto"/>
        </w:rPr>
        <w:t>总预算</w:t>
      </w:r>
      <w:r>
        <w:rPr>
          <w:rFonts w:hint="eastAsia" w:ascii="仿宋_GB2312"/>
          <w:color w:val="auto"/>
          <w:lang w:val="en-US" w:eastAsia="zh-CN"/>
        </w:rPr>
        <w:t>50万元</w:t>
      </w:r>
      <w:r>
        <w:rPr>
          <w:rFonts w:hint="eastAsia" w:ascii="仿宋_GB2312"/>
        </w:rPr>
        <w:t>、</w:t>
      </w:r>
      <w:r>
        <w:rPr>
          <w:rFonts w:hint="eastAsia" w:ascii="仿宋_GB2312"/>
          <w:lang w:val="en-US" w:eastAsia="zh-CN"/>
        </w:rPr>
        <w:t>资金主要用于</w:t>
      </w:r>
      <w:r>
        <w:rPr>
          <w:rFonts w:hint="eastAsia" w:ascii="仿宋_GB2312"/>
          <w:lang w:eastAsia="zh-CN"/>
        </w:rPr>
        <w:t>：</w:t>
      </w:r>
      <w:r>
        <w:rPr>
          <w:rFonts w:hint="default" w:ascii="Calibri" w:hAnsi="Calibri" w:cs="Calibri"/>
          <w:lang w:val="en-US" w:eastAsia="zh-CN"/>
        </w:rPr>
        <w:t>①</w:t>
      </w:r>
      <w:r>
        <w:rPr>
          <w:rFonts w:hint="eastAsia" w:ascii="仿宋_GB2312"/>
          <w:lang w:eastAsia="zh-CN"/>
        </w:rPr>
        <w:t>委托业务费</w:t>
      </w:r>
      <w:r>
        <w:rPr>
          <w:rFonts w:hint="eastAsia" w:ascii="仿宋_GB2312"/>
          <w:lang w:val="en-US" w:eastAsia="zh-CN"/>
        </w:rPr>
        <w:t>22万元；</w:t>
      </w:r>
      <w:r>
        <w:rPr>
          <w:rFonts w:hint="default" w:ascii="仿宋_GB2312"/>
        </w:rPr>
        <w:t>②</w:t>
      </w:r>
      <w:r>
        <w:rPr>
          <w:rFonts w:hint="eastAsia" w:ascii="仿宋_GB2312"/>
          <w:lang w:val="en-US" w:eastAsia="zh-CN"/>
        </w:rPr>
        <w:t>奖励金24.4万元。</w:t>
      </w:r>
      <w:r>
        <w:rPr>
          <w:rFonts w:hint="eastAsia" w:ascii="仿宋_GB2312"/>
        </w:rPr>
        <w:t xml:space="preserve"> </w:t>
      </w:r>
      <w:r>
        <w:rPr>
          <w:rFonts w:hint="eastAsia" w:ascii="仿宋_GB2312"/>
          <w:lang w:val="en-US" w:eastAsia="zh-CN"/>
        </w:rPr>
        <w:t>年终执行46.4万元，</w:t>
      </w:r>
      <w:r>
        <w:rPr>
          <w:rFonts w:hint="eastAsia" w:ascii="仿宋_GB2312"/>
        </w:rPr>
        <w:t>预算执行率</w:t>
      </w:r>
      <w:r>
        <w:rPr>
          <w:rFonts w:hint="eastAsia" w:ascii="仿宋_GB2312"/>
          <w:lang w:val="en-US" w:eastAsia="zh-CN"/>
        </w:rPr>
        <w:t>92.80%</w:t>
      </w:r>
      <w:r>
        <w:rPr>
          <w:rFonts w:hint="eastAsia" w:ascii="仿宋_GB2312"/>
        </w:rPr>
        <w:t>。</w:t>
      </w:r>
    </w:p>
    <w:p w14:paraId="66F36632">
      <w:pPr>
        <w:pStyle w:val="3"/>
        <w:ind w:firstLine="643"/>
        <w:rPr>
          <w:rFonts w:ascii="仿宋" w:hAnsi="仿宋" w:eastAsia="仿宋"/>
          <w:lang w:bidi="en-US"/>
        </w:rPr>
      </w:pPr>
      <w:bookmarkStart w:id="6" w:name="_Toc196487536"/>
      <w:bookmarkStart w:id="7" w:name="_Toc67911603"/>
      <w:r>
        <w:rPr>
          <w:rFonts w:hint="eastAsia" w:ascii="仿宋" w:hAnsi="仿宋" w:eastAsia="仿宋"/>
          <w:lang w:bidi="en-US"/>
        </w:rPr>
        <w:t>（二）项目绩效目标：</w:t>
      </w:r>
      <w:bookmarkEnd w:id="6"/>
      <w:bookmarkEnd w:id="7"/>
    </w:p>
    <w:p w14:paraId="40ADB2ED">
      <w:pPr>
        <w:spacing w:line="360" w:lineRule="auto"/>
        <w:ind w:firstLine="560"/>
        <w:rPr>
          <w:rFonts w:ascii="仿宋_GB2312" w:hAnsi="仿宋"/>
          <w:szCs w:val="28"/>
        </w:rPr>
      </w:pPr>
      <w:r>
        <w:rPr>
          <w:rFonts w:hint="eastAsia" w:ascii="仿宋_GB2312" w:hAnsi="仿宋"/>
          <w:szCs w:val="28"/>
        </w:rPr>
        <w:t>本项目依据《中共中央 国务院关于全面实施预算绩效管理的意见》（中发〔2018〕</w:t>
      </w:r>
      <w:r>
        <w:rPr>
          <w:rFonts w:ascii="仿宋_GB2312" w:hAnsi="仿宋"/>
          <w:szCs w:val="28"/>
        </w:rPr>
        <w:t>34</w:t>
      </w:r>
      <w:r>
        <w:rPr>
          <w:rFonts w:hint="eastAsia" w:ascii="仿宋_GB2312" w:hAnsi="仿宋"/>
          <w:szCs w:val="28"/>
        </w:rPr>
        <w:t>号）、《关于印发&lt;乌鲁木齐市本级部门预算绩效目标管理暂行办法</w:t>
      </w:r>
      <w:r>
        <w:rPr>
          <w:rFonts w:ascii="仿宋_GB2312" w:hAnsi="仿宋"/>
          <w:szCs w:val="28"/>
        </w:rPr>
        <w:t>&gt;</w:t>
      </w:r>
      <w:r>
        <w:rPr>
          <w:rFonts w:hint="eastAsia" w:ascii="仿宋_GB2312" w:hAnsi="仿宋"/>
          <w:szCs w:val="28"/>
        </w:rPr>
        <w:t>的通知》（乌财预</w:t>
      </w:r>
      <w:bookmarkStart w:id="8" w:name="_Hlk67566397"/>
      <w:r>
        <w:rPr>
          <w:rFonts w:hint="eastAsia" w:ascii="仿宋_GB2312" w:hAnsi="仿宋"/>
          <w:szCs w:val="28"/>
        </w:rPr>
        <w:t>〔2018〕</w:t>
      </w:r>
      <w:r>
        <w:rPr>
          <w:rFonts w:ascii="仿宋_GB2312" w:hAnsi="仿宋"/>
          <w:szCs w:val="28"/>
        </w:rPr>
        <w:t>5</w:t>
      </w:r>
      <w:r>
        <w:rPr>
          <w:rFonts w:hint="eastAsia" w:ascii="仿宋_GB2312" w:hAnsi="仿宋"/>
          <w:szCs w:val="28"/>
        </w:rPr>
        <w:t>6号</w:t>
      </w:r>
      <w:bookmarkEnd w:id="8"/>
      <w:r>
        <w:rPr>
          <w:rFonts w:hint="eastAsia" w:ascii="仿宋_GB2312" w:hAnsi="仿宋"/>
          <w:szCs w:val="28"/>
        </w:rPr>
        <w:t>）、《关于做好2</w:t>
      </w:r>
      <w:r>
        <w:rPr>
          <w:rFonts w:ascii="仿宋_GB2312" w:hAnsi="仿宋"/>
          <w:szCs w:val="28"/>
        </w:rPr>
        <w:t>019</w:t>
      </w:r>
      <w:r>
        <w:rPr>
          <w:rFonts w:hint="eastAsia" w:ascii="仿宋_GB2312" w:hAnsi="仿宋"/>
          <w:szCs w:val="28"/>
        </w:rPr>
        <w:t>年部门预算项目支出绩效目标管理有关事宜的通知》（乌财预〔20</w:t>
      </w:r>
      <w:r>
        <w:rPr>
          <w:rFonts w:ascii="仿宋_GB2312" w:hAnsi="仿宋"/>
          <w:szCs w:val="28"/>
        </w:rPr>
        <w:t>18</w:t>
      </w:r>
      <w:r>
        <w:rPr>
          <w:rFonts w:hint="eastAsia" w:ascii="仿宋_GB2312" w:hAnsi="仿宋"/>
          <w:szCs w:val="28"/>
        </w:rPr>
        <w:t>〕</w:t>
      </w:r>
      <w:r>
        <w:rPr>
          <w:rFonts w:ascii="仿宋_GB2312" w:hAnsi="仿宋"/>
          <w:szCs w:val="28"/>
        </w:rPr>
        <w:t>76</w:t>
      </w:r>
      <w:r>
        <w:rPr>
          <w:rFonts w:hint="eastAsia" w:ascii="仿宋_GB2312" w:hAnsi="仿宋"/>
          <w:szCs w:val="28"/>
        </w:rPr>
        <w:t>号）和《项目支出绩效评价管理办法》（财预〔20</w:t>
      </w:r>
      <w:r>
        <w:rPr>
          <w:rFonts w:ascii="仿宋_GB2312" w:hAnsi="仿宋"/>
          <w:szCs w:val="28"/>
        </w:rPr>
        <w:t>20</w:t>
      </w:r>
      <w:r>
        <w:rPr>
          <w:rFonts w:hint="eastAsia" w:ascii="仿宋_GB2312" w:hAnsi="仿宋"/>
          <w:szCs w:val="28"/>
        </w:rPr>
        <w:t>〕</w:t>
      </w:r>
      <w:r>
        <w:rPr>
          <w:rFonts w:ascii="仿宋_GB2312" w:hAnsi="仿宋"/>
          <w:szCs w:val="28"/>
        </w:rPr>
        <w:t>10</w:t>
      </w:r>
      <w:r>
        <w:rPr>
          <w:rFonts w:hint="eastAsia" w:ascii="仿宋_GB2312" w:hAnsi="仿宋"/>
          <w:szCs w:val="28"/>
        </w:rPr>
        <w:t>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14:paraId="5C0A0B0C">
      <w:pPr>
        <w:spacing w:line="360" w:lineRule="auto"/>
        <w:ind w:firstLine="560"/>
        <w:rPr>
          <w:rFonts w:ascii="仿宋_GB2312" w:hAnsi="仿宋"/>
          <w:szCs w:val="28"/>
        </w:rPr>
      </w:pPr>
      <w:r>
        <w:rPr>
          <w:rFonts w:hint="eastAsia" w:ascii="仿宋_GB2312" w:hAnsi="仿宋"/>
          <w:szCs w:val="28"/>
        </w:rPr>
        <w:t>该项目</w:t>
      </w:r>
      <w:r>
        <w:rPr>
          <w:rFonts w:ascii="仿宋_GB2312" w:hAnsi="仿宋"/>
          <w:szCs w:val="28"/>
        </w:rPr>
        <w:t>为经常性项目。</w:t>
      </w:r>
    </w:p>
    <w:p w14:paraId="32D07101">
      <w:pPr>
        <w:spacing w:line="360" w:lineRule="auto"/>
        <w:ind w:left="0" w:leftChars="0" w:firstLine="560" w:firstLineChars="200"/>
        <w:rPr>
          <w:rFonts w:ascii="仿宋_GB2312" w:hAnsi="仿宋"/>
          <w:szCs w:val="28"/>
        </w:rPr>
      </w:pPr>
      <w:r>
        <w:rPr>
          <w:rFonts w:hint="eastAsia" w:ascii="仿宋_GB2312" w:hAnsi="仿宋"/>
          <w:szCs w:val="28"/>
        </w:rPr>
        <w:t>该项目总体绩效目标：</w:t>
      </w:r>
      <w:r>
        <w:rPr>
          <w:rFonts w:hint="eastAsia" w:ascii="仿宋_GB2312" w:hAnsi="仿宋"/>
          <w:szCs w:val="28"/>
          <w:lang w:val="en-US" w:eastAsia="zh-CN"/>
        </w:rPr>
        <w:t>开展青创赛暨成果展示活动；制作科普视频2条；奖补科普教育基地15个、奖补青少年科技活动特色学校10个。充分发挥科学技术普及主力军的作用，动员社会各方面的力量，弘扬科学精神，普及科学知识，推广先进技术，传播科学思想和科学方法，捍卫科学尊严，提高全民科学素质，铸牢中华民族共同体意识。</w:t>
      </w:r>
    </w:p>
    <w:p w14:paraId="49A0C104">
      <w:pPr>
        <w:spacing w:line="360" w:lineRule="auto"/>
        <w:ind w:firstLine="560"/>
        <w:rPr>
          <w:rFonts w:ascii="仿宋_GB2312" w:hAnsi="仿宋"/>
          <w:szCs w:val="28"/>
        </w:rPr>
      </w:pPr>
      <w:r>
        <w:rPr>
          <w:rFonts w:ascii="仿宋_GB2312" w:hAnsi="仿宋"/>
          <w:szCs w:val="28"/>
        </w:rPr>
        <w:t>该项目阶段性目标为：</w:t>
      </w:r>
      <w:r>
        <w:rPr>
          <w:rFonts w:hint="eastAsia" w:ascii="仿宋_GB2312" w:hAnsi="仿宋"/>
          <w:szCs w:val="28"/>
        </w:rPr>
        <w:t>在2024</w:t>
      </w:r>
      <w:r>
        <w:rPr>
          <w:rFonts w:ascii="仿宋_GB2312" w:hAnsi="仿宋"/>
          <w:szCs w:val="28"/>
        </w:rPr>
        <w:t>年</w:t>
      </w:r>
      <w:r>
        <w:rPr>
          <w:rFonts w:hint="eastAsia" w:ascii="仿宋_GB2312" w:hAnsi="仿宋"/>
          <w:szCs w:val="28"/>
        </w:rPr>
        <w:t>计划</w:t>
      </w:r>
      <w:r>
        <w:rPr>
          <w:rFonts w:hint="eastAsia" w:ascii="仿宋_GB2312" w:hAnsi="仿宋"/>
          <w:szCs w:val="28"/>
          <w:lang w:val="en-US" w:eastAsia="zh-CN"/>
        </w:rPr>
        <w:t>使用委托业务费22万，主要用于积极开展科普文化传播活动，包括</w:t>
      </w:r>
      <w:r>
        <w:rPr>
          <w:rFonts w:hint="default" w:ascii="仿宋_GB2312"/>
          <w:lang w:val="en-US" w:eastAsia="zh-CN"/>
        </w:rPr>
        <w:t>乌鲁木齐市青少年科技创新大赛暨</w:t>
      </w:r>
      <w:r>
        <w:rPr>
          <w:rFonts w:hint="eastAsia" w:ascii="仿宋_GB2312"/>
          <w:lang w:val="en-US" w:eastAsia="zh-CN"/>
        </w:rPr>
        <w:t>科技</w:t>
      </w:r>
      <w:r>
        <w:rPr>
          <w:rFonts w:hint="default" w:ascii="仿宋_GB2312"/>
          <w:lang w:val="en-US" w:eastAsia="zh-CN"/>
        </w:rPr>
        <w:t>成果展览</w:t>
      </w:r>
      <w:r>
        <w:rPr>
          <w:rFonts w:hint="eastAsia" w:ascii="仿宋_GB2312"/>
          <w:lang w:val="en-US" w:eastAsia="zh-CN"/>
        </w:rPr>
        <w:t>和科普宣传视频的制作；</w:t>
      </w:r>
      <w:r>
        <w:rPr>
          <w:rFonts w:hint="eastAsia" w:ascii="仿宋_GB2312" w:hAnsi="仿宋"/>
          <w:szCs w:val="28"/>
          <w:lang w:val="en-US" w:eastAsia="zh-CN"/>
        </w:rPr>
        <w:t>使用奖励金46.4万元，主要用用于开展奖补工作，包括科普教育基地15个、奖补青少年科技活动特色学校10个。</w:t>
      </w:r>
    </w:p>
    <w:p w14:paraId="0CCC89DC">
      <w:pPr>
        <w:pStyle w:val="2"/>
        <w:ind w:firstLine="0" w:firstLineChars="0"/>
        <w:jc w:val="left"/>
        <w:rPr>
          <w:rFonts w:ascii="仿宋" w:hAnsi="仿宋" w:eastAsia="仿宋"/>
          <w:sz w:val="36"/>
          <w:szCs w:val="36"/>
          <w:lang w:bidi="en-US"/>
        </w:rPr>
      </w:pPr>
      <w:bookmarkStart w:id="9" w:name="_Toc196487537"/>
      <w:bookmarkStart w:id="10" w:name="_Toc67911604"/>
      <w:r>
        <w:rPr>
          <w:rFonts w:hint="eastAsia" w:ascii="仿宋" w:hAnsi="仿宋" w:eastAsia="仿宋"/>
          <w:sz w:val="36"/>
          <w:szCs w:val="36"/>
          <w:lang w:bidi="en-US"/>
        </w:rPr>
        <w:t>二、绩效评价工作开展情况</w:t>
      </w:r>
      <w:bookmarkEnd w:id="9"/>
      <w:bookmarkEnd w:id="10"/>
    </w:p>
    <w:p w14:paraId="40DA3753">
      <w:pPr>
        <w:pStyle w:val="3"/>
        <w:ind w:firstLine="643"/>
        <w:rPr>
          <w:rFonts w:ascii="仿宋" w:hAnsi="仿宋" w:eastAsia="仿宋"/>
          <w:lang w:bidi="en-US"/>
        </w:rPr>
      </w:pPr>
      <w:bookmarkStart w:id="11" w:name="_Toc67911605"/>
      <w:bookmarkStart w:id="12" w:name="_Toc196487538"/>
      <w:r>
        <w:rPr>
          <w:rFonts w:hint="eastAsia" w:ascii="仿宋" w:hAnsi="仿宋" w:eastAsia="仿宋"/>
          <w:lang w:bidi="en-US"/>
        </w:rPr>
        <w:t>（一）绩效评价目的、对象和范围</w:t>
      </w:r>
      <w:bookmarkEnd w:id="11"/>
      <w:bookmarkEnd w:id="12"/>
    </w:p>
    <w:p w14:paraId="34A17534">
      <w:pPr>
        <w:pStyle w:val="4"/>
        <w:ind w:firstLine="643"/>
      </w:pPr>
      <w:bookmarkStart w:id="13" w:name="_Toc196487539"/>
      <w:r>
        <w:rPr>
          <w:rFonts w:hint="eastAsia"/>
        </w:rPr>
        <w:t>1</w:t>
      </w:r>
      <w:r>
        <w:t>.绩效评价完整性</w:t>
      </w:r>
      <w:bookmarkEnd w:id="13"/>
    </w:p>
    <w:p w14:paraId="597E5BD1">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default" w:ascii="仿宋_GB2312" w:eastAsia="仿宋_GB2312"/>
          <w:lang w:val="en-US" w:eastAsia="zh-CN"/>
        </w:rPr>
      </w:pPr>
      <w:bookmarkStart w:id="14" w:name="_Toc196487540"/>
      <w:r>
        <w:rPr>
          <w:rFonts w:hint="eastAsia" w:ascii="仿宋_GB2312" w:hAnsi="仿宋"/>
          <w:szCs w:val="28"/>
        </w:rPr>
        <w:t>自治区2024年“基层科普行动计划”</w:t>
      </w:r>
      <w:r>
        <w:rPr>
          <w:rFonts w:hint="eastAsia" w:ascii="仿宋_GB2312" w:hAnsi="仿宋"/>
          <w:szCs w:val="28"/>
          <w:lang w:val="en-US" w:eastAsia="zh-CN"/>
        </w:rPr>
        <w:t>项目</w:t>
      </w:r>
      <w:r>
        <w:rPr>
          <w:rFonts w:hint="eastAsia" w:ascii="仿宋_GB2312"/>
          <w:color w:val="auto"/>
          <w:lang w:val="en-US" w:eastAsia="zh-CN"/>
        </w:rPr>
        <w:t>资金及时拨付</w:t>
      </w:r>
      <w:r>
        <w:rPr>
          <w:rFonts w:hint="eastAsia" w:ascii="方正仿宋_GBK" w:hAnsi="方正仿宋_GBK" w:eastAsia="方正仿宋_GBK" w:cs="方正仿宋_GBK"/>
          <w:bCs/>
          <w:color w:val="000000"/>
          <w:szCs w:val="28"/>
        </w:rPr>
        <w:t>，</w:t>
      </w:r>
      <w:r>
        <w:rPr>
          <w:rFonts w:hint="eastAsia" w:ascii="仿宋_GB2312" w:hAnsi="仿宋"/>
          <w:szCs w:val="28"/>
        </w:rPr>
        <w:t>主要用于</w:t>
      </w:r>
      <w:r>
        <w:rPr>
          <w:rFonts w:ascii="仿宋_GB2312"/>
        </w:rPr>
        <w:t>①</w:t>
      </w:r>
      <w:r>
        <w:rPr>
          <w:rFonts w:hint="eastAsia" w:ascii="仿宋_GB2312"/>
          <w:lang w:val="en-US" w:eastAsia="zh-CN"/>
        </w:rPr>
        <w:t>开展各类科普活动</w:t>
      </w:r>
      <w:r>
        <w:rPr>
          <w:rFonts w:ascii="仿宋_GB2312"/>
        </w:rPr>
        <w:t>;②</w:t>
      </w:r>
      <w:r>
        <w:rPr>
          <w:rFonts w:hint="eastAsia" w:ascii="仿宋_GB2312"/>
          <w:lang w:val="en-US" w:eastAsia="zh-CN"/>
        </w:rPr>
        <w:t>委托业务费</w:t>
      </w:r>
      <w:r>
        <w:rPr>
          <w:rFonts w:ascii="仿宋_GB2312"/>
        </w:rPr>
        <w:t>;</w:t>
      </w:r>
      <w:r>
        <w:rPr>
          <w:rFonts w:hint="default" w:ascii="Calibri" w:hAnsi="Calibri" w:cs="Calibri"/>
        </w:rPr>
        <w:t>③</w:t>
      </w:r>
      <w:r>
        <w:rPr>
          <w:rFonts w:hint="eastAsia" w:ascii="仿宋_GB2312"/>
          <w:lang w:val="en-US" w:eastAsia="zh-CN"/>
        </w:rPr>
        <w:t>奖励金。</w:t>
      </w:r>
    </w:p>
    <w:p w14:paraId="12A328B0">
      <w:pPr>
        <w:spacing w:line="360" w:lineRule="auto"/>
        <w:ind w:left="0" w:leftChars="0" w:firstLine="560" w:firstLineChars="200"/>
        <w:rPr>
          <w:rFonts w:hint="eastAsia" w:ascii="仿宋_GB2312" w:hAnsi="仿宋"/>
          <w:color w:val="0000FF"/>
          <w:szCs w:val="28"/>
        </w:rPr>
      </w:pPr>
      <w:r>
        <w:rPr>
          <w:rFonts w:hint="eastAsia" w:ascii="仿宋_GB2312"/>
          <w:color w:val="auto"/>
          <w:lang w:val="en-US" w:eastAsia="zh-CN"/>
        </w:rPr>
        <w:t>单位有序完成设定目标的部分工作任务，积极开展科普文化传播活动，举办青创赛暨成果展示活动，制作科普视频2条，奖补科普教育基地15个、奖补青少年科技活动特色学校10个。以上活动充分调动全社会深入基层、贴近实际、贴近生活、贴近群众开展科普工作的积极性和创造性，让科普公共服务持续惠及广大基层群众。</w:t>
      </w:r>
      <w:r>
        <w:rPr>
          <w:rFonts w:hint="eastAsia" w:ascii="仿宋_GB2312" w:hAnsi="仿宋"/>
          <w:szCs w:val="28"/>
        </w:rPr>
        <w:t>通过设置的评价指标体系，完整的体现了项目所要</w:t>
      </w:r>
      <w:r>
        <w:rPr>
          <w:rFonts w:hint="eastAsia" w:ascii="仿宋_GB2312" w:hAnsi="仿宋"/>
          <w:szCs w:val="28"/>
          <w:lang w:val="en-US" w:eastAsia="zh-CN"/>
        </w:rPr>
        <w:t>开展的各类科普活动、委托业务费</w:t>
      </w:r>
      <w:r>
        <w:rPr>
          <w:rFonts w:hint="eastAsia" w:ascii="仿宋_GB2312" w:hAnsi="仿宋"/>
          <w:szCs w:val="28"/>
        </w:rPr>
        <w:t>及</w:t>
      </w:r>
      <w:r>
        <w:rPr>
          <w:rFonts w:hint="eastAsia" w:ascii="仿宋_GB2312" w:hAnsi="仿宋"/>
          <w:szCs w:val="28"/>
          <w:lang w:val="en-US" w:eastAsia="zh-CN"/>
        </w:rPr>
        <w:t>奖励金</w:t>
      </w:r>
      <w:r>
        <w:rPr>
          <w:rFonts w:hint="eastAsia" w:ascii="仿宋_GB2312" w:hAnsi="仿宋"/>
          <w:szCs w:val="28"/>
        </w:rPr>
        <w:t>使用情况</w:t>
      </w:r>
      <w:r>
        <w:rPr>
          <w:rFonts w:hint="eastAsia" w:ascii="仿宋_GB2312" w:hAnsi="仿宋"/>
          <w:color w:val="0000FF"/>
          <w:szCs w:val="28"/>
        </w:rPr>
        <w:t>。</w:t>
      </w:r>
    </w:p>
    <w:p w14:paraId="19BE0D6F">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_GB2312" w:hAnsi="仿宋"/>
          <w:szCs w:val="28"/>
          <w:highlight w:val="yellow"/>
        </w:rPr>
      </w:pPr>
      <w:r>
        <w:rPr>
          <w:rFonts w:hint="eastAsia" w:ascii="仿宋_GB2312" w:hAnsi="仿宋"/>
          <w:szCs w:val="28"/>
        </w:rPr>
        <w:t>项目相关评价数据基于项目完成时间以及参与科普活动人员满意度，数据采集则基于相关项目验收报告、参观人员满意度问卷等形式完成。</w:t>
      </w:r>
    </w:p>
    <w:p w14:paraId="677E590C">
      <w:pPr>
        <w:pStyle w:val="4"/>
        <w:ind w:firstLine="643"/>
      </w:pPr>
      <w:r>
        <w:t>2</w:t>
      </w:r>
      <w:r>
        <w:rPr>
          <w:rFonts w:hint="eastAsia"/>
        </w:rPr>
        <w:t>.评价目的</w:t>
      </w:r>
      <w:bookmarkEnd w:id="14"/>
    </w:p>
    <w:p w14:paraId="2FB154BB">
      <w:pPr>
        <w:spacing w:line="360" w:lineRule="auto"/>
        <w:ind w:firstLine="560"/>
        <w:rPr>
          <w:rFonts w:hint="eastAsia" w:ascii="仿宋_GB2312"/>
          <w:lang w:val="en-US" w:eastAsia="zh-CN"/>
        </w:rPr>
      </w:pPr>
      <w:r>
        <w:rPr>
          <w:rFonts w:hint="eastAsia" w:ascii="仿宋_GB2312"/>
        </w:rPr>
        <w:t>本项工作旨在落实《中共中央 国务院关于全面实施预算绩效管理的意见》（中发〔2018〕34号）文件精神，全面推进预算绩效管理工作，落实预算执行及绩效管理主体责任。具体而言包括以下两点：</w:t>
      </w:r>
      <w:r>
        <w:rPr>
          <w:rFonts w:hint="eastAsia" w:ascii="仿宋_GB2312"/>
          <w:lang w:val="en-US" w:eastAsia="zh-CN"/>
        </w:rPr>
        <w:t xml:space="preserve"> </w:t>
      </w:r>
    </w:p>
    <w:p w14:paraId="0002023B">
      <w:pPr>
        <w:spacing w:line="360" w:lineRule="auto"/>
        <w:ind w:left="0" w:leftChars="0" w:firstLine="560" w:firstLineChars="200"/>
        <w:rPr>
          <w:rFonts w:ascii="仿宋_GB2312"/>
        </w:rPr>
      </w:pPr>
      <w:r>
        <w:rPr>
          <w:rFonts w:hint="eastAsia" w:ascii="仿宋_GB2312"/>
        </w:rPr>
        <w:t>（1）通过对项目设立的背景、意义、项目内容、项目现状及绩效目标、资金投入、资金管理、组织实施、产出指标、成本指标和效益指标等进行深入调研和分析，进一步了解</w:t>
      </w:r>
      <w:r>
        <w:rPr>
          <w:rFonts w:hint="eastAsia" w:ascii="仿宋_GB2312"/>
          <w:highlight w:val="none"/>
          <w:lang w:val="en-US" w:eastAsia="zh-CN"/>
        </w:rPr>
        <w:t>自治区2024年“基层科普行动计划”</w:t>
      </w:r>
      <w:r>
        <w:rPr>
          <w:rFonts w:hint="eastAsia" w:ascii="仿宋_GB2312"/>
          <w:highlight w:val="none"/>
        </w:rPr>
        <w:t>项目的</w:t>
      </w:r>
      <w:r>
        <w:rPr>
          <w:rFonts w:hint="eastAsia" w:ascii="仿宋_GB2312"/>
        </w:rPr>
        <w:t>实施情况，并考察项目实施过程和效果。</w:t>
      </w:r>
    </w:p>
    <w:p w14:paraId="3945E12A">
      <w:pPr>
        <w:spacing w:line="360" w:lineRule="auto"/>
        <w:ind w:firstLine="560"/>
        <w:rPr>
          <w:rFonts w:ascii="仿宋_GB2312"/>
          <w:b/>
          <w:bCs/>
        </w:rPr>
      </w:pPr>
      <w:r>
        <w:rPr>
          <w:rFonts w:hint="eastAsia" w:ascii="仿宋_GB2312"/>
        </w:rPr>
        <w:t>（2）通过评价，客观公正反映项目立项科学性、项目管理规范性、项目实施有效性和项目效果，总结项目实施的经验，发现项目实施过程中存在的问题，提高财政资金使用效益。</w:t>
      </w:r>
    </w:p>
    <w:p w14:paraId="6FB834AB">
      <w:pPr>
        <w:pStyle w:val="4"/>
        <w:ind w:firstLine="643"/>
      </w:pPr>
      <w:bookmarkStart w:id="15" w:name="_Toc196487541"/>
      <w:r>
        <w:t>3</w:t>
      </w:r>
      <w:r>
        <w:rPr>
          <w:rFonts w:hint="eastAsia"/>
        </w:rPr>
        <w:t>.评价对象</w:t>
      </w:r>
      <w:bookmarkEnd w:id="15"/>
    </w:p>
    <w:p w14:paraId="521E917B">
      <w:pPr>
        <w:spacing w:line="360" w:lineRule="auto"/>
        <w:ind w:firstLine="560"/>
        <w:rPr>
          <w:rFonts w:ascii="仿宋_GB2312"/>
        </w:rPr>
      </w:pPr>
      <w:r>
        <w:rPr>
          <w:rFonts w:hint="eastAsia" w:ascii="仿宋_GB2312"/>
        </w:rPr>
        <w:t>（1）绩效评价的对象：</w:t>
      </w:r>
      <w:r>
        <w:rPr>
          <w:rFonts w:hint="eastAsia" w:ascii="仿宋_GB2312"/>
          <w:lang w:val="en-US" w:eastAsia="zh-CN"/>
        </w:rPr>
        <w:t>自治区2024年“基层科普行动计划”</w:t>
      </w:r>
      <w:r>
        <w:rPr>
          <w:rFonts w:hint="eastAsia" w:ascii="仿宋_GB2312"/>
        </w:rPr>
        <w:t>项目</w:t>
      </w:r>
      <w:r>
        <w:rPr>
          <w:rFonts w:ascii="仿宋_GB2312"/>
        </w:rPr>
        <w:t xml:space="preserve"> </w:t>
      </w:r>
    </w:p>
    <w:p w14:paraId="54FEE208">
      <w:pPr>
        <w:pStyle w:val="4"/>
        <w:ind w:firstLine="643"/>
      </w:pPr>
      <w:bookmarkStart w:id="16" w:name="_Toc196487542"/>
      <w:r>
        <w:rPr>
          <w:rFonts w:hint="eastAsia"/>
        </w:rPr>
        <w:t>4</w:t>
      </w:r>
      <w:r>
        <w:t>.</w:t>
      </w:r>
      <w:r>
        <w:rPr>
          <w:rFonts w:hint="eastAsia"/>
        </w:rPr>
        <w:t>绩效评价范围</w:t>
      </w:r>
      <w:bookmarkEnd w:id="16"/>
    </w:p>
    <w:p w14:paraId="19AA768E">
      <w:pPr>
        <w:spacing w:line="360" w:lineRule="auto"/>
        <w:ind w:firstLine="560"/>
        <w:rPr>
          <w:rFonts w:ascii="仿宋_GB2312"/>
        </w:rPr>
      </w:pPr>
      <w:r>
        <w:rPr>
          <w:rFonts w:ascii="仿宋_GB2312"/>
        </w:rPr>
        <w:t>1.</w:t>
      </w:r>
      <w:r>
        <w:rPr>
          <w:rFonts w:hint="eastAsia" w:ascii="仿宋_GB2312"/>
        </w:rPr>
        <w:t>时间范围：2024年1月1日至2024年1</w:t>
      </w:r>
      <w:r>
        <w:rPr>
          <w:rFonts w:ascii="仿宋_GB2312"/>
        </w:rPr>
        <w:t>2</w:t>
      </w:r>
      <w:r>
        <w:rPr>
          <w:rFonts w:hint="eastAsia" w:ascii="仿宋_GB2312"/>
        </w:rPr>
        <w:t>月3</w:t>
      </w:r>
      <w:r>
        <w:rPr>
          <w:rFonts w:ascii="仿宋_GB2312"/>
        </w:rPr>
        <w:t>1</w:t>
      </w:r>
      <w:r>
        <w:rPr>
          <w:rFonts w:hint="eastAsia" w:ascii="仿宋_GB2312"/>
        </w:rPr>
        <w:t>日。</w:t>
      </w:r>
    </w:p>
    <w:p w14:paraId="2C31167D">
      <w:pPr>
        <w:keepNext w:val="0"/>
        <w:keepLines w:val="0"/>
        <w:pageBreakBefore w:val="0"/>
        <w:numPr>
          <w:ilvl w:val="0"/>
          <w:numId w:val="0"/>
        </w:numPr>
        <w:kinsoku/>
        <w:wordWrap/>
        <w:overflowPunct/>
        <w:topLinePunct w:val="0"/>
        <w:autoSpaceDE/>
        <w:autoSpaceDN/>
        <w:bidi w:val="0"/>
        <w:adjustRightInd/>
        <w:snapToGrid w:val="0"/>
        <w:spacing w:beforeAutospacing="0" w:afterAutospacing="0" w:line="560" w:lineRule="exact"/>
        <w:ind w:firstLine="560" w:firstLineChars="200"/>
        <w:textAlignment w:val="auto"/>
        <w:rPr>
          <w:rFonts w:hint="eastAsia" w:ascii="方正仿宋_GBK" w:hAnsi="方正仿宋_GBK" w:eastAsia="方正仿宋_GBK" w:cs="方正仿宋_GBK"/>
          <w:bCs/>
          <w:color w:val="000000"/>
          <w:sz w:val="28"/>
          <w:szCs w:val="28"/>
          <w:lang w:val="en-US" w:eastAsia="zh-CN"/>
        </w:rPr>
      </w:pPr>
      <w:r>
        <w:rPr>
          <w:rFonts w:ascii="仿宋_GB2312"/>
        </w:rPr>
        <w:t>2.</w:t>
      </w:r>
      <w:r>
        <w:rPr>
          <w:rFonts w:hint="eastAsia" w:ascii="仿宋_GB2312"/>
        </w:rPr>
        <w:t>项目范围：</w:t>
      </w:r>
      <w:r>
        <w:rPr>
          <w:rFonts w:hint="eastAsia" w:ascii="仿宋_GB2312"/>
          <w:color w:val="auto"/>
          <w:lang w:val="en-US" w:eastAsia="zh-CN"/>
        </w:rPr>
        <w:t>该项目资金市财政及时拨付，单位有序完成设定目标的部分工作任务，积极开展科普文化传播活动，举办青创赛暨成果展示活动，制作科普视频2条，奖补科普教育基地15个、奖补青少年科技活动特色学校10个。以上活动充分调动全社会深入基层、贴近实际、贴近生活、贴近群众开展科普工作的积极性和创造性，让科普公共服务持续惠及广大基层群众。具体情况如下：</w:t>
      </w:r>
    </w:p>
    <w:p w14:paraId="49B74A38">
      <w:pPr>
        <w:keepNext w:val="0"/>
        <w:keepLines w:val="0"/>
        <w:pageBreakBefore w:val="0"/>
        <w:numPr>
          <w:ilvl w:val="0"/>
          <w:numId w:val="0"/>
        </w:numPr>
        <w:kinsoku/>
        <w:wordWrap/>
        <w:overflowPunct/>
        <w:topLinePunct w:val="0"/>
        <w:autoSpaceDE/>
        <w:autoSpaceDN/>
        <w:bidi w:val="0"/>
        <w:adjustRightInd/>
        <w:snapToGrid w:val="0"/>
        <w:spacing w:beforeAutospacing="0" w:afterAutospacing="0" w:line="560" w:lineRule="exact"/>
        <w:ind w:firstLine="560" w:firstLineChars="200"/>
        <w:textAlignment w:val="auto"/>
        <w:rPr>
          <w:rFonts w:hint="eastAsia" w:ascii="仿宋_GB2312"/>
          <w:color w:val="auto"/>
          <w:lang w:val="en-US" w:eastAsia="zh-CN"/>
        </w:rPr>
      </w:pPr>
      <w:r>
        <w:rPr>
          <w:rFonts w:hint="eastAsia" w:ascii="仿宋_GB2312"/>
          <w:color w:val="auto"/>
          <w:lang w:val="en-US" w:eastAsia="zh-CN"/>
        </w:rPr>
        <w:t>一、积极开展科普文化传播活动</w:t>
      </w:r>
    </w:p>
    <w:p w14:paraId="4F0CBBE8">
      <w:pPr>
        <w:keepNext w:val="0"/>
        <w:keepLines w:val="0"/>
        <w:pageBreakBefore w:val="0"/>
        <w:numPr>
          <w:ilvl w:val="0"/>
          <w:numId w:val="0"/>
        </w:numPr>
        <w:kinsoku/>
        <w:wordWrap/>
        <w:overflowPunct/>
        <w:topLinePunct w:val="0"/>
        <w:autoSpaceDE/>
        <w:autoSpaceDN/>
        <w:bidi w:val="0"/>
        <w:adjustRightInd/>
        <w:snapToGrid w:val="0"/>
        <w:spacing w:beforeAutospacing="0" w:afterAutospacing="0" w:line="560" w:lineRule="exact"/>
        <w:ind w:firstLine="560" w:firstLineChars="200"/>
        <w:textAlignment w:val="auto"/>
        <w:rPr>
          <w:rFonts w:hint="default" w:ascii="仿宋_GB2312"/>
          <w:color w:val="auto"/>
          <w:lang w:val="en-US" w:eastAsia="zh-CN"/>
        </w:rPr>
      </w:pPr>
      <w:r>
        <w:rPr>
          <w:rFonts w:hint="eastAsia" w:ascii="仿宋_GB2312"/>
          <w:color w:val="auto"/>
          <w:lang w:val="en-US" w:eastAsia="zh-CN"/>
        </w:rPr>
        <w:t>（一）、支出20.3万元，用于开展在新疆国际会展中心</w:t>
      </w:r>
      <w:r>
        <w:rPr>
          <w:rFonts w:hint="default" w:ascii="仿宋_GB2312"/>
          <w:color w:val="auto"/>
          <w:lang w:val="en-US" w:eastAsia="zh-CN"/>
        </w:rPr>
        <w:t>联合举办</w:t>
      </w:r>
      <w:r>
        <w:rPr>
          <w:rFonts w:hint="eastAsia" w:ascii="仿宋_GB2312"/>
          <w:color w:val="auto"/>
          <w:lang w:val="en-US" w:eastAsia="zh-CN"/>
        </w:rPr>
        <w:t>的</w:t>
      </w:r>
      <w:r>
        <w:rPr>
          <w:rFonts w:hint="default" w:ascii="仿宋_GB2312"/>
          <w:color w:val="auto"/>
          <w:lang w:val="en-US" w:eastAsia="zh-CN"/>
        </w:rPr>
        <w:t>乌鲁木齐市青少年科技创新大赛暨</w:t>
      </w:r>
      <w:r>
        <w:rPr>
          <w:rFonts w:hint="eastAsia" w:ascii="仿宋_GB2312"/>
          <w:color w:val="auto"/>
          <w:lang w:val="en-US" w:eastAsia="zh-CN"/>
        </w:rPr>
        <w:t>科技</w:t>
      </w:r>
      <w:r>
        <w:rPr>
          <w:rFonts w:hint="default" w:ascii="仿宋_GB2312"/>
          <w:color w:val="auto"/>
          <w:lang w:val="en-US" w:eastAsia="zh-CN"/>
        </w:rPr>
        <w:t>成果展览</w:t>
      </w:r>
      <w:r>
        <w:rPr>
          <w:rFonts w:hint="eastAsia" w:ascii="仿宋_GB2312"/>
          <w:color w:val="auto"/>
          <w:lang w:val="en-US" w:eastAsia="zh-CN"/>
        </w:rPr>
        <w:t>活动</w:t>
      </w:r>
      <w:r>
        <w:rPr>
          <w:rFonts w:hint="default" w:ascii="仿宋_GB2312"/>
          <w:color w:val="auto"/>
          <w:lang w:val="en-US" w:eastAsia="zh-CN"/>
        </w:rPr>
        <w:t>。</w:t>
      </w:r>
      <w:r>
        <w:rPr>
          <w:rFonts w:hint="eastAsia" w:ascii="仿宋_GB2312"/>
          <w:color w:val="auto"/>
          <w:lang w:val="en-US" w:eastAsia="zh-CN"/>
        </w:rPr>
        <w:t>乌鲁木齐市4.3万名青少年报名参</w:t>
      </w:r>
      <w:r>
        <w:rPr>
          <w:rFonts w:hint="default" w:ascii="仿宋_GB2312"/>
          <w:color w:val="auto"/>
          <w:lang w:val="en-US" w:eastAsia="zh-CN"/>
        </w:rPr>
        <w:t>赛</w:t>
      </w:r>
      <w:r>
        <w:rPr>
          <w:rFonts w:hint="eastAsia" w:ascii="仿宋_GB2312"/>
          <w:color w:val="auto"/>
          <w:lang w:val="en-US" w:eastAsia="zh-CN"/>
        </w:rPr>
        <w:t>，3517名青少年现场竞技。比赛内容涉及青少年科技模型教育竞赛、青少年航天创新大赛、青少年信息素养大赛、青少年3D创意设计大赛等6项大赛项目。科技成果展示现场，</w:t>
      </w:r>
      <w:r>
        <w:rPr>
          <w:rFonts w:hint="default" w:ascii="仿宋_GB2312"/>
          <w:color w:val="auto"/>
          <w:lang w:val="en-US" w:eastAsia="zh-CN"/>
        </w:rPr>
        <w:t>科技特色学校、</w:t>
      </w:r>
      <w:r>
        <w:rPr>
          <w:rFonts w:hint="eastAsia" w:ascii="仿宋_GB2312"/>
          <w:color w:val="auto"/>
          <w:lang w:val="en-US" w:eastAsia="zh-CN"/>
        </w:rPr>
        <w:t>科普教育基地、企业科协</w:t>
      </w:r>
      <w:r>
        <w:rPr>
          <w:rFonts w:hint="default" w:ascii="仿宋_GB2312"/>
          <w:color w:val="auto"/>
          <w:lang w:val="en-US" w:eastAsia="zh-CN"/>
        </w:rPr>
        <w:t>等</w:t>
      </w:r>
      <w:r>
        <w:rPr>
          <w:rFonts w:hint="eastAsia" w:ascii="仿宋_GB2312"/>
          <w:color w:val="auto"/>
          <w:lang w:val="en-US" w:eastAsia="zh-CN"/>
        </w:rPr>
        <w:t>122家单位分11个区域集中设置展位开展了反电诈、</w:t>
      </w:r>
      <w:r>
        <w:rPr>
          <w:rFonts w:hint="default" w:ascii="仿宋_GB2312"/>
          <w:color w:val="auto"/>
          <w:lang w:val="en-US" w:eastAsia="zh-CN"/>
        </w:rPr>
        <w:t>反邪教</w:t>
      </w:r>
      <w:r>
        <w:rPr>
          <w:rFonts w:hint="eastAsia" w:ascii="仿宋_GB2312"/>
          <w:color w:val="auto"/>
          <w:lang w:val="en-US" w:eastAsia="zh-CN"/>
        </w:rPr>
        <w:t>等</w:t>
      </w:r>
      <w:r>
        <w:rPr>
          <w:rFonts w:hint="default" w:ascii="仿宋_GB2312"/>
          <w:color w:val="auto"/>
          <w:lang w:val="en-US" w:eastAsia="zh-CN"/>
        </w:rPr>
        <w:t>科普宣传</w:t>
      </w:r>
      <w:r>
        <w:rPr>
          <w:rFonts w:hint="eastAsia" w:ascii="仿宋_GB2312"/>
          <w:color w:val="auto"/>
          <w:lang w:val="en-US" w:eastAsia="zh-CN"/>
        </w:rPr>
        <w:t>和</w:t>
      </w:r>
      <w:r>
        <w:rPr>
          <w:rFonts w:hint="default" w:ascii="仿宋_GB2312"/>
          <w:color w:val="auto"/>
          <w:lang w:val="en-US" w:eastAsia="zh-CN"/>
        </w:rPr>
        <w:t>卫生健康</w:t>
      </w:r>
      <w:r>
        <w:rPr>
          <w:rFonts w:hint="eastAsia" w:ascii="仿宋_GB2312"/>
          <w:color w:val="auto"/>
          <w:lang w:val="en-US" w:eastAsia="zh-CN"/>
        </w:rPr>
        <w:t>、</w:t>
      </w:r>
      <w:r>
        <w:rPr>
          <w:rFonts w:hint="default" w:ascii="仿宋_GB2312"/>
          <w:color w:val="auto"/>
          <w:lang w:val="en-US" w:eastAsia="zh-CN"/>
        </w:rPr>
        <w:t>食品安全</w:t>
      </w:r>
      <w:r>
        <w:rPr>
          <w:rFonts w:hint="eastAsia" w:ascii="仿宋_GB2312"/>
          <w:color w:val="auto"/>
          <w:lang w:val="en-US" w:eastAsia="zh-CN"/>
        </w:rPr>
        <w:t>等</w:t>
      </w:r>
      <w:r>
        <w:rPr>
          <w:rFonts w:hint="default" w:ascii="仿宋_GB2312"/>
          <w:color w:val="auto"/>
          <w:lang w:val="en-US" w:eastAsia="zh-CN"/>
        </w:rPr>
        <w:t>现场咨询服务活动，</w:t>
      </w:r>
      <w:r>
        <w:rPr>
          <w:rFonts w:hint="eastAsia" w:ascii="仿宋_GB2312"/>
          <w:color w:val="auto"/>
          <w:lang w:val="en-US" w:eastAsia="zh-CN"/>
        </w:rPr>
        <w:t>天文、航空、电子、人工智能等高科技成果展示吸引了大批青少年的围观，</w:t>
      </w:r>
      <w:r>
        <w:rPr>
          <w:rFonts w:hint="default" w:ascii="仿宋_GB2312"/>
          <w:color w:val="auto"/>
          <w:lang w:val="en-US" w:eastAsia="zh-CN"/>
        </w:rPr>
        <w:t>2</w:t>
      </w:r>
      <w:r>
        <w:rPr>
          <w:rFonts w:hint="eastAsia" w:ascii="仿宋_GB2312"/>
          <w:color w:val="auto"/>
          <w:lang w:val="en-US" w:eastAsia="zh-CN"/>
        </w:rPr>
        <w:t>万余人参与了现场活动，41.5万余人通过石榴云、红山眼APP、新疆科协等融媒体平台观看了现场直播。活动激发了青少年的创新热情，拓展了科学视野，有效引导了青少年融入现代文明生活，真正让科普知识“飞入寻常百姓家”，营造了讲科学、爱科学、学科学、用科学的浓厚社会氛围。</w:t>
      </w:r>
    </w:p>
    <w:p w14:paraId="489A6BB9">
      <w:pPr>
        <w:keepNext w:val="0"/>
        <w:keepLines w:val="0"/>
        <w:pageBreakBefore w:val="0"/>
        <w:numPr>
          <w:ilvl w:val="0"/>
          <w:numId w:val="0"/>
        </w:numPr>
        <w:kinsoku/>
        <w:wordWrap/>
        <w:overflowPunct/>
        <w:topLinePunct w:val="0"/>
        <w:autoSpaceDE/>
        <w:autoSpaceDN/>
        <w:bidi w:val="0"/>
        <w:adjustRightInd/>
        <w:snapToGrid w:val="0"/>
        <w:spacing w:beforeAutospacing="0" w:afterAutospacing="0" w:line="560" w:lineRule="exact"/>
        <w:ind w:firstLine="560" w:firstLineChars="200"/>
        <w:textAlignment w:val="auto"/>
        <w:rPr>
          <w:rFonts w:hint="default" w:ascii="仿宋_GB2312"/>
          <w:color w:val="auto"/>
          <w:lang w:val="en-US" w:eastAsia="zh-CN"/>
        </w:rPr>
      </w:pPr>
      <w:r>
        <w:rPr>
          <w:rFonts w:hint="eastAsia" w:ascii="仿宋_GB2312"/>
          <w:color w:val="auto"/>
          <w:lang w:val="en-US" w:eastAsia="zh-CN"/>
        </w:rPr>
        <w:t>（二）、支出1.7万元，和2024年中央的“基层科普行动计划”资金4万元，合计5.7万元用于拍摄两部科普视频。对2024年乌鲁木齐开展的系列科普活动进行全面广泛的宣传。通过短视频在融媒体等平台的播放，扩大了乌鲁木齐市科普工作的宣传范围和影响力。</w:t>
      </w:r>
    </w:p>
    <w:p w14:paraId="2CFE014B">
      <w:pPr>
        <w:keepNext w:val="0"/>
        <w:keepLines w:val="0"/>
        <w:pageBreakBefore w:val="0"/>
        <w:numPr>
          <w:ilvl w:val="0"/>
          <w:numId w:val="0"/>
        </w:numPr>
        <w:kinsoku/>
        <w:wordWrap/>
        <w:overflowPunct/>
        <w:topLinePunct w:val="0"/>
        <w:autoSpaceDE/>
        <w:autoSpaceDN/>
        <w:bidi w:val="0"/>
        <w:adjustRightInd/>
        <w:snapToGrid w:val="0"/>
        <w:spacing w:beforeAutospacing="0" w:afterAutospacing="0" w:line="560" w:lineRule="exact"/>
        <w:ind w:firstLine="560" w:firstLineChars="200"/>
        <w:textAlignment w:val="auto"/>
        <w:rPr>
          <w:rFonts w:hint="eastAsia" w:ascii="仿宋_GB2312"/>
          <w:color w:val="auto"/>
          <w:lang w:val="en-US" w:eastAsia="zh-CN"/>
        </w:rPr>
      </w:pPr>
      <w:r>
        <w:rPr>
          <w:rFonts w:hint="eastAsia" w:ascii="仿宋_GB2312"/>
          <w:color w:val="auto"/>
          <w:lang w:val="en-US" w:eastAsia="zh-CN"/>
        </w:rPr>
        <w:t>二、积极开展奖补工作</w:t>
      </w:r>
    </w:p>
    <w:p w14:paraId="021615F5">
      <w:pPr>
        <w:keepNext w:val="0"/>
        <w:keepLines w:val="0"/>
        <w:pageBreakBefore w:val="0"/>
        <w:numPr>
          <w:ilvl w:val="0"/>
          <w:numId w:val="0"/>
        </w:numPr>
        <w:kinsoku/>
        <w:wordWrap/>
        <w:overflowPunct/>
        <w:topLinePunct w:val="0"/>
        <w:autoSpaceDE/>
        <w:autoSpaceDN/>
        <w:bidi w:val="0"/>
        <w:adjustRightInd/>
        <w:snapToGrid w:val="0"/>
        <w:spacing w:beforeAutospacing="0" w:afterAutospacing="0" w:line="560" w:lineRule="exact"/>
        <w:ind w:firstLine="560" w:firstLineChars="200"/>
        <w:textAlignment w:val="auto"/>
        <w:rPr>
          <w:rFonts w:hint="eastAsia" w:ascii="仿宋_GB2312"/>
          <w:color w:val="auto"/>
          <w:lang w:val="en-US" w:eastAsia="zh-CN"/>
        </w:rPr>
      </w:pPr>
      <w:r>
        <w:rPr>
          <w:rFonts w:hint="eastAsia" w:ascii="仿宋_GB2312"/>
          <w:color w:val="auto"/>
          <w:lang w:val="en-US" w:eastAsia="zh-CN"/>
        </w:rPr>
        <w:t>支出25万元，</w:t>
      </w:r>
      <w:r>
        <w:rPr>
          <w:rFonts w:hint="default" w:ascii="仿宋_GB2312"/>
          <w:color w:val="auto"/>
          <w:lang w:val="en-US" w:eastAsia="zh-CN"/>
        </w:rPr>
        <w:t>乌鲁木齐市科协按照《基层科普行动计划专项资金管理办法》组织实施“基层科普行动计划”。经</w:t>
      </w:r>
      <w:r>
        <w:rPr>
          <w:rFonts w:hint="eastAsia" w:ascii="仿宋_GB2312"/>
          <w:color w:val="auto"/>
          <w:lang w:val="en-US" w:eastAsia="zh-CN"/>
        </w:rPr>
        <w:t>区县科协</w:t>
      </w:r>
      <w:r>
        <w:rPr>
          <w:rFonts w:hint="default" w:ascii="仿宋_GB2312"/>
          <w:color w:val="auto"/>
          <w:lang w:val="en-US" w:eastAsia="zh-CN"/>
        </w:rPr>
        <w:t>推荐、</w:t>
      </w:r>
      <w:r>
        <w:rPr>
          <w:rFonts w:hint="eastAsia" w:ascii="仿宋_GB2312"/>
          <w:color w:val="auto"/>
          <w:lang w:val="en-US" w:eastAsia="zh-CN"/>
        </w:rPr>
        <w:t>市科协</w:t>
      </w:r>
      <w:r>
        <w:rPr>
          <w:rFonts w:hint="default" w:ascii="仿宋_GB2312"/>
          <w:color w:val="auto"/>
          <w:lang w:val="en-US" w:eastAsia="zh-CN"/>
        </w:rPr>
        <w:t>评审，综合考量</w:t>
      </w:r>
      <w:r>
        <w:rPr>
          <w:rFonts w:hint="eastAsia" w:ascii="仿宋_GB2312"/>
          <w:color w:val="auto"/>
          <w:lang w:val="en-US" w:eastAsia="zh-CN"/>
        </w:rPr>
        <w:t>各级科普教育基地</w:t>
      </w:r>
      <w:r>
        <w:rPr>
          <w:rFonts w:hint="default" w:ascii="仿宋_GB2312"/>
          <w:color w:val="auto"/>
          <w:lang w:val="en-US" w:eastAsia="zh-CN"/>
        </w:rPr>
        <w:t>组织开展科普活动的数量、公众参与度、社会影响力、组织单位积极性等方面因素，对</w:t>
      </w:r>
      <w:r>
        <w:rPr>
          <w:rFonts w:hint="eastAsia" w:ascii="仿宋_GB2312"/>
          <w:color w:val="auto"/>
          <w:lang w:val="en-US" w:eastAsia="zh-CN"/>
        </w:rPr>
        <w:t>23</w:t>
      </w:r>
      <w:r>
        <w:rPr>
          <w:rFonts w:hint="default" w:ascii="仿宋_GB2312"/>
          <w:color w:val="auto"/>
          <w:lang w:val="en-US" w:eastAsia="zh-CN"/>
        </w:rPr>
        <w:t>家</w:t>
      </w:r>
      <w:r>
        <w:rPr>
          <w:rFonts w:hint="eastAsia" w:ascii="仿宋_GB2312"/>
          <w:color w:val="auto"/>
          <w:lang w:val="en-US" w:eastAsia="zh-CN"/>
        </w:rPr>
        <w:t>科普教育基地、10家科技特色学校</w:t>
      </w:r>
      <w:r>
        <w:rPr>
          <w:rFonts w:hint="default" w:ascii="仿宋_GB2312"/>
          <w:color w:val="auto"/>
          <w:lang w:val="en-US" w:eastAsia="zh-CN"/>
        </w:rPr>
        <w:t>进行</w:t>
      </w:r>
      <w:r>
        <w:rPr>
          <w:rFonts w:hint="eastAsia" w:ascii="仿宋_GB2312"/>
          <w:color w:val="auto"/>
          <w:lang w:val="en-US" w:eastAsia="zh-CN"/>
        </w:rPr>
        <w:t>了</w:t>
      </w:r>
      <w:r>
        <w:rPr>
          <w:rFonts w:hint="default" w:ascii="仿宋_GB2312"/>
          <w:color w:val="auto"/>
          <w:lang w:val="en-US" w:eastAsia="zh-CN"/>
        </w:rPr>
        <w:t>表彰</w:t>
      </w:r>
      <w:r>
        <w:rPr>
          <w:rFonts w:hint="eastAsia" w:ascii="仿宋_GB2312"/>
          <w:color w:val="auto"/>
          <w:lang w:val="en-US" w:eastAsia="zh-CN"/>
        </w:rPr>
        <w:t>，表彰其示范引领作用。</w:t>
      </w:r>
    </w:p>
    <w:p w14:paraId="7A5DCA43">
      <w:pPr>
        <w:keepNext w:val="0"/>
        <w:keepLines w:val="0"/>
        <w:pageBreakBefore w:val="0"/>
        <w:numPr>
          <w:ilvl w:val="0"/>
          <w:numId w:val="0"/>
        </w:numPr>
        <w:kinsoku/>
        <w:wordWrap/>
        <w:overflowPunct/>
        <w:topLinePunct w:val="0"/>
        <w:autoSpaceDE/>
        <w:autoSpaceDN/>
        <w:bidi w:val="0"/>
        <w:adjustRightInd/>
        <w:snapToGrid w:val="0"/>
        <w:spacing w:beforeAutospacing="0" w:afterAutospacing="0" w:line="560" w:lineRule="exact"/>
        <w:ind w:firstLine="560" w:firstLineChars="200"/>
        <w:textAlignment w:val="auto"/>
        <w:rPr>
          <w:rFonts w:hint="eastAsia" w:ascii="仿宋_GB2312"/>
          <w:color w:val="auto"/>
          <w:lang w:val="en-US" w:eastAsia="zh-CN"/>
        </w:rPr>
      </w:pPr>
      <w:r>
        <w:rPr>
          <w:rFonts w:hint="eastAsia" w:ascii="仿宋_GB2312"/>
          <w:color w:val="auto"/>
          <w:lang w:val="en-US" w:eastAsia="zh-CN"/>
        </w:rPr>
        <w:t>通过表彰科普教育基地和科技特色学校，</w:t>
      </w:r>
      <w:r>
        <w:rPr>
          <w:rFonts w:hint="default" w:ascii="仿宋_GB2312"/>
          <w:color w:val="auto"/>
          <w:lang w:val="en-US" w:eastAsia="zh-CN"/>
        </w:rPr>
        <w:t>充分调动全社会深入基层、贴近实际、贴近生活、贴近群众开展科普工作的积极性和创造性，让科普公共服务持续惠及广大基层群众</w:t>
      </w:r>
      <w:r>
        <w:rPr>
          <w:rFonts w:hint="eastAsia" w:ascii="仿宋_GB2312"/>
          <w:color w:val="auto"/>
          <w:lang w:val="en-US" w:eastAsia="zh-CN"/>
        </w:rPr>
        <w:t>。</w:t>
      </w:r>
    </w:p>
    <w:p w14:paraId="03AEB70A">
      <w:pPr>
        <w:spacing w:line="360" w:lineRule="auto"/>
        <w:ind w:firstLine="560"/>
        <w:rPr>
          <w:rFonts w:ascii="仿宋_GB2312"/>
        </w:rPr>
      </w:pPr>
    </w:p>
    <w:p w14:paraId="62E1DD91">
      <w:pPr>
        <w:pStyle w:val="3"/>
        <w:ind w:firstLine="643"/>
        <w:rPr>
          <w:rFonts w:ascii="仿宋" w:hAnsi="仿宋" w:eastAsia="仿宋"/>
          <w:lang w:bidi="en-US"/>
        </w:rPr>
      </w:pPr>
      <w:bookmarkStart w:id="17" w:name="_Toc67911606"/>
      <w:bookmarkStart w:id="18" w:name="_Toc196487543"/>
      <w:bookmarkStart w:id="19" w:name="_Hlk67586765"/>
      <w:r>
        <w:rPr>
          <w:rFonts w:hint="eastAsia" w:ascii="仿宋" w:hAnsi="仿宋" w:eastAsia="仿宋"/>
          <w:lang w:bidi="en-US"/>
        </w:rPr>
        <w:t>（二）绩效评价原则、指标体系、方法及标准</w:t>
      </w:r>
      <w:bookmarkEnd w:id="17"/>
      <w:bookmarkEnd w:id="18"/>
      <w:bookmarkEnd w:id="19"/>
    </w:p>
    <w:p w14:paraId="0DF31F14">
      <w:pPr>
        <w:pStyle w:val="4"/>
        <w:ind w:firstLine="643"/>
      </w:pPr>
      <w:bookmarkStart w:id="20" w:name="_Toc196487544"/>
      <w:r>
        <w:rPr>
          <w:rFonts w:hint="eastAsia"/>
        </w:rPr>
        <w:t>1</w:t>
      </w:r>
      <w:r>
        <w:t>.</w:t>
      </w:r>
      <w:r>
        <w:rPr>
          <w:rFonts w:hint="eastAsia"/>
        </w:rPr>
        <w:t>评价原则</w:t>
      </w:r>
      <w:bookmarkEnd w:id="20"/>
    </w:p>
    <w:p w14:paraId="73DCBB78">
      <w:pPr>
        <w:spacing w:line="360" w:lineRule="auto"/>
        <w:ind w:firstLine="560"/>
        <w:rPr>
          <w:rFonts w:hint="eastAsia" w:ascii="仿宋_GB2312"/>
        </w:rPr>
      </w:pPr>
      <w:r>
        <w:rPr>
          <w:rFonts w:hint="eastAsia" w:ascii="仿宋_GB2312"/>
        </w:rPr>
        <w:t>（一）科学公正。绩效评价应当运用科学合理的方法，按照规范的程序，对项目绩效进行客观、公正的反映。</w:t>
      </w:r>
    </w:p>
    <w:p w14:paraId="7059CE1D">
      <w:pPr>
        <w:spacing w:line="360" w:lineRule="auto"/>
        <w:ind w:firstLine="560"/>
        <w:rPr>
          <w:rFonts w:hint="eastAsia" w:ascii="仿宋_GB2312"/>
        </w:rPr>
      </w:pPr>
      <w:r>
        <w:rPr>
          <w:rFonts w:hint="eastAsia" w:ascii="仿宋_GB2312"/>
        </w:rPr>
        <w:t>（二）统筹兼顾。单位自评、部门评价和财政评价应职责明确，各有侧重，相互衔接。单位自评应由项目单位自主实施，即“谁支出、谁自评”。部门评价和财政评价应在单位自评的基础上开展，必要时可委托第三方机构实施。</w:t>
      </w:r>
    </w:p>
    <w:p w14:paraId="540D6020">
      <w:pPr>
        <w:spacing w:line="360" w:lineRule="auto"/>
        <w:ind w:firstLine="560"/>
        <w:rPr>
          <w:rFonts w:hint="eastAsia" w:ascii="仿宋_GB2312"/>
        </w:rPr>
      </w:pPr>
      <w:r>
        <w:rPr>
          <w:rFonts w:hint="eastAsia" w:ascii="仿宋_GB2312"/>
        </w:rPr>
        <w:t>（三）激励约束。绩效评价结果应与预算安排、政策调整、改进管理实质性挂钩，体现奖优罚劣和激励相容导向，有效要安排、低效要压减、无效要问责。</w:t>
      </w:r>
    </w:p>
    <w:p w14:paraId="718D3FE6">
      <w:pPr>
        <w:spacing w:line="360" w:lineRule="auto"/>
        <w:ind w:firstLine="560"/>
        <w:rPr>
          <w:rFonts w:hint="eastAsia" w:ascii="仿宋_GB2312"/>
        </w:rPr>
      </w:pPr>
      <w:r>
        <w:rPr>
          <w:rFonts w:hint="eastAsia" w:ascii="仿宋_GB2312"/>
        </w:rPr>
        <w:t>（四）公开透明。绩效评价结果应依法依规公开，并自觉接受社会监督。</w:t>
      </w:r>
    </w:p>
    <w:p w14:paraId="51858CE1">
      <w:pPr>
        <w:pStyle w:val="4"/>
        <w:ind w:firstLine="643"/>
      </w:pPr>
      <w:bookmarkStart w:id="21" w:name="_Toc196487545"/>
      <w:r>
        <w:t>2.</w:t>
      </w:r>
      <w:r>
        <w:rPr>
          <w:rFonts w:hint="eastAsia"/>
        </w:rPr>
        <w:t>评价指标体系</w:t>
      </w:r>
      <w:bookmarkEnd w:id="21"/>
    </w:p>
    <w:p w14:paraId="29E9FF8E">
      <w:pPr>
        <w:spacing w:line="360" w:lineRule="auto"/>
        <w:ind w:firstLine="560"/>
        <w:rPr>
          <w:rFonts w:ascii="仿宋_GB2312"/>
        </w:rPr>
      </w:pPr>
      <w:r>
        <w:rPr>
          <w:rFonts w:hint="eastAsia" w:ascii="仿宋_GB2312"/>
        </w:rPr>
        <w:t>绩效评价指标体系作为衡量绩效目标实现程度的考核工具，一般遵循以下原则：</w:t>
      </w:r>
    </w:p>
    <w:p w14:paraId="4218B87F">
      <w:pPr>
        <w:spacing w:line="360" w:lineRule="auto"/>
        <w:ind w:firstLine="560"/>
        <w:rPr>
          <w:rFonts w:ascii="仿宋_GB2312"/>
        </w:rPr>
      </w:pPr>
      <w:r>
        <w:rPr>
          <w:rFonts w:hint="eastAsia" w:ascii="仿宋_GB2312"/>
        </w:rPr>
        <w:t>（1）相关性原则：绩效评价指标应当与绩效目标有直接的联系，能够恰当反映目标的实现程度。</w:t>
      </w:r>
    </w:p>
    <w:p w14:paraId="3301E25A">
      <w:pPr>
        <w:spacing w:line="360" w:lineRule="auto"/>
        <w:ind w:firstLine="560"/>
        <w:rPr>
          <w:rFonts w:ascii="仿宋_GB2312"/>
        </w:rPr>
      </w:pPr>
      <w:r>
        <w:rPr>
          <w:rFonts w:hint="eastAsia" w:ascii="仿宋_GB2312"/>
        </w:rPr>
        <w:t>（2）重要性原则：应当优先使用最具评价对象代表性、最能反映评价要求的核心指标。</w:t>
      </w:r>
    </w:p>
    <w:p w14:paraId="658ABEC2">
      <w:pPr>
        <w:spacing w:line="360" w:lineRule="auto"/>
        <w:ind w:firstLine="560"/>
        <w:rPr>
          <w:rFonts w:ascii="仿宋_GB2312"/>
        </w:rPr>
      </w:pPr>
      <w:r>
        <w:rPr>
          <w:rFonts w:hint="eastAsia" w:ascii="仿宋_GB2312"/>
        </w:rPr>
        <w:t>（3）可比性原则：对同类评价对象要设定共性的绩效评价指标，以便于评价结果可以相互比较。</w:t>
      </w:r>
    </w:p>
    <w:p w14:paraId="18AAC04F">
      <w:pPr>
        <w:spacing w:line="360" w:lineRule="auto"/>
        <w:ind w:firstLine="560"/>
        <w:rPr>
          <w:rFonts w:ascii="仿宋_GB2312"/>
        </w:rPr>
      </w:pPr>
      <w:r>
        <w:rPr>
          <w:rFonts w:hint="eastAsia" w:ascii="仿宋_GB2312"/>
        </w:rPr>
        <w:t>（4）系统性原则：绩效评价指标的设置应当将定量指标与定性指标相结合，能系统反映财政支出所产生的社会效益、经济效益和可持续影响等。</w:t>
      </w:r>
    </w:p>
    <w:p w14:paraId="69D73E66">
      <w:pPr>
        <w:spacing w:line="360" w:lineRule="auto"/>
        <w:ind w:firstLine="560"/>
        <w:rPr>
          <w:rFonts w:ascii="仿宋_GB2312"/>
        </w:rPr>
      </w:pPr>
      <w:r>
        <w:rPr>
          <w:rFonts w:hint="eastAsia" w:ascii="仿宋_GB2312"/>
        </w:rPr>
        <w:t>（5）经济性原则：绩效评价指标设计应当通俗易懂、简便易行，数据的获得应当考虑现实条件和可操作性，符合成本效益原则。</w:t>
      </w:r>
    </w:p>
    <w:p w14:paraId="453394EF">
      <w:pPr>
        <w:spacing w:line="360" w:lineRule="auto"/>
        <w:ind w:firstLine="560"/>
        <w:rPr>
          <w:rFonts w:ascii="仿宋_GB2312"/>
          <w:highlight w:val="none"/>
        </w:rPr>
      </w:pPr>
      <w:r>
        <w:rPr>
          <w:rFonts w:hint="eastAsia" w:ascii="仿宋_GB2312"/>
          <w:highlight w:val="none"/>
        </w:rPr>
        <w:t>本项目的评价指标体系建立如下表所示。</w:t>
      </w:r>
    </w:p>
    <w:p w14:paraId="1A043006">
      <w:pPr>
        <w:spacing w:line="360" w:lineRule="auto"/>
        <w:ind w:firstLine="560"/>
        <w:rPr>
          <w:rFonts w:ascii="仿宋_GB2312"/>
        </w:rPr>
      </w:pPr>
    </w:p>
    <w:p w14:paraId="5D607568">
      <w:pPr>
        <w:spacing w:line="360" w:lineRule="auto"/>
        <w:ind w:firstLine="560"/>
        <w:rPr>
          <w:rFonts w:ascii="仿宋_GB2312"/>
        </w:rPr>
      </w:pPr>
    </w:p>
    <w:p w14:paraId="66BBC63B">
      <w:pPr>
        <w:spacing w:line="360" w:lineRule="auto"/>
        <w:ind w:firstLine="560"/>
        <w:rPr>
          <w:rFonts w:ascii="仿宋_GB2312"/>
        </w:rPr>
        <w:sectPr>
          <w:headerReference r:id="rId11" w:type="default"/>
          <w:footerReference r:id="rId12" w:type="default"/>
          <w:pgSz w:w="11906" w:h="16838"/>
          <w:pgMar w:top="1440" w:right="1800" w:bottom="1440" w:left="1800" w:header="992" w:footer="992" w:gutter="0"/>
          <w:pgNumType w:start="1"/>
          <w:cols w:space="425" w:num="1"/>
          <w:docGrid w:type="lines" w:linePitch="381" w:charSpace="0"/>
        </w:sectPr>
      </w:pPr>
    </w:p>
    <w:p w14:paraId="7013CD4D">
      <w:pPr>
        <w:spacing w:line="360" w:lineRule="auto"/>
        <w:ind w:firstLine="0" w:firstLineChars="0"/>
        <w:jc w:val="center"/>
        <w:rPr>
          <w:rFonts w:ascii="仿宋_GB2312"/>
          <w:b/>
          <w:bCs/>
        </w:rPr>
      </w:pPr>
      <w:r>
        <w:rPr>
          <w:rFonts w:ascii="仿宋_GB2312"/>
          <w:b/>
          <w:bCs/>
        </w:rPr>
        <w:t xml:space="preserve">  </w:t>
      </w:r>
      <w:r>
        <w:rPr>
          <w:rFonts w:hint="eastAsia" w:ascii="仿宋_GB2312"/>
          <w:b/>
          <w:bCs/>
        </w:rPr>
        <w:t>项目支出绩效评价指标体系</w:t>
      </w:r>
    </w:p>
    <w:tbl>
      <w:tblPr>
        <w:tblStyle w:val="14"/>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155"/>
        <w:gridCol w:w="1199"/>
        <w:gridCol w:w="1411"/>
        <w:gridCol w:w="2789"/>
        <w:gridCol w:w="7341"/>
      </w:tblGrid>
      <w:tr w14:paraId="464D9DC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vAlign w:val="center"/>
          </w:tcPr>
          <w:p w14:paraId="6AB4F5B0">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199" w:type="dxa"/>
            <w:tcBorders>
              <w:tl2br w:val="nil"/>
              <w:tr2bl w:val="nil"/>
            </w:tcBorders>
            <w:shd w:val="clear" w:color="auto" w:fill="D0CECE"/>
            <w:vAlign w:val="center"/>
          </w:tcPr>
          <w:p w14:paraId="51D8FCC0">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411" w:type="dxa"/>
            <w:tcBorders>
              <w:tl2br w:val="nil"/>
              <w:tr2bl w:val="nil"/>
            </w:tcBorders>
            <w:shd w:val="clear" w:color="auto" w:fill="D0CECE"/>
            <w:vAlign w:val="center"/>
          </w:tcPr>
          <w:p w14:paraId="0B923DCB">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2789" w:type="dxa"/>
            <w:tcBorders>
              <w:tl2br w:val="nil"/>
              <w:tr2bl w:val="nil"/>
            </w:tcBorders>
            <w:shd w:val="clear" w:color="auto" w:fill="D0CECE"/>
            <w:vAlign w:val="center"/>
          </w:tcPr>
          <w:p w14:paraId="49D62C53">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7341" w:type="dxa"/>
            <w:tcBorders>
              <w:tl2br w:val="nil"/>
              <w:tr2bl w:val="nil"/>
            </w:tcBorders>
            <w:shd w:val="clear" w:color="auto" w:fill="D0CECE"/>
            <w:vAlign w:val="center"/>
          </w:tcPr>
          <w:p w14:paraId="3A9961A9">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指标说明</w:t>
            </w:r>
          </w:p>
        </w:tc>
      </w:tr>
      <w:tr w14:paraId="5126FDB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14:paraId="25567B28">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决策</w:t>
            </w:r>
          </w:p>
        </w:tc>
        <w:tc>
          <w:tcPr>
            <w:tcW w:w="1199" w:type="dxa"/>
            <w:vMerge w:val="restart"/>
            <w:tcBorders>
              <w:tl2br w:val="nil"/>
              <w:tr2bl w:val="nil"/>
            </w:tcBorders>
            <w:shd w:val="clear" w:color="auto" w:fill="FFFFFF"/>
            <w:vAlign w:val="center"/>
          </w:tcPr>
          <w:p w14:paraId="31B7B054">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项目立项</w:t>
            </w:r>
          </w:p>
        </w:tc>
        <w:tc>
          <w:tcPr>
            <w:tcW w:w="1411" w:type="dxa"/>
            <w:tcBorders>
              <w:tl2br w:val="nil"/>
              <w:tr2bl w:val="nil"/>
            </w:tcBorders>
            <w:shd w:val="clear" w:color="auto" w:fill="FFFFFF"/>
            <w:vAlign w:val="center"/>
          </w:tcPr>
          <w:p w14:paraId="522F8224">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立项依据</w:t>
            </w:r>
          </w:p>
          <w:p w14:paraId="5B472002">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充分性</w:t>
            </w:r>
          </w:p>
        </w:tc>
        <w:tc>
          <w:tcPr>
            <w:tcW w:w="2789" w:type="dxa"/>
            <w:tcBorders>
              <w:tl2br w:val="nil"/>
              <w:tr2bl w:val="nil"/>
            </w:tcBorders>
            <w:shd w:val="clear" w:color="auto" w:fill="FFFFFF"/>
            <w:vAlign w:val="center"/>
          </w:tcPr>
          <w:p w14:paraId="2E27BF56">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14:paraId="0AB4AF6E">
            <w:pPr>
              <w:widowControl/>
              <w:ind w:firstLine="0" w:firstLineChars="0"/>
              <w:jc w:val="left"/>
              <w:rPr>
                <w:rFonts w:ascii="宋体" w:hAnsi="宋体" w:eastAsia="宋体" w:cs="宋体"/>
                <w:color w:val="000000"/>
                <w:kern w:val="0"/>
                <w:sz w:val="22"/>
              </w:rPr>
            </w:pPr>
            <w:r>
              <w:rPr>
                <w:rFonts w:hint="eastAsia" w:ascii="宋体" w:hAnsi="宋体" w:eastAsia="宋体" w:cs="宋体"/>
                <w:color w:val="auto"/>
                <w:kern w:val="0"/>
                <w:sz w:val="22"/>
              </w:rPr>
              <w:t>评价要点：</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①项目立项是否符合国家法律法规、国民经济发展规划和相关政策；</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②项目立项是否符合行业发展规划和政策要求；</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③项目立项是否与部门职责范围相符，</w:t>
            </w:r>
            <w:r>
              <w:rPr>
                <w:rFonts w:hint="eastAsia" w:ascii="宋体" w:hAnsi="宋体" w:eastAsia="宋体" w:cs="宋体"/>
                <w:color w:val="auto"/>
                <w:kern w:val="0"/>
                <w:sz w:val="22"/>
                <w:lang w:val="en-US" w:eastAsia="zh-CN"/>
              </w:rPr>
              <w:t>属于部门</w:t>
            </w:r>
            <w:r>
              <w:rPr>
                <w:rFonts w:hint="eastAsia" w:ascii="宋体" w:hAnsi="宋体" w:eastAsia="宋体" w:cs="宋体"/>
                <w:color w:val="auto"/>
                <w:kern w:val="0"/>
                <w:sz w:val="22"/>
              </w:rPr>
              <w:t>履职所需；</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④项目是否属于公共财政支持范围，是否符合中央、地方事权支出责任划分原则；</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⑤项目是否与相关部门同类项目或部门内部相关项目重复</w:t>
            </w:r>
            <w:r>
              <w:rPr>
                <w:rFonts w:hint="eastAsia" w:ascii="宋体" w:hAnsi="宋体" w:eastAsia="宋体" w:cs="宋体"/>
                <w:color w:val="FF0000"/>
                <w:kern w:val="0"/>
                <w:sz w:val="22"/>
              </w:rPr>
              <w:t>。</w:t>
            </w:r>
          </w:p>
        </w:tc>
      </w:tr>
      <w:tr w14:paraId="67181E7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14:paraId="1A0ECFF6">
            <w:pPr>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5C20063B">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6C7E594D">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立项程序</w:t>
            </w:r>
          </w:p>
          <w:p w14:paraId="7880A271">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规范性</w:t>
            </w:r>
          </w:p>
        </w:tc>
        <w:tc>
          <w:tcPr>
            <w:tcW w:w="2789" w:type="dxa"/>
            <w:tcBorders>
              <w:tl2br w:val="nil"/>
              <w:tr2bl w:val="nil"/>
            </w:tcBorders>
            <w:shd w:val="clear" w:color="auto" w:fill="FFFFFF"/>
            <w:vAlign w:val="center"/>
          </w:tcPr>
          <w:p w14:paraId="1F3C8481">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14:paraId="6A97790C">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①项目是否按照规定的程序申请设立；</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②审批文件、材料是否符合相关要求；</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③事前是否已经过必要的可行性研究、专家论证、风险评估、绩效评估、集体决策。</w:t>
            </w:r>
          </w:p>
        </w:tc>
      </w:tr>
      <w:tr w14:paraId="65E4718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14:paraId="63161709">
            <w:pPr>
              <w:ind w:firstLine="0" w:firstLineChars="0"/>
              <w:jc w:val="center"/>
              <w:rPr>
                <w:rFonts w:ascii="宋体" w:hAnsi="宋体" w:eastAsia="宋体" w:cs="宋体"/>
                <w:color w:val="000000"/>
                <w:kern w:val="0"/>
                <w:sz w:val="22"/>
              </w:rPr>
            </w:pPr>
          </w:p>
        </w:tc>
        <w:tc>
          <w:tcPr>
            <w:tcW w:w="1199" w:type="dxa"/>
            <w:tcBorders>
              <w:tl2br w:val="nil"/>
              <w:tr2bl w:val="nil"/>
            </w:tcBorders>
            <w:shd w:val="clear" w:color="auto" w:fill="FFFFFF"/>
            <w:vAlign w:val="center"/>
          </w:tcPr>
          <w:p w14:paraId="50056300">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tc>
        <w:tc>
          <w:tcPr>
            <w:tcW w:w="1411" w:type="dxa"/>
            <w:tcBorders>
              <w:tl2br w:val="nil"/>
              <w:tr2bl w:val="nil"/>
            </w:tcBorders>
            <w:shd w:val="clear" w:color="auto" w:fill="FFFFFF"/>
            <w:vAlign w:val="center"/>
          </w:tcPr>
          <w:p w14:paraId="179A1F8E">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p w14:paraId="1187C6A5">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合理性</w:t>
            </w:r>
          </w:p>
        </w:tc>
        <w:tc>
          <w:tcPr>
            <w:tcW w:w="2789" w:type="dxa"/>
            <w:tcBorders>
              <w:tl2br w:val="nil"/>
              <w:tr2bl w:val="nil"/>
            </w:tcBorders>
            <w:shd w:val="clear" w:color="000000" w:fill="FFFFFF"/>
            <w:vAlign w:val="center"/>
          </w:tcPr>
          <w:p w14:paraId="3D21156F">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457A0AB0">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（如未设定预算绩效目标，也可考核其他工作任务目标）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①项目是否有绩效目标；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②项目绩效目标与实际工作内容是否具有相关性；</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③项目预期产出效益和效果是否符合正常的业绩水平；</w:t>
            </w:r>
          </w:p>
          <w:p w14:paraId="46FBACF4">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④是否与预算确定的项目投资额或资金量相匹配。</w:t>
            </w:r>
          </w:p>
        </w:tc>
      </w:tr>
      <w:tr w14:paraId="137ED2A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14:paraId="2D81F482">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决策</w:t>
            </w:r>
          </w:p>
        </w:tc>
        <w:tc>
          <w:tcPr>
            <w:tcW w:w="1199" w:type="dxa"/>
            <w:tcBorders>
              <w:tl2br w:val="nil"/>
              <w:tr2bl w:val="nil"/>
            </w:tcBorders>
            <w:shd w:val="clear" w:color="auto" w:fill="FFFFFF"/>
            <w:vAlign w:val="center"/>
          </w:tcPr>
          <w:p w14:paraId="62828F3B">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tc>
        <w:tc>
          <w:tcPr>
            <w:tcW w:w="1411" w:type="dxa"/>
            <w:tcBorders>
              <w:tl2br w:val="nil"/>
              <w:tr2bl w:val="nil"/>
            </w:tcBorders>
            <w:shd w:val="clear" w:color="auto" w:fill="FFFFFF"/>
            <w:vAlign w:val="center"/>
          </w:tcPr>
          <w:p w14:paraId="51D874E0">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绩效指标</w:t>
            </w:r>
          </w:p>
          <w:p w14:paraId="68585FEA">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明确性</w:t>
            </w:r>
          </w:p>
        </w:tc>
        <w:tc>
          <w:tcPr>
            <w:tcW w:w="2789" w:type="dxa"/>
            <w:tcBorders>
              <w:tl2br w:val="nil"/>
              <w:tr2bl w:val="nil"/>
            </w:tcBorders>
            <w:shd w:val="clear" w:color="000000" w:fill="FFFFFF"/>
            <w:vAlign w:val="center"/>
          </w:tcPr>
          <w:p w14:paraId="56ED9B2F">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0120F4A6">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①是否将项目绩效目标细化分解为具体的绩效指标；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②是否通过清晰、可衡量的指标值予以体现；</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③是否与项目目标任务数或计划数相对应。</w:t>
            </w:r>
            <w:r>
              <w:rPr>
                <w:rFonts w:hint="eastAsia" w:ascii="宋体" w:hAnsi="宋体" w:eastAsia="宋体" w:cs="宋体"/>
                <w:color w:val="000000"/>
                <w:kern w:val="0"/>
                <w:sz w:val="22"/>
              </w:rPr>
              <w:br w:type="textWrapping"/>
            </w:r>
          </w:p>
        </w:tc>
      </w:tr>
      <w:tr w14:paraId="591DDA6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14:paraId="4BF5A577">
            <w:pPr>
              <w:ind w:firstLine="0" w:firstLineChars="0"/>
              <w:jc w:val="center"/>
              <w:rPr>
                <w:rFonts w:ascii="宋体" w:hAnsi="宋体" w:eastAsia="宋体" w:cs="宋体"/>
                <w:color w:val="000000"/>
                <w:kern w:val="0"/>
                <w:sz w:val="22"/>
              </w:rPr>
            </w:pPr>
          </w:p>
        </w:tc>
        <w:tc>
          <w:tcPr>
            <w:tcW w:w="1199" w:type="dxa"/>
            <w:vMerge w:val="restart"/>
            <w:tcBorders>
              <w:tl2br w:val="nil"/>
              <w:tr2bl w:val="nil"/>
            </w:tcBorders>
            <w:shd w:val="clear" w:color="auto" w:fill="FFFFFF"/>
            <w:vAlign w:val="center"/>
          </w:tcPr>
          <w:p w14:paraId="7DB8E5DC">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资金投入</w:t>
            </w:r>
          </w:p>
        </w:tc>
        <w:tc>
          <w:tcPr>
            <w:tcW w:w="1411" w:type="dxa"/>
            <w:tcBorders>
              <w:tl2br w:val="nil"/>
              <w:tr2bl w:val="nil"/>
            </w:tcBorders>
            <w:shd w:val="clear" w:color="auto" w:fill="FFFFFF"/>
            <w:vAlign w:val="center"/>
          </w:tcPr>
          <w:p w14:paraId="183D8862">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预算编制</w:t>
            </w:r>
          </w:p>
          <w:p w14:paraId="5B2D028B">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科学性</w:t>
            </w:r>
          </w:p>
        </w:tc>
        <w:tc>
          <w:tcPr>
            <w:tcW w:w="2789" w:type="dxa"/>
            <w:tcBorders>
              <w:tl2br w:val="nil"/>
              <w:tr2bl w:val="nil"/>
            </w:tcBorders>
            <w:shd w:val="clear" w:color="auto" w:fill="FFFFFF"/>
            <w:vAlign w:val="center"/>
          </w:tcPr>
          <w:p w14:paraId="15DDF254">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0C2E1675">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①预算编制是否经过科学论证；</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②预算内容与项目内容是否匹配；</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③预算额度测算依据是否充分，是否按照标准编制；</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④预算确定的项目投资额或资金量是否与工作任务相匹配。</w:t>
            </w:r>
          </w:p>
        </w:tc>
      </w:tr>
      <w:tr w14:paraId="2D6B062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14:paraId="2E0990D8">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036BE4AE">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3018D767">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资金分配</w:t>
            </w:r>
          </w:p>
          <w:p w14:paraId="7C7AB8D3">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合理性</w:t>
            </w:r>
          </w:p>
        </w:tc>
        <w:tc>
          <w:tcPr>
            <w:tcW w:w="2789" w:type="dxa"/>
            <w:tcBorders>
              <w:tl2br w:val="nil"/>
              <w:tr2bl w:val="nil"/>
            </w:tcBorders>
            <w:shd w:val="clear" w:color="auto" w:fill="FFFFFF"/>
            <w:vAlign w:val="center"/>
          </w:tcPr>
          <w:p w14:paraId="2DB361D5">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14:paraId="2FC77B72">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①预算资金分配依据是否充分；</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②资金分配额度是否合理，与项目单位或地方实际是否相适应。</w:t>
            </w:r>
          </w:p>
        </w:tc>
      </w:tr>
      <w:tr w14:paraId="6295963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14:paraId="1E3EA42D">
            <w:pPr>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过程</w:t>
            </w:r>
          </w:p>
        </w:tc>
        <w:tc>
          <w:tcPr>
            <w:tcW w:w="1199" w:type="dxa"/>
            <w:vMerge w:val="restart"/>
            <w:tcBorders>
              <w:tl2br w:val="nil"/>
              <w:tr2bl w:val="nil"/>
            </w:tcBorders>
            <w:shd w:val="clear" w:color="auto" w:fill="FFFFFF"/>
            <w:vAlign w:val="center"/>
          </w:tcPr>
          <w:p w14:paraId="4CEF0419">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资金管理</w:t>
            </w:r>
          </w:p>
        </w:tc>
        <w:tc>
          <w:tcPr>
            <w:tcW w:w="1411" w:type="dxa"/>
            <w:tcBorders>
              <w:tl2br w:val="nil"/>
              <w:tr2bl w:val="nil"/>
            </w:tcBorders>
            <w:shd w:val="clear" w:color="auto" w:fill="FFFFFF"/>
            <w:vAlign w:val="center"/>
          </w:tcPr>
          <w:p w14:paraId="448D9F9C">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资金到位率</w:t>
            </w:r>
          </w:p>
        </w:tc>
        <w:tc>
          <w:tcPr>
            <w:tcW w:w="2789" w:type="dxa"/>
            <w:tcBorders>
              <w:tl2br w:val="nil"/>
              <w:tr2bl w:val="nil"/>
            </w:tcBorders>
            <w:shd w:val="clear" w:color="000000" w:fill="FFFFFF"/>
            <w:vAlign w:val="center"/>
          </w:tcPr>
          <w:p w14:paraId="06164224">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7DC403B8">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资金到位率=（实际到位资金/预算资金）×100%。</w:t>
            </w:r>
          </w:p>
          <w:p w14:paraId="527D2B1D">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实际到位资金：一定时期（本年度或项目期）内落实到具体项目的资金。</w:t>
            </w:r>
          </w:p>
          <w:p w14:paraId="3F8A34AD">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预算资金：一定时期（本年度或项目期）内预算安排到具体项目的资金。</w:t>
            </w:r>
          </w:p>
        </w:tc>
      </w:tr>
      <w:tr w14:paraId="37B8638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14:paraId="06E3B209">
            <w:pPr>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662C218B">
            <w:pPr>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7AE46CD8">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预算执行率</w:t>
            </w:r>
          </w:p>
        </w:tc>
        <w:tc>
          <w:tcPr>
            <w:tcW w:w="2789" w:type="dxa"/>
            <w:tcBorders>
              <w:tl2br w:val="nil"/>
              <w:tr2bl w:val="nil"/>
            </w:tcBorders>
            <w:shd w:val="clear" w:color="auto" w:fill="FFFFFF"/>
            <w:vAlign w:val="center"/>
          </w:tcPr>
          <w:p w14:paraId="58B50724">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14:paraId="5018A6ED">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预算执行率=（实际支出资金/实际到位资金）×100%。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实际支出资金：一定时期（本年度或项目期）内项目实际拨付的资金。</w:t>
            </w:r>
          </w:p>
        </w:tc>
      </w:tr>
      <w:tr w14:paraId="3A56205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14:paraId="2FBB9242">
            <w:pPr>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过程</w:t>
            </w:r>
          </w:p>
        </w:tc>
        <w:tc>
          <w:tcPr>
            <w:tcW w:w="1199" w:type="dxa"/>
            <w:tcBorders>
              <w:tl2br w:val="nil"/>
              <w:tr2bl w:val="nil"/>
            </w:tcBorders>
            <w:shd w:val="clear" w:color="auto" w:fill="FFFFFF"/>
            <w:vAlign w:val="center"/>
          </w:tcPr>
          <w:p w14:paraId="187536DF">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资金管理</w:t>
            </w:r>
          </w:p>
        </w:tc>
        <w:tc>
          <w:tcPr>
            <w:tcW w:w="1411" w:type="dxa"/>
            <w:tcBorders>
              <w:tl2br w:val="nil"/>
              <w:tr2bl w:val="nil"/>
            </w:tcBorders>
            <w:shd w:val="clear" w:color="auto" w:fill="FFFFFF"/>
            <w:vAlign w:val="center"/>
          </w:tcPr>
          <w:p w14:paraId="536417BC">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资金使用</w:t>
            </w:r>
          </w:p>
          <w:p w14:paraId="4946477A">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合规性</w:t>
            </w:r>
          </w:p>
        </w:tc>
        <w:tc>
          <w:tcPr>
            <w:tcW w:w="2789" w:type="dxa"/>
            <w:tcBorders>
              <w:tl2br w:val="nil"/>
              <w:tr2bl w:val="nil"/>
            </w:tcBorders>
            <w:shd w:val="clear" w:color="000000" w:fill="FFFFFF"/>
            <w:vAlign w:val="center"/>
          </w:tcPr>
          <w:p w14:paraId="0B0A44BA">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14:paraId="66BA0623">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①是否符合国家财经法规和财务管理制度以及有关专项资金管理办法的规定；</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②资金的拨付是否有完整的审批程序和手续；</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③是否符合项目预算批复或合同规定的用途；</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④是否存在截留、挤占、挪用、虚列支出等情况。</w:t>
            </w:r>
          </w:p>
        </w:tc>
      </w:tr>
      <w:tr w14:paraId="29979C6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14:paraId="16D81509">
            <w:pPr>
              <w:ind w:firstLine="0" w:firstLineChars="0"/>
              <w:jc w:val="center"/>
              <w:rPr>
                <w:rFonts w:ascii="宋体" w:hAnsi="宋体" w:eastAsia="宋体" w:cs="宋体"/>
                <w:color w:val="000000"/>
                <w:kern w:val="0"/>
                <w:sz w:val="22"/>
              </w:rPr>
            </w:pPr>
          </w:p>
        </w:tc>
        <w:tc>
          <w:tcPr>
            <w:tcW w:w="1199" w:type="dxa"/>
            <w:vMerge w:val="restart"/>
            <w:tcBorders>
              <w:tl2br w:val="nil"/>
              <w:tr2bl w:val="nil"/>
            </w:tcBorders>
            <w:shd w:val="clear" w:color="auto" w:fill="FFFFFF"/>
            <w:vAlign w:val="center"/>
          </w:tcPr>
          <w:p w14:paraId="0FF634B3">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组织实施</w:t>
            </w:r>
          </w:p>
        </w:tc>
        <w:tc>
          <w:tcPr>
            <w:tcW w:w="1411" w:type="dxa"/>
            <w:tcBorders>
              <w:tl2br w:val="nil"/>
              <w:tr2bl w:val="nil"/>
            </w:tcBorders>
            <w:shd w:val="clear" w:color="auto" w:fill="FFFFFF"/>
            <w:vAlign w:val="center"/>
          </w:tcPr>
          <w:p w14:paraId="3E6748AC">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管理制度</w:t>
            </w:r>
          </w:p>
          <w:p w14:paraId="6FE567E7">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健全性</w:t>
            </w:r>
          </w:p>
        </w:tc>
        <w:tc>
          <w:tcPr>
            <w:tcW w:w="2789" w:type="dxa"/>
            <w:tcBorders>
              <w:tl2br w:val="nil"/>
              <w:tr2bl w:val="nil"/>
            </w:tcBorders>
            <w:shd w:val="clear" w:color="000000" w:fill="FFFFFF"/>
            <w:vAlign w:val="center"/>
          </w:tcPr>
          <w:p w14:paraId="01D93896">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503DB3A1">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①是否已制定或具有相应的财务和业务管理制度；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②财务和业务管理制度是否合法、合规、完整。</w:t>
            </w:r>
          </w:p>
        </w:tc>
      </w:tr>
      <w:tr w14:paraId="4A498D4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14:paraId="521B146F">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4B48570B">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579A45C4">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制度执行</w:t>
            </w:r>
          </w:p>
          <w:p w14:paraId="5BE4457B">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有效性</w:t>
            </w:r>
          </w:p>
        </w:tc>
        <w:tc>
          <w:tcPr>
            <w:tcW w:w="2789" w:type="dxa"/>
            <w:tcBorders>
              <w:tl2br w:val="nil"/>
              <w:tr2bl w:val="nil"/>
            </w:tcBorders>
            <w:shd w:val="clear" w:color="000000" w:fill="FFFFFF"/>
            <w:vAlign w:val="center"/>
          </w:tcPr>
          <w:p w14:paraId="3795B0CA">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3AD5CCA8">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①是否遵守相关法律法规和相关管理规定；</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②项目调整及支出调整手续是否完备；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③项目合同书、验收报告、技术鉴定等资料是否齐全并及时归档；</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④项目实施的人员条件、场地设备、信息支撑等是否落实到位。</w:t>
            </w:r>
          </w:p>
        </w:tc>
      </w:tr>
      <w:tr w14:paraId="6B86E2A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88" w:hRule="atLeast"/>
          <w:jc w:val="center"/>
        </w:trPr>
        <w:tc>
          <w:tcPr>
            <w:tcW w:w="1155" w:type="dxa"/>
            <w:vMerge w:val="restart"/>
            <w:tcBorders>
              <w:tl2br w:val="nil"/>
              <w:tr2bl w:val="nil"/>
            </w:tcBorders>
            <w:shd w:val="clear" w:color="auto" w:fill="FFFFFF"/>
            <w:vAlign w:val="center"/>
          </w:tcPr>
          <w:p w14:paraId="5787DD0E">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产出</w:t>
            </w:r>
          </w:p>
        </w:tc>
        <w:tc>
          <w:tcPr>
            <w:tcW w:w="1199" w:type="dxa"/>
            <w:vMerge w:val="restart"/>
            <w:tcBorders>
              <w:tl2br w:val="nil"/>
              <w:tr2bl w:val="nil"/>
            </w:tcBorders>
            <w:shd w:val="clear" w:color="auto" w:fill="FFFFFF"/>
            <w:vAlign w:val="center"/>
          </w:tcPr>
          <w:p w14:paraId="7A1295DB">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产出数量</w:t>
            </w:r>
          </w:p>
        </w:tc>
        <w:tc>
          <w:tcPr>
            <w:tcW w:w="1411" w:type="dxa"/>
            <w:tcBorders>
              <w:tl2br w:val="nil"/>
              <w:tr2bl w:val="nil"/>
            </w:tcBorders>
            <w:shd w:val="clear" w:color="auto" w:fill="FFFFFF"/>
          </w:tcPr>
          <w:p w14:paraId="6AC86D5E">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当年开展各类科普活动的次数</w:t>
            </w:r>
          </w:p>
        </w:tc>
        <w:tc>
          <w:tcPr>
            <w:tcW w:w="2789" w:type="dxa"/>
            <w:vMerge w:val="restart"/>
            <w:tcBorders>
              <w:tl2br w:val="nil"/>
              <w:tr2bl w:val="nil"/>
            </w:tcBorders>
            <w:shd w:val="clear" w:color="000000" w:fill="FFFFFF"/>
            <w:vAlign w:val="center"/>
          </w:tcPr>
          <w:p w14:paraId="4A3D2228">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14:paraId="3825073C">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实际完成率=（实际产出数/计划产出数）×100%。</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实际产出数：一定时期（本年度或项目期）内项目实际产出的产品或提供的服务数量。</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计划产出数：项目绩效目标确定的在一定时期（本年度或项目期）内计划产出的产品或提供的服务数量。</w:t>
            </w:r>
          </w:p>
        </w:tc>
      </w:tr>
      <w:tr w14:paraId="2C58AC7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18" w:hRule="atLeast"/>
          <w:jc w:val="center"/>
        </w:trPr>
        <w:tc>
          <w:tcPr>
            <w:tcW w:w="1155" w:type="dxa"/>
            <w:vMerge w:val="continue"/>
            <w:tcBorders>
              <w:tl2br w:val="nil"/>
              <w:tr2bl w:val="nil"/>
            </w:tcBorders>
            <w:shd w:val="clear" w:color="auto" w:fill="FFFFFF"/>
            <w:vAlign w:val="center"/>
          </w:tcPr>
          <w:p w14:paraId="79CAFA4D">
            <w:pPr>
              <w:widowControl/>
              <w:ind w:firstLine="0" w:firstLineChars="0"/>
              <w:jc w:val="center"/>
              <w:rPr>
                <w:rFonts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14:paraId="20EB38C0">
            <w:pPr>
              <w:widowControl/>
              <w:ind w:firstLine="0" w:firstLineChars="0"/>
              <w:jc w:val="center"/>
              <w:rPr>
                <w:rFonts w:ascii="宋体" w:hAnsi="宋体" w:eastAsia="宋体" w:cs="宋体"/>
                <w:color w:val="auto"/>
                <w:kern w:val="0"/>
                <w:sz w:val="22"/>
                <w:highlight w:val="none"/>
              </w:rPr>
            </w:pPr>
          </w:p>
        </w:tc>
        <w:tc>
          <w:tcPr>
            <w:tcW w:w="1411" w:type="dxa"/>
            <w:tcBorders>
              <w:tl2br w:val="nil"/>
              <w:tr2bl w:val="nil"/>
            </w:tcBorders>
            <w:shd w:val="clear" w:color="auto" w:fill="FFFFFF"/>
          </w:tcPr>
          <w:p w14:paraId="40079A22">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创作高质量科普视频数量</w:t>
            </w:r>
          </w:p>
        </w:tc>
        <w:tc>
          <w:tcPr>
            <w:tcW w:w="2789" w:type="dxa"/>
            <w:vMerge w:val="continue"/>
            <w:tcBorders>
              <w:tl2br w:val="nil"/>
              <w:tr2bl w:val="nil"/>
            </w:tcBorders>
            <w:shd w:val="clear" w:color="000000" w:fill="FFFFFF"/>
            <w:vAlign w:val="center"/>
          </w:tcPr>
          <w:p w14:paraId="2BAD25D0">
            <w:pPr>
              <w:widowControl/>
              <w:ind w:firstLine="0" w:firstLineChars="0"/>
              <w:rPr>
                <w:rFonts w:ascii="宋体" w:hAnsi="宋体" w:eastAsia="宋体" w:cs="宋体"/>
                <w:color w:val="auto"/>
                <w:kern w:val="0"/>
                <w:sz w:val="22"/>
                <w:highlight w:val="none"/>
              </w:rPr>
            </w:pPr>
          </w:p>
        </w:tc>
        <w:tc>
          <w:tcPr>
            <w:tcW w:w="7341" w:type="dxa"/>
            <w:vMerge w:val="continue"/>
            <w:tcBorders>
              <w:tl2br w:val="nil"/>
              <w:tr2bl w:val="nil"/>
            </w:tcBorders>
            <w:shd w:val="clear" w:color="000000" w:fill="FFFFFF"/>
            <w:vAlign w:val="center"/>
          </w:tcPr>
          <w:p w14:paraId="19E565C1">
            <w:pPr>
              <w:widowControl/>
              <w:ind w:firstLine="0" w:firstLineChars="0"/>
              <w:rPr>
                <w:rFonts w:ascii="宋体" w:hAnsi="宋体" w:eastAsia="宋体" w:cs="宋体"/>
                <w:color w:val="auto"/>
                <w:kern w:val="0"/>
                <w:sz w:val="22"/>
                <w:highlight w:val="none"/>
              </w:rPr>
            </w:pPr>
          </w:p>
        </w:tc>
      </w:tr>
      <w:tr w14:paraId="72013AA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42" w:hRule="atLeast"/>
          <w:jc w:val="center"/>
        </w:trPr>
        <w:tc>
          <w:tcPr>
            <w:tcW w:w="1155" w:type="dxa"/>
            <w:vMerge w:val="continue"/>
            <w:tcBorders>
              <w:tl2br w:val="nil"/>
              <w:tr2bl w:val="nil"/>
            </w:tcBorders>
            <w:shd w:val="clear" w:color="auto" w:fill="FFFFFF"/>
            <w:vAlign w:val="center"/>
          </w:tcPr>
          <w:p w14:paraId="03F8BC5D">
            <w:pPr>
              <w:widowControl/>
              <w:ind w:firstLine="0" w:firstLineChars="0"/>
              <w:jc w:val="center"/>
              <w:rPr>
                <w:rFonts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14:paraId="113257B2">
            <w:pPr>
              <w:widowControl/>
              <w:ind w:firstLine="0" w:firstLineChars="0"/>
              <w:jc w:val="center"/>
              <w:rPr>
                <w:rFonts w:ascii="宋体" w:hAnsi="宋体" w:eastAsia="宋体" w:cs="宋体"/>
                <w:color w:val="auto"/>
                <w:kern w:val="0"/>
                <w:sz w:val="22"/>
                <w:highlight w:val="none"/>
              </w:rPr>
            </w:pPr>
          </w:p>
        </w:tc>
        <w:tc>
          <w:tcPr>
            <w:tcW w:w="1411" w:type="dxa"/>
            <w:tcBorders>
              <w:tl2br w:val="nil"/>
              <w:tr2bl w:val="nil"/>
            </w:tcBorders>
            <w:shd w:val="clear" w:color="auto" w:fill="FFFFFF"/>
          </w:tcPr>
          <w:p w14:paraId="2AC9000F">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奖补科普教育基地数量</w:t>
            </w:r>
          </w:p>
        </w:tc>
        <w:tc>
          <w:tcPr>
            <w:tcW w:w="2789" w:type="dxa"/>
            <w:vMerge w:val="continue"/>
            <w:tcBorders>
              <w:tl2br w:val="nil"/>
              <w:tr2bl w:val="nil"/>
            </w:tcBorders>
            <w:shd w:val="clear" w:color="000000" w:fill="FFFFFF"/>
            <w:vAlign w:val="center"/>
          </w:tcPr>
          <w:p w14:paraId="06627282">
            <w:pPr>
              <w:widowControl/>
              <w:ind w:firstLine="0" w:firstLineChars="0"/>
              <w:rPr>
                <w:rFonts w:ascii="宋体" w:hAnsi="宋体" w:eastAsia="宋体" w:cs="宋体"/>
                <w:color w:val="auto"/>
                <w:kern w:val="0"/>
                <w:sz w:val="22"/>
                <w:highlight w:val="none"/>
              </w:rPr>
            </w:pPr>
          </w:p>
        </w:tc>
        <w:tc>
          <w:tcPr>
            <w:tcW w:w="7341" w:type="dxa"/>
            <w:vMerge w:val="continue"/>
            <w:tcBorders>
              <w:tl2br w:val="nil"/>
              <w:tr2bl w:val="nil"/>
            </w:tcBorders>
            <w:shd w:val="clear" w:color="000000" w:fill="FFFFFF"/>
            <w:vAlign w:val="center"/>
          </w:tcPr>
          <w:p w14:paraId="76803546">
            <w:pPr>
              <w:widowControl/>
              <w:ind w:firstLine="0" w:firstLineChars="0"/>
              <w:rPr>
                <w:rFonts w:ascii="宋体" w:hAnsi="宋体" w:eastAsia="宋体" w:cs="宋体"/>
                <w:color w:val="auto"/>
                <w:kern w:val="0"/>
                <w:sz w:val="22"/>
                <w:highlight w:val="none"/>
              </w:rPr>
            </w:pPr>
          </w:p>
        </w:tc>
      </w:tr>
      <w:tr w14:paraId="0546AFC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699" w:hRule="atLeast"/>
          <w:jc w:val="center"/>
        </w:trPr>
        <w:tc>
          <w:tcPr>
            <w:tcW w:w="1155" w:type="dxa"/>
            <w:vMerge w:val="continue"/>
            <w:tcBorders>
              <w:tl2br w:val="nil"/>
              <w:tr2bl w:val="nil"/>
            </w:tcBorders>
            <w:shd w:val="clear" w:color="auto" w:fill="FFFFFF"/>
            <w:vAlign w:val="center"/>
          </w:tcPr>
          <w:p w14:paraId="3E4FB494">
            <w:pPr>
              <w:widowControl/>
              <w:ind w:firstLine="0" w:firstLineChars="0"/>
              <w:jc w:val="center"/>
              <w:rPr>
                <w:rFonts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14:paraId="302F80B8">
            <w:pPr>
              <w:widowControl/>
              <w:ind w:firstLine="0" w:firstLineChars="0"/>
              <w:jc w:val="center"/>
              <w:rPr>
                <w:rFonts w:ascii="宋体" w:hAnsi="宋体" w:eastAsia="宋体" w:cs="宋体"/>
                <w:color w:val="auto"/>
                <w:kern w:val="0"/>
                <w:sz w:val="22"/>
                <w:highlight w:val="none"/>
              </w:rPr>
            </w:pPr>
          </w:p>
        </w:tc>
        <w:tc>
          <w:tcPr>
            <w:tcW w:w="1411" w:type="dxa"/>
            <w:tcBorders>
              <w:tl2br w:val="nil"/>
              <w:tr2bl w:val="nil"/>
            </w:tcBorders>
            <w:shd w:val="clear" w:color="auto" w:fill="FFFFFF"/>
          </w:tcPr>
          <w:p w14:paraId="15E041E9">
            <w:pPr>
              <w:widowControl/>
              <w:ind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青少年科技活动特色学校奖补先进集体数量</w:t>
            </w:r>
          </w:p>
        </w:tc>
        <w:tc>
          <w:tcPr>
            <w:tcW w:w="2789" w:type="dxa"/>
            <w:vMerge w:val="continue"/>
            <w:tcBorders>
              <w:tl2br w:val="nil"/>
              <w:tr2bl w:val="nil"/>
            </w:tcBorders>
            <w:shd w:val="clear" w:color="000000" w:fill="FFFFFF"/>
            <w:vAlign w:val="center"/>
          </w:tcPr>
          <w:p w14:paraId="64732980">
            <w:pPr>
              <w:widowControl/>
              <w:ind w:firstLine="0" w:firstLineChars="0"/>
              <w:rPr>
                <w:rFonts w:ascii="宋体" w:hAnsi="宋体" w:eastAsia="宋体" w:cs="宋体"/>
                <w:color w:val="auto"/>
                <w:kern w:val="0"/>
                <w:sz w:val="22"/>
                <w:highlight w:val="none"/>
              </w:rPr>
            </w:pPr>
          </w:p>
        </w:tc>
        <w:tc>
          <w:tcPr>
            <w:tcW w:w="7341" w:type="dxa"/>
            <w:vMerge w:val="continue"/>
            <w:tcBorders>
              <w:tl2br w:val="nil"/>
              <w:tr2bl w:val="nil"/>
            </w:tcBorders>
            <w:shd w:val="clear" w:color="000000" w:fill="FFFFFF"/>
            <w:vAlign w:val="center"/>
          </w:tcPr>
          <w:p w14:paraId="13E9D4D5">
            <w:pPr>
              <w:widowControl/>
              <w:ind w:firstLine="0" w:firstLineChars="0"/>
              <w:rPr>
                <w:rFonts w:ascii="宋体" w:hAnsi="宋体" w:eastAsia="宋体" w:cs="宋体"/>
                <w:color w:val="auto"/>
                <w:kern w:val="0"/>
                <w:sz w:val="22"/>
                <w:highlight w:val="none"/>
              </w:rPr>
            </w:pPr>
          </w:p>
        </w:tc>
      </w:tr>
      <w:tr w14:paraId="484DA7D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155" w:type="dxa"/>
            <w:vMerge w:val="restart"/>
            <w:tcBorders>
              <w:tl2br w:val="nil"/>
              <w:tr2bl w:val="nil"/>
            </w:tcBorders>
            <w:shd w:val="clear" w:color="auto" w:fill="FFFFFF"/>
            <w:vAlign w:val="center"/>
          </w:tcPr>
          <w:p w14:paraId="7CB1C622">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产出</w:t>
            </w:r>
          </w:p>
        </w:tc>
        <w:tc>
          <w:tcPr>
            <w:tcW w:w="1199" w:type="dxa"/>
            <w:vMerge w:val="restart"/>
            <w:tcBorders>
              <w:tl2br w:val="nil"/>
              <w:tr2bl w:val="nil"/>
            </w:tcBorders>
            <w:shd w:val="clear" w:color="auto" w:fill="FFFFFF"/>
            <w:vAlign w:val="center"/>
          </w:tcPr>
          <w:p w14:paraId="6152CD24">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产出质量</w:t>
            </w:r>
          </w:p>
        </w:tc>
        <w:tc>
          <w:tcPr>
            <w:tcW w:w="1411" w:type="dxa"/>
            <w:tcBorders>
              <w:tl2br w:val="nil"/>
              <w:tr2bl w:val="nil"/>
            </w:tcBorders>
            <w:shd w:val="clear" w:color="auto" w:fill="FFFFFF"/>
            <w:vAlign w:val="center"/>
          </w:tcPr>
          <w:p w14:paraId="2E00A375">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科技特色学校评选合格率</w:t>
            </w:r>
          </w:p>
        </w:tc>
        <w:tc>
          <w:tcPr>
            <w:tcW w:w="2789" w:type="dxa"/>
            <w:vMerge w:val="restart"/>
            <w:tcBorders>
              <w:tl2br w:val="nil"/>
              <w:tr2bl w:val="nil"/>
            </w:tcBorders>
            <w:shd w:val="clear" w:color="000000" w:fill="FFFFFF"/>
            <w:vAlign w:val="center"/>
          </w:tcPr>
          <w:p w14:paraId="5B7E766A">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项目完成的质量达标产出数与实际产出数的比率，用以反映和考核项目产出质量目标的实现程度。</w:t>
            </w:r>
          </w:p>
        </w:tc>
        <w:tc>
          <w:tcPr>
            <w:tcW w:w="7341" w:type="dxa"/>
            <w:vMerge w:val="restart"/>
            <w:tcBorders>
              <w:tl2br w:val="nil"/>
              <w:tr2bl w:val="nil"/>
            </w:tcBorders>
            <w:shd w:val="clear" w:color="000000" w:fill="FFFFFF"/>
            <w:vAlign w:val="center"/>
          </w:tcPr>
          <w:p w14:paraId="082E6490">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质量达标率=（质量达标产出数/实际产出数）×100%。</w:t>
            </w:r>
          </w:p>
          <w:p w14:paraId="5EECB878">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44E090D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58" w:hRule="atLeast"/>
          <w:jc w:val="center"/>
        </w:trPr>
        <w:tc>
          <w:tcPr>
            <w:tcW w:w="1155" w:type="dxa"/>
            <w:vMerge w:val="continue"/>
            <w:tcBorders>
              <w:tl2br w:val="nil"/>
              <w:tr2bl w:val="nil"/>
            </w:tcBorders>
            <w:shd w:val="clear" w:color="auto" w:fill="FFFFFF"/>
            <w:vAlign w:val="center"/>
          </w:tcPr>
          <w:p w14:paraId="17CBF733">
            <w:pPr>
              <w:widowControl/>
              <w:ind w:firstLine="0" w:firstLineChars="0"/>
              <w:jc w:val="center"/>
              <w:rPr>
                <w:rFonts w:hint="eastAsia"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14:paraId="3B3EE6CC">
            <w:pPr>
              <w:widowControl/>
              <w:ind w:firstLine="0" w:firstLineChars="0"/>
              <w:jc w:val="center"/>
              <w:rPr>
                <w:rFonts w:hint="eastAsia" w:ascii="宋体" w:hAnsi="宋体" w:eastAsia="宋体" w:cs="宋体"/>
                <w:color w:val="auto"/>
                <w:kern w:val="0"/>
                <w:sz w:val="22"/>
                <w:highlight w:val="none"/>
              </w:rPr>
            </w:pPr>
          </w:p>
        </w:tc>
        <w:tc>
          <w:tcPr>
            <w:tcW w:w="1411" w:type="dxa"/>
            <w:tcBorders>
              <w:tl2br w:val="nil"/>
              <w:tr2bl w:val="nil"/>
            </w:tcBorders>
            <w:shd w:val="clear" w:color="auto" w:fill="FFFFFF"/>
            <w:vAlign w:val="center"/>
          </w:tcPr>
          <w:p w14:paraId="25EE2635">
            <w:pPr>
              <w:widowControl/>
              <w:ind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科普活动完成率</w:t>
            </w:r>
          </w:p>
        </w:tc>
        <w:tc>
          <w:tcPr>
            <w:tcW w:w="2789" w:type="dxa"/>
            <w:vMerge w:val="continue"/>
            <w:tcBorders>
              <w:tl2br w:val="nil"/>
              <w:tr2bl w:val="nil"/>
            </w:tcBorders>
            <w:shd w:val="clear" w:color="000000" w:fill="FFFFFF"/>
            <w:vAlign w:val="center"/>
          </w:tcPr>
          <w:p w14:paraId="39FA579B">
            <w:pPr>
              <w:widowControl/>
              <w:ind w:firstLine="0" w:firstLineChars="0"/>
              <w:rPr>
                <w:rFonts w:hint="eastAsia" w:ascii="宋体" w:hAnsi="宋体" w:eastAsia="宋体" w:cs="宋体"/>
                <w:color w:val="auto"/>
                <w:kern w:val="0"/>
                <w:sz w:val="22"/>
                <w:highlight w:val="none"/>
              </w:rPr>
            </w:pPr>
          </w:p>
        </w:tc>
        <w:tc>
          <w:tcPr>
            <w:tcW w:w="7341" w:type="dxa"/>
            <w:vMerge w:val="continue"/>
            <w:tcBorders>
              <w:tl2br w:val="nil"/>
              <w:tr2bl w:val="nil"/>
            </w:tcBorders>
            <w:shd w:val="clear" w:color="000000" w:fill="FFFFFF"/>
            <w:vAlign w:val="center"/>
          </w:tcPr>
          <w:p w14:paraId="7FE619B7">
            <w:pPr>
              <w:widowControl/>
              <w:ind w:firstLine="0" w:firstLineChars="0"/>
              <w:rPr>
                <w:rFonts w:hint="eastAsia" w:ascii="宋体" w:hAnsi="宋体" w:eastAsia="宋体" w:cs="宋体"/>
                <w:color w:val="auto"/>
                <w:kern w:val="0"/>
                <w:sz w:val="22"/>
                <w:highlight w:val="none"/>
              </w:rPr>
            </w:pPr>
          </w:p>
        </w:tc>
      </w:tr>
      <w:tr w14:paraId="7B4DFC2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38" w:hRule="atLeast"/>
          <w:jc w:val="center"/>
        </w:trPr>
        <w:tc>
          <w:tcPr>
            <w:tcW w:w="1155" w:type="dxa"/>
            <w:vMerge w:val="continue"/>
            <w:tcBorders>
              <w:tl2br w:val="nil"/>
              <w:tr2bl w:val="nil"/>
            </w:tcBorders>
            <w:shd w:val="clear" w:color="auto" w:fill="FFFFFF"/>
            <w:vAlign w:val="center"/>
          </w:tcPr>
          <w:p w14:paraId="7C5C8473">
            <w:pPr>
              <w:widowControl/>
              <w:ind w:firstLine="0" w:firstLineChars="0"/>
              <w:jc w:val="center"/>
              <w:rPr>
                <w:rFonts w:hint="eastAsia"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14:paraId="4FD8FDF5">
            <w:pPr>
              <w:widowControl/>
              <w:ind w:firstLine="0" w:firstLineChars="0"/>
              <w:jc w:val="center"/>
              <w:rPr>
                <w:rFonts w:hint="eastAsia" w:ascii="宋体" w:hAnsi="宋体" w:eastAsia="宋体" w:cs="宋体"/>
                <w:color w:val="auto"/>
                <w:kern w:val="0"/>
                <w:sz w:val="22"/>
                <w:highlight w:val="none"/>
              </w:rPr>
            </w:pPr>
          </w:p>
        </w:tc>
        <w:tc>
          <w:tcPr>
            <w:tcW w:w="1411" w:type="dxa"/>
            <w:tcBorders>
              <w:tl2br w:val="nil"/>
              <w:tr2bl w:val="nil"/>
            </w:tcBorders>
            <w:shd w:val="clear" w:color="auto" w:fill="FFFFFF"/>
            <w:vAlign w:val="center"/>
          </w:tcPr>
          <w:p w14:paraId="13CD3E40">
            <w:pPr>
              <w:widowControl/>
              <w:ind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科普教育基评选合格率</w:t>
            </w:r>
          </w:p>
        </w:tc>
        <w:tc>
          <w:tcPr>
            <w:tcW w:w="2789" w:type="dxa"/>
            <w:vMerge w:val="continue"/>
            <w:tcBorders>
              <w:tl2br w:val="nil"/>
              <w:tr2bl w:val="nil"/>
            </w:tcBorders>
            <w:shd w:val="clear" w:color="000000" w:fill="FFFFFF"/>
            <w:vAlign w:val="center"/>
          </w:tcPr>
          <w:p w14:paraId="387526FB">
            <w:pPr>
              <w:widowControl/>
              <w:ind w:firstLine="0" w:firstLineChars="0"/>
              <w:rPr>
                <w:rFonts w:hint="eastAsia" w:ascii="宋体" w:hAnsi="宋体" w:eastAsia="宋体" w:cs="宋体"/>
                <w:color w:val="auto"/>
                <w:kern w:val="0"/>
                <w:sz w:val="22"/>
                <w:highlight w:val="none"/>
              </w:rPr>
            </w:pPr>
          </w:p>
        </w:tc>
        <w:tc>
          <w:tcPr>
            <w:tcW w:w="7341" w:type="dxa"/>
            <w:vMerge w:val="continue"/>
            <w:tcBorders>
              <w:tl2br w:val="nil"/>
              <w:tr2bl w:val="nil"/>
            </w:tcBorders>
            <w:shd w:val="clear" w:color="000000" w:fill="FFFFFF"/>
            <w:vAlign w:val="center"/>
          </w:tcPr>
          <w:p w14:paraId="72D854F6">
            <w:pPr>
              <w:widowControl/>
              <w:ind w:firstLine="0" w:firstLineChars="0"/>
              <w:rPr>
                <w:rFonts w:hint="eastAsia" w:ascii="宋体" w:hAnsi="宋体" w:eastAsia="宋体" w:cs="宋体"/>
                <w:color w:val="auto"/>
                <w:kern w:val="0"/>
                <w:sz w:val="22"/>
                <w:highlight w:val="none"/>
              </w:rPr>
            </w:pPr>
          </w:p>
        </w:tc>
      </w:tr>
      <w:tr w14:paraId="54BF817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8" w:hRule="atLeast"/>
          <w:jc w:val="center"/>
        </w:trPr>
        <w:tc>
          <w:tcPr>
            <w:tcW w:w="1155" w:type="dxa"/>
            <w:vMerge w:val="continue"/>
            <w:tcBorders>
              <w:tl2br w:val="nil"/>
              <w:tr2bl w:val="nil"/>
            </w:tcBorders>
            <w:shd w:val="clear" w:color="auto" w:fill="FFFFFF"/>
            <w:vAlign w:val="center"/>
          </w:tcPr>
          <w:p w14:paraId="48D3BE5A">
            <w:pPr>
              <w:widowControl/>
              <w:ind w:firstLine="0" w:firstLineChars="0"/>
              <w:jc w:val="center"/>
              <w:rPr>
                <w:rFonts w:hint="eastAsia"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14:paraId="2879A849">
            <w:pPr>
              <w:widowControl/>
              <w:ind w:firstLine="0" w:firstLineChars="0"/>
              <w:jc w:val="center"/>
              <w:rPr>
                <w:rFonts w:hint="eastAsia" w:ascii="宋体" w:hAnsi="宋体" w:eastAsia="宋体" w:cs="宋体"/>
                <w:color w:val="auto"/>
                <w:kern w:val="0"/>
                <w:sz w:val="22"/>
                <w:highlight w:val="none"/>
              </w:rPr>
            </w:pPr>
          </w:p>
        </w:tc>
        <w:tc>
          <w:tcPr>
            <w:tcW w:w="1411" w:type="dxa"/>
            <w:tcBorders>
              <w:tl2br w:val="nil"/>
              <w:tr2bl w:val="nil"/>
            </w:tcBorders>
            <w:shd w:val="clear" w:color="auto" w:fill="FFFFFF"/>
            <w:vAlign w:val="center"/>
          </w:tcPr>
          <w:p w14:paraId="635549E0">
            <w:pPr>
              <w:widowControl/>
              <w:ind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科普视频制作验收合格率</w:t>
            </w:r>
          </w:p>
        </w:tc>
        <w:tc>
          <w:tcPr>
            <w:tcW w:w="2789" w:type="dxa"/>
            <w:vMerge w:val="continue"/>
            <w:tcBorders>
              <w:tl2br w:val="nil"/>
              <w:tr2bl w:val="nil"/>
            </w:tcBorders>
            <w:shd w:val="clear" w:color="000000" w:fill="FFFFFF"/>
            <w:vAlign w:val="center"/>
          </w:tcPr>
          <w:p w14:paraId="1E9B3ABD">
            <w:pPr>
              <w:widowControl/>
              <w:ind w:firstLine="0" w:firstLineChars="0"/>
              <w:rPr>
                <w:rFonts w:hint="eastAsia" w:ascii="宋体" w:hAnsi="宋体" w:eastAsia="宋体" w:cs="宋体"/>
                <w:color w:val="auto"/>
                <w:kern w:val="0"/>
                <w:sz w:val="22"/>
                <w:highlight w:val="none"/>
              </w:rPr>
            </w:pPr>
          </w:p>
        </w:tc>
        <w:tc>
          <w:tcPr>
            <w:tcW w:w="7341" w:type="dxa"/>
            <w:vMerge w:val="continue"/>
            <w:tcBorders>
              <w:tl2br w:val="nil"/>
              <w:tr2bl w:val="nil"/>
            </w:tcBorders>
            <w:shd w:val="clear" w:color="000000" w:fill="FFFFFF"/>
            <w:vAlign w:val="center"/>
          </w:tcPr>
          <w:p w14:paraId="68BA8B9D">
            <w:pPr>
              <w:widowControl/>
              <w:ind w:firstLine="0" w:firstLineChars="0"/>
              <w:rPr>
                <w:rFonts w:hint="eastAsia" w:ascii="宋体" w:hAnsi="宋体" w:eastAsia="宋体" w:cs="宋体"/>
                <w:color w:val="auto"/>
                <w:kern w:val="0"/>
                <w:sz w:val="22"/>
                <w:highlight w:val="none"/>
              </w:rPr>
            </w:pPr>
          </w:p>
        </w:tc>
      </w:tr>
      <w:tr w14:paraId="6181C27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7" w:hRule="atLeast"/>
          <w:jc w:val="center"/>
        </w:trPr>
        <w:tc>
          <w:tcPr>
            <w:tcW w:w="1155" w:type="dxa"/>
            <w:vMerge w:val="continue"/>
            <w:tcBorders>
              <w:tl2br w:val="nil"/>
              <w:tr2bl w:val="nil"/>
            </w:tcBorders>
            <w:shd w:val="clear" w:color="auto" w:fill="FFFFFF"/>
            <w:vAlign w:val="center"/>
          </w:tcPr>
          <w:p w14:paraId="087BEAFB">
            <w:pPr>
              <w:widowControl/>
              <w:ind w:firstLine="0" w:firstLineChars="0"/>
              <w:jc w:val="center"/>
              <w:rPr>
                <w:rFonts w:ascii="宋体" w:hAnsi="宋体" w:eastAsia="宋体" w:cs="宋体"/>
                <w:color w:val="auto"/>
                <w:kern w:val="0"/>
                <w:sz w:val="22"/>
                <w:highlight w:val="none"/>
              </w:rPr>
            </w:pPr>
          </w:p>
        </w:tc>
        <w:tc>
          <w:tcPr>
            <w:tcW w:w="1199" w:type="dxa"/>
            <w:vMerge w:val="restart"/>
            <w:tcBorders>
              <w:tl2br w:val="nil"/>
              <w:tr2bl w:val="nil"/>
            </w:tcBorders>
            <w:shd w:val="clear" w:color="auto" w:fill="FFFFFF"/>
            <w:vAlign w:val="center"/>
          </w:tcPr>
          <w:p w14:paraId="720997C6">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产出成本</w:t>
            </w:r>
          </w:p>
        </w:tc>
        <w:tc>
          <w:tcPr>
            <w:tcW w:w="1411" w:type="dxa"/>
            <w:tcBorders>
              <w:tl2br w:val="nil"/>
              <w:tr2bl w:val="nil"/>
            </w:tcBorders>
            <w:shd w:val="clear" w:color="auto" w:fill="FFFFFF"/>
            <w:vAlign w:val="center"/>
          </w:tcPr>
          <w:p w14:paraId="72E58EC3">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举办科普讲座</w:t>
            </w:r>
          </w:p>
        </w:tc>
        <w:tc>
          <w:tcPr>
            <w:tcW w:w="2789" w:type="dxa"/>
            <w:vMerge w:val="restart"/>
            <w:tcBorders>
              <w:tl2br w:val="nil"/>
              <w:tr2bl w:val="nil"/>
            </w:tcBorders>
            <w:shd w:val="clear" w:color="000000" w:fill="FFFFFF"/>
            <w:vAlign w:val="center"/>
          </w:tcPr>
          <w:p w14:paraId="294DA317">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14:paraId="74BCA7A7">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成本节约率=[（计划成本-实际成本）/计划成本]×100%。</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实际成本：项目实施单位如期、保质、保量完成既定工作目标实际所耗费的支出。</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计划成本：项目实施单位为完成工作目标计划安排的支出，一般以项目预算为参考。</w:t>
            </w:r>
          </w:p>
        </w:tc>
      </w:tr>
      <w:tr w14:paraId="440191A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27" w:hRule="atLeast"/>
          <w:jc w:val="center"/>
        </w:trPr>
        <w:tc>
          <w:tcPr>
            <w:tcW w:w="1155" w:type="dxa"/>
            <w:vMerge w:val="continue"/>
            <w:tcBorders>
              <w:tl2br w:val="nil"/>
              <w:tr2bl w:val="nil"/>
            </w:tcBorders>
            <w:shd w:val="clear" w:color="auto" w:fill="FFFFFF"/>
            <w:vAlign w:val="center"/>
          </w:tcPr>
          <w:p w14:paraId="73F5F7FD">
            <w:pPr>
              <w:widowControl/>
              <w:ind w:firstLine="0" w:firstLineChars="0"/>
              <w:jc w:val="center"/>
              <w:rPr>
                <w:rFonts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14:paraId="5865017C">
            <w:pPr>
              <w:widowControl/>
              <w:ind w:firstLine="0" w:firstLineChars="0"/>
              <w:jc w:val="center"/>
              <w:rPr>
                <w:rFonts w:hint="eastAsia" w:ascii="宋体" w:hAnsi="宋体" w:eastAsia="宋体" w:cs="宋体"/>
                <w:color w:val="auto"/>
                <w:kern w:val="0"/>
                <w:sz w:val="22"/>
                <w:highlight w:val="none"/>
              </w:rPr>
            </w:pPr>
          </w:p>
        </w:tc>
        <w:tc>
          <w:tcPr>
            <w:tcW w:w="1411" w:type="dxa"/>
            <w:tcBorders>
              <w:tl2br w:val="nil"/>
              <w:tr2bl w:val="nil"/>
            </w:tcBorders>
            <w:shd w:val="clear" w:color="auto" w:fill="FFFFFF"/>
            <w:vAlign w:val="center"/>
          </w:tcPr>
          <w:p w14:paraId="7A1980BF">
            <w:pPr>
              <w:widowControl/>
              <w:ind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奖补科普教育基地15个</w:t>
            </w:r>
          </w:p>
        </w:tc>
        <w:tc>
          <w:tcPr>
            <w:tcW w:w="2789" w:type="dxa"/>
            <w:vMerge w:val="continue"/>
            <w:tcBorders>
              <w:tl2br w:val="nil"/>
              <w:tr2bl w:val="nil"/>
            </w:tcBorders>
            <w:shd w:val="clear" w:color="000000" w:fill="FFFFFF"/>
            <w:vAlign w:val="center"/>
          </w:tcPr>
          <w:p w14:paraId="4ED32026">
            <w:pPr>
              <w:widowControl/>
              <w:ind w:firstLine="0" w:firstLineChars="0"/>
              <w:rPr>
                <w:rFonts w:hint="eastAsia" w:ascii="宋体" w:hAnsi="宋体" w:eastAsia="宋体" w:cs="宋体"/>
                <w:color w:val="auto"/>
                <w:kern w:val="0"/>
                <w:sz w:val="22"/>
                <w:highlight w:val="none"/>
              </w:rPr>
            </w:pPr>
          </w:p>
        </w:tc>
        <w:tc>
          <w:tcPr>
            <w:tcW w:w="7341" w:type="dxa"/>
            <w:vMerge w:val="continue"/>
            <w:tcBorders>
              <w:tl2br w:val="nil"/>
              <w:tr2bl w:val="nil"/>
            </w:tcBorders>
            <w:shd w:val="clear" w:color="000000" w:fill="FFFFFF"/>
            <w:vAlign w:val="center"/>
          </w:tcPr>
          <w:p w14:paraId="4E3D9738">
            <w:pPr>
              <w:widowControl/>
              <w:ind w:firstLine="0" w:firstLineChars="0"/>
              <w:rPr>
                <w:rFonts w:hint="eastAsia" w:ascii="宋体" w:hAnsi="宋体" w:eastAsia="宋体" w:cs="宋体"/>
                <w:color w:val="auto"/>
                <w:kern w:val="0"/>
                <w:sz w:val="22"/>
                <w:highlight w:val="none"/>
              </w:rPr>
            </w:pPr>
          </w:p>
        </w:tc>
      </w:tr>
      <w:tr w14:paraId="33DDE2F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21" w:hRule="atLeast"/>
          <w:jc w:val="center"/>
        </w:trPr>
        <w:tc>
          <w:tcPr>
            <w:tcW w:w="1155" w:type="dxa"/>
            <w:vMerge w:val="continue"/>
            <w:tcBorders>
              <w:tl2br w:val="nil"/>
              <w:tr2bl w:val="nil"/>
            </w:tcBorders>
            <w:shd w:val="clear" w:color="auto" w:fill="FFFFFF"/>
            <w:vAlign w:val="center"/>
          </w:tcPr>
          <w:p w14:paraId="1BF14E9B">
            <w:pPr>
              <w:widowControl/>
              <w:ind w:firstLine="0" w:firstLineChars="0"/>
              <w:jc w:val="center"/>
              <w:rPr>
                <w:rFonts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14:paraId="7526525D">
            <w:pPr>
              <w:widowControl/>
              <w:ind w:firstLine="0" w:firstLineChars="0"/>
              <w:jc w:val="center"/>
              <w:rPr>
                <w:rFonts w:hint="eastAsia" w:ascii="宋体" w:hAnsi="宋体" w:eastAsia="宋体" w:cs="宋体"/>
                <w:color w:val="auto"/>
                <w:kern w:val="0"/>
                <w:sz w:val="22"/>
                <w:highlight w:val="none"/>
              </w:rPr>
            </w:pPr>
          </w:p>
        </w:tc>
        <w:tc>
          <w:tcPr>
            <w:tcW w:w="1411" w:type="dxa"/>
            <w:tcBorders>
              <w:tl2br w:val="nil"/>
              <w:tr2bl w:val="nil"/>
            </w:tcBorders>
            <w:shd w:val="clear" w:color="auto" w:fill="FFFFFF"/>
            <w:vAlign w:val="center"/>
          </w:tcPr>
          <w:p w14:paraId="69ED9979">
            <w:pPr>
              <w:widowControl/>
              <w:ind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青少年科技活动特色学校奖补先进集体11个</w:t>
            </w:r>
          </w:p>
        </w:tc>
        <w:tc>
          <w:tcPr>
            <w:tcW w:w="2789" w:type="dxa"/>
            <w:vMerge w:val="continue"/>
            <w:tcBorders>
              <w:tl2br w:val="nil"/>
              <w:tr2bl w:val="nil"/>
            </w:tcBorders>
            <w:shd w:val="clear" w:color="000000" w:fill="FFFFFF"/>
            <w:vAlign w:val="center"/>
          </w:tcPr>
          <w:p w14:paraId="672C8C09">
            <w:pPr>
              <w:widowControl/>
              <w:ind w:firstLine="0" w:firstLineChars="0"/>
              <w:rPr>
                <w:rFonts w:hint="eastAsia" w:ascii="宋体" w:hAnsi="宋体" w:eastAsia="宋体" w:cs="宋体"/>
                <w:color w:val="auto"/>
                <w:kern w:val="0"/>
                <w:sz w:val="22"/>
                <w:highlight w:val="none"/>
              </w:rPr>
            </w:pPr>
          </w:p>
        </w:tc>
        <w:tc>
          <w:tcPr>
            <w:tcW w:w="7341" w:type="dxa"/>
            <w:vMerge w:val="continue"/>
            <w:tcBorders>
              <w:tl2br w:val="nil"/>
              <w:tr2bl w:val="nil"/>
            </w:tcBorders>
            <w:shd w:val="clear" w:color="000000" w:fill="FFFFFF"/>
            <w:vAlign w:val="center"/>
          </w:tcPr>
          <w:p w14:paraId="66973E4E">
            <w:pPr>
              <w:widowControl/>
              <w:ind w:firstLine="0" w:firstLineChars="0"/>
              <w:rPr>
                <w:rFonts w:hint="eastAsia" w:ascii="宋体" w:hAnsi="宋体" w:eastAsia="宋体" w:cs="宋体"/>
                <w:color w:val="auto"/>
                <w:kern w:val="0"/>
                <w:sz w:val="22"/>
                <w:highlight w:val="none"/>
              </w:rPr>
            </w:pPr>
          </w:p>
        </w:tc>
      </w:tr>
      <w:tr w14:paraId="1202D91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6" w:hRule="atLeast"/>
          <w:jc w:val="center"/>
        </w:trPr>
        <w:tc>
          <w:tcPr>
            <w:tcW w:w="1155" w:type="dxa"/>
            <w:vMerge w:val="continue"/>
            <w:tcBorders>
              <w:tl2br w:val="nil"/>
              <w:tr2bl w:val="nil"/>
            </w:tcBorders>
            <w:shd w:val="clear" w:color="auto" w:fill="FFFFFF"/>
            <w:vAlign w:val="center"/>
          </w:tcPr>
          <w:p w14:paraId="3CF03366">
            <w:pPr>
              <w:widowControl/>
              <w:ind w:firstLine="0" w:firstLineChars="0"/>
              <w:jc w:val="center"/>
              <w:rPr>
                <w:rFonts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14:paraId="420E1182">
            <w:pPr>
              <w:widowControl/>
              <w:ind w:firstLine="0" w:firstLineChars="0"/>
              <w:jc w:val="center"/>
              <w:rPr>
                <w:rFonts w:hint="eastAsia" w:ascii="宋体" w:hAnsi="宋体" w:eastAsia="宋体" w:cs="宋体"/>
                <w:color w:val="auto"/>
                <w:kern w:val="0"/>
                <w:sz w:val="22"/>
                <w:highlight w:val="none"/>
              </w:rPr>
            </w:pPr>
          </w:p>
        </w:tc>
        <w:tc>
          <w:tcPr>
            <w:tcW w:w="1411" w:type="dxa"/>
            <w:tcBorders>
              <w:tl2br w:val="nil"/>
              <w:tr2bl w:val="nil"/>
            </w:tcBorders>
            <w:shd w:val="clear" w:color="auto" w:fill="FFFFFF"/>
            <w:vAlign w:val="center"/>
          </w:tcPr>
          <w:p w14:paraId="0897A6ED">
            <w:pPr>
              <w:widowControl/>
              <w:ind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开发创作高质量科普视频或科普创作作品1个</w:t>
            </w:r>
          </w:p>
        </w:tc>
        <w:tc>
          <w:tcPr>
            <w:tcW w:w="2789" w:type="dxa"/>
            <w:vMerge w:val="continue"/>
            <w:tcBorders>
              <w:tl2br w:val="nil"/>
              <w:tr2bl w:val="nil"/>
            </w:tcBorders>
            <w:shd w:val="clear" w:color="000000" w:fill="FFFFFF"/>
            <w:vAlign w:val="center"/>
          </w:tcPr>
          <w:p w14:paraId="6B066949">
            <w:pPr>
              <w:widowControl/>
              <w:ind w:firstLine="0" w:firstLineChars="0"/>
              <w:rPr>
                <w:rFonts w:hint="eastAsia" w:ascii="宋体" w:hAnsi="宋体" w:eastAsia="宋体" w:cs="宋体"/>
                <w:color w:val="auto"/>
                <w:kern w:val="0"/>
                <w:sz w:val="22"/>
                <w:highlight w:val="none"/>
              </w:rPr>
            </w:pPr>
          </w:p>
        </w:tc>
        <w:tc>
          <w:tcPr>
            <w:tcW w:w="7341" w:type="dxa"/>
            <w:vMerge w:val="continue"/>
            <w:tcBorders>
              <w:tl2br w:val="nil"/>
              <w:tr2bl w:val="nil"/>
            </w:tcBorders>
            <w:shd w:val="clear" w:color="000000" w:fill="FFFFFF"/>
            <w:vAlign w:val="center"/>
          </w:tcPr>
          <w:p w14:paraId="35D5EE05">
            <w:pPr>
              <w:widowControl/>
              <w:ind w:firstLine="0" w:firstLineChars="0"/>
              <w:rPr>
                <w:rFonts w:hint="eastAsia" w:ascii="宋体" w:hAnsi="宋体" w:eastAsia="宋体" w:cs="宋体"/>
                <w:color w:val="auto"/>
                <w:kern w:val="0"/>
                <w:sz w:val="22"/>
                <w:highlight w:val="none"/>
              </w:rPr>
            </w:pPr>
          </w:p>
        </w:tc>
      </w:tr>
      <w:tr w14:paraId="1BC730C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9" w:hRule="atLeast"/>
          <w:jc w:val="center"/>
        </w:trPr>
        <w:tc>
          <w:tcPr>
            <w:tcW w:w="1155" w:type="dxa"/>
            <w:tcBorders>
              <w:tl2br w:val="nil"/>
              <w:tr2bl w:val="nil"/>
            </w:tcBorders>
            <w:shd w:val="clear" w:color="auto" w:fill="FFFFFF"/>
            <w:vAlign w:val="center"/>
          </w:tcPr>
          <w:p w14:paraId="0372E0EB">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效益</w:t>
            </w:r>
          </w:p>
        </w:tc>
        <w:tc>
          <w:tcPr>
            <w:tcW w:w="1199" w:type="dxa"/>
            <w:tcBorders>
              <w:tl2br w:val="nil"/>
              <w:tr2bl w:val="nil"/>
            </w:tcBorders>
            <w:shd w:val="clear" w:color="auto" w:fill="FFFFFF"/>
            <w:vAlign w:val="center"/>
          </w:tcPr>
          <w:p w14:paraId="26FF3669">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社会效益指标</w:t>
            </w:r>
          </w:p>
        </w:tc>
        <w:tc>
          <w:tcPr>
            <w:tcW w:w="1411" w:type="dxa"/>
            <w:tcBorders>
              <w:tl2br w:val="nil"/>
              <w:tr2bl w:val="nil"/>
            </w:tcBorders>
            <w:shd w:val="clear" w:color="auto" w:fill="FFFFFF"/>
            <w:vAlign w:val="center"/>
          </w:tcPr>
          <w:p w14:paraId="1B268ED4">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科普活动公众参与率</w:t>
            </w:r>
          </w:p>
        </w:tc>
        <w:tc>
          <w:tcPr>
            <w:tcW w:w="2789" w:type="dxa"/>
            <w:tcBorders>
              <w:tl2br w:val="nil"/>
              <w:tr2bl w:val="nil"/>
            </w:tcBorders>
            <w:shd w:val="clear" w:color="auto" w:fill="FFFFFF"/>
            <w:vAlign w:val="center"/>
          </w:tcPr>
          <w:p w14:paraId="37EB6608">
            <w:pPr>
              <w:widowControl/>
              <w:ind w:firstLine="0" w:firstLineChars="0"/>
              <w:jc w:val="left"/>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项目实施所产生的效益。</w:t>
            </w:r>
          </w:p>
        </w:tc>
        <w:tc>
          <w:tcPr>
            <w:tcW w:w="7341" w:type="dxa"/>
            <w:tcBorders>
              <w:tl2br w:val="nil"/>
              <w:tr2bl w:val="nil"/>
            </w:tcBorders>
            <w:shd w:val="clear" w:color="auto" w:fill="FFFFFF"/>
            <w:vAlign w:val="center"/>
          </w:tcPr>
          <w:p w14:paraId="46D58089">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项目实施所产生的社会效益、经济效益、生态效益、可持续影响等。可根据项目实际情况有选择地设置和细化。</w:t>
            </w:r>
          </w:p>
        </w:tc>
      </w:tr>
      <w:tr w14:paraId="31F2E4D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14:paraId="7A2B7A3A">
            <w:pPr>
              <w:widowControl/>
              <w:ind w:firstLine="0" w:firstLineChars="0"/>
              <w:jc w:val="center"/>
              <w:rPr>
                <w:rFonts w:ascii="宋体" w:hAnsi="宋体" w:eastAsia="宋体" w:cs="宋体"/>
                <w:color w:val="auto"/>
                <w:kern w:val="0"/>
                <w:sz w:val="22"/>
                <w:highlight w:val="none"/>
              </w:rPr>
            </w:pPr>
            <w:r>
              <w:rPr>
                <w:rFonts w:ascii="宋体" w:hAnsi="宋体" w:eastAsia="宋体" w:cs="宋体"/>
                <w:color w:val="auto"/>
                <w:kern w:val="0"/>
                <w:sz w:val="22"/>
                <w:highlight w:val="none"/>
              </w:rPr>
              <w:t>满意度指标完成情况分析</w:t>
            </w:r>
          </w:p>
        </w:tc>
        <w:tc>
          <w:tcPr>
            <w:tcW w:w="1199" w:type="dxa"/>
            <w:tcBorders>
              <w:tl2br w:val="nil"/>
              <w:tr2bl w:val="nil"/>
            </w:tcBorders>
            <w:shd w:val="clear" w:color="auto" w:fill="FFFFFF"/>
            <w:vAlign w:val="center"/>
          </w:tcPr>
          <w:p w14:paraId="36003BFE">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满意度指标</w:t>
            </w:r>
          </w:p>
        </w:tc>
        <w:tc>
          <w:tcPr>
            <w:tcW w:w="1411" w:type="dxa"/>
            <w:tcBorders>
              <w:tl2br w:val="nil"/>
              <w:tr2bl w:val="nil"/>
            </w:tcBorders>
            <w:shd w:val="clear" w:color="auto" w:fill="FFFFFF"/>
            <w:vAlign w:val="center"/>
          </w:tcPr>
          <w:p w14:paraId="4CF30297">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受益群众满意度（%）</w:t>
            </w:r>
          </w:p>
        </w:tc>
        <w:tc>
          <w:tcPr>
            <w:tcW w:w="2789" w:type="dxa"/>
            <w:tcBorders>
              <w:tl2br w:val="nil"/>
              <w:tr2bl w:val="nil"/>
            </w:tcBorders>
            <w:shd w:val="clear" w:color="000000" w:fill="FFFFFF"/>
            <w:vAlign w:val="center"/>
          </w:tcPr>
          <w:p w14:paraId="49FD87A4">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社会公众或服务对象对项目实施效果的满意程度。</w:t>
            </w:r>
          </w:p>
        </w:tc>
        <w:tc>
          <w:tcPr>
            <w:tcW w:w="7341" w:type="dxa"/>
            <w:tcBorders>
              <w:tl2br w:val="nil"/>
              <w:tr2bl w:val="nil"/>
            </w:tcBorders>
            <w:shd w:val="clear" w:color="000000" w:fill="FFFFFF"/>
            <w:vAlign w:val="center"/>
          </w:tcPr>
          <w:p w14:paraId="6E7324BF">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社会公众或服务对象是指因该项目实施而受到影响的部门（单位）、群体或个人。一般采取社会调查的方式。</w:t>
            </w:r>
          </w:p>
        </w:tc>
      </w:tr>
    </w:tbl>
    <w:p w14:paraId="626F25B6">
      <w:pPr>
        <w:ind w:firstLine="0" w:firstLineChars="0"/>
        <w:jc w:val="center"/>
        <w:rPr>
          <w:rFonts w:ascii="仿宋_GB2312"/>
          <w:color w:val="auto"/>
          <w:highlight w:val="none"/>
        </w:rPr>
      </w:pPr>
    </w:p>
    <w:p w14:paraId="53ED3D45">
      <w:pPr>
        <w:ind w:firstLine="0" w:firstLineChars="0"/>
        <w:jc w:val="center"/>
        <w:rPr>
          <w:rFonts w:ascii="仿宋_GB2312"/>
          <w:color w:val="auto"/>
          <w:highlight w:val="none"/>
        </w:rPr>
      </w:pPr>
    </w:p>
    <w:p w14:paraId="334C627C">
      <w:pPr>
        <w:ind w:firstLine="0" w:firstLineChars="0"/>
        <w:jc w:val="center"/>
        <w:rPr>
          <w:rFonts w:ascii="仿宋_GB2312"/>
        </w:rPr>
      </w:pPr>
    </w:p>
    <w:p w14:paraId="2CFE6EDB">
      <w:pPr>
        <w:ind w:firstLine="0" w:firstLineChars="0"/>
        <w:jc w:val="center"/>
        <w:rPr>
          <w:rFonts w:ascii="仿宋_GB2312"/>
        </w:rPr>
      </w:pPr>
    </w:p>
    <w:p w14:paraId="6D8358A1">
      <w:pPr>
        <w:ind w:firstLine="0" w:firstLineChars="0"/>
        <w:jc w:val="center"/>
        <w:rPr>
          <w:rFonts w:ascii="仿宋_GB2312"/>
        </w:rPr>
      </w:pPr>
    </w:p>
    <w:p w14:paraId="319ED2B5">
      <w:pPr>
        <w:ind w:firstLine="0" w:firstLineChars="0"/>
        <w:jc w:val="center"/>
        <w:rPr>
          <w:rFonts w:ascii="仿宋_GB2312"/>
        </w:rPr>
        <w:sectPr>
          <w:pgSz w:w="16838" w:h="11906" w:orient="landscape"/>
          <w:pgMar w:top="1800" w:right="1440" w:bottom="1800" w:left="1440" w:header="1276" w:footer="992" w:gutter="0"/>
          <w:cols w:space="425" w:num="1"/>
          <w:docGrid w:type="lines" w:linePitch="381" w:charSpace="0"/>
        </w:sectPr>
      </w:pPr>
    </w:p>
    <w:p w14:paraId="3E582E66">
      <w:pPr>
        <w:pStyle w:val="4"/>
        <w:ind w:firstLine="643"/>
      </w:pPr>
      <w:bookmarkStart w:id="22" w:name="_Hlk67586038"/>
      <w:bookmarkStart w:id="23" w:name="_Toc196487546"/>
      <w:r>
        <w:t>3.</w:t>
      </w:r>
      <w:r>
        <w:rPr>
          <w:rFonts w:hint="eastAsia"/>
        </w:rPr>
        <w:t>评价方法</w:t>
      </w:r>
      <w:bookmarkEnd w:id="22"/>
      <w:bookmarkEnd w:id="23"/>
    </w:p>
    <w:p w14:paraId="73BFCF63">
      <w:pPr>
        <w:spacing w:line="360" w:lineRule="auto"/>
        <w:ind w:firstLine="560"/>
        <w:rPr>
          <w:rFonts w:ascii="仿宋_GB2312"/>
        </w:rPr>
      </w:pPr>
      <w:r>
        <w:rPr>
          <w:rFonts w:hint="eastAsia" w:ascii="仿宋_GB2312"/>
        </w:rPr>
        <w:t>《关于印发&lt;项目支出绩效评价管理办法&gt;的通知》（财预〔2020〕10号）文件指出部门评价的方法主要包括成本效益分析法、比较法、因素分析法、最低成本法、公众评判法、标杆管理法等。</w:t>
      </w:r>
    </w:p>
    <w:p w14:paraId="4A82D99E">
      <w:pPr>
        <w:spacing w:line="360" w:lineRule="auto"/>
        <w:ind w:firstLine="560"/>
        <w:rPr>
          <w:rFonts w:ascii="仿宋_GB2312"/>
          <w:highlight w:val="none"/>
        </w:rPr>
      </w:pPr>
      <w:r>
        <w:rPr>
          <w:rFonts w:hint="eastAsia" w:ascii="仿宋_GB2312"/>
        </w:rPr>
        <w:t>（1）成本效益分析法。是指将投入与产出、效益进行关联性分析的</w:t>
      </w:r>
      <w:r>
        <w:rPr>
          <w:rFonts w:hint="eastAsia" w:ascii="仿宋_GB2312"/>
          <w:highlight w:val="none"/>
        </w:rPr>
        <w:t>方法。</w:t>
      </w:r>
    </w:p>
    <w:p w14:paraId="541A6444">
      <w:pPr>
        <w:spacing w:line="360" w:lineRule="auto"/>
        <w:ind w:firstLine="560"/>
        <w:rPr>
          <w:rFonts w:ascii="仿宋_GB2312"/>
          <w:highlight w:val="none"/>
        </w:rPr>
      </w:pPr>
      <w:r>
        <w:rPr>
          <w:rFonts w:hint="eastAsia" w:ascii="仿宋_GB2312"/>
          <w:highlight w:val="none"/>
        </w:rPr>
        <w:t>（2）比较法。是指将实施情况与绩效目标、历史情况、不同部门和地区同类支出情况进行比较的方法。</w:t>
      </w:r>
    </w:p>
    <w:p w14:paraId="48FA4DBE">
      <w:pPr>
        <w:spacing w:line="360" w:lineRule="auto"/>
        <w:ind w:firstLine="560"/>
        <w:rPr>
          <w:rFonts w:ascii="仿宋_GB2312"/>
        </w:rPr>
      </w:pPr>
      <w:r>
        <w:rPr>
          <w:rFonts w:hint="eastAsia" w:ascii="仿宋_GB2312"/>
        </w:rPr>
        <w:t>（3）因素分析法。是指综合分析影响绩效目标实现、实施效果的内外部因素的方法。</w:t>
      </w:r>
    </w:p>
    <w:p w14:paraId="56ADA4B5">
      <w:pPr>
        <w:spacing w:line="360" w:lineRule="auto"/>
        <w:ind w:firstLine="560"/>
        <w:rPr>
          <w:rFonts w:ascii="仿宋_GB2312"/>
        </w:rPr>
      </w:pPr>
      <w:r>
        <w:rPr>
          <w:rFonts w:hint="eastAsia" w:ascii="仿宋_GB2312"/>
        </w:rPr>
        <w:t>（4）最低成本法。是指在绩效目标确定的前提下，成本最小者为优的方法。</w:t>
      </w:r>
    </w:p>
    <w:p w14:paraId="6D6A3F2A">
      <w:pPr>
        <w:spacing w:line="360" w:lineRule="auto"/>
        <w:ind w:firstLine="560"/>
        <w:rPr>
          <w:rFonts w:ascii="仿宋_GB2312"/>
        </w:rPr>
      </w:pPr>
      <w:r>
        <w:rPr>
          <w:rFonts w:hint="eastAsia" w:ascii="仿宋_GB2312"/>
        </w:rPr>
        <w:t>（5）公众评判法。是指通过专家评估、公众问卷及抽样调查等方式进行评判的方法。</w:t>
      </w:r>
    </w:p>
    <w:p w14:paraId="0E49BCB4">
      <w:pPr>
        <w:spacing w:line="360" w:lineRule="auto"/>
        <w:ind w:firstLine="560"/>
        <w:rPr>
          <w:rFonts w:ascii="仿宋_GB2312"/>
        </w:rPr>
      </w:pPr>
      <w:r>
        <w:rPr>
          <w:rFonts w:hint="eastAsia" w:ascii="仿宋_GB2312"/>
        </w:rPr>
        <w:t>（6）标杆管理法。是指以国内外同行业中较高的绩效水平为标杆进行评判的方法。</w:t>
      </w:r>
    </w:p>
    <w:p w14:paraId="6792B802">
      <w:pPr>
        <w:spacing w:line="360" w:lineRule="auto"/>
        <w:ind w:firstLine="560"/>
        <w:rPr>
          <w:rFonts w:ascii="仿宋_GB2312"/>
        </w:rPr>
      </w:pPr>
      <w:r>
        <w:rPr>
          <w:rFonts w:hint="eastAsia" w:ascii="仿宋_GB2312"/>
        </w:rPr>
        <w:t>（7）其他评价方法。</w:t>
      </w:r>
    </w:p>
    <w:p w14:paraId="41A8A5FA">
      <w:pPr>
        <w:spacing w:line="360" w:lineRule="auto"/>
        <w:ind w:firstLine="560"/>
        <w:rPr>
          <w:rFonts w:ascii="仿宋_GB2312"/>
        </w:rPr>
      </w:pPr>
      <w:r>
        <w:rPr>
          <w:rFonts w:hint="eastAsia" w:ascii="仿宋_GB2312"/>
        </w:rPr>
        <w:t>根据本项目（自治区2024年“基层科普行动计划”）的特点，本次评价主要采用比较法和公众评判法，对项目总预算和明细预算的内容、标准、计划是否经济合理进行深入分析，以考察实际产出和效益是否达到预期。</w:t>
      </w:r>
    </w:p>
    <w:p w14:paraId="335CE9EB">
      <w:pPr>
        <w:pStyle w:val="4"/>
        <w:ind w:firstLine="643"/>
      </w:pPr>
      <w:bookmarkStart w:id="24" w:name="_Toc196487547"/>
      <w:r>
        <w:t>4.</w:t>
      </w:r>
      <w:r>
        <w:rPr>
          <w:rFonts w:hint="eastAsia"/>
        </w:rPr>
        <w:t>评价标准</w:t>
      </w:r>
      <w:bookmarkEnd w:id="24"/>
    </w:p>
    <w:p w14:paraId="56B16673">
      <w:pPr>
        <w:spacing w:line="360" w:lineRule="auto"/>
        <w:ind w:firstLine="560"/>
        <w:rPr>
          <w:rFonts w:ascii="仿宋_GB2312"/>
        </w:rPr>
      </w:pPr>
      <w:r>
        <w:rPr>
          <w:rFonts w:hint="eastAsia" w:ascii="仿宋_GB2312"/>
        </w:rPr>
        <w:t>绩效评价标准主要包括计划标准、行业标准、历史标准等，用于对绩效指标完成情况进行比较。</w:t>
      </w:r>
    </w:p>
    <w:p w14:paraId="3473F170">
      <w:pPr>
        <w:spacing w:line="360" w:lineRule="auto"/>
        <w:ind w:firstLine="560"/>
        <w:rPr>
          <w:rFonts w:ascii="仿宋_GB2312"/>
        </w:rPr>
      </w:pPr>
      <w:r>
        <w:rPr>
          <w:rFonts w:hint="eastAsia" w:ascii="仿宋_GB2312"/>
        </w:rPr>
        <w:t>（1）计划标准。指以预先制定的目标、计划、预算、定额等作为评价标准。</w:t>
      </w:r>
    </w:p>
    <w:p w14:paraId="1E54D66B">
      <w:pPr>
        <w:spacing w:line="360" w:lineRule="auto"/>
        <w:ind w:firstLine="560"/>
        <w:rPr>
          <w:rFonts w:ascii="仿宋_GB2312"/>
        </w:rPr>
      </w:pPr>
      <w:r>
        <w:rPr>
          <w:rFonts w:hint="eastAsia" w:ascii="仿宋_GB2312"/>
        </w:rPr>
        <w:t>（2）行业标准。指参照国家公布的行业指标数据制定的评价标准。</w:t>
      </w:r>
    </w:p>
    <w:p w14:paraId="11A8878C">
      <w:pPr>
        <w:spacing w:line="360" w:lineRule="auto"/>
        <w:ind w:firstLine="560"/>
        <w:rPr>
          <w:rFonts w:ascii="仿宋_GB2312"/>
        </w:rPr>
      </w:pPr>
      <w:r>
        <w:rPr>
          <w:rFonts w:hint="eastAsia" w:ascii="仿宋_GB2312"/>
        </w:rPr>
        <w:t>（3）历史标准。指参照历史数据制定的评价标准，为体现绩效改进的原则，在可实现的条件下应当确定相对较高的评价标准。</w:t>
      </w:r>
    </w:p>
    <w:p w14:paraId="0F7624A9">
      <w:pPr>
        <w:spacing w:line="360" w:lineRule="auto"/>
        <w:ind w:firstLine="560"/>
        <w:rPr>
          <w:rFonts w:ascii="仿宋_GB2312"/>
        </w:rPr>
      </w:pPr>
      <w:r>
        <w:rPr>
          <w:rFonts w:hint="eastAsia" w:ascii="仿宋_GB2312"/>
        </w:rPr>
        <w:t>在上述评价标准的基础上，本次评价依据以下文件为重要指导和准绳：</w:t>
      </w:r>
    </w:p>
    <w:p w14:paraId="1C507CB4">
      <w:pPr>
        <w:spacing w:line="360" w:lineRule="auto"/>
        <w:ind w:firstLine="560"/>
        <w:rPr>
          <w:rFonts w:ascii="仿宋_GB2312"/>
        </w:rPr>
      </w:pPr>
      <w:r>
        <w:rPr>
          <w:rFonts w:hint="eastAsia" w:ascii="黑体" w:hAnsi="黑体" w:eastAsia="黑体" w:cs="Times New Roman"/>
          <w:szCs w:val="28"/>
        </w:rPr>
        <w:t>·</w:t>
      </w:r>
      <w:r>
        <w:rPr>
          <w:rFonts w:hint="eastAsia" w:ascii="仿宋_GB2312"/>
        </w:rPr>
        <w:t>《中共中央国务院关于全面实施预算绩效管理的意见》（中发〔2018〕34号）</w:t>
      </w:r>
    </w:p>
    <w:p w14:paraId="5A7BC921">
      <w:pPr>
        <w:spacing w:line="360" w:lineRule="auto"/>
        <w:ind w:firstLine="560"/>
        <w:rPr>
          <w:rFonts w:ascii="仿宋_GB2312"/>
        </w:rPr>
      </w:pPr>
      <w:r>
        <w:rPr>
          <w:rFonts w:hint="eastAsia" w:ascii="黑体" w:hAnsi="黑体" w:eastAsia="黑体" w:cs="Times New Roman"/>
          <w:szCs w:val="28"/>
        </w:rPr>
        <w:t>·</w:t>
      </w:r>
      <w:r>
        <w:rPr>
          <w:rFonts w:hint="eastAsia" w:ascii="仿宋_GB2312"/>
        </w:rPr>
        <w:t>《关于印发&lt;乌鲁木齐市本级部门预算绩效目标管理暂行办法&gt;的通知》（乌财预〔2018〕56号）</w:t>
      </w:r>
    </w:p>
    <w:p w14:paraId="3887D84E">
      <w:pPr>
        <w:spacing w:line="360" w:lineRule="auto"/>
        <w:ind w:firstLine="560" w:firstLineChars="0"/>
        <w:rPr>
          <w:rFonts w:ascii="仿宋_GB2312"/>
        </w:rPr>
      </w:pPr>
      <w:r>
        <w:rPr>
          <w:rFonts w:hint="eastAsia" w:ascii="黑体" w:hAnsi="黑体" w:eastAsia="黑体" w:cs="Times New Roman"/>
          <w:szCs w:val="28"/>
        </w:rPr>
        <w:t>·</w:t>
      </w:r>
      <w:r>
        <w:rPr>
          <w:rFonts w:hint="eastAsia" w:ascii="仿宋_GB2312"/>
        </w:rPr>
        <w:t>《关于做好2019年部门预算项目支出绩效目标管理有关事宜的通知》（乌财预〔2018〕76号）</w:t>
      </w:r>
    </w:p>
    <w:p w14:paraId="388CC327">
      <w:pPr>
        <w:spacing w:line="360" w:lineRule="auto"/>
        <w:ind w:firstLine="560"/>
        <w:rPr>
          <w:rFonts w:ascii="仿宋_GB2312"/>
        </w:rPr>
      </w:pPr>
      <w:r>
        <w:rPr>
          <w:rFonts w:hint="eastAsia" w:ascii="黑体" w:hAnsi="黑体" w:eastAsia="黑体" w:cs="Times New Roman"/>
          <w:szCs w:val="28"/>
        </w:rPr>
        <w:t>·</w:t>
      </w:r>
      <w:r>
        <w:rPr>
          <w:rFonts w:hint="eastAsia" w:ascii="仿宋_GB2312"/>
        </w:rPr>
        <w:t>《项目支出绩效评价管理办法》（财预〔2020〕10号）</w:t>
      </w:r>
    </w:p>
    <w:p w14:paraId="234B641D">
      <w:pPr>
        <w:pStyle w:val="3"/>
        <w:ind w:firstLine="643"/>
        <w:rPr>
          <w:rFonts w:hint="eastAsia" w:ascii="仿宋_GB2312" w:hAnsi="Calibri" w:eastAsia="仿宋_GB2312" w:cs="黑体"/>
          <w:b w:val="0"/>
          <w:bCs w:val="0"/>
          <w:kern w:val="2"/>
          <w:sz w:val="28"/>
          <w:szCs w:val="22"/>
          <w:lang w:val="en-US" w:eastAsia="zh-CN" w:bidi="ar-SA"/>
        </w:rPr>
      </w:pPr>
      <w:bookmarkStart w:id="25" w:name="_Toc196487548"/>
      <w:bookmarkStart w:id="26" w:name="_Toc67911607"/>
      <w:r>
        <w:rPr>
          <w:rFonts w:hint="eastAsia" w:ascii="仿宋_GB2312" w:hAnsi="Calibri" w:eastAsia="仿宋_GB2312" w:cs="黑体"/>
          <w:b w:val="0"/>
          <w:bCs w:val="0"/>
          <w:kern w:val="2"/>
          <w:sz w:val="28"/>
          <w:szCs w:val="22"/>
          <w:lang w:val="en-US" w:eastAsia="zh-CN" w:bidi="ar-SA"/>
        </w:rPr>
        <w:t>·财政部《关于进一步加强基层科普服务能力建设的意见》（科协发普字【2017】45号）</w:t>
      </w:r>
    </w:p>
    <w:p w14:paraId="282E8F2B">
      <w:pPr>
        <w:pStyle w:val="3"/>
        <w:ind w:firstLine="643"/>
        <w:rPr>
          <w:rFonts w:hint="eastAsia" w:ascii="仿宋_GB2312" w:hAnsi="Calibri" w:eastAsia="仿宋_GB2312" w:cs="黑体"/>
          <w:b w:val="0"/>
          <w:bCs w:val="0"/>
          <w:kern w:val="2"/>
          <w:sz w:val="28"/>
          <w:szCs w:val="22"/>
          <w:lang w:val="en-US" w:eastAsia="zh-CN" w:bidi="ar-SA"/>
        </w:rPr>
      </w:pPr>
      <w:r>
        <w:rPr>
          <w:rFonts w:hint="eastAsia" w:ascii="仿宋_GB2312" w:hAnsi="Calibri" w:eastAsia="仿宋_GB2312" w:cs="黑体"/>
          <w:b w:val="0"/>
          <w:bCs w:val="0"/>
          <w:kern w:val="2"/>
          <w:sz w:val="28"/>
          <w:szCs w:val="22"/>
          <w:lang w:val="en-US" w:eastAsia="zh-CN" w:bidi="ar-SA"/>
        </w:rPr>
        <w:t>·自治区科协《关于2024年全国和自治区“基层科普行动计划”项目资金分配及管理使用的通知》（新科协发【2023】185号）</w:t>
      </w:r>
    </w:p>
    <w:p w14:paraId="68EF48A4">
      <w:pPr>
        <w:pStyle w:val="3"/>
        <w:ind w:firstLine="643"/>
        <w:rPr>
          <w:rFonts w:ascii="仿宋" w:hAnsi="仿宋" w:eastAsia="仿宋"/>
          <w:lang w:bidi="en-US"/>
        </w:rPr>
      </w:pPr>
      <w:r>
        <w:rPr>
          <w:rFonts w:hint="eastAsia" w:ascii="仿宋" w:hAnsi="仿宋" w:eastAsia="仿宋"/>
          <w:lang w:bidi="en-US"/>
        </w:rPr>
        <w:t>（三）绩效评价工作过程</w:t>
      </w:r>
      <w:bookmarkEnd w:id="25"/>
      <w:bookmarkEnd w:id="26"/>
    </w:p>
    <w:p w14:paraId="774E5E85">
      <w:pPr>
        <w:spacing w:line="360" w:lineRule="auto"/>
        <w:ind w:firstLine="560"/>
        <w:rPr>
          <w:rFonts w:ascii="仿宋_GB2312"/>
          <w:highlight w:val="none"/>
        </w:rPr>
      </w:pPr>
      <w:r>
        <w:rPr>
          <w:rFonts w:hint="eastAsia" w:ascii="仿宋_GB2312"/>
          <w:highlight w:val="none"/>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w:t>
      </w:r>
      <w:r>
        <w:rPr>
          <w:rFonts w:hint="eastAsia" w:ascii="仿宋_GB2312"/>
          <w:highlight w:val="none"/>
          <w:lang w:val="en-US" w:eastAsia="zh-CN"/>
        </w:rPr>
        <w:t>项目立项符合自治区科协《关于2024年全国和自治区“基层科普行动计划项目资金分配及管理使用的通知”》（新科协发【2023】185号）规定，并按照《基层科普行动计划专项资金管理办法》执行，严格把控项目实施进度、完成质量和项目完成时间进行及时验收。</w:t>
      </w:r>
      <w:r>
        <w:rPr>
          <w:rFonts w:hint="eastAsia" w:ascii="仿宋_GB2312"/>
          <w:highlight w:val="none"/>
        </w:rPr>
        <w:t>具体而言，通过前期准备</w:t>
      </w:r>
      <w:r>
        <w:rPr>
          <w:rStyle w:val="18"/>
          <w:rFonts w:ascii="仿宋_GB2312"/>
          <w:highlight w:val="none"/>
        </w:rPr>
        <w:footnoteReference w:id="0"/>
      </w:r>
      <w:r>
        <w:rPr>
          <w:rFonts w:hint="eastAsia" w:ascii="仿宋_GB2312"/>
          <w:highlight w:val="none"/>
        </w:rPr>
        <w:t>、材料审核分析、现场核查评价、综合分析评价及报告撰写，评价项目实施情况，展现资金使用效益。</w:t>
      </w:r>
    </w:p>
    <w:p w14:paraId="25D97FCE">
      <w:pPr>
        <w:pStyle w:val="2"/>
        <w:ind w:firstLine="0" w:firstLineChars="0"/>
        <w:jc w:val="left"/>
        <w:rPr>
          <w:rFonts w:ascii="仿宋" w:hAnsi="仿宋" w:eastAsia="仿宋"/>
          <w:sz w:val="36"/>
          <w:szCs w:val="36"/>
          <w:lang w:bidi="en-US"/>
        </w:rPr>
      </w:pPr>
      <w:bookmarkStart w:id="27" w:name="_Toc196487549"/>
      <w:bookmarkStart w:id="28" w:name="_Toc67911608"/>
      <w:r>
        <w:rPr>
          <w:rFonts w:hint="eastAsia" w:ascii="仿宋" w:hAnsi="仿宋" w:eastAsia="仿宋"/>
          <w:sz w:val="36"/>
          <w:szCs w:val="36"/>
          <w:lang w:bidi="en-US"/>
        </w:rPr>
        <w:t>三、综合评价情况及评价结论</w:t>
      </w:r>
      <w:bookmarkEnd w:id="27"/>
      <w:bookmarkEnd w:id="28"/>
    </w:p>
    <w:p w14:paraId="7476F7CA">
      <w:pPr>
        <w:pStyle w:val="3"/>
        <w:ind w:firstLine="643"/>
        <w:rPr>
          <w:rFonts w:ascii="仿宋" w:hAnsi="仿宋" w:eastAsia="仿宋"/>
          <w:lang w:bidi="en-US"/>
        </w:rPr>
      </w:pPr>
      <w:bookmarkStart w:id="29" w:name="_Toc196487550"/>
      <w:bookmarkStart w:id="30" w:name="_Toc67911609"/>
      <w:r>
        <w:rPr>
          <w:rFonts w:hint="eastAsia" w:ascii="仿宋" w:hAnsi="仿宋" w:eastAsia="仿宋"/>
          <w:lang w:bidi="en-US"/>
        </w:rPr>
        <w:t>（一）评价结论</w:t>
      </w:r>
      <w:bookmarkEnd w:id="29"/>
      <w:bookmarkEnd w:id="30"/>
    </w:p>
    <w:p w14:paraId="3DA46C77">
      <w:pPr>
        <w:spacing w:line="360" w:lineRule="auto"/>
        <w:ind w:firstLine="560"/>
        <w:rPr>
          <w:rFonts w:ascii="仿宋_GB2312"/>
          <w:szCs w:val="28"/>
        </w:rPr>
      </w:pPr>
      <w:r>
        <w:rPr>
          <w:rFonts w:hint="eastAsia" w:ascii="仿宋_GB2312"/>
          <w:szCs w:val="28"/>
        </w:rPr>
        <w:t>结合项目特点，制定符合项目实际的绩效评价指标体系及评分标准，通过数据采集、问卷调查及访谈等形式，对2024年自治区2024年“基层科普行动计划</w:t>
      </w:r>
      <w:r>
        <w:rPr>
          <w:rFonts w:hint="eastAsia" w:ascii="仿宋_GB2312"/>
          <w:szCs w:val="28"/>
          <w:lang w:val="en-US" w:eastAsia="zh-CN"/>
        </w:rPr>
        <w:t>资金</w:t>
      </w:r>
      <w:r>
        <w:rPr>
          <w:rFonts w:hint="eastAsia" w:ascii="仿宋_GB2312"/>
          <w:szCs w:val="28"/>
        </w:rPr>
        <w:t>”进行客观评价，最终评分结果为：总分为</w:t>
      </w:r>
      <w:r>
        <w:rPr>
          <w:rFonts w:hint="eastAsia" w:ascii="仿宋_GB2312"/>
          <w:szCs w:val="28"/>
          <w:lang w:val="en-US" w:eastAsia="zh-CN"/>
        </w:rPr>
        <w:t>95.36</w:t>
      </w:r>
      <w:r>
        <w:rPr>
          <w:rFonts w:hint="eastAsia" w:ascii="仿宋_GB2312"/>
          <w:szCs w:val="28"/>
        </w:rPr>
        <w:t>分，绩效评级为“</w:t>
      </w:r>
      <w:r>
        <w:rPr>
          <w:rFonts w:hint="eastAsia" w:ascii="仿宋_GB2312"/>
          <w:szCs w:val="28"/>
          <w:lang w:val="en-US" w:eastAsia="zh-CN"/>
        </w:rPr>
        <w:t>优</w:t>
      </w:r>
      <w:r>
        <w:rPr>
          <w:rFonts w:hint="eastAsia" w:ascii="仿宋_GB2312"/>
          <w:szCs w:val="28"/>
        </w:rPr>
        <w:t>”</w:t>
      </w:r>
      <w:r>
        <w:rPr>
          <w:rStyle w:val="18"/>
          <w:rFonts w:ascii="仿宋_GB2312"/>
          <w:szCs w:val="28"/>
        </w:rPr>
        <w:footnoteReference w:id="1"/>
      </w:r>
      <w:r>
        <w:rPr>
          <w:rFonts w:hint="eastAsia" w:ascii="仿宋_GB2312"/>
          <w:szCs w:val="28"/>
        </w:rPr>
        <w:t>。</w:t>
      </w:r>
    </w:p>
    <w:p w14:paraId="3FFB244F">
      <w:pPr>
        <w:spacing w:line="360" w:lineRule="auto"/>
        <w:ind w:firstLine="560"/>
        <w:rPr>
          <w:rFonts w:ascii="仿宋_GB2312"/>
          <w:szCs w:val="28"/>
          <w:highlight w:val="none"/>
        </w:rPr>
      </w:pPr>
      <w:r>
        <w:rPr>
          <w:rFonts w:hint="eastAsia" w:ascii="仿宋_GB2312"/>
          <w:szCs w:val="28"/>
          <w:highlight w:val="none"/>
        </w:rPr>
        <w:t>项目各部分权重和绩效分值如附表所示：</w:t>
      </w:r>
    </w:p>
    <w:p w14:paraId="784D0610">
      <w:pPr>
        <w:spacing w:line="360" w:lineRule="auto"/>
        <w:ind w:firstLine="0" w:firstLineChars="0"/>
        <w:jc w:val="center"/>
        <w:rPr>
          <w:rFonts w:ascii="仿宋_GB2312"/>
          <w:b/>
          <w:bCs/>
          <w:szCs w:val="28"/>
        </w:rPr>
      </w:pPr>
      <w:r>
        <w:rPr>
          <w:rFonts w:ascii="仿宋_GB2312"/>
          <w:b/>
          <w:bCs/>
          <w:szCs w:val="28"/>
        </w:rPr>
        <w:t xml:space="preserve">  </w:t>
      </w:r>
      <w:r>
        <w:rPr>
          <w:rFonts w:hint="eastAsia" w:ascii="仿宋_GB2312"/>
          <w:b/>
          <w:bCs/>
          <w:szCs w:val="28"/>
        </w:rPr>
        <w:t>项目各部分权重和绩效分值</w:t>
      </w:r>
    </w:p>
    <w:tbl>
      <w:tblPr>
        <w:tblStyle w:val="14"/>
        <w:tblW w:w="906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550"/>
        <w:gridCol w:w="1984"/>
        <w:gridCol w:w="2693"/>
        <w:gridCol w:w="898"/>
        <w:gridCol w:w="898"/>
        <w:gridCol w:w="1039"/>
      </w:tblGrid>
      <w:tr w14:paraId="4650EB1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tblHeader/>
          <w:jc w:val="center"/>
        </w:trPr>
        <w:tc>
          <w:tcPr>
            <w:tcW w:w="1550" w:type="dxa"/>
            <w:tcBorders>
              <w:tl2br w:val="nil"/>
              <w:tr2bl w:val="nil"/>
            </w:tcBorders>
            <w:shd w:val="clear" w:color="auto" w:fill="D0CECE"/>
            <w:vAlign w:val="center"/>
          </w:tcPr>
          <w:p w14:paraId="00FCAC52">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一级指标</w:t>
            </w:r>
          </w:p>
        </w:tc>
        <w:tc>
          <w:tcPr>
            <w:tcW w:w="1984" w:type="dxa"/>
            <w:tcBorders>
              <w:tl2br w:val="nil"/>
              <w:tr2bl w:val="nil"/>
            </w:tcBorders>
            <w:shd w:val="clear" w:color="auto" w:fill="D0CECE"/>
            <w:vAlign w:val="center"/>
          </w:tcPr>
          <w:p w14:paraId="7A9C38CE">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二级指标</w:t>
            </w:r>
          </w:p>
        </w:tc>
        <w:tc>
          <w:tcPr>
            <w:tcW w:w="2693" w:type="dxa"/>
            <w:tcBorders>
              <w:tl2br w:val="nil"/>
              <w:tr2bl w:val="nil"/>
            </w:tcBorders>
            <w:shd w:val="clear" w:color="auto" w:fill="D0CECE"/>
            <w:vAlign w:val="center"/>
          </w:tcPr>
          <w:p w14:paraId="22D2AE00">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三级指标</w:t>
            </w:r>
          </w:p>
        </w:tc>
        <w:tc>
          <w:tcPr>
            <w:tcW w:w="898" w:type="dxa"/>
            <w:tcBorders>
              <w:tl2br w:val="nil"/>
              <w:tr2bl w:val="nil"/>
            </w:tcBorders>
            <w:shd w:val="clear" w:color="auto" w:fill="D0CECE"/>
            <w:vAlign w:val="center"/>
          </w:tcPr>
          <w:p w14:paraId="2CB4D8E7">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分值</w:t>
            </w:r>
          </w:p>
        </w:tc>
        <w:tc>
          <w:tcPr>
            <w:tcW w:w="898" w:type="dxa"/>
            <w:tcBorders>
              <w:tl2br w:val="nil"/>
              <w:tr2bl w:val="nil"/>
            </w:tcBorders>
            <w:shd w:val="clear" w:color="auto" w:fill="D0CECE"/>
            <w:vAlign w:val="center"/>
          </w:tcPr>
          <w:p w14:paraId="71B2A25B">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得分</w:t>
            </w:r>
          </w:p>
        </w:tc>
        <w:tc>
          <w:tcPr>
            <w:tcW w:w="1039" w:type="dxa"/>
            <w:tcBorders>
              <w:tl2br w:val="nil"/>
              <w:tr2bl w:val="nil"/>
            </w:tcBorders>
            <w:shd w:val="clear" w:color="auto" w:fill="D0CECE"/>
            <w:vAlign w:val="center"/>
          </w:tcPr>
          <w:p w14:paraId="4F2DA264">
            <w:pPr>
              <w:widowControl/>
              <w:ind w:firstLine="0" w:firstLineChars="0"/>
              <w:jc w:val="center"/>
              <w:rPr>
                <w:rFonts w:ascii="仿宋_GB2312" w:hAnsi="Gungsuh" w:cs="宋体"/>
                <w:b/>
                <w:bCs/>
                <w:kern w:val="0"/>
                <w:sz w:val="24"/>
                <w:szCs w:val="24"/>
              </w:rPr>
            </w:pPr>
            <w:r>
              <w:rPr>
                <w:rFonts w:hint="eastAsia" w:ascii="仿宋_GB2312" w:hAnsi="Gungsuh" w:cs="宋体"/>
                <w:b/>
                <w:bCs/>
                <w:kern w:val="0"/>
                <w:sz w:val="24"/>
                <w:szCs w:val="24"/>
              </w:rPr>
              <w:t>得分率</w:t>
            </w:r>
          </w:p>
        </w:tc>
      </w:tr>
      <w:tr w14:paraId="35F8B2D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14:paraId="24339765">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决策</w:t>
            </w:r>
          </w:p>
        </w:tc>
        <w:tc>
          <w:tcPr>
            <w:tcW w:w="1984" w:type="dxa"/>
            <w:vMerge w:val="restart"/>
            <w:tcBorders>
              <w:tl2br w:val="nil"/>
              <w:tr2bl w:val="nil"/>
            </w:tcBorders>
            <w:shd w:val="clear" w:color="auto" w:fill="FFFFFF"/>
            <w:vAlign w:val="center"/>
          </w:tcPr>
          <w:p w14:paraId="54DEA69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项目立项</w:t>
            </w:r>
          </w:p>
        </w:tc>
        <w:tc>
          <w:tcPr>
            <w:tcW w:w="2693" w:type="dxa"/>
            <w:tcBorders>
              <w:tl2br w:val="nil"/>
              <w:tr2bl w:val="nil"/>
            </w:tcBorders>
            <w:shd w:val="clear" w:color="auto" w:fill="FFFFFF"/>
            <w:vAlign w:val="center"/>
          </w:tcPr>
          <w:p w14:paraId="4EECAB10">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立项依据充分性</w:t>
            </w:r>
          </w:p>
        </w:tc>
        <w:tc>
          <w:tcPr>
            <w:tcW w:w="898" w:type="dxa"/>
            <w:tcBorders>
              <w:tl2br w:val="nil"/>
              <w:tr2bl w:val="nil"/>
            </w:tcBorders>
            <w:shd w:val="clear" w:color="auto" w:fill="FFFFFF"/>
            <w:vAlign w:val="center"/>
          </w:tcPr>
          <w:p w14:paraId="1A60CDF0">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auto" w:fill="FFFFFF"/>
            <w:vAlign w:val="center"/>
          </w:tcPr>
          <w:p w14:paraId="790F07E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1039" w:type="dxa"/>
            <w:tcBorders>
              <w:tl2br w:val="nil"/>
              <w:tr2bl w:val="nil"/>
            </w:tcBorders>
            <w:shd w:val="clear" w:color="auto" w:fill="FFFFFF"/>
            <w:vAlign w:val="center"/>
          </w:tcPr>
          <w:p w14:paraId="1ACD287C">
            <w:pPr>
              <w:widowControl/>
              <w:ind w:firstLine="0" w:firstLineChars="0"/>
              <w:jc w:val="center"/>
              <w:rPr>
                <w:rFonts w:ascii="仿宋_GB2312" w:hAnsi="宋体" w:cs="宋体"/>
                <w:kern w:val="0"/>
                <w:sz w:val="24"/>
                <w:szCs w:val="24"/>
              </w:rPr>
            </w:pPr>
            <w:r>
              <w:rPr>
                <w:rFonts w:ascii="仿宋_GB2312" w:hAnsi="宋体" w:cs="宋体"/>
                <w:kern w:val="0"/>
                <w:sz w:val="24"/>
                <w:szCs w:val="24"/>
              </w:rPr>
              <w:t>100%</w:t>
            </w:r>
          </w:p>
        </w:tc>
      </w:tr>
      <w:tr w14:paraId="7BD33BD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2BA382FF">
            <w:pPr>
              <w:ind w:firstLine="48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6E78C7A6">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61FC1D05">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立项程序规范性</w:t>
            </w:r>
          </w:p>
        </w:tc>
        <w:tc>
          <w:tcPr>
            <w:tcW w:w="898" w:type="dxa"/>
            <w:tcBorders>
              <w:tl2br w:val="nil"/>
              <w:tr2bl w:val="nil"/>
            </w:tcBorders>
            <w:shd w:val="clear" w:color="auto" w:fill="FFFFFF"/>
            <w:vAlign w:val="center"/>
          </w:tcPr>
          <w:p w14:paraId="49026F5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auto" w:fill="FFFFFF"/>
            <w:vAlign w:val="center"/>
          </w:tcPr>
          <w:p w14:paraId="6D167572">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1039" w:type="dxa"/>
            <w:tcBorders>
              <w:tl2br w:val="nil"/>
              <w:tr2bl w:val="nil"/>
            </w:tcBorders>
            <w:shd w:val="clear" w:color="auto" w:fill="FFFFFF"/>
            <w:vAlign w:val="center"/>
          </w:tcPr>
          <w:p w14:paraId="76F15914">
            <w:pPr>
              <w:widowControl/>
              <w:ind w:firstLine="0" w:firstLineChars="0"/>
              <w:jc w:val="center"/>
              <w:rPr>
                <w:rFonts w:ascii="仿宋_GB2312" w:hAnsi="宋体" w:cs="宋体"/>
                <w:kern w:val="0"/>
                <w:sz w:val="24"/>
                <w:szCs w:val="24"/>
              </w:rPr>
            </w:pPr>
            <w:r>
              <w:rPr>
                <w:rFonts w:ascii="仿宋_GB2312" w:hAnsi="宋体" w:cs="宋体"/>
                <w:kern w:val="0"/>
                <w:sz w:val="24"/>
                <w:szCs w:val="24"/>
              </w:rPr>
              <w:t>100%</w:t>
            </w:r>
          </w:p>
        </w:tc>
      </w:tr>
      <w:tr w14:paraId="6D4FF2F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52773164">
            <w:pPr>
              <w:ind w:firstLine="48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19F0382C">
            <w:pPr>
              <w:ind w:firstLine="0" w:firstLineChars="0"/>
              <w:jc w:val="center"/>
              <w:rPr>
                <w:rFonts w:ascii="仿宋_GB2312" w:hAnsi="宋体" w:cs="宋体"/>
                <w:kern w:val="0"/>
                <w:sz w:val="24"/>
                <w:szCs w:val="24"/>
              </w:rPr>
            </w:pPr>
            <w:r>
              <w:rPr>
                <w:rFonts w:hint="eastAsia" w:ascii="仿宋_GB2312" w:hAnsi="宋体" w:cs="宋体"/>
                <w:kern w:val="0"/>
                <w:sz w:val="24"/>
                <w:szCs w:val="24"/>
              </w:rPr>
              <w:t>绩效目标</w:t>
            </w:r>
          </w:p>
        </w:tc>
        <w:tc>
          <w:tcPr>
            <w:tcW w:w="2693" w:type="dxa"/>
            <w:tcBorders>
              <w:tl2br w:val="nil"/>
              <w:tr2bl w:val="nil"/>
            </w:tcBorders>
            <w:shd w:val="clear" w:color="auto" w:fill="FFFFFF"/>
            <w:vAlign w:val="center"/>
          </w:tcPr>
          <w:p w14:paraId="2C1B2BC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绩效目标合理性</w:t>
            </w:r>
          </w:p>
        </w:tc>
        <w:tc>
          <w:tcPr>
            <w:tcW w:w="898" w:type="dxa"/>
            <w:tcBorders>
              <w:tl2br w:val="nil"/>
              <w:tr2bl w:val="nil"/>
            </w:tcBorders>
            <w:shd w:val="clear" w:color="000000" w:fill="FFFFFF"/>
            <w:vAlign w:val="center"/>
          </w:tcPr>
          <w:p w14:paraId="342F358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51136CF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14:paraId="3F981AFD">
            <w:pPr>
              <w:widowControl/>
              <w:ind w:firstLine="0" w:firstLineChars="0"/>
              <w:jc w:val="center"/>
              <w:rPr>
                <w:rFonts w:ascii="仿宋_GB2312" w:hAnsi="宋体" w:cs="宋体"/>
                <w:kern w:val="0"/>
                <w:sz w:val="24"/>
                <w:szCs w:val="24"/>
              </w:rPr>
            </w:pPr>
            <w:r>
              <w:rPr>
                <w:rFonts w:ascii="仿宋_GB2312" w:hAnsi="宋体" w:cs="宋体"/>
                <w:kern w:val="0"/>
                <w:sz w:val="24"/>
                <w:szCs w:val="24"/>
              </w:rPr>
              <w:t>100%</w:t>
            </w:r>
          </w:p>
        </w:tc>
      </w:tr>
      <w:tr w14:paraId="421DFFA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2A776E65">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17451BDA">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03AE1923">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绩效指标明确性</w:t>
            </w:r>
          </w:p>
        </w:tc>
        <w:tc>
          <w:tcPr>
            <w:tcW w:w="898" w:type="dxa"/>
            <w:tcBorders>
              <w:tl2br w:val="nil"/>
              <w:tr2bl w:val="nil"/>
            </w:tcBorders>
            <w:shd w:val="clear" w:color="000000" w:fill="FFFFFF"/>
            <w:vAlign w:val="center"/>
          </w:tcPr>
          <w:p w14:paraId="47B23A7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68F166EA">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14:paraId="5530A055">
            <w:pPr>
              <w:widowControl/>
              <w:ind w:firstLine="0" w:firstLineChars="0"/>
              <w:jc w:val="center"/>
              <w:rPr>
                <w:rFonts w:ascii="仿宋_GB2312" w:hAnsi="宋体" w:cs="宋体"/>
                <w:kern w:val="0"/>
                <w:sz w:val="24"/>
                <w:szCs w:val="24"/>
              </w:rPr>
            </w:pPr>
            <w:r>
              <w:rPr>
                <w:rFonts w:ascii="仿宋_GB2312" w:hAnsi="宋体" w:cs="宋体"/>
                <w:kern w:val="0"/>
                <w:sz w:val="24"/>
                <w:szCs w:val="24"/>
              </w:rPr>
              <w:t>100%</w:t>
            </w:r>
          </w:p>
        </w:tc>
      </w:tr>
      <w:tr w14:paraId="19CFC26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2E8B0321">
            <w:pPr>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0F63E8EA">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资金投入</w:t>
            </w:r>
          </w:p>
        </w:tc>
        <w:tc>
          <w:tcPr>
            <w:tcW w:w="2693" w:type="dxa"/>
            <w:tcBorders>
              <w:tl2br w:val="nil"/>
              <w:tr2bl w:val="nil"/>
            </w:tcBorders>
            <w:shd w:val="clear" w:color="auto" w:fill="FFFFFF"/>
            <w:vAlign w:val="center"/>
          </w:tcPr>
          <w:p w14:paraId="4BBCF10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预算编制科学性</w:t>
            </w:r>
          </w:p>
        </w:tc>
        <w:tc>
          <w:tcPr>
            <w:tcW w:w="898" w:type="dxa"/>
            <w:tcBorders>
              <w:tl2br w:val="nil"/>
              <w:tr2bl w:val="nil"/>
            </w:tcBorders>
            <w:shd w:val="clear" w:color="auto" w:fill="FFFFFF"/>
            <w:vAlign w:val="center"/>
          </w:tcPr>
          <w:p w14:paraId="091D025A">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auto" w:fill="FFFFFF"/>
            <w:vAlign w:val="center"/>
          </w:tcPr>
          <w:p w14:paraId="766DB89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auto" w:fill="FFFFFF"/>
            <w:vAlign w:val="center"/>
          </w:tcPr>
          <w:p w14:paraId="3630EF3F">
            <w:pPr>
              <w:widowControl/>
              <w:ind w:firstLine="0" w:firstLineChars="0"/>
              <w:jc w:val="center"/>
              <w:rPr>
                <w:rFonts w:ascii="仿宋_GB2312" w:hAnsi="宋体" w:cs="宋体"/>
                <w:kern w:val="0"/>
                <w:sz w:val="24"/>
                <w:szCs w:val="24"/>
              </w:rPr>
            </w:pPr>
            <w:r>
              <w:rPr>
                <w:rFonts w:ascii="仿宋_GB2312" w:hAnsi="宋体" w:cs="宋体"/>
                <w:kern w:val="0"/>
                <w:sz w:val="24"/>
                <w:szCs w:val="24"/>
              </w:rPr>
              <w:t>100%</w:t>
            </w:r>
          </w:p>
        </w:tc>
      </w:tr>
      <w:tr w14:paraId="3BE6AAE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1B190568">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3E3345DD">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27F2E9F2">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资金分配合理性</w:t>
            </w:r>
          </w:p>
        </w:tc>
        <w:tc>
          <w:tcPr>
            <w:tcW w:w="898" w:type="dxa"/>
            <w:tcBorders>
              <w:tl2br w:val="nil"/>
              <w:tr2bl w:val="nil"/>
            </w:tcBorders>
            <w:shd w:val="clear" w:color="auto" w:fill="FFFFFF"/>
            <w:vAlign w:val="center"/>
          </w:tcPr>
          <w:p w14:paraId="248FE6F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auto" w:fill="FFFFFF"/>
            <w:vAlign w:val="center"/>
          </w:tcPr>
          <w:p w14:paraId="3A3D451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auto" w:fill="FFFFFF"/>
            <w:vAlign w:val="center"/>
          </w:tcPr>
          <w:p w14:paraId="66CC0026">
            <w:pPr>
              <w:widowControl/>
              <w:ind w:firstLine="0" w:firstLineChars="0"/>
              <w:jc w:val="center"/>
              <w:rPr>
                <w:rFonts w:ascii="仿宋_GB2312" w:hAnsi="宋体" w:cs="宋体"/>
                <w:kern w:val="0"/>
                <w:sz w:val="24"/>
                <w:szCs w:val="24"/>
              </w:rPr>
            </w:pPr>
            <w:r>
              <w:rPr>
                <w:rFonts w:ascii="仿宋_GB2312" w:hAnsi="宋体" w:cs="宋体"/>
                <w:kern w:val="0"/>
                <w:sz w:val="24"/>
                <w:szCs w:val="24"/>
              </w:rPr>
              <w:t>100%</w:t>
            </w:r>
          </w:p>
        </w:tc>
      </w:tr>
      <w:tr w14:paraId="102FB82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14:paraId="5651DFDF">
            <w:pPr>
              <w:ind w:firstLine="0" w:firstLineChars="0"/>
              <w:jc w:val="center"/>
              <w:rPr>
                <w:rFonts w:ascii="仿宋_GB2312" w:hAnsi="宋体" w:cs="宋体"/>
                <w:kern w:val="0"/>
                <w:sz w:val="24"/>
                <w:szCs w:val="24"/>
              </w:rPr>
            </w:pPr>
            <w:r>
              <w:rPr>
                <w:rFonts w:hint="eastAsia" w:ascii="仿宋_GB2312" w:hAnsi="宋体" w:cs="宋体"/>
                <w:kern w:val="0"/>
                <w:sz w:val="24"/>
                <w:szCs w:val="24"/>
              </w:rPr>
              <w:t>过程</w:t>
            </w:r>
          </w:p>
        </w:tc>
        <w:tc>
          <w:tcPr>
            <w:tcW w:w="1984" w:type="dxa"/>
            <w:vMerge w:val="restart"/>
            <w:tcBorders>
              <w:tl2br w:val="nil"/>
              <w:tr2bl w:val="nil"/>
            </w:tcBorders>
            <w:shd w:val="clear" w:color="auto" w:fill="FFFFFF"/>
            <w:vAlign w:val="center"/>
          </w:tcPr>
          <w:p w14:paraId="31C5D66B">
            <w:pPr>
              <w:ind w:firstLine="0" w:firstLineChars="0"/>
              <w:jc w:val="center"/>
              <w:rPr>
                <w:rFonts w:ascii="仿宋_GB2312" w:hAnsi="宋体" w:cs="宋体"/>
                <w:kern w:val="0"/>
                <w:sz w:val="24"/>
                <w:szCs w:val="24"/>
              </w:rPr>
            </w:pPr>
            <w:r>
              <w:rPr>
                <w:rFonts w:hint="eastAsia" w:ascii="仿宋_GB2312" w:hAnsi="宋体" w:cs="宋体"/>
                <w:kern w:val="0"/>
                <w:sz w:val="24"/>
                <w:szCs w:val="24"/>
              </w:rPr>
              <w:t>资金管理</w:t>
            </w:r>
          </w:p>
        </w:tc>
        <w:tc>
          <w:tcPr>
            <w:tcW w:w="2693" w:type="dxa"/>
            <w:tcBorders>
              <w:tl2br w:val="nil"/>
              <w:tr2bl w:val="nil"/>
            </w:tcBorders>
            <w:shd w:val="clear" w:color="auto" w:fill="FFFFFF"/>
            <w:vAlign w:val="center"/>
          </w:tcPr>
          <w:p w14:paraId="4632515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资金到位率</w:t>
            </w:r>
          </w:p>
        </w:tc>
        <w:tc>
          <w:tcPr>
            <w:tcW w:w="898" w:type="dxa"/>
            <w:tcBorders>
              <w:tl2br w:val="nil"/>
              <w:tr2bl w:val="nil"/>
            </w:tcBorders>
            <w:shd w:val="clear" w:color="000000" w:fill="FFFFFF"/>
            <w:vAlign w:val="center"/>
          </w:tcPr>
          <w:p w14:paraId="3BB5E715">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000000" w:fill="FFFFFF"/>
            <w:vAlign w:val="center"/>
          </w:tcPr>
          <w:p w14:paraId="38D897B6">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4.64</w:t>
            </w:r>
          </w:p>
        </w:tc>
        <w:tc>
          <w:tcPr>
            <w:tcW w:w="1039" w:type="dxa"/>
            <w:tcBorders>
              <w:tl2br w:val="nil"/>
              <w:tr2bl w:val="nil"/>
            </w:tcBorders>
            <w:shd w:val="clear" w:color="000000" w:fill="FFFFFF"/>
            <w:vAlign w:val="center"/>
          </w:tcPr>
          <w:p w14:paraId="7039A2D9">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92.8</w:t>
            </w:r>
            <w:r>
              <w:rPr>
                <w:rFonts w:ascii="仿宋_GB2312" w:hAnsi="宋体" w:cs="宋体"/>
                <w:kern w:val="0"/>
                <w:sz w:val="24"/>
                <w:szCs w:val="24"/>
              </w:rPr>
              <w:t>%</w:t>
            </w:r>
          </w:p>
        </w:tc>
      </w:tr>
      <w:tr w14:paraId="5B18FC0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63528007">
            <w:pPr>
              <w:ind w:firstLine="48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37710D05">
            <w:pPr>
              <w:ind w:firstLine="48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44893D4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预算执行率</w:t>
            </w:r>
          </w:p>
        </w:tc>
        <w:tc>
          <w:tcPr>
            <w:tcW w:w="898" w:type="dxa"/>
            <w:tcBorders>
              <w:tl2br w:val="nil"/>
              <w:tr2bl w:val="nil"/>
            </w:tcBorders>
            <w:shd w:val="clear" w:color="auto" w:fill="FFFFFF"/>
            <w:vAlign w:val="center"/>
          </w:tcPr>
          <w:p w14:paraId="61F20DE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auto" w:fill="FFFFFF"/>
            <w:vAlign w:val="center"/>
          </w:tcPr>
          <w:p w14:paraId="7BC2FE80">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4.64</w:t>
            </w:r>
          </w:p>
        </w:tc>
        <w:tc>
          <w:tcPr>
            <w:tcW w:w="1039" w:type="dxa"/>
            <w:tcBorders>
              <w:tl2br w:val="nil"/>
              <w:tr2bl w:val="nil"/>
            </w:tcBorders>
            <w:shd w:val="clear" w:color="auto" w:fill="FFFFFF"/>
            <w:vAlign w:val="center"/>
          </w:tcPr>
          <w:p w14:paraId="36159A6B">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9</w:t>
            </w:r>
            <w:r>
              <w:rPr>
                <w:rFonts w:hint="eastAsia" w:ascii="仿宋_GB2312" w:hAnsi="宋体" w:cs="宋体"/>
                <w:kern w:val="0"/>
                <w:sz w:val="24"/>
                <w:szCs w:val="24"/>
                <w:lang w:val="en-US" w:eastAsia="zh-CN"/>
              </w:rPr>
              <w:t>2.8</w:t>
            </w:r>
            <w:r>
              <w:rPr>
                <w:rFonts w:ascii="仿宋_GB2312" w:hAnsi="宋体" w:cs="宋体"/>
                <w:kern w:val="0"/>
                <w:sz w:val="24"/>
                <w:szCs w:val="24"/>
              </w:rPr>
              <w:t>%</w:t>
            </w:r>
          </w:p>
        </w:tc>
      </w:tr>
      <w:tr w14:paraId="082ADE5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6419D645">
            <w:pPr>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452F8220">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5E82683B">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资金使用合规性</w:t>
            </w:r>
          </w:p>
        </w:tc>
        <w:tc>
          <w:tcPr>
            <w:tcW w:w="898" w:type="dxa"/>
            <w:tcBorders>
              <w:tl2br w:val="nil"/>
              <w:tr2bl w:val="nil"/>
            </w:tcBorders>
            <w:shd w:val="clear" w:color="000000" w:fill="FFFFFF"/>
            <w:vAlign w:val="center"/>
          </w:tcPr>
          <w:p w14:paraId="2AF1AEC4">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3D35251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14:paraId="670310E2">
            <w:pPr>
              <w:widowControl/>
              <w:ind w:firstLine="0" w:firstLineChars="0"/>
              <w:jc w:val="center"/>
              <w:rPr>
                <w:rFonts w:ascii="仿宋_GB2312" w:hAnsi="宋体" w:cs="宋体"/>
                <w:kern w:val="0"/>
                <w:sz w:val="24"/>
                <w:szCs w:val="24"/>
              </w:rPr>
            </w:pPr>
            <w:r>
              <w:rPr>
                <w:rFonts w:ascii="仿宋_GB2312" w:hAnsi="宋体" w:cs="宋体"/>
                <w:kern w:val="0"/>
                <w:sz w:val="24"/>
                <w:szCs w:val="24"/>
              </w:rPr>
              <w:t>100%</w:t>
            </w:r>
          </w:p>
        </w:tc>
      </w:tr>
      <w:tr w14:paraId="30F114D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11D64EB2">
            <w:pPr>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7EEF72E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组织实施</w:t>
            </w:r>
          </w:p>
        </w:tc>
        <w:tc>
          <w:tcPr>
            <w:tcW w:w="2693" w:type="dxa"/>
            <w:tcBorders>
              <w:tl2br w:val="nil"/>
              <w:tr2bl w:val="nil"/>
            </w:tcBorders>
            <w:shd w:val="clear" w:color="auto" w:fill="FFFFFF"/>
            <w:vAlign w:val="center"/>
          </w:tcPr>
          <w:p w14:paraId="60ACF45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管理制度健全性</w:t>
            </w:r>
          </w:p>
        </w:tc>
        <w:tc>
          <w:tcPr>
            <w:tcW w:w="898" w:type="dxa"/>
            <w:tcBorders>
              <w:tl2br w:val="nil"/>
              <w:tr2bl w:val="nil"/>
            </w:tcBorders>
            <w:shd w:val="clear" w:color="000000" w:fill="FFFFFF"/>
            <w:vAlign w:val="center"/>
          </w:tcPr>
          <w:p w14:paraId="7EE1AFC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2E66713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14:paraId="670F5CA8">
            <w:pPr>
              <w:widowControl/>
              <w:ind w:firstLine="0" w:firstLineChars="0"/>
              <w:jc w:val="center"/>
              <w:rPr>
                <w:rFonts w:ascii="仿宋_GB2312" w:hAnsi="宋体" w:cs="宋体"/>
                <w:kern w:val="0"/>
                <w:sz w:val="24"/>
                <w:szCs w:val="24"/>
              </w:rPr>
            </w:pPr>
            <w:r>
              <w:rPr>
                <w:rFonts w:ascii="仿宋_GB2312" w:hAnsi="宋体" w:cs="宋体"/>
                <w:kern w:val="0"/>
                <w:sz w:val="24"/>
                <w:szCs w:val="24"/>
              </w:rPr>
              <w:t>100%</w:t>
            </w:r>
          </w:p>
        </w:tc>
      </w:tr>
      <w:tr w14:paraId="5F60837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64D8F681">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72FEA832">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378EBFA5">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制度执行有效性</w:t>
            </w:r>
          </w:p>
        </w:tc>
        <w:tc>
          <w:tcPr>
            <w:tcW w:w="898" w:type="dxa"/>
            <w:tcBorders>
              <w:tl2br w:val="nil"/>
              <w:tr2bl w:val="nil"/>
            </w:tcBorders>
            <w:shd w:val="clear" w:color="000000" w:fill="FFFFFF"/>
            <w:vAlign w:val="center"/>
          </w:tcPr>
          <w:p w14:paraId="40EBAA99">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000000" w:fill="FFFFFF"/>
            <w:vAlign w:val="center"/>
          </w:tcPr>
          <w:p w14:paraId="4B529AE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1039" w:type="dxa"/>
            <w:tcBorders>
              <w:tl2br w:val="nil"/>
              <w:tr2bl w:val="nil"/>
            </w:tcBorders>
            <w:shd w:val="clear" w:color="000000" w:fill="FFFFFF"/>
            <w:vAlign w:val="center"/>
          </w:tcPr>
          <w:p w14:paraId="6ED029CC">
            <w:pPr>
              <w:widowControl/>
              <w:ind w:firstLine="0" w:firstLineChars="0"/>
              <w:jc w:val="center"/>
              <w:rPr>
                <w:rFonts w:ascii="仿宋_GB2312" w:hAnsi="宋体" w:cs="宋体"/>
                <w:kern w:val="0"/>
                <w:sz w:val="24"/>
                <w:szCs w:val="24"/>
              </w:rPr>
            </w:pPr>
            <w:r>
              <w:rPr>
                <w:rFonts w:ascii="仿宋_GB2312" w:hAnsi="宋体" w:cs="宋体"/>
                <w:kern w:val="0"/>
                <w:sz w:val="24"/>
                <w:szCs w:val="24"/>
              </w:rPr>
              <w:t>100%</w:t>
            </w:r>
          </w:p>
        </w:tc>
      </w:tr>
      <w:tr w14:paraId="1CE53F5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8" w:hRule="atLeast"/>
          <w:jc w:val="center"/>
        </w:trPr>
        <w:tc>
          <w:tcPr>
            <w:tcW w:w="1550" w:type="dxa"/>
            <w:vMerge w:val="restart"/>
            <w:tcBorders>
              <w:tl2br w:val="nil"/>
              <w:tr2bl w:val="nil"/>
            </w:tcBorders>
            <w:shd w:val="clear" w:color="auto" w:fill="FFFFFF"/>
            <w:vAlign w:val="center"/>
          </w:tcPr>
          <w:p w14:paraId="3877249B">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w:t>
            </w:r>
          </w:p>
        </w:tc>
        <w:tc>
          <w:tcPr>
            <w:tcW w:w="1984" w:type="dxa"/>
            <w:vMerge w:val="restart"/>
            <w:tcBorders>
              <w:tl2br w:val="nil"/>
              <w:tr2bl w:val="nil"/>
            </w:tcBorders>
            <w:shd w:val="clear" w:color="auto" w:fill="FFFFFF"/>
            <w:vAlign w:val="center"/>
          </w:tcPr>
          <w:p w14:paraId="107A4906">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产出数量</w:t>
            </w:r>
          </w:p>
        </w:tc>
        <w:tc>
          <w:tcPr>
            <w:tcW w:w="2693" w:type="dxa"/>
            <w:tcBorders>
              <w:tl2br w:val="nil"/>
              <w:tr2bl w:val="nil"/>
            </w:tcBorders>
            <w:shd w:val="clear" w:color="auto" w:fill="FFFFFF"/>
          </w:tcPr>
          <w:p w14:paraId="1BCD0D33">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当年开展各类科普活动的次数</w:t>
            </w:r>
          </w:p>
        </w:tc>
        <w:tc>
          <w:tcPr>
            <w:tcW w:w="898" w:type="dxa"/>
            <w:tcBorders>
              <w:tl2br w:val="nil"/>
              <w:tr2bl w:val="nil"/>
            </w:tcBorders>
            <w:shd w:val="clear" w:color="000000" w:fill="FFFFFF"/>
            <w:vAlign w:val="center"/>
          </w:tcPr>
          <w:p w14:paraId="20E2A7A2">
            <w:pPr>
              <w:widowControl/>
              <w:ind w:firstLine="0" w:firstLineChars="0"/>
              <w:jc w:val="center"/>
              <w:rPr>
                <w:rFonts w:hint="eastAsia" w:ascii="仿宋_GB2312" w:hAnsi="宋体" w:eastAsia="仿宋_GB2312" w:cs="宋体"/>
                <w:kern w:val="0"/>
                <w:sz w:val="24"/>
                <w:szCs w:val="24"/>
                <w:lang w:eastAsia="zh-CN"/>
              </w:rPr>
            </w:pPr>
            <w:r>
              <w:rPr>
                <w:rFonts w:hint="eastAsia" w:ascii="仿宋_GB2312" w:hAnsi="宋体" w:cs="宋体"/>
                <w:kern w:val="0"/>
                <w:sz w:val="24"/>
                <w:szCs w:val="24"/>
                <w:lang w:val="en-US" w:eastAsia="zh-CN"/>
              </w:rPr>
              <w:t>4</w:t>
            </w:r>
          </w:p>
        </w:tc>
        <w:tc>
          <w:tcPr>
            <w:tcW w:w="898" w:type="dxa"/>
            <w:tcBorders>
              <w:tl2br w:val="nil"/>
              <w:tr2bl w:val="nil"/>
            </w:tcBorders>
            <w:shd w:val="clear" w:color="000000" w:fill="FFFFFF"/>
            <w:vAlign w:val="center"/>
          </w:tcPr>
          <w:p w14:paraId="2C152486">
            <w:pPr>
              <w:widowControl/>
              <w:ind w:firstLine="0" w:firstLineChars="0"/>
              <w:jc w:val="center"/>
              <w:rPr>
                <w:rFonts w:hint="eastAsia"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rPr>
              <w:t>4</w:t>
            </w:r>
          </w:p>
        </w:tc>
        <w:tc>
          <w:tcPr>
            <w:tcW w:w="1039" w:type="dxa"/>
            <w:tcBorders>
              <w:tl2br w:val="nil"/>
              <w:tr2bl w:val="nil"/>
            </w:tcBorders>
            <w:shd w:val="clear" w:color="000000" w:fill="FFFFFF"/>
            <w:vAlign w:val="center"/>
          </w:tcPr>
          <w:p w14:paraId="5AEF314F">
            <w:pPr>
              <w:widowControl/>
              <w:ind w:firstLine="0" w:firstLineChars="0"/>
              <w:jc w:val="center"/>
              <w:rPr>
                <w:rFonts w:ascii="仿宋_GB2312" w:hAnsi="宋体" w:cs="宋体"/>
                <w:kern w:val="0"/>
                <w:sz w:val="24"/>
                <w:szCs w:val="24"/>
                <w:highlight w:val="yellow"/>
              </w:rPr>
            </w:pPr>
            <w:r>
              <w:rPr>
                <w:rFonts w:ascii="仿宋_GB2312" w:hAnsi="宋体" w:cs="宋体"/>
                <w:kern w:val="0"/>
                <w:sz w:val="24"/>
                <w:szCs w:val="24"/>
              </w:rPr>
              <w:t>100%</w:t>
            </w:r>
          </w:p>
        </w:tc>
      </w:tr>
      <w:tr w14:paraId="3A980A9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6" w:hRule="atLeast"/>
          <w:jc w:val="center"/>
        </w:trPr>
        <w:tc>
          <w:tcPr>
            <w:tcW w:w="1550" w:type="dxa"/>
            <w:vMerge w:val="continue"/>
            <w:tcBorders>
              <w:tl2br w:val="nil"/>
              <w:tr2bl w:val="nil"/>
            </w:tcBorders>
            <w:shd w:val="clear" w:color="auto" w:fill="FFFFFF"/>
            <w:vAlign w:val="center"/>
          </w:tcPr>
          <w:p w14:paraId="095E6022">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201A1DC7">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tcPr>
          <w:p w14:paraId="181CCB45">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创作高质量科普视频数量</w:t>
            </w:r>
          </w:p>
        </w:tc>
        <w:tc>
          <w:tcPr>
            <w:tcW w:w="898" w:type="dxa"/>
            <w:tcBorders>
              <w:tl2br w:val="nil"/>
              <w:tr2bl w:val="nil"/>
            </w:tcBorders>
            <w:shd w:val="clear" w:color="000000" w:fill="FFFFFF"/>
            <w:vAlign w:val="center"/>
          </w:tcPr>
          <w:p w14:paraId="685F7FCA">
            <w:pPr>
              <w:widowControl/>
              <w:ind w:firstLine="0" w:firstLineChars="0"/>
              <w:jc w:val="center"/>
              <w:rPr>
                <w:rFonts w:hint="eastAsia" w:ascii="仿宋_GB2312" w:hAnsi="宋体" w:eastAsia="仿宋_GB2312" w:cs="宋体"/>
                <w:kern w:val="0"/>
                <w:sz w:val="24"/>
                <w:szCs w:val="24"/>
                <w:lang w:eastAsia="zh-CN"/>
              </w:rPr>
            </w:pPr>
            <w:r>
              <w:rPr>
                <w:rFonts w:hint="eastAsia" w:ascii="仿宋_GB2312" w:hAnsi="宋体" w:cs="宋体"/>
                <w:kern w:val="0"/>
                <w:sz w:val="24"/>
                <w:szCs w:val="24"/>
                <w:lang w:val="en-US" w:eastAsia="zh-CN"/>
              </w:rPr>
              <w:t>4</w:t>
            </w:r>
          </w:p>
        </w:tc>
        <w:tc>
          <w:tcPr>
            <w:tcW w:w="898" w:type="dxa"/>
            <w:tcBorders>
              <w:tl2br w:val="nil"/>
              <w:tr2bl w:val="nil"/>
            </w:tcBorders>
            <w:shd w:val="clear" w:color="000000" w:fill="FFFFFF"/>
            <w:vAlign w:val="center"/>
          </w:tcPr>
          <w:p w14:paraId="4E935265">
            <w:pPr>
              <w:widowControl/>
              <w:ind w:firstLine="0" w:firstLineChars="0"/>
              <w:jc w:val="center"/>
              <w:rPr>
                <w:rFonts w:hint="eastAsia"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rPr>
              <w:t>4</w:t>
            </w:r>
          </w:p>
        </w:tc>
        <w:tc>
          <w:tcPr>
            <w:tcW w:w="1039" w:type="dxa"/>
            <w:tcBorders>
              <w:tl2br w:val="nil"/>
              <w:tr2bl w:val="nil"/>
            </w:tcBorders>
            <w:shd w:val="clear" w:color="000000" w:fill="FFFFFF"/>
            <w:vAlign w:val="center"/>
          </w:tcPr>
          <w:p w14:paraId="3E11313A">
            <w:pPr>
              <w:widowControl/>
              <w:ind w:firstLine="0" w:firstLineChars="0"/>
              <w:jc w:val="center"/>
              <w:rPr>
                <w:rFonts w:ascii="仿宋_GB2312" w:hAnsi="宋体" w:cs="宋体"/>
                <w:kern w:val="0"/>
                <w:sz w:val="24"/>
                <w:szCs w:val="24"/>
              </w:rPr>
            </w:pPr>
            <w:r>
              <w:rPr>
                <w:rFonts w:ascii="仿宋_GB2312" w:hAnsi="宋体" w:cs="宋体"/>
                <w:kern w:val="0"/>
                <w:sz w:val="24"/>
                <w:szCs w:val="24"/>
              </w:rPr>
              <w:t>100%</w:t>
            </w:r>
          </w:p>
        </w:tc>
      </w:tr>
      <w:tr w14:paraId="78DF589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6" w:hRule="atLeast"/>
          <w:jc w:val="center"/>
        </w:trPr>
        <w:tc>
          <w:tcPr>
            <w:tcW w:w="1550" w:type="dxa"/>
            <w:vMerge w:val="continue"/>
            <w:tcBorders>
              <w:tl2br w:val="nil"/>
              <w:tr2bl w:val="nil"/>
            </w:tcBorders>
            <w:shd w:val="clear" w:color="auto" w:fill="FFFFFF"/>
            <w:vAlign w:val="center"/>
          </w:tcPr>
          <w:p w14:paraId="64FFB866">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0E1D2965">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tcPr>
          <w:p w14:paraId="5CBC5671">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奖补科普教育基地数量</w:t>
            </w:r>
          </w:p>
        </w:tc>
        <w:tc>
          <w:tcPr>
            <w:tcW w:w="898" w:type="dxa"/>
            <w:tcBorders>
              <w:tl2br w:val="nil"/>
              <w:tr2bl w:val="nil"/>
            </w:tcBorders>
            <w:shd w:val="clear" w:color="000000" w:fill="FFFFFF"/>
            <w:vAlign w:val="center"/>
          </w:tcPr>
          <w:p w14:paraId="717BC9C9">
            <w:pPr>
              <w:widowControl/>
              <w:ind w:firstLine="0" w:firstLineChars="0"/>
              <w:jc w:val="center"/>
              <w:rPr>
                <w:rFonts w:hint="eastAsia" w:ascii="仿宋_GB2312" w:hAnsi="宋体" w:eastAsia="仿宋_GB2312" w:cs="宋体"/>
                <w:kern w:val="0"/>
                <w:sz w:val="24"/>
                <w:szCs w:val="24"/>
                <w:lang w:eastAsia="zh-CN"/>
              </w:rPr>
            </w:pPr>
            <w:r>
              <w:rPr>
                <w:rFonts w:hint="eastAsia" w:ascii="仿宋_GB2312" w:hAnsi="宋体" w:cs="宋体"/>
                <w:kern w:val="0"/>
                <w:sz w:val="24"/>
                <w:szCs w:val="24"/>
                <w:lang w:val="en-US" w:eastAsia="zh-CN"/>
              </w:rPr>
              <w:t>4</w:t>
            </w:r>
          </w:p>
        </w:tc>
        <w:tc>
          <w:tcPr>
            <w:tcW w:w="898" w:type="dxa"/>
            <w:tcBorders>
              <w:tl2br w:val="nil"/>
              <w:tr2bl w:val="nil"/>
            </w:tcBorders>
            <w:shd w:val="clear" w:color="000000" w:fill="FFFFFF"/>
            <w:vAlign w:val="center"/>
          </w:tcPr>
          <w:p w14:paraId="0F5892BD">
            <w:pPr>
              <w:widowControl/>
              <w:ind w:firstLine="0" w:firstLineChars="0"/>
              <w:jc w:val="center"/>
              <w:rPr>
                <w:rFonts w:hint="eastAsia"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rPr>
              <w:t>3.73</w:t>
            </w:r>
          </w:p>
        </w:tc>
        <w:tc>
          <w:tcPr>
            <w:tcW w:w="1039" w:type="dxa"/>
            <w:tcBorders>
              <w:tl2br w:val="nil"/>
              <w:tr2bl w:val="nil"/>
            </w:tcBorders>
            <w:shd w:val="clear" w:color="000000" w:fill="FFFFFF"/>
            <w:vAlign w:val="center"/>
          </w:tcPr>
          <w:p w14:paraId="34C90180">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rPr>
              <w:t>93.33</w:t>
            </w:r>
            <w:r>
              <w:rPr>
                <w:rFonts w:ascii="仿宋_GB2312" w:hAnsi="宋体" w:cs="宋体"/>
                <w:kern w:val="0"/>
                <w:sz w:val="24"/>
                <w:szCs w:val="24"/>
              </w:rPr>
              <w:t>%</w:t>
            </w:r>
          </w:p>
        </w:tc>
      </w:tr>
      <w:tr w14:paraId="540B09C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6" w:hRule="atLeast"/>
          <w:jc w:val="center"/>
        </w:trPr>
        <w:tc>
          <w:tcPr>
            <w:tcW w:w="1550" w:type="dxa"/>
            <w:vMerge w:val="continue"/>
            <w:tcBorders>
              <w:tl2br w:val="nil"/>
              <w:tr2bl w:val="nil"/>
            </w:tcBorders>
            <w:shd w:val="clear" w:color="auto" w:fill="FFFFFF"/>
            <w:vAlign w:val="center"/>
          </w:tcPr>
          <w:p w14:paraId="4BED979E">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403B30E5">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tcPr>
          <w:p w14:paraId="365FDD37">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青少年科技活动特色学校奖补先进集体数量</w:t>
            </w:r>
          </w:p>
        </w:tc>
        <w:tc>
          <w:tcPr>
            <w:tcW w:w="898" w:type="dxa"/>
            <w:tcBorders>
              <w:tl2br w:val="nil"/>
              <w:tr2bl w:val="nil"/>
            </w:tcBorders>
            <w:shd w:val="clear" w:color="000000" w:fill="FFFFFF"/>
            <w:vAlign w:val="center"/>
          </w:tcPr>
          <w:p w14:paraId="1261589C">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4</w:t>
            </w:r>
          </w:p>
        </w:tc>
        <w:tc>
          <w:tcPr>
            <w:tcW w:w="898" w:type="dxa"/>
            <w:tcBorders>
              <w:tl2br w:val="nil"/>
              <w:tr2bl w:val="nil"/>
            </w:tcBorders>
            <w:shd w:val="clear" w:color="000000" w:fill="FFFFFF"/>
            <w:vAlign w:val="center"/>
          </w:tcPr>
          <w:p w14:paraId="5116D2A5">
            <w:pPr>
              <w:widowControl/>
              <w:ind w:firstLine="0" w:firstLineChars="0"/>
              <w:jc w:val="center"/>
              <w:rPr>
                <w:rFonts w:hint="default"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rPr>
              <w:t>3.63</w:t>
            </w:r>
          </w:p>
        </w:tc>
        <w:tc>
          <w:tcPr>
            <w:tcW w:w="1039" w:type="dxa"/>
            <w:tcBorders>
              <w:tl2br w:val="nil"/>
              <w:tr2bl w:val="nil"/>
            </w:tcBorders>
            <w:shd w:val="clear" w:color="000000" w:fill="FFFFFF"/>
            <w:vAlign w:val="center"/>
          </w:tcPr>
          <w:p w14:paraId="27B7DA14">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90.9</w:t>
            </w:r>
            <w:r>
              <w:rPr>
                <w:rFonts w:ascii="仿宋_GB2312" w:hAnsi="宋体" w:cs="宋体"/>
                <w:kern w:val="0"/>
                <w:sz w:val="24"/>
                <w:szCs w:val="24"/>
              </w:rPr>
              <w:t>%</w:t>
            </w:r>
          </w:p>
        </w:tc>
      </w:tr>
      <w:tr w14:paraId="3E8C835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1550" w:type="dxa"/>
            <w:vMerge w:val="continue"/>
            <w:tcBorders>
              <w:tl2br w:val="nil"/>
              <w:tr2bl w:val="nil"/>
            </w:tcBorders>
            <w:shd w:val="clear" w:color="auto" w:fill="FFFFFF"/>
            <w:vAlign w:val="center"/>
          </w:tcPr>
          <w:p w14:paraId="10C0A6DC">
            <w:pPr>
              <w:widowControl/>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53C7032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产出质量</w:t>
            </w:r>
          </w:p>
        </w:tc>
        <w:tc>
          <w:tcPr>
            <w:tcW w:w="2693" w:type="dxa"/>
            <w:tcBorders>
              <w:tl2br w:val="nil"/>
              <w:tr2bl w:val="nil"/>
            </w:tcBorders>
            <w:shd w:val="clear" w:color="auto" w:fill="FFFFFF"/>
            <w:vAlign w:val="center"/>
          </w:tcPr>
          <w:p w14:paraId="61700725">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科技特色学校评选合格率</w:t>
            </w:r>
          </w:p>
        </w:tc>
        <w:tc>
          <w:tcPr>
            <w:tcW w:w="898" w:type="dxa"/>
            <w:tcBorders>
              <w:tl2br w:val="nil"/>
              <w:tr2bl w:val="nil"/>
            </w:tcBorders>
            <w:shd w:val="clear" w:color="000000" w:fill="FFFFFF"/>
            <w:vAlign w:val="center"/>
          </w:tcPr>
          <w:p w14:paraId="409C5A1D">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3</w:t>
            </w:r>
          </w:p>
        </w:tc>
        <w:tc>
          <w:tcPr>
            <w:tcW w:w="898" w:type="dxa"/>
            <w:tcBorders>
              <w:tl2br w:val="nil"/>
              <w:tr2bl w:val="nil"/>
            </w:tcBorders>
            <w:shd w:val="clear" w:color="000000" w:fill="FFFFFF"/>
            <w:vAlign w:val="center"/>
          </w:tcPr>
          <w:p w14:paraId="46C419A8">
            <w:pPr>
              <w:widowControl/>
              <w:ind w:firstLine="0" w:firstLineChars="0"/>
              <w:jc w:val="center"/>
              <w:rPr>
                <w:rFonts w:hint="eastAsia"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rPr>
              <w:t>3</w:t>
            </w:r>
          </w:p>
        </w:tc>
        <w:tc>
          <w:tcPr>
            <w:tcW w:w="1039" w:type="dxa"/>
            <w:tcBorders>
              <w:tl2br w:val="nil"/>
              <w:tr2bl w:val="nil"/>
            </w:tcBorders>
            <w:shd w:val="clear" w:color="000000" w:fill="FFFFFF"/>
            <w:vAlign w:val="center"/>
          </w:tcPr>
          <w:p w14:paraId="2C13CF5B">
            <w:pPr>
              <w:widowControl/>
              <w:ind w:firstLine="0" w:firstLineChars="0"/>
              <w:jc w:val="center"/>
              <w:rPr>
                <w:rFonts w:ascii="仿宋_GB2312" w:hAnsi="宋体" w:cs="宋体"/>
                <w:kern w:val="0"/>
                <w:sz w:val="24"/>
                <w:szCs w:val="24"/>
              </w:rPr>
            </w:pPr>
            <w:r>
              <w:rPr>
                <w:rFonts w:ascii="仿宋_GB2312" w:hAnsi="宋体" w:cs="宋体"/>
                <w:kern w:val="0"/>
                <w:sz w:val="24"/>
                <w:szCs w:val="24"/>
              </w:rPr>
              <w:t>100%</w:t>
            </w:r>
          </w:p>
        </w:tc>
      </w:tr>
      <w:tr w14:paraId="7F469A4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1550" w:type="dxa"/>
            <w:vMerge w:val="continue"/>
            <w:tcBorders>
              <w:tl2br w:val="nil"/>
              <w:tr2bl w:val="nil"/>
            </w:tcBorders>
            <w:shd w:val="clear" w:color="auto" w:fill="FFFFFF"/>
            <w:vAlign w:val="center"/>
          </w:tcPr>
          <w:p w14:paraId="71387EA0">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567943DB">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6281A6D5">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科普活动完成率</w:t>
            </w:r>
          </w:p>
        </w:tc>
        <w:tc>
          <w:tcPr>
            <w:tcW w:w="898" w:type="dxa"/>
            <w:tcBorders>
              <w:tl2br w:val="nil"/>
              <w:tr2bl w:val="nil"/>
            </w:tcBorders>
            <w:shd w:val="clear" w:color="000000" w:fill="FFFFFF"/>
            <w:vAlign w:val="center"/>
          </w:tcPr>
          <w:p w14:paraId="7A1F0B63">
            <w:pPr>
              <w:widowControl/>
              <w:ind w:firstLine="0" w:firstLineChars="0"/>
              <w:jc w:val="center"/>
              <w:rPr>
                <w:rFonts w:hint="eastAsia" w:ascii="仿宋_GB2312" w:hAnsi="宋体" w:eastAsia="仿宋_GB2312" w:cs="宋体"/>
                <w:kern w:val="0"/>
                <w:sz w:val="24"/>
                <w:szCs w:val="24"/>
                <w:lang w:eastAsia="zh-CN"/>
              </w:rPr>
            </w:pPr>
            <w:r>
              <w:rPr>
                <w:rFonts w:hint="eastAsia" w:ascii="仿宋_GB2312" w:hAnsi="宋体" w:cs="宋体"/>
                <w:kern w:val="0"/>
                <w:sz w:val="24"/>
                <w:szCs w:val="24"/>
                <w:lang w:val="en-US" w:eastAsia="zh-CN"/>
              </w:rPr>
              <w:t>3</w:t>
            </w:r>
          </w:p>
        </w:tc>
        <w:tc>
          <w:tcPr>
            <w:tcW w:w="898" w:type="dxa"/>
            <w:tcBorders>
              <w:tl2br w:val="nil"/>
              <w:tr2bl w:val="nil"/>
            </w:tcBorders>
            <w:shd w:val="clear" w:color="000000" w:fill="FFFFFF"/>
            <w:vAlign w:val="center"/>
          </w:tcPr>
          <w:p w14:paraId="10CB055F">
            <w:pPr>
              <w:widowControl/>
              <w:ind w:firstLine="0" w:firstLineChars="0"/>
              <w:jc w:val="center"/>
              <w:rPr>
                <w:rFonts w:hint="eastAsia"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rPr>
              <w:t>3</w:t>
            </w:r>
          </w:p>
        </w:tc>
        <w:tc>
          <w:tcPr>
            <w:tcW w:w="1039" w:type="dxa"/>
            <w:tcBorders>
              <w:tl2br w:val="nil"/>
              <w:tr2bl w:val="nil"/>
            </w:tcBorders>
            <w:shd w:val="clear" w:color="000000" w:fill="FFFFFF"/>
            <w:vAlign w:val="center"/>
          </w:tcPr>
          <w:p w14:paraId="2B0F14D0">
            <w:pPr>
              <w:widowControl/>
              <w:ind w:firstLine="0" w:firstLineChars="0"/>
              <w:jc w:val="center"/>
              <w:rPr>
                <w:rFonts w:ascii="仿宋_GB2312" w:hAnsi="宋体" w:cs="宋体"/>
                <w:kern w:val="0"/>
                <w:sz w:val="24"/>
                <w:szCs w:val="24"/>
              </w:rPr>
            </w:pPr>
            <w:r>
              <w:rPr>
                <w:rFonts w:ascii="仿宋_GB2312" w:hAnsi="宋体" w:cs="宋体"/>
                <w:kern w:val="0"/>
                <w:sz w:val="24"/>
                <w:szCs w:val="24"/>
              </w:rPr>
              <w:t>100%</w:t>
            </w:r>
          </w:p>
        </w:tc>
      </w:tr>
      <w:tr w14:paraId="00FCF83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1550" w:type="dxa"/>
            <w:vMerge w:val="continue"/>
            <w:tcBorders>
              <w:tl2br w:val="nil"/>
              <w:tr2bl w:val="nil"/>
            </w:tcBorders>
            <w:shd w:val="clear" w:color="auto" w:fill="FFFFFF"/>
            <w:vAlign w:val="center"/>
          </w:tcPr>
          <w:p w14:paraId="31DE5408">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27578204">
            <w:pPr>
              <w:widowControl/>
              <w:ind w:firstLine="0" w:firstLineChars="0"/>
              <w:jc w:val="center"/>
              <w:rPr>
                <w:rFonts w:hint="eastAsia" w:ascii="仿宋_GB2312" w:hAnsi="宋体" w:cs="宋体"/>
                <w:kern w:val="0"/>
                <w:sz w:val="24"/>
                <w:szCs w:val="24"/>
              </w:rPr>
            </w:pPr>
          </w:p>
        </w:tc>
        <w:tc>
          <w:tcPr>
            <w:tcW w:w="2693" w:type="dxa"/>
            <w:tcBorders>
              <w:tl2br w:val="nil"/>
              <w:tr2bl w:val="nil"/>
            </w:tcBorders>
            <w:shd w:val="clear" w:color="auto" w:fill="FFFFFF"/>
            <w:vAlign w:val="center"/>
          </w:tcPr>
          <w:p w14:paraId="6EFE0BC7">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科普教育基评选合格率</w:t>
            </w:r>
          </w:p>
        </w:tc>
        <w:tc>
          <w:tcPr>
            <w:tcW w:w="898" w:type="dxa"/>
            <w:tcBorders>
              <w:tl2br w:val="nil"/>
              <w:tr2bl w:val="nil"/>
            </w:tcBorders>
            <w:shd w:val="clear" w:color="000000" w:fill="FFFFFF"/>
            <w:vAlign w:val="center"/>
          </w:tcPr>
          <w:p w14:paraId="3AED2DC6">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3</w:t>
            </w:r>
          </w:p>
        </w:tc>
        <w:tc>
          <w:tcPr>
            <w:tcW w:w="898" w:type="dxa"/>
            <w:tcBorders>
              <w:tl2br w:val="nil"/>
              <w:tr2bl w:val="nil"/>
            </w:tcBorders>
            <w:shd w:val="clear" w:color="000000" w:fill="FFFFFF"/>
            <w:vAlign w:val="center"/>
          </w:tcPr>
          <w:p w14:paraId="73A1D843">
            <w:pPr>
              <w:widowControl/>
              <w:ind w:firstLine="0" w:firstLineChars="0"/>
              <w:jc w:val="center"/>
              <w:rPr>
                <w:rFonts w:hint="eastAsia"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rPr>
              <w:t>3</w:t>
            </w:r>
          </w:p>
        </w:tc>
        <w:tc>
          <w:tcPr>
            <w:tcW w:w="1039" w:type="dxa"/>
            <w:tcBorders>
              <w:tl2br w:val="nil"/>
              <w:tr2bl w:val="nil"/>
            </w:tcBorders>
            <w:shd w:val="clear" w:color="000000" w:fill="FFFFFF"/>
            <w:vAlign w:val="center"/>
          </w:tcPr>
          <w:p w14:paraId="7FE0CFE9">
            <w:pPr>
              <w:widowControl/>
              <w:ind w:firstLine="0" w:firstLineChars="0"/>
              <w:jc w:val="center"/>
              <w:rPr>
                <w:rFonts w:ascii="仿宋_GB2312" w:hAnsi="宋体" w:cs="宋体"/>
                <w:kern w:val="0"/>
                <w:sz w:val="24"/>
                <w:szCs w:val="24"/>
              </w:rPr>
            </w:pPr>
            <w:r>
              <w:rPr>
                <w:rFonts w:ascii="仿宋_GB2312" w:hAnsi="宋体" w:cs="宋体"/>
                <w:kern w:val="0"/>
                <w:sz w:val="24"/>
                <w:szCs w:val="24"/>
              </w:rPr>
              <w:t>100%</w:t>
            </w:r>
          </w:p>
        </w:tc>
      </w:tr>
      <w:tr w14:paraId="26C8185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1550" w:type="dxa"/>
            <w:vMerge w:val="continue"/>
            <w:tcBorders>
              <w:tl2br w:val="nil"/>
              <w:tr2bl w:val="nil"/>
            </w:tcBorders>
            <w:shd w:val="clear" w:color="auto" w:fill="FFFFFF"/>
            <w:vAlign w:val="center"/>
          </w:tcPr>
          <w:p w14:paraId="0C8F6BC2">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268E174F">
            <w:pPr>
              <w:widowControl/>
              <w:ind w:firstLine="0" w:firstLineChars="0"/>
              <w:jc w:val="center"/>
              <w:rPr>
                <w:rFonts w:hint="eastAsia" w:ascii="仿宋_GB2312" w:hAnsi="宋体" w:cs="宋体"/>
                <w:kern w:val="0"/>
                <w:sz w:val="24"/>
                <w:szCs w:val="24"/>
              </w:rPr>
            </w:pPr>
          </w:p>
        </w:tc>
        <w:tc>
          <w:tcPr>
            <w:tcW w:w="2693" w:type="dxa"/>
            <w:tcBorders>
              <w:tl2br w:val="nil"/>
              <w:tr2bl w:val="nil"/>
            </w:tcBorders>
            <w:shd w:val="clear" w:color="auto" w:fill="FFFFFF"/>
            <w:vAlign w:val="center"/>
          </w:tcPr>
          <w:p w14:paraId="5F0AE765">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科普视频制作验收合格率</w:t>
            </w:r>
          </w:p>
        </w:tc>
        <w:tc>
          <w:tcPr>
            <w:tcW w:w="898" w:type="dxa"/>
            <w:tcBorders>
              <w:tl2br w:val="nil"/>
              <w:tr2bl w:val="nil"/>
            </w:tcBorders>
            <w:shd w:val="clear" w:color="000000" w:fill="FFFFFF"/>
            <w:vAlign w:val="center"/>
          </w:tcPr>
          <w:p w14:paraId="5FA9142E">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3</w:t>
            </w:r>
          </w:p>
        </w:tc>
        <w:tc>
          <w:tcPr>
            <w:tcW w:w="898" w:type="dxa"/>
            <w:tcBorders>
              <w:tl2br w:val="nil"/>
              <w:tr2bl w:val="nil"/>
            </w:tcBorders>
            <w:shd w:val="clear" w:color="000000" w:fill="FFFFFF"/>
            <w:vAlign w:val="center"/>
          </w:tcPr>
          <w:p w14:paraId="0D82B9FC">
            <w:pPr>
              <w:widowControl/>
              <w:ind w:firstLine="0" w:firstLineChars="0"/>
              <w:jc w:val="center"/>
              <w:rPr>
                <w:rFonts w:hint="eastAsia"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rPr>
              <w:t>3</w:t>
            </w:r>
          </w:p>
        </w:tc>
        <w:tc>
          <w:tcPr>
            <w:tcW w:w="1039" w:type="dxa"/>
            <w:tcBorders>
              <w:tl2br w:val="nil"/>
              <w:tr2bl w:val="nil"/>
            </w:tcBorders>
            <w:shd w:val="clear" w:color="000000" w:fill="FFFFFF"/>
            <w:vAlign w:val="center"/>
          </w:tcPr>
          <w:p w14:paraId="203C3736">
            <w:pPr>
              <w:widowControl/>
              <w:ind w:firstLine="0" w:firstLineChars="0"/>
              <w:jc w:val="center"/>
              <w:rPr>
                <w:rFonts w:ascii="仿宋_GB2312" w:hAnsi="宋体" w:cs="宋体"/>
                <w:kern w:val="0"/>
                <w:sz w:val="24"/>
                <w:szCs w:val="24"/>
              </w:rPr>
            </w:pPr>
            <w:r>
              <w:rPr>
                <w:rFonts w:ascii="仿宋_GB2312" w:hAnsi="宋体" w:cs="宋体"/>
                <w:kern w:val="0"/>
                <w:sz w:val="24"/>
                <w:szCs w:val="24"/>
              </w:rPr>
              <w:t>100%</w:t>
            </w:r>
          </w:p>
        </w:tc>
      </w:tr>
      <w:tr w14:paraId="3A68F32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5B6166B4">
            <w:pPr>
              <w:widowControl/>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542A8E9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产出成本</w:t>
            </w:r>
          </w:p>
        </w:tc>
        <w:tc>
          <w:tcPr>
            <w:tcW w:w="2693" w:type="dxa"/>
            <w:tcBorders>
              <w:tl2br w:val="nil"/>
              <w:tr2bl w:val="nil"/>
            </w:tcBorders>
            <w:shd w:val="clear" w:color="auto" w:fill="FFFFFF"/>
            <w:vAlign w:val="center"/>
          </w:tcPr>
          <w:p w14:paraId="4F059E6A">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举办科普讲座</w:t>
            </w:r>
          </w:p>
        </w:tc>
        <w:tc>
          <w:tcPr>
            <w:tcW w:w="898" w:type="dxa"/>
            <w:tcBorders>
              <w:tl2br w:val="nil"/>
              <w:tr2bl w:val="nil"/>
            </w:tcBorders>
            <w:shd w:val="clear" w:color="000000" w:fill="FFFFFF"/>
            <w:vAlign w:val="center"/>
          </w:tcPr>
          <w:p w14:paraId="6C720BFB">
            <w:pPr>
              <w:widowControl/>
              <w:ind w:firstLine="0" w:firstLineChars="0"/>
              <w:jc w:val="center"/>
              <w:rPr>
                <w:rFonts w:hint="eastAsia" w:ascii="仿宋_GB2312" w:hAnsi="宋体" w:eastAsia="仿宋_GB2312" w:cs="宋体"/>
                <w:kern w:val="0"/>
                <w:sz w:val="24"/>
                <w:szCs w:val="24"/>
                <w:lang w:eastAsia="zh-CN"/>
              </w:rPr>
            </w:pPr>
            <w:r>
              <w:rPr>
                <w:rFonts w:hint="eastAsia" w:ascii="仿宋_GB2312" w:hAnsi="宋体" w:cs="宋体"/>
                <w:kern w:val="0"/>
                <w:sz w:val="24"/>
                <w:szCs w:val="24"/>
                <w:lang w:val="en-US" w:eastAsia="zh-CN"/>
              </w:rPr>
              <w:t>3</w:t>
            </w:r>
          </w:p>
        </w:tc>
        <w:tc>
          <w:tcPr>
            <w:tcW w:w="898" w:type="dxa"/>
            <w:tcBorders>
              <w:tl2br w:val="nil"/>
              <w:tr2bl w:val="nil"/>
            </w:tcBorders>
            <w:shd w:val="clear" w:color="000000" w:fill="FFFFFF"/>
            <w:vAlign w:val="center"/>
          </w:tcPr>
          <w:p w14:paraId="6F932D34">
            <w:pPr>
              <w:widowControl/>
              <w:ind w:firstLine="0" w:firstLineChars="0"/>
              <w:jc w:val="center"/>
              <w:rPr>
                <w:rFonts w:hint="eastAsia"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rPr>
              <w:t>0</w:t>
            </w:r>
          </w:p>
        </w:tc>
        <w:tc>
          <w:tcPr>
            <w:tcW w:w="1039" w:type="dxa"/>
            <w:tcBorders>
              <w:tl2br w:val="nil"/>
              <w:tr2bl w:val="nil"/>
            </w:tcBorders>
            <w:shd w:val="clear" w:color="000000" w:fill="FFFFFF"/>
            <w:vAlign w:val="center"/>
          </w:tcPr>
          <w:p w14:paraId="11D6535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0</w:t>
            </w:r>
            <w:r>
              <w:rPr>
                <w:rFonts w:ascii="仿宋_GB2312" w:hAnsi="宋体" w:cs="宋体"/>
                <w:kern w:val="0"/>
                <w:sz w:val="24"/>
                <w:szCs w:val="24"/>
              </w:rPr>
              <w:t>%</w:t>
            </w:r>
          </w:p>
        </w:tc>
      </w:tr>
      <w:tr w14:paraId="58D0D79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37F5D6F5">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60BA7B8F">
            <w:pPr>
              <w:widowControl/>
              <w:ind w:firstLine="0" w:firstLineChars="0"/>
              <w:jc w:val="center"/>
              <w:rPr>
                <w:rFonts w:hint="eastAsia" w:ascii="仿宋_GB2312" w:hAnsi="宋体" w:cs="宋体"/>
                <w:kern w:val="0"/>
                <w:sz w:val="24"/>
                <w:szCs w:val="24"/>
              </w:rPr>
            </w:pPr>
          </w:p>
        </w:tc>
        <w:tc>
          <w:tcPr>
            <w:tcW w:w="2693" w:type="dxa"/>
            <w:tcBorders>
              <w:tl2br w:val="nil"/>
              <w:tr2bl w:val="nil"/>
            </w:tcBorders>
            <w:shd w:val="clear" w:color="auto" w:fill="FFFFFF"/>
            <w:vAlign w:val="center"/>
          </w:tcPr>
          <w:p w14:paraId="2957B58C">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奖补科普教育基地15个</w:t>
            </w:r>
          </w:p>
        </w:tc>
        <w:tc>
          <w:tcPr>
            <w:tcW w:w="898" w:type="dxa"/>
            <w:tcBorders>
              <w:tl2br w:val="nil"/>
              <w:tr2bl w:val="nil"/>
            </w:tcBorders>
            <w:shd w:val="clear" w:color="000000" w:fill="FFFFFF"/>
            <w:vAlign w:val="center"/>
          </w:tcPr>
          <w:p w14:paraId="79CC1FA1">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3</w:t>
            </w:r>
          </w:p>
        </w:tc>
        <w:tc>
          <w:tcPr>
            <w:tcW w:w="898" w:type="dxa"/>
            <w:tcBorders>
              <w:tl2br w:val="nil"/>
              <w:tr2bl w:val="nil"/>
            </w:tcBorders>
            <w:shd w:val="clear" w:color="000000" w:fill="FFFFFF"/>
            <w:vAlign w:val="center"/>
          </w:tcPr>
          <w:p w14:paraId="6855C69C">
            <w:pPr>
              <w:widowControl/>
              <w:ind w:firstLine="0" w:firstLineChars="0"/>
              <w:jc w:val="center"/>
              <w:rPr>
                <w:rFonts w:hint="eastAsia"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rPr>
              <w:t>3</w:t>
            </w:r>
          </w:p>
        </w:tc>
        <w:tc>
          <w:tcPr>
            <w:tcW w:w="1039" w:type="dxa"/>
            <w:tcBorders>
              <w:tl2br w:val="nil"/>
              <w:tr2bl w:val="nil"/>
            </w:tcBorders>
            <w:shd w:val="clear" w:color="000000" w:fill="FFFFFF"/>
            <w:vAlign w:val="center"/>
          </w:tcPr>
          <w:p w14:paraId="53FBB9C8">
            <w:pPr>
              <w:widowControl/>
              <w:ind w:firstLine="0" w:firstLineChars="0"/>
              <w:jc w:val="center"/>
              <w:rPr>
                <w:rFonts w:ascii="仿宋_GB2312" w:hAnsi="宋体" w:cs="宋体"/>
                <w:kern w:val="0"/>
                <w:sz w:val="24"/>
                <w:szCs w:val="24"/>
              </w:rPr>
            </w:pPr>
            <w:r>
              <w:rPr>
                <w:rFonts w:ascii="仿宋_GB2312" w:hAnsi="宋体" w:cs="宋体"/>
                <w:kern w:val="0"/>
                <w:sz w:val="24"/>
                <w:szCs w:val="24"/>
              </w:rPr>
              <w:t>100%</w:t>
            </w:r>
          </w:p>
        </w:tc>
      </w:tr>
      <w:tr w14:paraId="36DCE72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05D51EF1">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094CF817">
            <w:pPr>
              <w:widowControl/>
              <w:ind w:firstLine="0" w:firstLineChars="0"/>
              <w:jc w:val="center"/>
              <w:rPr>
                <w:rFonts w:hint="eastAsia" w:ascii="仿宋_GB2312" w:hAnsi="宋体" w:cs="宋体"/>
                <w:kern w:val="0"/>
                <w:sz w:val="24"/>
                <w:szCs w:val="24"/>
              </w:rPr>
            </w:pPr>
          </w:p>
        </w:tc>
        <w:tc>
          <w:tcPr>
            <w:tcW w:w="2693" w:type="dxa"/>
            <w:tcBorders>
              <w:tl2br w:val="nil"/>
              <w:tr2bl w:val="nil"/>
            </w:tcBorders>
            <w:shd w:val="clear" w:color="auto" w:fill="FFFFFF"/>
            <w:vAlign w:val="center"/>
          </w:tcPr>
          <w:p w14:paraId="2ED1CA36">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青少年科技活动特色学校奖补先进集体11个</w:t>
            </w:r>
          </w:p>
        </w:tc>
        <w:tc>
          <w:tcPr>
            <w:tcW w:w="898" w:type="dxa"/>
            <w:tcBorders>
              <w:tl2br w:val="nil"/>
              <w:tr2bl w:val="nil"/>
            </w:tcBorders>
            <w:shd w:val="clear" w:color="000000" w:fill="FFFFFF"/>
            <w:vAlign w:val="center"/>
          </w:tcPr>
          <w:p w14:paraId="3DFCF050">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3</w:t>
            </w:r>
          </w:p>
        </w:tc>
        <w:tc>
          <w:tcPr>
            <w:tcW w:w="898" w:type="dxa"/>
            <w:tcBorders>
              <w:tl2br w:val="nil"/>
              <w:tr2bl w:val="nil"/>
            </w:tcBorders>
            <w:shd w:val="clear" w:color="000000" w:fill="FFFFFF"/>
            <w:vAlign w:val="center"/>
          </w:tcPr>
          <w:p w14:paraId="03F8AEE2">
            <w:pPr>
              <w:widowControl/>
              <w:ind w:firstLine="0" w:firstLineChars="0"/>
              <w:jc w:val="center"/>
              <w:rPr>
                <w:rFonts w:hint="default"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rPr>
              <w:t>2.72</w:t>
            </w:r>
          </w:p>
        </w:tc>
        <w:tc>
          <w:tcPr>
            <w:tcW w:w="1039" w:type="dxa"/>
            <w:tcBorders>
              <w:tl2br w:val="nil"/>
              <w:tr2bl w:val="nil"/>
            </w:tcBorders>
            <w:shd w:val="clear" w:color="000000" w:fill="FFFFFF"/>
            <w:vAlign w:val="center"/>
          </w:tcPr>
          <w:p w14:paraId="3847259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90.9</w:t>
            </w:r>
            <w:r>
              <w:rPr>
                <w:rFonts w:ascii="仿宋_GB2312" w:hAnsi="宋体" w:cs="宋体"/>
                <w:kern w:val="0"/>
                <w:sz w:val="24"/>
                <w:szCs w:val="24"/>
              </w:rPr>
              <w:t>%</w:t>
            </w:r>
          </w:p>
        </w:tc>
      </w:tr>
      <w:tr w14:paraId="2964E12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5C5D7D3B">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42CFEC48">
            <w:pPr>
              <w:widowControl/>
              <w:ind w:firstLine="0" w:firstLineChars="0"/>
              <w:jc w:val="center"/>
              <w:rPr>
                <w:rFonts w:hint="eastAsia" w:ascii="仿宋_GB2312" w:hAnsi="宋体" w:cs="宋体"/>
                <w:kern w:val="0"/>
                <w:sz w:val="24"/>
                <w:szCs w:val="24"/>
              </w:rPr>
            </w:pPr>
          </w:p>
        </w:tc>
        <w:tc>
          <w:tcPr>
            <w:tcW w:w="2693" w:type="dxa"/>
            <w:tcBorders>
              <w:tl2br w:val="nil"/>
              <w:tr2bl w:val="nil"/>
            </w:tcBorders>
            <w:shd w:val="clear" w:color="auto" w:fill="FFFFFF"/>
            <w:vAlign w:val="center"/>
          </w:tcPr>
          <w:p w14:paraId="78B8D0F8">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开发创作高质量科普视频或科普创作作品1个</w:t>
            </w:r>
          </w:p>
        </w:tc>
        <w:tc>
          <w:tcPr>
            <w:tcW w:w="898" w:type="dxa"/>
            <w:tcBorders>
              <w:tl2br w:val="nil"/>
              <w:tr2bl w:val="nil"/>
            </w:tcBorders>
            <w:shd w:val="clear" w:color="000000" w:fill="FFFFFF"/>
            <w:vAlign w:val="center"/>
          </w:tcPr>
          <w:p w14:paraId="79E1899D">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4</w:t>
            </w:r>
          </w:p>
        </w:tc>
        <w:tc>
          <w:tcPr>
            <w:tcW w:w="898" w:type="dxa"/>
            <w:tcBorders>
              <w:tl2br w:val="nil"/>
              <w:tr2bl w:val="nil"/>
            </w:tcBorders>
            <w:shd w:val="clear" w:color="000000" w:fill="FFFFFF"/>
            <w:vAlign w:val="center"/>
          </w:tcPr>
          <w:p w14:paraId="2FD0210D">
            <w:pPr>
              <w:widowControl/>
              <w:ind w:firstLine="0" w:firstLineChars="0"/>
              <w:jc w:val="center"/>
              <w:rPr>
                <w:rFonts w:hint="eastAsia"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rPr>
              <w:t>4</w:t>
            </w:r>
          </w:p>
        </w:tc>
        <w:tc>
          <w:tcPr>
            <w:tcW w:w="1039" w:type="dxa"/>
            <w:tcBorders>
              <w:tl2br w:val="nil"/>
              <w:tr2bl w:val="nil"/>
            </w:tcBorders>
            <w:shd w:val="clear" w:color="000000" w:fill="FFFFFF"/>
            <w:vAlign w:val="center"/>
          </w:tcPr>
          <w:p w14:paraId="717CF64A">
            <w:pPr>
              <w:widowControl/>
              <w:ind w:firstLine="0" w:firstLineChars="0"/>
              <w:jc w:val="center"/>
              <w:rPr>
                <w:rFonts w:ascii="仿宋_GB2312" w:hAnsi="宋体" w:cs="宋体"/>
                <w:kern w:val="0"/>
                <w:sz w:val="24"/>
                <w:szCs w:val="24"/>
              </w:rPr>
            </w:pPr>
            <w:r>
              <w:rPr>
                <w:rFonts w:ascii="仿宋_GB2312" w:hAnsi="宋体" w:cs="宋体"/>
                <w:kern w:val="0"/>
                <w:sz w:val="24"/>
                <w:szCs w:val="24"/>
              </w:rPr>
              <w:t>100%</w:t>
            </w:r>
          </w:p>
        </w:tc>
      </w:tr>
      <w:tr w14:paraId="2A1DF5A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14:paraId="073E1B2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效益</w:t>
            </w:r>
          </w:p>
        </w:tc>
        <w:tc>
          <w:tcPr>
            <w:tcW w:w="1984" w:type="dxa"/>
            <w:tcBorders>
              <w:tl2br w:val="nil"/>
              <w:tr2bl w:val="nil"/>
            </w:tcBorders>
            <w:shd w:val="clear" w:color="auto" w:fill="FFFFFF"/>
            <w:vAlign w:val="center"/>
          </w:tcPr>
          <w:p w14:paraId="2E6CA87B">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项目效益</w:t>
            </w:r>
          </w:p>
        </w:tc>
        <w:tc>
          <w:tcPr>
            <w:tcW w:w="2693" w:type="dxa"/>
            <w:tcBorders>
              <w:tl2br w:val="nil"/>
              <w:tr2bl w:val="nil"/>
            </w:tcBorders>
            <w:shd w:val="clear" w:color="auto" w:fill="FFFFFF"/>
            <w:vAlign w:val="center"/>
          </w:tcPr>
          <w:p w14:paraId="75FF1454">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科普活动公众参与率</w:t>
            </w:r>
          </w:p>
        </w:tc>
        <w:tc>
          <w:tcPr>
            <w:tcW w:w="898" w:type="dxa"/>
            <w:tcBorders>
              <w:tl2br w:val="nil"/>
              <w:tr2bl w:val="nil"/>
            </w:tcBorders>
            <w:shd w:val="clear" w:color="auto" w:fill="FFFFFF"/>
            <w:vAlign w:val="center"/>
          </w:tcPr>
          <w:p w14:paraId="3DBD3443">
            <w:pPr>
              <w:widowControl/>
              <w:ind w:firstLine="0" w:firstLineChars="0"/>
              <w:jc w:val="center"/>
              <w:rPr>
                <w:rFonts w:hint="eastAsia" w:ascii="仿宋_GB2312" w:hAnsi="宋体" w:eastAsia="仿宋_GB2312" w:cs="宋体"/>
                <w:kern w:val="0"/>
                <w:sz w:val="24"/>
                <w:szCs w:val="24"/>
                <w:lang w:eastAsia="zh-CN"/>
              </w:rPr>
            </w:pPr>
            <w:r>
              <w:rPr>
                <w:rFonts w:hint="eastAsia" w:ascii="仿宋_GB2312" w:hAnsi="宋体" w:cs="宋体"/>
                <w:kern w:val="0"/>
                <w:sz w:val="24"/>
                <w:szCs w:val="24"/>
                <w:lang w:val="en-US" w:eastAsia="zh-CN"/>
              </w:rPr>
              <w:t>4</w:t>
            </w:r>
          </w:p>
        </w:tc>
        <w:tc>
          <w:tcPr>
            <w:tcW w:w="898" w:type="dxa"/>
            <w:tcBorders>
              <w:tl2br w:val="nil"/>
              <w:tr2bl w:val="nil"/>
            </w:tcBorders>
            <w:shd w:val="clear" w:color="auto" w:fill="FFFFFF"/>
            <w:vAlign w:val="center"/>
          </w:tcPr>
          <w:p w14:paraId="66F4C92E">
            <w:pPr>
              <w:widowControl/>
              <w:ind w:firstLine="0" w:firstLineChars="0"/>
              <w:jc w:val="center"/>
              <w:rPr>
                <w:rFonts w:hint="eastAsia"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rPr>
              <w:t>4</w:t>
            </w:r>
          </w:p>
        </w:tc>
        <w:tc>
          <w:tcPr>
            <w:tcW w:w="1039" w:type="dxa"/>
            <w:tcBorders>
              <w:tl2br w:val="nil"/>
              <w:tr2bl w:val="nil"/>
            </w:tcBorders>
            <w:shd w:val="clear" w:color="auto" w:fill="FFFFFF"/>
            <w:vAlign w:val="center"/>
          </w:tcPr>
          <w:p w14:paraId="61351494">
            <w:pPr>
              <w:widowControl/>
              <w:ind w:firstLine="0" w:firstLineChars="0"/>
              <w:jc w:val="center"/>
              <w:rPr>
                <w:rFonts w:ascii="仿宋_GB2312" w:hAnsi="宋体" w:cs="宋体"/>
                <w:kern w:val="0"/>
                <w:sz w:val="24"/>
                <w:szCs w:val="24"/>
              </w:rPr>
            </w:pPr>
            <w:r>
              <w:rPr>
                <w:rFonts w:ascii="仿宋_GB2312" w:hAnsi="宋体" w:cs="宋体"/>
                <w:kern w:val="0"/>
                <w:sz w:val="24"/>
                <w:szCs w:val="24"/>
              </w:rPr>
              <w:t>100%</w:t>
            </w:r>
          </w:p>
        </w:tc>
      </w:tr>
      <w:tr w14:paraId="7CF3928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14:paraId="72D960B1">
            <w:pPr>
              <w:widowControl/>
              <w:ind w:firstLine="0" w:firstLineChars="0"/>
              <w:jc w:val="center"/>
              <w:rPr>
                <w:rFonts w:ascii="仿宋_GB2312" w:hAnsi="宋体" w:cs="宋体"/>
                <w:kern w:val="0"/>
                <w:sz w:val="24"/>
                <w:szCs w:val="24"/>
              </w:rPr>
            </w:pPr>
            <w:r>
              <w:rPr>
                <w:rFonts w:ascii="宋体" w:hAnsi="宋体" w:eastAsia="宋体" w:cs="宋体"/>
                <w:color w:val="000000"/>
                <w:kern w:val="0"/>
                <w:sz w:val="22"/>
              </w:rPr>
              <w:t>满意度指标完成情况分析</w:t>
            </w:r>
          </w:p>
        </w:tc>
        <w:tc>
          <w:tcPr>
            <w:tcW w:w="1984" w:type="dxa"/>
            <w:tcBorders>
              <w:tl2br w:val="nil"/>
              <w:tr2bl w:val="nil"/>
            </w:tcBorders>
            <w:shd w:val="clear" w:color="auto" w:fill="FFFFFF"/>
            <w:vAlign w:val="center"/>
          </w:tcPr>
          <w:p w14:paraId="6EDCBD57">
            <w:pPr>
              <w:widowControl/>
              <w:ind w:firstLine="0" w:firstLineChars="0"/>
              <w:jc w:val="center"/>
              <w:rPr>
                <w:rFonts w:ascii="仿宋_GB2312" w:hAnsi="宋体" w:cs="宋体"/>
                <w:kern w:val="0"/>
                <w:sz w:val="24"/>
                <w:szCs w:val="24"/>
              </w:rPr>
            </w:pPr>
            <w:r>
              <w:rPr>
                <w:rFonts w:hint="eastAsia" w:ascii="宋体" w:hAnsi="宋体" w:eastAsia="宋体" w:cs="宋体"/>
                <w:color w:val="000000"/>
                <w:kern w:val="0"/>
                <w:sz w:val="22"/>
              </w:rPr>
              <w:t>满意度指标</w:t>
            </w:r>
          </w:p>
        </w:tc>
        <w:tc>
          <w:tcPr>
            <w:tcW w:w="2693" w:type="dxa"/>
            <w:tcBorders>
              <w:tl2br w:val="nil"/>
              <w:tr2bl w:val="nil"/>
            </w:tcBorders>
            <w:shd w:val="clear" w:color="auto" w:fill="FFFFFF"/>
            <w:vAlign w:val="center"/>
          </w:tcPr>
          <w:p w14:paraId="48F0D4C6">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受益群众满意度（%）</w:t>
            </w:r>
          </w:p>
        </w:tc>
        <w:tc>
          <w:tcPr>
            <w:tcW w:w="898" w:type="dxa"/>
            <w:tcBorders>
              <w:tl2br w:val="nil"/>
              <w:tr2bl w:val="nil"/>
            </w:tcBorders>
            <w:shd w:val="clear" w:color="000000" w:fill="FFFFFF"/>
            <w:vAlign w:val="center"/>
          </w:tcPr>
          <w:p w14:paraId="464FE5FE">
            <w:pPr>
              <w:widowControl/>
              <w:ind w:firstLine="0" w:firstLineChars="0"/>
              <w:jc w:val="center"/>
              <w:rPr>
                <w:rFonts w:hint="eastAsia" w:ascii="仿宋_GB2312" w:hAnsi="宋体" w:eastAsia="仿宋_GB2312" w:cs="宋体"/>
                <w:kern w:val="0"/>
                <w:sz w:val="24"/>
                <w:szCs w:val="24"/>
                <w:lang w:eastAsia="zh-CN"/>
              </w:rPr>
            </w:pPr>
            <w:r>
              <w:rPr>
                <w:rFonts w:hint="eastAsia" w:ascii="仿宋_GB2312" w:hAnsi="宋体" w:cs="宋体"/>
                <w:kern w:val="0"/>
                <w:sz w:val="24"/>
                <w:szCs w:val="24"/>
                <w:lang w:val="en-US" w:eastAsia="zh-CN"/>
              </w:rPr>
              <w:t>4</w:t>
            </w:r>
          </w:p>
        </w:tc>
        <w:tc>
          <w:tcPr>
            <w:tcW w:w="898" w:type="dxa"/>
            <w:tcBorders>
              <w:tl2br w:val="nil"/>
              <w:tr2bl w:val="nil"/>
            </w:tcBorders>
            <w:shd w:val="clear" w:color="000000" w:fill="FFFFFF"/>
            <w:vAlign w:val="center"/>
          </w:tcPr>
          <w:p w14:paraId="6871B967">
            <w:pPr>
              <w:widowControl/>
              <w:ind w:firstLine="0" w:firstLineChars="0"/>
              <w:jc w:val="center"/>
              <w:rPr>
                <w:rFonts w:hint="eastAsia"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rPr>
              <w:t>4</w:t>
            </w:r>
          </w:p>
        </w:tc>
        <w:tc>
          <w:tcPr>
            <w:tcW w:w="1039" w:type="dxa"/>
            <w:tcBorders>
              <w:tl2br w:val="nil"/>
              <w:tr2bl w:val="nil"/>
            </w:tcBorders>
            <w:shd w:val="clear" w:color="000000" w:fill="FFFFFF"/>
            <w:vAlign w:val="center"/>
          </w:tcPr>
          <w:p w14:paraId="3277F2F2">
            <w:pPr>
              <w:widowControl/>
              <w:ind w:firstLine="0" w:firstLineChars="0"/>
              <w:jc w:val="center"/>
              <w:rPr>
                <w:rFonts w:ascii="仿宋_GB2312" w:hAnsi="宋体" w:cs="宋体"/>
                <w:kern w:val="0"/>
                <w:sz w:val="24"/>
                <w:szCs w:val="24"/>
              </w:rPr>
            </w:pPr>
            <w:r>
              <w:rPr>
                <w:rFonts w:ascii="仿宋_GB2312" w:hAnsi="宋体" w:cs="宋体"/>
                <w:kern w:val="0"/>
                <w:sz w:val="24"/>
                <w:szCs w:val="24"/>
              </w:rPr>
              <w:t>100%</w:t>
            </w:r>
          </w:p>
        </w:tc>
      </w:tr>
    </w:tbl>
    <w:p w14:paraId="5EA6F5C4">
      <w:pPr>
        <w:pStyle w:val="3"/>
        <w:ind w:firstLine="643"/>
        <w:rPr>
          <w:rFonts w:ascii="仿宋" w:hAnsi="仿宋" w:eastAsia="仿宋"/>
          <w:highlight w:val="none"/>
          <w:lang w:bidi="en-US"/>
        </w:rPr>
      </w:pPr>
      <w:bookmarkStart w:id="31" w:name="_Toc67911610"/>
      <w:bookmarkStart w:id="32" w:name="_Toc196487551"/>
      <w:r>
        <w:rPr>
          <w:rFonts w:hint="eastAsia" w:ascii="仿宋" w:hAnsi="仿宋" w:eastAsia="仿宋"/>
          <w:lang w:bidi="en-US"/>
        </w:rPr>
        <w:t>（二）主要绩效</w:t>
      </w:r>
      <w:bookmarkEnd w:id="31"/>
      <w:bookmarkEnd w:id="32"/>
    </w:p>
    <w:p w14:paraId="1FD63B4E">
      <w:pPr>
        <w:pStyle w:val="5"/>
        <w:keepNext w:val="0"/>
        <w:keepLines w:val="0"/>
        <w:pageBreakBefore w:val="0"/>
        <w:widowControl w:val="0"/>
        <w:kinsoku/>
        <w:wordWrap/>
        <w:overflowPunct/>
        <w:topLinePunct w:val="0"/>
        <w:autoSpaceDE/>
        <w:autoSpaceDN/>
        <w:bidi w:val="0"/>
        <w:adjustRightInd/>
        <w:snapToGrid/>
        <w:spacing w:line="520" w:lineRule="exact"/>
        <w:ind w:left="0" w:leftChars="0" w:firstLine="560" w:firstLineChars="200"/>
        <w:textAlignment w:val="auto"/>
        <w:rPr>
          <w:rFonts w:hint="eastAsia" w:ascii="仿宋_GB2312"/>
          <w:bCs/>
          <w:color w:val="000000"/>
          <w:szCs w:val="28"/>
        </w:rPr>
      </w:pPr>
      <w:r>
        <w:rPr>
          <w:rFonts w:hint="eastAsia" w:ascii="仿宋_GB2312"/>
          <w:bCs/>
          <w:szCs w:val="28"/>
          <w:highlight w:val="none"/>
        </w:rPr>
        <w:t>该项目资金</w:t>
      </w:r>
      <w:r>
        <w:rPr>
          <w:rFonts w:hint="eastAsia" w:ascii="仿宋_GB2312"/>
          <w:bCs/>
          <w:szCs w:val="28"/>
          <w:highlight w:val="none"/>
          <w:lang w:val="en-US" w:eastAsia="zh-CN"/>
        </w:rPr>
        <w:t>市</w:t>
      </w:r>
      <w:r>
        <w:rPr>
          <w:rFonts w:hint="eastAsia" w:ascii="仿宋_GB2312"/>
          <w:bCs/>
          <w:szCs w:val="28"/>
          <w:highlight w:val="none"/>
        </w:rPr>
        <w:t>财政及时拨付，单位在此次评价期间内，有序完成设定目标的部分工作任务，</w:t>
      </w:r>
      <w:r>
        <w:rPr>
          <w:rFonts w:hint="eastAsia" w:ascii="仿宋_GB2312"/>
          <w:bCs/>
          <w:szCs w:val="28"/>
          <w:highlight w:val="none"/>
          <w:lang w:val="en-US" w:eastAsia="zh-CN"/>
        </w:rPr>
        <w:t>完成了各项科普宣传活动及奖补活动，进一步加强基层科普能力建设，加强基层科普组织和人才队伍建设推动科学文化传播，提升优质科普内容资源传播能力，</w:t>
      </w:r>
      <w:r>
        <w:rPr>
          <w:rFonts w:hint="eastAsia" w:ascii="仿宋_GB2312"/>
          <w:bCs/>
          <w:color w:val="000000"/>
          <w:szCs w:val="28"/>
        </w:rPr>
        <w:t>具体情况如下：</w:t>
      </w:r>
    </w:p>
    <w:p w14:paraId="27B8749D">
      <w:pPr>
        <w:keepNext w:val="0"/>
        <w:keepLines w:val="0"/>
        <w:pageBreakBefore w:val="0"/>
        <w:numPr>
          <w:ilvl w:val="0"/>
          <w:numId w:val="0"/>
        </w:numPr>
        <w:kinsoku/>
        <w:wordWrap/>
        <w:overflowPunct/>
        <w:topLinePunct w:val="0"/>
        <w:autoSpaceDE/>
        <w:autoSpaceDN/>
        <w:bidi w:val="0"/>
        <w:adjustRightInd/>
        <w:snapToGrid w:val="0"/>
        <w:spacing w:beforeAutospacing="0" w:afterAutospacing="0" w:line="560" w:lineRule="exact"/>
        <w:ind w:firstLine="560" w:firstLineChars="200"/>
        <w:textAlignment w:val="auto"/>
        <w:rPr>
          <w:rFonts w:hint="default" w:ascii="仿宋_GB2312"/>
          <w:bCs/>
          <w:szCs w:val="28"/>
          <w:highlight w:val="none"/>
          <w:lang w:val="en-US" w:eastAsia="zh-CN"/>
        </w:rPr>
      </w:pPr>
      <w:r>
        <w:rPr>
          <w:rFonts w:hint="eastAsia" w:ascii="仿宋_GB2312" w:hAnsi="Times New Roman" w:eastAsia="仿宋_GB2312" w:cs="Times New Roman"/>
          <w:bCs/>
          <w:kern w:val="2"/>
          <w:sz w:val="28"/>
          <w:szCs w:val="28"/>
          <w:highlight w:val="none"/>
          <w:lang w:val="en-US" w:eastAsia="zh-CN" w:bidi="ar-SA"/>
        </w:rPr>
        <w:t>一是</w:t>
      </w:r>
      <w:r>
        <w:rPr>
          <w:rFonts w:hint="eastAsia" w:ascii="仿宋_GB2312" w:hAnsi="Times New Roman" w:cs="Times New Roman"/>
          <w:bCs/>
          <w:kern w:val="2"/>
          <w:sz w:val="28"/>
          <w:szCs w:val="28"/>
          <w:highlight w:val="none"/>
          <w:lang w:val="en-US" w:eastAsia="zh-CN" w:bidi="ar-SA"/>
        </w:rPr>
        <w:t>支出</w:t>
      </w:r>
      <w:r>
        <w:rPr>
          <w:rFonts w:hint="eastAsia" w:ascii="仿宋_GB2312"/>
          <w:bCs/>
          <w:szCs w:val="28"/>
          <w:highlight w:val="none"/>
          <w:lang w:val="en-US" w:eastAsia="zh-CN"/>
        </w:rPr>
        <w:t>20.3万元积极开展科普文化传播活动，在新疆国际会展中心</w:t>
      </w:r>
      <w:r>
        <w:rPr>
          <w:rFonts w:hint="default" w:ascii="仿宋_GB2312"/>
          <w:bCs/>
          <w:szCs w:val="28"/>
          <w:highlight w:val="none"/>
          <w:lang w:val="en-US" w:eastAsia="zh-CN"/>
        </w:rPr>
        <w:t>联合举办乌鲁木齐市青少年科技创新大赛暨</w:t>
      </w:r>
      <w:r>
        <w:rPr>
          <w:rFonts w:hint="eastAsia" w:ascii="仿宋_GB2312"/>
          <w:bCs/>
          <w:szCs w:val="28"/>
          <w:highlight w:val="none"/>
          <w:lang w:val="en-US" w:eastAsia="zh-CN"/>
        </w:rPr>
        <w:t>科技</w:t>
      </w:r>
      <w:r>
        <w:rPr>
          <w:rFonts w:hint="default" w:ascii="仿宋_GB2312"/>
          <w:bCs/>
          <w:szCs w:val="28"/>
          <w:highlight w:val="none"/>
          <w:lang w:val="en-US" w:eastAsia="zh-CN"/>
        </w:rPr>
        <w:t>成果展览</w:t>
      </w:r>
      <w:r>
        <w:rPr>
          <w:rFonts w:hint="eastAsia" w:ascii="仿宋_GB2312"/>
          <w:bCs/>
          <w:szCs w:val="28"/>
          <w:highlight w:val="none"/>
          <w:lang w:val="en-US" w:eastAsia="zh-CN"/>
        </w:rPr>
        <w:t>活动</w:t>
      </w:r>
      <w:r>
        <w:rPr>
          <w:rFonts w:hint="default" w:ascii="仿宋_GB2312"/>
          <w:bCs/>
          <w:szCs w:val="28"/>
          <w:highlight w:val="none"/>
          <w:lang w:val="en-US" w:eastAsia="zh-CN"/>
        </w:rPr>
        <w:t>。</w:t>
      </w:r>
      <w:r>
        <w:rPr>
          <w:rFonts w:hint="eastAsia" w:ascii="仿宋_GB2312"/>
          <w:bCs/>
          <w:szCs w:val="28"/>
          <w:highlight w:val="none"/>
          <w:lang w:val="en-US" w:eastAsia="zh-CN"/>
        </w:rPr>
        <w:t>乌鲁木齐市4.3万名青少年报名参</w:t>
      </w:r>
      <w:r>
        <w:rPr>
          <w:rFonts w:hint="default" w:ascii="仿宋_GB2312"/>
          <w:bCs/>
          <w:szCs w:val="28"/>
          <w:highlight w:val="none"/>
          <w:lang w:val="en-US" w:eastAsia="zh-CN"/>
        </w:rPr>
        <w:t>赛</w:t>
      </w:r>
      <w:r>
        <w:rPr>
          <w:rFonts w:hint="eastAsia" w:ascii="仿宋_GB2312"/>
          <w:bCs/>
          <w:szCs w:val="28"/>
          <w:highlight w:val="none"/>
          <w:lang w:val="en-US" w:eastAsia="zh-CN"/>
        </w:rPr>
        <w:t>，3517名青少年现场竞技。比赛内容涉及青少年科技模型教育竞赛、青少年航天创新大赛、青少年信息素养大赛、青少年3D创意设计大赛等6项大赛项目。科技成果展示现场，</w:t>
      </w:r>
      <w:r>
        <w:rPr>
          <w:rFonts w:hint="default" w:ascii="仿宋_GB2312"/>
          <w:bCs/>
          <w:szCs w:val="28"/>
          <w:highlight w:val="none"/>
          <w:lang w:val="en-US" w:eastAsia="zh-CN"/>
        </w:rPr>
        <w:t>科技特色学校、</w:t>
      </w:r>
      <w:r>
        <w:rPr>
          <w:rFonts w:hint="eastAsia" w:ascii="仿宋_GB2312"/>
          <w:bCs/>
          <w:szCs w:val="28"/>
          <w:highlight w:val="none"/>
          <w:lang w:val="en-US" w:eastAsia="zh-CN"/>
        </w:rPr>
        <w:t>科普教育基地、企业科协</w:t>
      </w:r>
      <w:r>
        <w:rPr>
          <w:rFonts w:hint="default" w:ascii="仿宋_GB2312"/>
          <w:bCs/>
          <w:szCs w:val="28"/>
          <w:highlight w:val="none"/>
          <w:lang w:val="en-US" w:eastAsia="zh-CN"/>
        </w:rPr>
        <w:t>等</w:t>
      </w:r>
      <w:r>
        <w:rPr>
          <w:rFonts w:hint="eastAsia" w:ascii="仿宋_GB2312"/>
          <w:bCs/>
          <w:szCs w:val="28"/>
          <w:highlight w:val="none"/>
          <w:lang w:val="en-US" w:eastAsia="zh-CN"/>
        </w:rPr>
        <w:t>122家单位分11个区域集中设置展位开展了反电诈、</w:t>
      </w:r>
      <w:r>
        <w:rPr>
          <w:rFonts w:hint="default" w:ascii="仿宋_GB2312"/>
          <w:bCs/>
          <w:szCs w:val="28"/>
          <w:highlight w:val="none"/>
          <w:lang w:val="en-US" w:eastAsia="zh-CN"/>
        </w:rPr>
        <w:t>反邪教</w:t>
      </w:r>
      <w:r>
        <w:rPr>
          <w:rFonts w:hint="eastAsia" w:ascii="仿宋_GB2312"/>
          <w:bCs/>
          <w:szCs w:val="28"/>
          <w:highlight w:val="none"/>
          <w:lang w:val="en-US" w:eastAsia="zh-CN"/>
        </w:rPr>
        <w:t>等</w:t>
      </w:r>
      <w:r>
        <w:rPr>
          <w:rFonts w:hint="default" w:ascii="仿宋_GB2312"/>
          <w:bCs/>
          <w:szCs w:val="28"/>
          <w:highlight w:val="none"/>
          <w:lang w:val="en-US" w:eastAsia="zh-CN"/>
        </w:rPr>
        <w:t>科普宣传</w:t>
      </w:r>
      <w:r>
        <w:rPr>
          <w:rFonts w:hint="eastAsia" w:ascii="仿宋_GB2312"/>
          <w:bCs/>
          <w:szCs w:val="28"/>
          <w:highlight w:val="none"/>
          <w:lang w:val="en-US" w:eastAsia="zh-CN"/>
        </w:rPr>
        <w:t>和</w:t>
      </w:r>
      <w:r>
        <w:rPr>
          <w:rFonts w:hint="default" w:ascii="仿宋_GB2312"/>
          <w:bCs/>
          <w:szCs w:val="28"/>
          <w:highlight w:val="none"/>
          <w:lang w:val="en-US" w:eastAsia="zh-CN"/>
        </w:rPr>
        <w:t>卫生健康</w:t>
      </w:r>
      <w:r>
        <w:rPr>
          <w:rFonts w:hint="eastAsia" w:ascii="仿宋_GB2312"/>
          <w:bCs/>
          <w:szCs w:val="28"/>
          <w:highlight w:val="none"/>
          <w:lang w:val="en-US" w:eastAsia="zh-CN"/>
        </w:rPr>
        <w:t>、</w:t>
      </w:r>
      <w:r>
        <w:rPr>
          <w:rFonts w:hint="default" w:ascii="仿宋_GB2312"/>
          <w:bCs/>
          <w:szCs w:val="28"/>
          <w:highlight w:val="none"/>
          <w:lang w:val="en-US" w:eastAsia="zh-CN"/>
        </w:rPr>
        <w:t>食品安全</w:t>
      </w:r>
      <w:r>
        <w:rPr>
          <w:rFonts w:hint="eastAsia" w:ascii="仿宋_GB2312"/>
          <w:bCs/>
          <w:szCs w:val="28"/>
          <w:highlight w:val="none"/>
          <w:lang w:val="en-US" w:eastAsia="zh-CN"/>
        </w:rPr>
        <w:t>等</w:t>
      </w:r>
      <w:r>
        <w:rPr>
          <w:rFonts w:hint="default" w:ascii="仿宋_GB2312"/>
          <w:bCs/>
          <w:szCs w:val="28"/>
          <w:highlight w:val="none"/>
          <w:lang w:val="en-US" w:eastAsia="zh-CN"/>
        </w:rPr>
        <w:t>现场咨询服务活动，</w:t>
      </w:r>
      <w:r>
        <w:rPr>
          <w:rFonts w:hint="eastAsia" w:ascii="仿宋_GB2312"/>
          <w:bCs/>
          <w:szCs w:val="28"/>
          <w:highlight w:val="none"/>
          <w:lang w:val="en-US" w:eastAsia="zh-CN"/>
        </w:rPr>
        <w:t>天文、航空、电子、人工智能等高科技成果展示吸引了大批青少年的围观，</w:t>
      </w:r>
      <w:r>
        <w:rPr>
          <w:rFonts w:hint="default" w:ascii="仿宋_GB2312"/>
          <w:bCs/>
          <w:szCs w:val="28"/>
          <w:highlight w:val="none"/>
          <w:lang w:val="en-US" w:eastAsia="zh-CN"/>
        </w:rPr>
        <w:t>2</w:t>
      </w:r>
      <w:r>
        <w:rPr>
          <w:rFonts w:hint="eastAsia" w:ascii="仿宋_GB2312"/>
          <w:bCs/>
          <w:szCs w:val="28"/>
          <w:highlight w:val="none"/>
          <w:lang w:val="en-US" w:eastAsia="zh-CN"/>
        </w:rPr>
        <w:t>万余人参与了现场活动，41.5万余人通过石榴云、红山眼APP、新疆科协等融媒体平台观看了现场直播。活动激发了青少年的创新热情，拓展了科学视野，有效引导了青少年融入现代文明生活，真正让科普知识“飞入寻常百姓家”，营造了讲科学、爱科学、学科学、用科学的浓厚社会氛围。</w:t>
      </w:r>
    </w:p>
    <w:p w14:paraId="6EC78C56">
      <w:pPr>
        <w:pStyle w:val="5"/>
        <w:keepNext w:val="0"/>
        <w:keepLines w:val="0"/>
        <w:pageBreakBefore w:val="0"/>
        <w:widowControl w:val="0"/>
        <w:kinsoku/>
        <w:wordWrap/>
        <w:overflowPunct/>
        <w:topLinePunct w:val="0"/>
        <w:autoSpaceDE/>
        <w:autoSpaceDN/>
        <w:bidi w:val="0"/>
        <w:adjustRightInd/>
        <w:snapToGrid/>
        <w:spacing w:line="520" w:lineRule="exact"/>
        <w:ind w:left="0" w:leftChars="0" w:firstLine="560" w:firstLineChars="200"/>
        <w:textAlignment w:val="auto"/>
        <w:rPr>
          <w:rFonts w:hint="default" w:ascii="仿宋_GB2312"/>
          <w:bCs/>
          <w:szCs w:val="28"/>
          <w:highlight w:val="none"/>
          <w:lang w:val="en-US" w:eastAsia="zh-CN"/>
        </w:rPr>
      </w:pPr>
      <w:r>
        <w:rPr>
          <w:rFonts w:hint="eastAsia" w:ascii="仿宋_GB2312"/>
          <w:bCs/>
          <w:szCs w:val="28"/>
          <w:highlight w:val="none"/>
          <w:lang w:val="en-US" w:eastAsia="zh-CN"/>
        </w:rPr>
        <w:t>二是支出1.7万元，和2024年中央的“基层科普行动计划”资金4万元，合计5.7万元用于拍摄两部科普视频。对2024年乌鲁木齐开展的系列科普活动进行全面广泛的宣传。通过短视频在融媒体等平台的播放，扩大了乌鲁木齐市科普工作的宣传范围和影响力。</w:t>
      </w:r>
    </w:p>
    <w:p w14:paraId="122B8613">
      <w:pPr>
        <w:pStyle w:val="5"/>
        <w:keepNext w:val="0"/>
        <w:keepLines w:val="0"/>
        <w:pageBreakBefore w:val="0"/>
        <w:widowControl w:val="0"/>
        <w:kinsoku/>
        <w:wordWrap/>
        <w:overflowPunct/>
        <w:topLinePunct w:val="0"/>
        <w:autoSpaceDE/>
        <w:autoSpaceDN/>
        <w:bidi w:val="0"/>
        <w:adjustRightInd/>
        <w:snapToGrid/>
        <w:spacing w:line="520" w:lineRule="exact"/>
        <w:ind w:left="0" w:leftChars="0" w:firstLine="560" w:firstLineChars="200"/>
        <w:textAlignment w:val="auto"/>
        <w:rPr>
          <w:rFonts w:hint="eastAsia" w:ascii="仿宋_GB2312"/>
          <w:bCs/>
          <w:szCs w:val="28"/>
          <w:highlight w:val="none"/>
          <w:lang w:eastAsia="zh-CN"/>
        </w:rPr>
      </w:pPr>
      <w:r>
        <w:rPr>
          <w:rFonts w:hint="eastAsia" w:ascii="仿宋_GB2312"/>
          <w:bCs/>
          <w:szCs w:val="28"/>
          <w:highlight w:val="none"/>
          <w:lang w:val="en-US" w:eastAsia="zh-CN"/>
        </w:rPr>
        <w:t>三是支出25万元积极开展奖补工作，，</w:t>
      </w:r>
      <w:r>
        <w:rPr>
          <w:rFonts w:hint="default" w:ascii="仿宋_GB2312"/>
          <w:bCs/>
          <w:szCs w:val="28"/>
          <w:highlight w:val="none"/>
        </w:rPr>
        <w:t>乌鲁木齐市科协按照《基层科普行动计划专项资金管理办法》组织实施“基层科普行动计划”。</w:t>
      </w:r>
      <w:r>
        <w:rPr>
          <w:rFonts w:hint="default" w:ascii="仿宋_GB2312"/>
          <w:bCs/>
          <w:szCs w:val="28"/>
          <w:highlight w:val="none"/>
          <w:lang w:eastAsia="zh-CN"/>
        </w:rPr>
        <w:t>经</w:t>
      </w:r>
      <w:r>
        <w:rPr>
          <w:rFonts w:hint="eastAsia" w:ascii="仿宋_GB2312"/>
          <w:bCs/>
          <w:szCs w:val="28"/>
          <w:highlight w:val="none"/>
          <w:lang w:eastAsia="zh-CN"/>
        </w:rPr>
        <w:t>区县科协</w:t>
      </w:r>
      <w:r>
        <w:rPr>
          <w:rFonts w:hint="default" w:ascii="仿宋_GB2312"/>
          <w:bCs/>
          <w:szCs w:val="28"/>
          <w:highlight w:val="none"/>
        </w:rPr>
        <w:t>推荐、</w:t>
      </w:r>
      <w:r>
        <w:rPr>
          <w:rFonts w:hint="eastAsia" w:ascii="仿宋_GB2312"/>
          <w:bCs/>
          <w:szCs w:val="28"/>
          <w:highlight w:val="none"/>
          <w:lang w:eastAsia="zh-CN"/>
        </w:rPr>
        <w:t>市科协</w:t>
      </w:r>
      <w:r>
        <w:rPr>
          <w:rFonts w:hint="default" w:ascii="仿宋_GB2312"/>
          <w:bCs/>
          <w:szCs w:val="28"/>
          <w:highlight w:val="none"/>
        </w:rPr>
        <w:t>评审，综合考量</w:t>
      </w:r>
      <w:r>
        <w:rPr>
          <w:rFonts w:hint="eastAsia" w:ascii="仿宋_GB2312"/>
          <w:bCs/>
          <w:szCs w:val="28"/>
          <w:highlight w:val="none"/>
          <w:lang w:eastAsia="zh-CN"/>
        </w:rPr>
        <w:t>各级科普教育基地</w:t>
      </w:r>
      <w:r>
        <w:rPr>
          <w:rFonts w:hint="default" w:ascii="仿宋_GB2312"/>
          <w:bCs/>
          <w:szCs w:val="28"/>
          <w:highlight w:val="none"/>
        </w:rPr>
        <w:t>组织开展科普活动的数量、公众参与度、社会影响力、组织单位积极性等方面因素，对</w:t>
      </w:r>
      <w:r>
        <w:rPr>
          <w:rFonts w:hint="eastAsia" w:ascii="仿宋_GB2312"/>
          <w:bCs/>
          <w:szCs w:val="28"/>
          <w:highlight w:val="none"/>
          <w:lang w:val="en-US" w:eastAsia="zh-CN"/>
        </w:rPr>
        <w:t>23</w:t>
      </w:r>
      <w:r>
        <w:rPr>
          <w:rFonts w:hint="default" w:ascii="仿宋_GB2312"/>
          <w:bCs/>
          <w:szCs w:val="28"/>
          <w:highlight w:val="none"/>
        </w:rPr>
        <w:t>家</w:t>
      </w:r>
      <w:r>
        <w:rPr>
          <w:rFonts w:hint="eastAsia" w:ascii="仿宋_GB2312"/>
          <w:bCs/>
          <w:szCs w:val="28"/>
          <w:highlight w:val="none"/>
          <w:lang w:eastAsia="zh-CN"/>
        </w:rPr>
        <w:t>科普教育基地、</w:t>
      </w:r>
      <w:r>
        <w:rPr>
          <w:rFonts w:hint="eastAsia" w:ascii="仿宋_GB2312"/>
          <w:bCs/>
          <w:szCs w:val="28"/>
          <w:highlight w:val="none"/>
          <w:lang w:val="en-US" w:eastAsia="zh-CN"/>
        </w:rPr>
        <w:t>10家科技特色学校</w:t>
      </w:r>
      <w:r>
        <w:rPr>
          <w:rFonts w:hint="default" w:ascii="仿宋_GB2312"/>
          <w:bCs/>
          <w:szCs w:val="28"/>
          <w:highlight w:val="none"/>
        </w:rPr>
        <w:t>进行</w:t>
      </w:r>
      <w:r>
        <w:rPr>
          <w:rFonts w:hint="eastAsia" w:ascii="仿宋_GB2312"/>
          <w:bCs/>
          <w:szCs w:val="28"/>
          <w:highlight w:val="none"/>
          <w:lang w:eastAsia="zh-CN"/>
        </w:rPr>
        <w:t>了</w:t>
      </w:r>
      <w:r>
        <w:rPr>
          <w:rFonts w:hint="default" w:ascii="仿宋_GB2312"/>
          <w:bCs/>
          <w:szCs w:val="28"/>
          <w:highlight w:val="none"/>
        </w:rPr>
        <w:t>表彰</w:t>
      </w:r>
      <w:r>
        <w:rPr>
          <w:rFonts w:hint="eastAsia" w:ascii="仿宋_GB2312"/>
          <w:bCs/>
          <w:szCs w:val="28"/>
          <w:highlight w:val="none"/>
          <w:lang w:val="en-US" w:eastAsia="zh-CN"/>
        </w:rPr>
        <w:t>，</w:t>
      </w:r>
      <w:r>
        <w:rPr>
          <w:rFonts w:hint="eastAsia" w:ascii="仿宋_GB2312"/>
          <w:bCs/>
          <w:szCs w:val="28"/>
          <w:highlight w:val="none"/>
          <w:lang w:eastAsia="zh-CN"/>
        </w:rPr>
        <w:t>表彰其示范引领作用。通过表彰科普教育基地和科技特色学校，</w:t>
      </w:r>
      <w:r>
        <w:rPr>
          <w:rFonts w:hint="default" w:ascii="仿宋_GB2312"/>
          <w:bCs/>
          <w:szCs w:val="28"/>
          <w:highlight w:val="none"/>
          <w:lang w:eastAsia="zh-CN"/>
        </w:rPr>
        <w:t>充分调动全社会深入基层、贴近实际、贴近生活、贴近群众开展科普工作的积极性和创造性，让科普公共服务持续惠及广大基层群众</w:t>
      </w:r>
      <w:r>
        <w:rPr>
          <w:rFonts w:hint="eastAsia" w:ascii="仿宋_GB2312"/>
          <w:bCs/>
          <w:szCs w:val="28"/>
          <w:highlight w:val="none"/>
          <w:lang w:eastAsia="zh-CN"/>
        </w:rPr>
        <w:t>。</w:t>
      </w:r>
    </w:p>
    <w:p w14:paraId="46FDEBCC">
      <w:pPr>
        <w:spacing w:line="360" w:lineRule="auto"/>
        <w:ind w:firstLine="548" w:firstLineChars="196"/>
        <w:rPr>
          <w:rFonts w:ascii="仿宋_GB2312"/>
          <w:bCs/>
          <w:szCs w:val="28"/>
          <w:highlight w:val="yellow"/>
        </w:rPr>
      </w:pPr>
    </w:p>
    <w:p w14:paraId="1E38B0E5">
      <w:pPr>
        <w:pStyle w:val="2"/>
        <w:ind w:firstLine="0" w:firstLineChars="0"/>
        <w:jc w:val="left"/>
        <w:rPr>
          <w:rFonts w:ascii="仿宋" w:hAnsi="仿宋" w:eastAsia="仿宋"/>
          <w:sz w:val="36"/>
          <w:szCs w:val="36"/>
          <w:lang w:bidi="en-US"/>
        </w:rPr>
      </w:pPr>
      <w:bookmarkStart w:id="33" w:name="_Toc67911611"/>
      <w:bookmarkStart w:id="34" w:name="_Toc196487552"/>
      <w:r>
        <w:rPr>
          <w:rFonts w:hint="eastAsia" w:ascii="仿宋" w:hAnsi="仿宋" w:eastAsia="仿宋"/>
          <w:sz w:val="36"/>
          <w:szCs w:val="36"/>
          <w:lang w:bidi="en-US"/>
        </w:rPr>
        <w:t>四、绩效评价指标分析</w:t>
      </w:r>
      <w:bookmarkEnd w:id="33"/>
      <w:bookmarkEnd w:id="34"/>
    </w:p>
    <w:p w14:paraId="7FD625C5">
      <w:pPr>
        <w:pStyle w:val="3"/>
        <w:ind w:firstLine="643"/>
        <w:rPr>
          <w:rFonts w:ascii="仿宋" w:hAnsi="仿宋" w:eastAsia="仿宋"/>
          <w:lang w:bidi="en-US"/>
        </w:rPr>
      </w:pPr>
      <w:bookmarkStart w:id="35" w:name="_Toc196487553"/>
      <w:bookmarkStart w:id="36" w:name="_Toc67911612"/>
      <w:r>
        <w:rPr>
          <w:rFonts w:hint="eastAsia" w:ascii="仿宋" w:hAnsi="仿宋" w:eastAsia="仿宋"/>
          <w:lang w:bidi="en-US"/>
        </w:rPr>
        <w:t>（一）项目决策情况</w:t>
      </w:r>
      <w:bookmarkEnd w:id="35"/>
      <w:bookmarkEnd w:id="36"/>
    </w:p>
    <w:p w14:paraId="1237DDFC">
      <w:pPr>
        <w:spacing w:line="360" w:lineRule="auto"/>
        <w:ind w:firstLine="560"/>
        <w:rPr>
          <w:rFonts w:ascii="仿宋_GB2312"/>
          <w:szCs w:val="28"/>
        </w:rPr>
      </w:pPr>
      <w:r>
        <w:rPr>
          <w:rFonts w:hint="eastAsia" w:ascii="仿宋_GB2312"/>
          <w:szCs w:val="28"/>
        </w:rPr>
        <w:t>项目决算指标由3个二级指标和6个三级指标构成，权重为</w:t>
      </w:r>
      <w:r>
        <w:rPr>
          <w:rFonts w:ascii="仿宋_GB2312"/>
          <w:szCs w:val="28"/>
        </w:rPr>
        <w:t>20</w:t>
      </w:r>
      <w:r>
        <w:rPr>
          <w:rFonts w:hint="eastAsia" w:ascii="仿宋_GB2312"/>
          <w:szCs w:val="28"/>
        </w:rPr>
        <w:t>分，实际得分</w:t>
      </w:r>
      <w:r>
        <w:rPr>
          <w:rFonts w:hint="eastAsia" w:ascii="仿宋_GB2312"/>
          <w:szCs w:val="28"/>
          <w:lang w:val="en-US" w:eastAsia="zh-CN"/>
        </w:rPr>
        <w:t>20</w:t>
      </w:r>
      <w:r>
        <w:rPr>
          <w:rFonts w:hint="eastAsia" w:ascii="仿宋_GB2312"/>
          <w:szCs w:val="28"/>
        </w:rPr>
        <w:t>分。</w:t>
      </w:r>
    </w:p>
    <w:p w14:paraId="06811CB2">
      <w:pPr>
        <w:pStyle w:val="4"/>
        <w:ind w:firstLine="643"/>
        <w:rPr>
          <w:rFonts w:hint="eastAsia" w:ascii="仿宋_GB2312" w:hAnsi="Calibri" w:eastAsia="仿宋_GB2312" w:cs="黑体"/>
          <w:b w:val="0"/>
          <w:bCs w:val="0"/>
          <w:kern w:val="2"/>
          <w:sz w:val="28"/>
          <w:szCs w:val="28"/>
          <w:lang w:val="en-US" w:eastAsia="zh-CN" w:bidi="ar-SA"/>
        </w:rPr>
      </w:pPr>
      <w:bookmarkStart w:id="37" w:name="_Toc196487554"/>
      <w:r>
        <w:t>1.</w:t>
      </w:r>
      <w:r>
        <w:rPr>
          <w:rFonts w:hint="eastAsia"/>
        </w:rPr>
        <w:t>项目立项</w:t>
      </w:r>
      <w:bookmarkEnd w:id="37"/>
    </w:p>
    <w:p w14:paraId="14AAF863">
      <w:pPr>
        <w:spacing w:line="360" w:lineRule="auto"/>
        <w:ind w:firstLine="562"/>
        <w:rPr>
          <w:rFonts w:ascii="仿宋_GB2312"/>
          <w:szCs w:val="28"/>
        </w:rPr>
      </w:pPr>
      <w:r>
        <w:rPr>
          <w:rFonts w:hint="eastAsia" w:ascii="仿宋_GB2312"/>
          <w:b/>
          <w:bCs/>
          <w:szCs w:val="28"/>
        </w:rPr>
        <w:t>立项依据充分性：</w:t>
      </w:r>
      <w:r>
        <w:rPr>
          <w:rFonts w:hint="eastAsia" w:ascii="仿宋_GB2312"/>
          <w:szCs w:val="28"/>
        </w:rPr>
        <w:t>项目立项符合</w:t>
      </w:r>
      <w:r>
        <w:rPr>
          <w:rFonts w:hint="eastAsia" w:ascii="仿宋_GB2312"/>
          <w:szCs w:val="28"/>
          <w:lang w:val="en-US" w:eastAsia="zh-CN"/>
        </w:rPr>
        <w:t>自治区科协《关于2024年全国和自治区“基层科普行动计划”项目资金分配及管理使用的通知》（新科协发【2023】185号）规定</w:t>
      </w:r>
      <w:r>
        <w:rPr>
          <w:rFonts w:hint="eastAsia" w:ascii="仿宋_GB2312"/>
          <w:szCs w:val="28"/>
        </w:rPr>
        <w:t>。同时，项目与部门职责范围相符，</w:t>
      </w:r>
      <w:r>
        <w:rPr>
          <w:rFonts w:hint="eastAsia" w:ascii="仿宋" w:hAnsi="仿宋" w:eastAsia="仿宋"/>
          <w:color w:val="000000"/>
          <w:sz w:val="28"/>
          <w:szCs w:val="28"/>
        </w:rPr>
        <w:t>向公众普及科学技术知识，传播科学思想和方法，倡导科学精神，宣传科学技术成就；开展科普展览、科学实验、学术交流等科普教育活动，提高公众科学文化素质</w:t>
      </w:r>
      <w:r>
        <w:rPr>
          <w:rFonts w:hint="eastAsia" w:ascii="仿宋_GB2312"/>
          <w:szCs w:val="28"/>
        </w:rPr>
        <w:t>。此外，本项目属于公共财政支持范围，符合地方事权支出责任划分原则。因此，立项依据充分，得4分。</w:t>
      </w:r>
    </w:p>
    <w:p w14:paraId="47F5F2C3">
      <w:pPr>
        <w:spacing w:line="360" w:lineRule="auto"/>
        <w:ind w:firstLine="562"/>
        <w:rPr>
          <w:rFonts w:ascii="仿宋_GB2312"/>
          <w:color w:val="auto"/>
          <w:szCs w:val="28"/>
        </w:rPr>
      </w:pPr>
      <w:r>
        <w:rPr>
          <w:rFonts w:hint="eastAsia" w:ascii="仿宋_GB2312"/>
          <w:b/>
          <w:bCs/>
          <w:szCs w:val="28"/>
        </w:rPr>
        <w:t>立项程序规范性</w:t>
      </w:r>
      <w:r>
        <w:rPr>
          <w:rFonts w:ascii="仿宋_GB2312"/>
          <w:b/>
          <w:bCs/>
          <w:szCs w:val="28"/>
        </w:rPr>
        <w:t>:</w:t>
      </w:r>
      <w:r>
        <w:rPr>
          <w:rFonts w:hint="eastAsia"/>
        </w:rPr>
        <w:t xml:space="preserve"> </w:t>
      </w:r>
      <w:r>
        <w:rPr>
          <w:rFonts w:hint="eastAsia" w:ascii="仿宋_GB2312"/>
          <w:color w:val="auto"/>
          <w:szCs w:val="28"/>
        </w:rPr>
        <w:t>项目按照</w:t>
      </w:r>
      <w:r>
        <w:rPr>
          <w:rFonts w:hint="default" w:ascii="Times New Roman" w:hAnsi="Times New Roman" w:eastAsia="方正仿宋_GBK" w:cs="Times New Roman"/>
          <w:color w:val="auto"/>
          <w:sz w:val="32"/>
          <w:szCs w:val="32"/>
        </w:rPr>
        <w:t>《</w:t>
      </w:r>
      <w:r>
        <w:rPr>
          <w:rFonts w:hint="default" w:ascii="仿宋_GB2312"/>
          <w:color w:val="auto"/>
          <w:szCs w:val="28"/>
        </w:rPr>
        <w:t>基层科普行动计划专项资金管理办法》</w:t>
      </w:r>
      <w:r>
        <w:rPr>
          <w:rFonts w:hint="eastAsia" w:ascii="仿宋_GB2312"/>
          <w:color w:val="auto"/>
          <w:szCs w:val="28"/>
          <w:lang w:eastAsia="zh-CN"/>
        </w:rPr>
        <w:t>、《全民科学素质行动规划纲要（2021-20235年）》</w:t>
      </w:r>
      <w:r>
        <w:rPr>
          <w:rFonts w:hint="eastAsia" w:ascii="仿宋_GB2312"/>
          <w:color w:val="auto"/>
          <w:szCs w:val="28"/>
          <w:lang w:val="en-US" w:eastAsia="zh-CN"/>
        </w:rPr>
        <w:t>等规定</w:t>
      </w:r>
      <w:r>
        <w:rPr>
          <w:rFonts w:hint="eastAsia" w:ascii="仿宋_GB2312"/>
          <w:color w:val="auto"/>
          <w:szCs w:val="28"/>
        </w:rPr>
        <w:t>的程序申请设立，</w:t>
      </w:r>
      <w:r>
        <w:rPr>
          <w:rFonts w:hint="eastAsia" w:ascii="仿宋_GB2312"/>
          <w:color w:val="auto"/>
          <w:szCs w:val="28"/>
          <w:lang w:eastAsia="zh-CN"/>
        </w:rPr>
        <w:t>通过项目预算评审核定单等</w:t>
      </w:r>
      <w:r>
        <w:rPr>
          <w:rFonts w:hint="eastAsia" w:ascii="仿宋_GB2312"/>
          <w:color w:val="auto"/>
          <w:szCs w:val="28"/>
        </w:rPr>
        <w:t>审批文件、材料符合相关要求，故立项程序规范，得4分。</w:t>
      </w:r>
    </w:p>
    <w:p w14:paraId="26F41D69">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8</w:t>
      </w:r>
      <w:r>
        <w:rPr>
          <w:rFonts w:hint="eastAsia" w:ascii="仿宋_GB2312" w:hAnsi="仿宋" w:cs="宋体"/>
          <w:b/>
          <w:kern w:val="0"/>
          <w:szCs w:val="28"/>
        </w:rPr>
        <w:t>分，得分</w:t>
      </w:r>
      <w:r>
        <w:rPr>
          <w:rFonts w:hint="eastAsia" w:ascii="仿宋_GB2312" w:hAnsi="仿宋" w:cs="宋体"/>
          <w:b/>
          <w:kern w:val="0"/>
          <w:szCs w:val="28"/>
          <w:lang w:val="en-US" w:eastAsia="zh-CN"/>
        </w:rPr>
        <w:t>8</w:t>
      </w:r>
      <w:r>
        <w:rPr>
          <w:rFonts w:hint="eastAsia" w:ascii="仿宋_GB2312" w:hAnsi="仿宋" w:cs="宋体"/>
          <w:b/>
          <w:kern w:val="0"/>
          <w:szCs w:val="28"/>
        </w:rPr>
        <w:t>分。</w:t>
      </w:r>
    </w:p>
    <w:p w14:paraId="4CB60AD7">
      <w:pPr>
        <w:pStyle w:val="4"/>
        <w:ind w:firstLine="643"/>
      </w:pPr>
      <w:bookmarkStart w:id="38" w:name="_Toc196487555"/>
      <w:r>
        <w:rPr>
          <w:rFonts w:hint="eastAsia"/>
        </w:rPr>
        <w:t>2</w:t>
      </w:r>
      <w:r>
        <w:t>.</w:t>
      </w:r>
      <w:r>
        <w:rPr>
          <w:rFonts w:hint="eastAsia"/>
        </w:rPr>
        <w:t>绩效目标</w:t>
      </w:r>
      <w:bookmarkEnd w:id="38"/>
    </w:p>
    <w:p w14:paraId="0ED21373">
      <w:pPr>
        <w:spacing w:line="360" w:lineRule="auto"/>
        <w:ind w:firstLine="562"/>
        <w:rPr>
          <w:rFonts w:ascii="仿宋_GB2312"/>
          <w:szCs w:val="28"/>
          <w:highlight w:val="none"/>
        </w:rPr>
      </w:pPr>
      <w:r>
        <w:rPr>
          <w:rFonts w:hint="eastAsia" w:ascii="仿宋_GB2312"/>
          <w:b/>
          <w:bCs/>
          <w:szCs w:val="28"/>
        </w:rPr>
        <w:t>绩效目标合理性：</w:t>
      </w:r>
      <w:r>
        <w:rPr>
          <w:rFonts w:hint="eastAsia" w:ascii="仿宋_GB2312"/>
          <w:szCs w:val="28"/>
          <w:highlight w:val="none"/>
        </w:rPr>
        <w:t>本项目的绩效目标按照产出、效益和满意度构建绩效评价指标，且具有明确性、可衡量性、可实现性、相关性和时限性等特点，能较为全面地反映本项目的产出和效益，故绩效目标合理性指标得分</w:t>
      </w:r>
      <w:r>
        <w:rPr>
          <w:rFonts w:ascii="仿宋_GB2312"/>
          <w:szCs w:val="28"/>
          <w:highlight w:val="none"/>
        </w:rPr>
        <w:t>3</w:t>
      </w:r>
      <w:r>
        <w:rPr>
          <w:rFonts w:hint="eastAsia" w:ascii="仿宋_GB2312"/>
          <w:szCs w:val="28"/>
          <w:highlight w:val="none"/>
        </w:rPr>
        <w:t>分。</w:t>
      </w:r>
    </w:p>
    <w:p w14:paraId="126ED691">
      <w:pPr>
        <w:autoSpaceDE w:val="0"/>
        <w:spacing w:line="600" w:lineRule="exact"/>
        <w:ind w:firstLine="562"/>
        <w:rPr>
          <w:rFonts w:ascii="仿宋_GB2312" w:hAnsi="仿宋" w:cs="宋体"/>
          <w:kern w:val="0"/>
          <w:szCs w:val="28"/>
        </w:rPr>
      </w:pPr>
      <w:r>
        <w:rPr>
          <w:rFonts w:hint="eastAsia" w:ascii="仿宋_GB2312" w:hAnsi="仿宋" w:cs="宋体"/>
          <w:b/>
          <w:kern w:val="0"/>
          <w:szCs w:val="28"/>
        </w:rPr>
        <w:t>绩效目标明确性：</w:t>
      </w:r>
      <w:r>
        <w:rPr>
          <w:rFonts w:hint="eastAsia" w:ascii="仿宋_GB2312" w:hAnsi="仿宋" w:cs="宋体"/>
          <w:kern w:val="0"/>
          <w:szCs w:val="28"/>
        </w:rPr>
        <w:t>其中，目标已细化为具体的绩效指标</w:t>
      </w:r>
      <w:r>
        <w:rPr>
          <w:rFonts w:hint="eastAsia" w:ascii="仿宋_GB2312" w:hAnsi="仿宋" w:cs="宋体"/>
          <w:kern w:val="0"/>
          <w:szCs w:val="28"/>
          <w:lang w:eastAsia="zh-CN"/>
        </w:rPr>
        <w:t>：</w:t>
      </w:r>
      <w:r>
        <w:rPr>
          <w:rFonts w:hint="eastAsia" w:ascii="仿宋_GB2312" w:hAnsi="仿宋"/>
          <w:szCs w:val="28"/>
          <w:lang w:val="en-US" w:eastAsia="zh-CN"/>
        </w:rPr>
        <w:t>开展青创赛暨成果展示活动；制作科普视频2条；奖补科普教育基地15个、奖补青少年科技活动特色学校10个。</w:t>
      </w:r>
      <w:r>
        <w:rPr>
          <w:rFonts w:hint="eastAsia" w:ascii="仿宋_GB2312" w:hAnsi="仿宋" w:cs="宋体"/>
          <w:kern w:val="0"/>
          <w:szCs w:val="28"/>
        </w:rPr>
        <w:t>可通过数量指标、质量指标、时效指标和成本指标予以量化，并具有确切的评价标准，且指标设定均与目标相关。各项指标均能在现实条件下收集到相关数据进行佐证，并与当年项目年度计划相对应，故绩效目标明确性指标得分</w:t>
      </w:r>
      <w:r>
        <w:rPr>
          <w:rFonts w:ascii="仿宋_GB2312" w:hAnsi="仿宋" w:cs="宋体"/>
          <w:kern w:val="0"/>
          <w:szCs w:val="28"/>
        </w:rPr>
        <w:t>3</w:t>
      </w:r>
      <w:r>
        <w:rPr>
          <w:rFonts w:hint="eastAsia" w:ascii="仿宋_GB2312" w:hAnsi="仿宋" w:cs="宋体"/>
          <w:kern w:val="0"/>
          <w:szCs w:val="28"/>
        </w:rPr>
        <w:t>分。</w:t>
      </w:r>
    </w:p>
    <w:p w14:paraId="561499FA">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6</w:t>
      </w:r>
      <w:r>
        <w:rPr>
          <w:rFonts w:hint="eastAsia" w:ascii="仿宋_GB2312" w:hAnsi="仿宋" w:cs="宋体"/>
          <w:b/>
          <w:kern w:val="0"/>
          <w:szCs w:val="28"/>
        </w:rPr>
        <w:t>分，得分</w:t>
      </w:r>
      <w:r>
        <w:rPr>
          <w:rFonts w:hint="eastAsia" w:ascii="仿宋_GB2312" w:hAnsi="仿宋" w:cs="宋体"/>
          <w:b/>
          <w:kern w:val="0"/>
          <w:szCs w:val="28"/>
          <w:lang w:val="en-US" w:eastAsia="zh-CN"/>
        </w:rPr>
        <w:t>6</w:t>
      </w:r>
      <w:r>
        <w:rPr>
          <w:rFonts w:hint="eastAsia" w:ascii="仿宋_GB2312" w:hAnsi="仿宋" w:cs="宋体"/>
          <w:b/>
          <w:kern w:val="0"/>
          <w:szCs w:val="28"/>
        </w:rPr>
        <w:t>分。</w:t>
      </w:r>
    </w:p>
    <w:p w14:paraId="356CC4CB">
      <w:pPr>
        <w:pStyle w:val="4"/>
        <w:ind w:firstLine="643"/>
      </w:pPr>
      <w:bookmarkStart w:id="39" w:name="_Toc196487556"/>
      <w:r>
        <w:rPr>
          <w:rFonts w:hint="eastAsia"/>
        </w:rPr>
        <w:t>3.资金投入</w:t>
      </w:r>
      <w:bookmarkEnd w:id="39"/>
    </w:p>
    <w:p w14:paraId="49AD328F">
      <w:pPr>
        <w:autoSpaceDE w:val="0"/>
        <w:spacing w:line="600" w:lineRule="exact"/>
        <w:ind w:firstLine="562"/>
        <w:rPr>
          <w:rFonts w:ascii="仿宋_GB2312" w:hAnsi="仿宋" w:cs="宋体"/>
          <w:bCs/>
          <w:kern w:val="0"/>
          <w:szCs w:val="28"/>
        </w:rPr>
      </w:pPr>
      <w:r>
        <w:rPr>
          <w:rFonts w:hint="eastAsia" w:ascii="仿宋_GB2312" w:hAnsi="仿宋" w:cs="宋体"/>
          <w:b/>
          <w:kern w:val="0"/>
          <w:szCs w:val="28"/>
        </w:rPr>
        <w:t>预算编制科学性：</w:t>
      </w:r>
      <w:r>
        <w:rPr>
          <w:rFonts w:hint="eastAsia" w:ascii="仿宋_GB2312" w:hAnsi="仿宋" w:cs="宋体"/>
          <w:kern w:val="0"/>
          <w:szCs w:val="28"/>
        </w:rPr>
        <w:t>我单位本年度2</w:t>
      </w:r>
      <w:r>
        <w:rPr>
          <w:rFonts w:ascii="仿宋_GB2312" w:hAnsi="仿宋" w:cs="宋体"/>
          <w:kern w:val="0"/>
          <w:szCs w:val="28"/>
        </w:rPr>
        <w:t>0</w:t>
      </w:r>
      <w:r>
        <w:rPr>
          <w:rFonts w:hint="eastAsia" w:ascii="仿宋_GB2312" w:hAnsi="仿宋" w:cs="宋体"/>
          <w:kern w:val="0"/>
          <w:szCs w:val="28"/>
          <w:lang w:val="en-US" w:eastAsia="zh-CN"/>
        </w:rPr>
        <w:t>24</w:t>
      </w:r>
      <w:r>
        <w:rPr>
          <w:rFonts w:hint="eastAsia" w:ascii="仿宋_GB2312" w:hAnsi="仿宋" w:cs="宋体"/>
          <w:kern w:val="0"/>
          <w:szCs w:val="28"/>
        </w:rPr>
        <w:t>年年初根据单位实际情况进行了科学的预算编制，本项目资金为</w:t>
      </w:r>
      <w:r>
        <w:rPr>
          <w:rFonts w:hint="eastAsia" w:ascii="仿宋_GB2312" w:hAnsi="仿宋" w:cs="宋体"/>
          <w:kern w:val="0"/>
          <w:szCs w:val="28"/>
          <w:lang w:val="en-US" w:eastAsia="zh-CN"/>
        </w:rPr>
        <w:t>自治区</w:t>
      </w:r>
      <w:r>
        <w:rPr>
          <w:rFonts w:hint="eastAsia" w:ascii="仿宋_GB2312" w:hAnsi="仿宋" w:cs="宋体"/>
          <w:kern w:val="0"/>
          <w:szCs w:val="28"/>
        </w:rPr>
        <w:t>资金，根据</w:t>
      </w:r>
      <w:r>
        <w:rPr>
          <w:rFonts w:hint="eastAsia" w:ascii="仿宋_GB2312" w:hAnsi="仿宋" w:cs="宋体"/>
          <w:kern w:val="0"/>
          <w:szCs w:val="28"/>
          <w:lang w:val="en-US" w:eastAsia="zh-CN"/>
        </w:rPr>
        <w:t>市科协“基层科普行动计划”</w:t>
      </w:r>
      <w:r>
        <w:rPr>
          <w:rFonts w:hint="eastAsia" w:ascii="仿宋_GB2312" w:hAnsi="仿宋" w:cs="宋体"/>
          <w:kern w:val="0"/>
          <w:szCs w:val="28"/>
        </w:rPr>
        <w:t>实际工作情况进行了预算资金的申请</w:t>
      </w:r>
      <w:r>
        <w:rPr>
          <w:rFonts w:hint="eastAsia" w:ascii="仿宋_GB2312" w:hAnsi="仿宋" w:cs="宋体"/>
          <w:b/>
          <w:kern w:val="0"/>
          <w:szCs w:val="28"/>
        </w:rPr>
        <w:t>。</w:t>
      </w:r>
      <w:r>
        <w:rPr>
          <w:rFonts w:hint="eastAsia" w:ascii="仿宋_GB2312" w:hAnsi="仿宋" w:cs="宋体"/>
          <w:kern w:val="0"/>
          <w:szCs w:val="28"/>
        </w:rPr>
        <w:t>故预算编制科学性指标得分</w:t>
      </w:r>
      <w:r>
        <w:rPr>
          <w:rFonts w:ascii="仿宋_GB2312" w:hAnsi="仿宋" w:cs="宋体"/>
          <w:kern w:val="0"/>
          <w:szCs w:val="28"/>
        </w:rPr>
        <w:t>3</w:t>
      </w:r>
      <w:r>
        <w:rPr>
          <w:rFonts w:hint="eastAsia" w:ascii="仿宋_GB2312" w:hAnsi="仿宋" w:cs="宋体"/>
          <w:kern w:val="0"/>
          <w:szCs w:val="28"/>
        </w:rPr>
        <w:t>分。</w:t>
      </w:r>
    </w:p>
    <w:p w14:paraId="7D02DD90">
      <w:pPr>
        <w:autoSpaceDE w:val="0"/>
        <w:spacing w:line="600" w:lineRule="exact"/>
        <w:ind w:firstLine="0" w:firstLineChars="0"/>
        <w:rPr>
          <w:rFonts w:ascii="仿宋_GB2312" w:hAnsi="仿宋" w:cs="宋体"/>
          <w:bCs/>
          <w:kern w:val="0"/>
          <w:szCs w:val="28"/>
        </w:rPr>
      </w:pPr>
    </w:p>
    <w:p w14:paraId="17EE1120">
      <w:pPr>
        <w:spacing w:line="360" w:lineRule="auto"/>
        <w:ind w:firstLine="562"/>
      </w:pPr>
      <w:r>
        <w:rPr>
          <w:rFonts w:hint="eastAsia"/>
          <w:b/>
          <w:bCs/>
        </w:rPr>
        <w:t>资金分配合理性</w:t>
      </w:r>
      <w:r>
        <w:rPr>
          <w:rFonts w:hint="eastAsia"/>
        </w:rPr>
        <w:t>：</w:t>
      </w:r>
      <w:r>
        <w:rPr>
          <w:rFonts w:hint="eastAsia"/>
          <w:lang w:val="en-US" w:eastAsia="zh-CN"/>
        </w:rPr>
        <w:t>根据</w:t>
      </w:r>
      <w:r>
        <w:rPr>
          <w:rFonts w:hint="eastAsia" w:ascii="仿宋_GB2312"/>
          <w:szCs w:val="28"/>
          <w:lang w:val="en-US" w:eastAsia="zh-CN"/>
        </w:rPr>
        <w:t>自治区科协《关于2024年全国和自治区“基层科普行动计划”项目资金分配及管理使用的通知》（新科协发【2023】185号）的规定，拟定乌鲁木齐市科协2024年“基层科普行动计划”项目自治区资金，</w:t>
      </w:r>
      <w:r>
        <w:rPr>
          <w:rFonts w:hint="eastAsia" w:ascii="仿宋_GB2312" w:hAnsi="仿宋" w:cs="宋体"/>
          <w:kern w:val="0"/>
          <w:szCs w:val="28"/>
        </w:rPr>
        <w:t>故资金分配合理性指标得分</w:t>
      </w:r>
      <w:r>
        <w:rPr>
          <w:rFonts w:ascii="仿宋_GB2312" w:hAnsi="仿宋" w:cs="宋体"/>
          <w:kern w:val="0"/>
          <w:szCs w:val="28"/>
        </w:rPr>
        <w:t>3</w:t>
      </w:r>
      <w:r>
        <w:rPr>
          <w:rFonts w:hint="eastAsia" w:ascii="仿宋_GB2312" w:hAnsi="仿宋" w:cs="宋体"/>
          <w:kern w:val="0"/>
          <w:szCs w:val="28"/>
        </w:rPr>
        <w:t>分。</w:t>
      </w:r>
    </w:p>
    <w:p w14:paraId="37863DA2">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6</w:t>
      </w:r>
      <w:r>
        <w:rPr>
          <w:rFonts w:hint="eastAsia" w:ascii="仿宋_GB2312" w:hAnsi="仿宋" w:cs="宋体"/>
          <w:b/>
          <w:kern w:val="0"/>
          <w:szCs w:val="28"/>
        </w:rPr>
        <w:t>分，得分</w:t>
      </w:r>
      <w:r>
        <w:rPr>
          <w:rFonts w:hint="eastAsia" w:ascii="仿宋_GB2312" w:hAnsi="仿宋" w:cs="宋体"/>
          <w:b/>
          <w:kern w:val="0"/>
          <w:szCs w:val="28"/>
          <w:lang w:val="en-US" w:eastAsia="zh-CN"/>
        </w:rPr>
        <w:t>6</w:t>
      </w:r>
      <w:r>
        <w:rPr>
          <w:rFonts w:hint="eastAsia" w:ascii="仿宋_GB2312" w:hAnsi="仿宋" w:cs="宋体"/>
          <w:b/>
          <w:kern w:val="0"/>
          <w:szCs w:val="28"/>
        </w:rPr>
        <w:t>分。</w:t>
      </w:r>
    </w:p>
    <w:p w14:paraId="1E47DAF3">
      <w:pPr>
        <w:pStyle w:val="3"/>
        <w:ind w:firstLine="643"/>
        <w:rPr>
          <w:rFonts w:ascii="仿宋" w:hAnsi="仿宋" w:eastAsia="仿宋"/>
          <w:lang w:bidi="en-US"/>
        </w:rPr>
      </w:pPr>
      <w:bookmarkStart w:id="40" w:name="_Toc196487557"/>
      <w:bookmarkStart w:id="41" w:name="_Toc67911613"/>
      <w:r>
        <w:rPr>
          <w:rFonts w:hint="eastAsia" w:ascii="仿宋" w:hAnsi="仿宋" w:eastAsia="仿宋"/>
          <w:lang w:bidi="en-US"/>
        </w:rPr>
        <w:t>（二）项目过程情况</w:t>
      </w:r>
      <w:bookmarkEnd w:id="40"/>
      <w:bookmarkEnd w:id="41"/>
    </w:p>
    <w:p w14:paraId="75DD3188">
      <w:pPr>
        <w:spacing w:line="360" w:lineRule="auto"/>
        <w:ind w:firstLine="560"/>
        <w:rPr>
          <w:rFonts w:ascii="仿宋_GB2312"/>
          <w:szCs w:val="28"/>
        </w:rPr>
      </w:pPr>
      <w:r>
        <w:rPr>
          <w:rFonts w:hint="eastAsia" w:ascii="仿宋_GB2312"/>
          <w:szCs w:val="28"/>
        </w:rPr>
        <w:t>项目过程指标由2个二级指标和</w:t>
      </w:r>
      <w:r>
        <w:rPr>
          <w:rFonts w:ascii="仿宋_GB2312"/>
          <w:szCs w:val="28"/>
        </w:rPr>
        <w:t>5</w:t>
      </w:r>
      <w:r>
        <w:rPr>
          <w:rFonts w:hint="eastAsia" w:ascii="仿宋_GB2312"/>
          <w:szCs w:val="28"/>
        </w:rPr>
        <w:t>个三级指标构成，权重为</w:t>
      </w:r>
      <w:r>
        <w:rPr>
          <w:rFonts w:ascii="仿宋_GB2312"/>
          <w:szCs w:val="28"/>
        </w:rPr>
        <w:t>20</w:t>
      </w:r>
      <w:r>
        <w:rPr>
          <w:rFonts w:hint="eastAsia" w:ascii="仿宋_GB2312"/>
          <w:szCs w:val="28"/>
        </w:rPr>
        <w:t>分，实际得分</w:t>
      </w:r>
      <w:r>
        <w:rPr>
          <w:rFonts w:hint="eastAsia" w:ascii="仿宋_GB2312"/>
          <w:szCs w:val="28"/>
          <w:lang w:val="en-US" w:eastAsia="zh-CN"/>
        </w:rPr>
        <w:t>20</w:t>
      </w:r>
      <w:r>
        <w:rPr>
          <w:rFonts w:hint="eastAsia" w:ascii="仿宋_GB2312"/>
          <w:szCs w:val="28"/>
        </w:rPr>
        <w:t>分。</w:t>
      </w:r>
    </w:p>
    <w:p w14:paraId="6BDBFEE3">
      <w:pPr>
        <w:pStyle w:val="4"/>
        <w:ind w:firstLine="643"/>
      </w:pPr>
      <w:bookmarkStart w:id="42" w:name="_Toc196487558"/>
      <w:r>
        <w:t>1.</w:t>
      </w:r>
      <w:r>
        <w:rPr>
          <w:rFonts w:hint="eastAsia"/>
        </w:rPr>
        <w:t>资金管理</w:t>
      </w:r>
      <w:bookmarkEnd w:id="42"/>
    </w:p>
    <w:p w14:paraId="258A0F84">
      <w:pPr>
        <w:spacing w:line="360" w:lineRule="auto"/>
        <w:ind w:firstLine="562"/>
        <w:rPr>
          <w:rFonts w:hint="default" w:ascii="仿宋_GB2312" w:eastAsia="仿宋_GB2312"/>
          <w:szCs w:val="28"/>
          <w:lang w:val="en-US" w:eastAsia="zh-CN"/>
        </w:rPr>
      </w:pPr>
      <w:r>
        <w:rPr>
          <w:rFonts w:hint="eastAsia" w:ascii="仿宋_GB2312"/>
          <w:b/>
          <w:bCs/>
          <w:szCs w:val="28"/>
        </w:rPr>
        <w:t>资金到位率：</w:t>
      </w:r>
      <w:r>
        <w:rPr>
          <w:rFonts w:hint="eastAsia" w:ascii="仿宋_GB2312" w:hAnsi="仿宋" w:cs="宋体"/>
          <w:kern w:val="0"/>
          <w:szCs w:val="28"/>
        </w:rPr>
        <w:t>该项目资金预算为</w:t>
      </w:r>
      <w:r>
        <w:rPr>
          <w:rFonts w:hint="eastAsia" w:ascii="仿宋_GB2312" w:hAnsi="仿宋" w:cs="宋体"/>
          <w:kern w:val="0"/>
          <w:szCs w:val="28"/>
          <w:lang w:val="en-US" w:eastAsia="zh-CN"/>
        </w:rPr>
        <w:t>50</w:t>
      </w:r>
      <w:r>
        <w:rPr>
          <w:rFonts w:hint="eastAsia" w:ascii="仿宋_GB2312" w:hAnsi="仿宋" w:cs="宋体"/>
          <w:kern w:val="0"/>
          <w:szCs w:val="28"/>
        </w:rPr>
        <w:t>万元，由</w:t>
      </w:r>
      <w:r>
        <w:rPr>
          <w:rFonts w:hint="eastAsia" w:ascii="仿宋_GB2312" w:hAnsi="仿宋" w:cs="宋体"/>
          <w:kern w:val="0"/>
          <w:szCs w:val="28"/>
          <w:lang w:val="en-US" w:eastAsia="zh-CN"/>
        </w:rPr>
        <w:t>自治区</w:t>
      </w:r>
      <w:r>
        <w:rPr>
          <w:rFonts w:hint="eastAsia" w:ascii="仿宋_GB2312" w:hAnsi="仿宋" w:cs="宋体"/>
          <w:kern w:val="0"/>
          <w:szCs w:val="28"/>
        </w:rPr>
        <w:t>财政拨付</w:t>
      </w:r>
      <w:r>
        <w:rPr>
          <w:rFonts w:hint="eastAsia" w:ascii="仿宋_GB2312" w:hAnsi="仿宋" w:cs="宋体"/>
          <w:b/>
          <w:kern w:val="0"/>
          <w:szCs w:val="28"/>
        </w:rPr>
        <w:t>，</w:t>
      </w:r>
      <w:r>
        <w:rPr>
          <w:rFonts w:hint="eastAsia" w:ascii="仿宋_GB2312" w:hAnsi="仿宋" w:cs="宋体"/>
          <w:kern w:val="0"/>
          <w:szCs w:val="28"/>
        </w:rPr>
        <w:t>在202</w:t>
      </w:r>
      <w:r>
        <w:rPr>
          <w:rFonts w:hint="eastAsia" w:ascii="仿宋_GB2312" w:hAnsi="仿宋" w:cs="宋体"/>
          <w:kern w:val="0"/>
          <w:szCs w:val="28"/>
          <w:lang w:val="en-US" w:eastAsia="zh-CN"/>
        </w:rPr>
        <w:t>4</w:t>
      </w:r>
      <w:r>
        <w:rPr>
          <w:rFonts w:hint="eastAsia" w:ascii="仿宋_GB2312" w:hAnsi="仿宋" w:cs="宋体"/>
          <w:kern w:val="0"/>
          <w:szCs w:val="28"/>
        </w:rPr>
        <w:t>年</w:t>
      </w:r>
      <w:r>
        <w:rPr>
          <w:rFonts w:hint="eastAsia" w:ascii="仿宋_GB2312" w:hAnsi="仿宋" w:cs="宋体"/>
          <w:kern w:val="0"/>
          <w:szCs w:val="28"/>
          <w:lang w:val="en-US" w:eastAsia="zh-CN"/>
        </w:rPr>
        <w:t>12</w:t>
      </w:r>
      <w:r>
        <w:rPr>
          <w:rFonts w:hint="eastAsia" w:ascii="仿宋_GB2312" w:hAnsi="仿宋" w:cs="宋体"/>
          <w:kern w:val="0"/>
          <w:szCs w:val="28"/>
        </w:rPr>
        <w:t>月</w:t>
      </w:r>
      <w:r>
        <w:rPr>
          <w:rFonts w:ascii="仿宋_GB2312" w:hAnsi="仿宋" w:cs="宋体"/>
          <w:kern w:val="0"/>
          <w:szCs w:val="28"/>
        </w:rPr>
        <w:t>31</w:t>
      </w:r>
      <w:r>
        <w:rPr>
          <w:rFonts w:hint="eastAsia" w:ascii="仿宋_GB2312" w:hAnsi="仿宋" w:cs="宋体"/>
          <w:kern w:val="0"/>
          <w:szCs w:val="28"/>
        </w:rPr>
        <w:t>日全部到位，资金到位率为</w:t>
      </w:r>
      <w:r>
        <w:rPr>
          <w:rFonts w:hint="eastAsia" w:ascii="仿宋_GB2312" w:hAnsi="仿宋" w:cs="宋体"/>
          <w:kern w:val="0"/>
          <w:szCs w:val="28"/>
          <w:lang w:val="en-US" w:eastAsia="zh-CN"/>
        </w:rPr>
        <w:t>92.8</w:t>
      </w:r>
      <w:r>
        <w:rPr>
          <w:rFonts w:hint="eastAsia" w:ascii="仿宋_GB2312" w:hAnsi="仿宋" w:cs="宋体"/>
          <w:kern w:val="0"/>
          <w:szCs w:val="28"/>
        </w:rPr>
        <w:t>%</w:t>
      </w:r>
      <w:r>
        <w:rPr>
          <w:rFonts w:hint="eastAsia" w:ascii="仿宋_GB2312" w:hAnsi="仿宋" w:cs="宋体"/>
          <w:b/>
          <w:kern w:val="0"/>
          <w:szCs w:val="28"/>
        </w:rPr>
        <w:t>。</w:t>
      </w:r>
      <w:r>
        <w:rPr>
          <w:rFonts w:hint="eastAsia" w:ascii="仿宋_GB2312" w:hAnsi="仿宋" w:cs="宋体"/>
          <w:kern w:val="0"/>
          <w:szCs w:val="28"/>
        </w:rPr>
        <w:t>故资金到位率指标得分为</w:t>
      </w:r>
      <w:r>
        <w:rPr>
          <w:rFonts w:hint="eastAsia" w:ascii="仿宋_GB2312" w:hAnsi="仿宋" w:cs="宋体"/>
          <w:color w:val="auto"/>
          <w:kern w:val="0"/>
          <w:szCs w:val="28"/>
          <w:lang w:val="en-US" w:eastAsia="zh-CN"/>
        </w:rPr>
        <w:t>4.64</w:t>
      </w:r>
      <w:r>
        <w:rPr>
          <w:rFonts w:hint="eastAsia" w:ascii="仿宋_GB2312" w:hAnsi="仿宋" w:cs="宋体"/>
          <w:kern w:val="0"/>
          <w:szCs w:val="28"/>
        </w:rPr>
        <w:t>分。</w:t>
      </w:r>
      <w:r>
        <w:rPr>
          <w:rFonts w:hint="eastAsia" w:ascii="仿宋_GB2312" w:hAnsi="仿宋" w:cs="宋体"/>
          <w:kern w:val="0"/>
          <w:szCs w:val="28"/>
          <w:lang w:val="en-US" w:eastAsia="zh-CN"/>
        </w:rPr>
        <w:t xml:space="preserve">    </w:t>
      </w:r>
    </w:p>
    <w:p w14:paraId="0336926D">
      <w:pPr>
        <w:spacing w:line="360" w:lineRule="auto"/>
        <w:ind w:firstLine="562"/>
        <w:rPr>
          <w:rFonts w:ascii="仿宋_GB2312"/>
          <w:b/>
          <w:bCs/>
          <w:szCs w:val="28"/>
        </w:rPr>
      </w:pPr>
      <w:r>
        <w:rPr>
          <w:rFonts w:hint="eastAsia" w:ascii="仿宋_GB2312"/>
          <w:b/>
          <w:bCs/>
          <w:szCs w:val="28"/>
        </w:rPr>
        <w:t>预算执行率：</w:t>
      </w:r>
      <w:r>
        <w:rPr>
          <w:rFonts w:hint="eastAsia"/>
          <w:lang w:val="en-US" w:eastAsia="zh-CN"/>
        </w:rPr>
        <w:t>46.4</w:t>
      </w:r>
      <w:r>
        <w:rPr>
          <w:rFonts w:hint="eastAsia"/>
        </w:rPr>
        <w:t>万元在资金到位后支付给</w:t>
      </w:r>
      <w:r>
        <w:rPr>
          <w:rFonts w:hint="eastAsia"/>
          <w:lang w:val="en-US" w:eastAsia="zh-CN"/>
        </w:rPr>
        <w:t>各</w:t>
      </w:r>
      <w:r>
        <w:rPr>
          <w:rFonts w:hint="eastAsia"/>
        </w:rPr>
        <w:t>供应商</w:t>
      </w:r>
      <w:r>
        <w:rPr>
          <w:rFonts w:hint="eastAsia"/>
          <w:lang w:eastAsia="zh-CN"/>
        </w:rPr>
        <w:t>、</w:t>
      </w:r>
      <w:r>
        <w:rPr>
          <w:rFonts w:hint="eastAsia"/>
          <w:lang w:val="en-US" w:eastAsia="zh-CN"/>
        </w:rPr>
        <w:t>科普基地及学校</w:t>
      </w:r>
      <w:r>
        <w:rPr>
          <w:rFonts w:hint="eastAsia"/>
        </w:rPr>
        <w:t>，部分资金未执行完毕，</w:t>
      </w:r>
      <w:r>
        <w:rPr>
          <w:rFonts w:hint="eastAsia"/>
          <w:highlight w:val="none"/>
        </w:rPr>
        <w:t>预算执行率为</w:t>
      </w:r>
      <w:r>
        <w:rPr>
          <w:rFonts w:hint="eastAsia" w:ascii="仿宋_GB2312" w:hAnsi="仿宋"/>
          <w:szCs w:val="28"/>
          <w:highlight w:val="none"/>
          <w:lang w:val="en-US" w:eastAsia="zh-CN"/>
        </w:rPr>
        <w:t>92.8</w:t>
      </w:r>
      <w:r>
        <w:rPr>
          <w:rFonts w:hint="eastAsia" w:ascii="仿宋_GB2312" w:hAnsi="仿宋"/>
          <w:szCs w:val="28"/>
        </w:rPr>
        <w:t>%，</w:t>
      </w:r>
      <w:r>
        <w:rPr>
          <w:rFonts w:hint="eastAsia" w:ascii="仿宋_GB2312"/>
          <w:szCs w:val="28"/>
        </w:rPr>
        <w:t>故预算执行率得分</w:t>
      </w:r>
      <w:r>
        <w:rPr>
          <w:rFonts w:hint="eastAsia" w:ascii="仿宋_GB2312"/>
          <w:szCs w:val="28"/>
          <w:highlight w:val="none"/>
        </w:rPr>
        <w:t>为</w:t>
      </w:r>
      <w:r>
        <w:rPr>
          <w:rFonts w:hint="eastAsia" w:ascii="仿宋_GB2312"/>
          <w:szCs w:val="28"/>
          <w:highlight w:val="none"/>
          <w:lang w:val="en-US" w:eastAsia="zh-CN"/>
        </w:rPr>
        <w:t>4.64</w:t>
      </w:r>
      <w:r>
        <w:rPr>
          <w:rFonts w:hint="eastAsia" w:ascii="仿宋_GB2312"/>
          <w:szCs w:val="28"/>
          <w:highlight w:val="none"/>
        </w:rPr>
        <w:t>分。</w:t>
      </w:r>
    </w:p>
    <w:p w14:paraId="01D8C37C">
      <w:pPr>
        <w:spacing w:line="360" w:lineRule="auto"/>
        <w:ind w:left="0" w:leftChars="0" w:firstLine="562" w:firstLineChars="200"/>
        <w:rPr>
          <w:rFonts w:ascii="仿宋_GB2312"/>
          <w:szCs w:val="28"/>
        </w:rPr>
      </w:pPr>
      <w:r>
        <w:rPr>
          <w:rFonts w:hint="eastAsia" w:ascii="仿宋_GB2312"/>
          <w:b/>
          <w:bCs/>
          <w:szCs w:val="28"/>
        </w:rPr>
        <w:t>资金使用合规性：</w:t>
      </w:r>
      <w:r>
        <w:rPr>
          <w:rFonts w:hint="eastAsia" w:ascii="仿宋_GB2312"/>
          <w:szCs w:val="28"/>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14:paraId="723FCC08">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13</w:t>
      </w:r>
      <w:r>
        <w:rPr>
          <w:rFonts w:hint="eastAsia" w:ascii="仿宋_GB2312" w:hAnsi="仿宋" w:cs="宋体"/>
          <w:b/>
          <w:kern w:val="0"/>
          <w:szCs w:val="28"/>
        </w:rPr>
        <w:t>分，得分</w:t>
      </w:r>
      <w:r>
        <w:rPr>
          <w:rFonts w:hint="eastAsia" w:ascii="仿宋_GB2312" w:hAnsi="仿宋" w:cs="宋体"/>
          <w:b/>
          <w:kern w:val="0"/>
          <w:szCs w:val="28"/>
          <w:lang w:val="en-US" w:eastAsia="zh-CN"/>
        </w:rPr>
        <w:t>12.64</w:t>
      </w:r>
      <w:r>
        <w:rPr>
          <w:rFonts w:hint="eastAsia" w:ascii="仿宋_GB2312" w:hAnsi="仿宋" w:cs="宋体"/>
          <w:b/>
          <w:kern w:val="0"/>
          <w:szCs w:val="28"/>
        </w:rPr>
        <w:t>分。</w:t>
      </w:r>
    </w:p>
    <w:p w14:paraId="3515DA5C">
      <w:pPr>
        <w:pStyle w:val="4"/>
        <w:ind w:firstLine="643"/>
      </w:pPr>
      <w:bookmarkStart w:id="43" w:name="_Toc196487559"/>
      <w:r>
        <w:t>2.</w:t>
      </w:r>
      <w:r>
        <w:rPr>
          <w:rFonts w:hint="eastAsia"/>
        </w:rPr>
        <w:t>组织实施</w:t>
      </w:r>
      <w:bookmarkEnd w:id="43"/>
    </w:p>
    <w:p w14:paraId="0F0C0A1C">
      <w:pPr>
        <w:spacing w:line="360" w:lineRule="auto"/>
        <w:ind w:firstLine="562"/>
        <w:rPr>
          <w:rFonts w:ascii="仿宋_GB2312"/>
          <w:szCs w:val="28"/>
        </w:rPr>
      </w:pPr>
      <w:r>
        <w:rPr>
          <w:rFonts w:hint="eastAsia" w:ascii="仿宋_GB2312"/>
          <w:b/>
          <w:bCs/>
          <w:szCs w:val="28"/>
        </w:rPr>
        <w:t>管理制度健全性</w:t>
      </w:r>
      <w:r>
        <w:rPr>
          <w:rFonts w:hint="eastAsia" w:ascii="仿宋_GB2312"/>
          <w:szCs w:val="28"/>
        </w:rPr>
        <w:t>：</w:t>
      </w:r>
      <w:r>
        <w:rPr>
          <w:rFonts w:hint="eastAsia" w:ascii="仿宋_GB2312"/>
          <w:szCs w:val="28"/>
          <w:lang w:val="en-US" w:eastAsia="zh-CN"/>
        </w:rPr>
        <w:t>乌鲁木齐市科学技术协会</w:t>
      </w:r>
      <w:r>
        <w:rPr>
          <w:rFonts w:hint="eastAsia" w:ascii="仿宋_GB2312"/>
          <w:szCs w:val="28"/>
        </w:rPr>
        <w:t>制定</w:t>
      </w:r>
      <w:r>
        <w:rPr>
          <w:rFonts w:hint="eastAsia" w:ascii="仿宋_GB2312"/>
          <w:szCs w:val="28"/>
          <w:lang w:eastAsia="zh-CN"/>
        </w:rPr>
        <w:t>《</w:t>
      </w:r>
      <w:r>
        <w:rPr>
          <w:rFonts w:hint="eastAsia" w:ascii="仿宋_GB2312"/>
          <w:szCs w:val="28"/>
          <w:lang w:val="en-US" w:eastAsia="zh-CN"/>
        </w:rPr>
        <w:t>乌鲁木齐市科学技术协会财经领导小组议事规则</w:t>
      </w:r>
      <w:r>
        <w:rPr>
          <w:rFonts w:hint="eastAsia" w:ascii="仿宋_GB2312"/>
          <w:szCs w:val="28"/>
          <w:lang w:eastAsia="zh-CN"/>
        </w:rPr>
        <w:t>》</w:t>
      </w:r>
      <w:r>
        <w:rPr>
          <w:rFonts w:hint="eastAsia" w:ascii="仿宋_GB2312"/>
          <w:szCs w:val="28"/>
        </w:rPr>
        <w:t>和</w:t>
      </w:r>
      <w:r>
        <w:rPr>
          <w:rFonts w:hint="eastAsia" w:ascii="仿宋_GB2312"/>
          <w:szCs w:val="28"/>
          <w:lang w:eastAsia="zh-CN"/>
        </w:rPr>
        <w:t>《</w:t>
      </w:r>
      <w:r>
        <w:rPr>
          <w:rFonts w:hint="eastAsia" w:ascii="仿宋_GB2312"/>
          <w:szCs w:val="28"/>
          <w:lang w:val="en-US" w:eastAsia="zh-CN"/>
        </w:rPr>
        <w:t>市科协财经制度实施方案</w:t>
      </w:r>
      <w:r>
        <w:rPr>
          <w:rFonts w:hint="eastAsia" w:ascii="仿宋_GB2312"/>
          <w:szCs w:val="28"/>
          <w:lang w:eastAsia="zh-CN"/>
        </w:rPr>
        <w:t>》</w:t>
      </w:r>
      <w:r>
        <w:rPr>
          <w:rFonts w:hint="eastAsia" w:ascii="仿宋_GB2312"/>
          <w:szCs w:val="28"/>
          <w:lang w:val="en-US" w:eastAsia="zh-CN"/>
        </w:rPr>
        <w:t>等</w:t>
      </w:r>
      <w:r>
        <w:rPr>
          <w:rFonts w:hint="eastAsia" w:ascii="仿宋_GB2312"/>
          <w:szCs w:val="28"/>
        </w:rPr>
        <w:t>管理制度，且制度合法、合规、完整，为项目顺利实施提供重要保障。故管理制度健全性得分为3分。</w:t>
      </w:r>
    </w:p>
    <w:p w14:paraId="007A71BA">
      <w:pPr>
        <w:spacing w:line="360" w:lineRule="auto"/>
        <w:ind w:firstLine="562"/>
        <w:rPr>
          <w:rFonts w:ascii="仿宋_GB2312"/>
          <w:szCs w:val="28"/>
        </w:rPr>
      </w:pPr>
      <w:r>
        <w:rPr>
          <w:rFonts w:hint="eastAsia" w:ascii="仿宋_GB2312"/>
          <w:b/>
          <w:bCs/>
          <w:szCs w:val="28"/>
        </w:rPr>
        <w:t>制度执行有效性：</w:t>
      </w:r>
      <w:r>
        <w:rPr>
          <w:rFonts w:hint="eastAsia" w:ascii="仿宋_GB2312"/>
          <w:szCs w:val="28"/>
        </w:rPr>
        <w:t>根据评价小组核查情况，</w:t>
      </w:r>
      <w:r>
        <w:rPr>
          <w:rFonts w:hint="eastAsia" w:ascii="仿宋_GB2312"/>
          <w:szCs w:val="28"/>
          <w:lang w:val="en-US" w:eastAsia="zh-CN"/>
        </w:rPr>
        <w:t>乌鲁木齐市科学技术协会</w:t>
      </w:r>
      <w:r>
        <w:rPr>
          <w:rFonts w:hint="eastAsia" w:ascii="仿宋_GB2312"/>
          <w:szCs w:val="28"/>
        </w:rPr>
        <w:t>严格遵守相关法律法规和相关管理规定，项目调整及支出调整手续完备，整体管理合理有序，项目完成后，及时将会计凭证、</w:t>
      </w:r>
      <w:r>
        <w:rPr>
          <w:rFonts w:hint="eastAsia" w:ascii="仿宋_GB2312"/>
          <w:szCs w:val="28"/>
          <w:lang w:val="en-US" w:eastAsia="zh-CN"/>
        </w:rPr>
        <w:t>维修单</w:t>
      </w:r>
      <w:r>
        <w:rPr>
          <w:rFonts w:hint="eastAsia" w:ascii="仿宋_GB2312"/>
          <w:szCs w:val="28"/>
        </w:rPr>
        <w:t>等相关资料分类归档，制度执行有效。故制度执行有效性指标得分</w:t>
      </w:r>
      <w:r>
        <w:rPr>
          <w:rFonts w:ascii="仿宋_GB2312"/>
          <w:szCs w:val="28"/>
        </w:rPr>
        <w:t>4</w:t>
      </w:r>
      <w:r>
        <w:rPr>
          <w:rFonts w:hint="eastAsia" w:ascii="仿宋_GB2312"/>
          <w:szCs w:val="28"/>
        </w:rPr>
        <w:t>分。</w:t>
      </w:r>
    </w:p>
    <w:p w14:paraId="6B49C560">
      <w:pPr>
        <w:autoSpaceDE w:val="0"/>
        <w:spacing w:line="600" w:lineRule="exact"/>
        <w:ind w:firstLine="562"/>
        <w:rPr>
          <w:rFonts w:ascii="仿宋_GB2312" w:hAnsi="仿宋" w:cs="宋体"/>
          <w:b/>
          <w:kern w:val="0"/>
          <w:szCs w:val="28"/>
        </w:rPr>
      </w:pPr>
      <w:bookmarkStart w:id="44" w:name="_Hlk67670213"/>
      <w:r>
        <w:rPr>
          <w:rFonts w:hint="eastAsia" w:ascii="仿宋_GB2312" w:hAnsi="仿宋" w:cs="宋体"/>
          <w:b/>
          <w:kern w:val="0"/>
          <w:szCs w:val="28"/>
        </w:rPr>
        <w:t>综上，该指标满分</w:t>
      </w:r>
      <w:r>
        <w:rPr>
          <w:rFonts w:ascii="仿宋_GB2312" w:hAnsi="仿宋" w:cs="宋体"/>
          <w:b/>
          <w:kern w:val="0"/>
          <w:szCs w:val="28"/>
        </w:rPr>
        <w:t>7</w:t>
      </w:r>
      <w:r>
        <w:rPr>
          <w:rFonts w:hint="eastAsia" w:ascii="仿宋_GB2312" w:hAnsi="仿宋" w:cs="宋体"/>
          <w:b/>
          <w:kern w:val="0"/>
          <w:szCs w:val="28"/>
        </w:rPr>
        <w:t>分，得分</w:t>
      </w:r>
      <w:r>
        <w:rPr>
          <w:rFonts w:ascii="仿宋_GB2312" w:hAnsi="仿宋" w:cs="宋体"/>
          <w:b/>
          <w:kern w:val="0"/>
          <w:szCs w:val="28"/>
        </w:rPr>
        <w:t>7</w:t>
      </w:r>
      <w:r>
        <w:rPr>
          <w:rFonts w:hint="eastAsia" w:ascii="仿宋_GB2312" w:hAnsi="仿宋" w:cs="宋体"/>
          <w:b/>
          <w:kern w:val="0"/>
          <w:szCs w:val="28"/>
        </w:rPr>
        <w:t>分。</w:t>
      </w:r>
      <w:bookmarkEnd w:id="44"/>
    </w:p>
    <w:p w14:paraId="7BB1CF66">
      <w:pPr>
        <w:pStyle w:val="3"/>
        <w:ind w:firstLine="643"/>
        <w:rPr>
          <w:rFonts w:ascii="仿宋" w:hAnsi="仿宋" w:eastAsia="仿宋"/>
          <w:lang w:bidi="en-US"/>
        </w:rPr>
      </w:pPr>
      <w:bookmarkStart w:id="45" w:name="_Toc196487560"/>
      <w:bookmarkStart w:id="46" w:name="_Toc67911614"/>
      <w:r>
        <w:rPr>
          <w:rFonts w:hint="eastAsia" w:ascii="仿宋" w:hAnsi="仿宋" w:eastAsia="仿宋"/>
          <w:lang w:bidi="en-US"/>
        </w:rPr>
        <w:t>（三）项目产出情况</w:t>
      </w:r>
      <w:bookmarkEnd w:id="45"/>
      <w:bookmarkEnd w:id="46"/>
    </w:p>
    <w:p w14:paraId="6BEC7E8C">
      <w:pPr>
        <w:spacing w:line="360" w:lineRule="auto"/>
        <w:ind w:firstLine="560"/>
        <w:rPr>
          <w:rFonts w:ascii="仿宋_GB2312"/>
          <w:szCs w:val="28"/>
        </w:rPr>
      </w:pPr>
      <w:r>
        <w:rPr>
          <w:rFonts w:hint="eastAsia" w:ascii="仿宋_GB2312"/>
          <w:szCs w:val="28"/>
        </w:rPr>
        <w:t>项目产出指标由</w:t>
      </w:r>
      <w:r>
        <w:rPr>
          <w:rFonts w:ascii="仿宋_GB2312"/>
          <w:szCs w:val="28"/>
        </w:rPr>
        <w:t>4</w:t>
      </w:r>
      <w:r>
        <w:rPr>
          <w:rFonts w:hint="eastAsia" w:ascii="仿宋_GB2312"/>
          <w:szCs w:val="28"/>
        </w:rPr>
        <w:t>个二级指标和</w:t>
      </w:r>
      <w:r>
        <w:rPr>
          <w:rFonts w:hint="eastAsia" w:ascii="仿宋_GB2312"/>
          <w:szCs w:val="28"/>
          <w:lang w:val="en-US" w:eastAsia="zh-CN"/>
        </w:rPr>
        <w:t>12</w:t>
      </w:r>
      <w:r>
        <w:rPr>
          <w:rFonts w:hint="eastAsia" w:ascii="仿宋_GB2312"/>
          <w:szCs w:val="28"/>
        </w:rPr>
        <w:t>个三级指标构成，权重为</w:t>
      </w:r>
      <w:r>
        <w:rPr>
          <w:rFonts w:ascii="仿宋_GB2312"/>
          <w:szCs w:val="28"/>
        </w:rPr>
        <w:t>40</w:t>
      </w:r>
      <w:r>
        <w:rPr>
          <w:rFonts w:hint="eastAsia" w:ascii="仿宋_GB2312"/>
          <w:szCs w:val="28"/>
        </w:rPr>
        <w:t>分，实际得分</w:t>
      </w:r>
      <w:r>
        <w:rPr>
          <w:rFonts w:hint="eastAsia" w:ascii="仿宋_GB2312"/>
          <w:szCs w:val="28"/>
          <w:lang w:val="en-US" w:eastAsia="zh-CN"/>
        </w:rPr>
        <w:t>37.08</w:t>
      </w:r>
      <w:r>
        <w:rPr>
          <w:rFonts w:hint="eastAsia" w:ascii="仿宋_GB2312"/>
          <w:szCs w:val="28"/>
        </w:rPr>
        <w:t>分。</w:t>
      </w:r>
    </w:p>
    <w:p w14:paraId="1A14F4FC">
      <w:pPr>
        <w:pStyle w:val="4"/>
        <w:ind w:firstLine="643"/>
      </w:pPr>
      <w:bookmarkStart w:id="47" w:name="_Toc196487561"/>
      <w:bookmarkStart w:id="48" w:name="_Toc196487567"/>
      <w:bookmarkStart w:id="49" w:name="_Toc67911617"/>
      <w:r>
        <w:rPr>
          <w:rFonts w:hint="eastAsia"/>
        </w:rPr>
        <w:t>1</w:t>
      </w:r>
      <w:r>
        <w:t>.</w:t>
      </w:r>
      <w:r>
        <w:rPr>
          <w:rFonts w:hint="eastAsia"/>
        </w:rPr>
        <w:t>产出数量</w:t>
      </w:r>
      <w:bookmarkEnd w:id="47"/>
    </w:p>
    <w:p w14:paraId="610B328C">
      <w:pPr>
        <w:spacing w:line="360" w:lineRule="auto"/>
        <w:ind w:firstLine="560"/>
        <w:rPr>
          <w:rFonts w:ascii="仿宋_GB2312"/>
          <w:szCs w:val="28"/>
        </w:rPr>
      </w:pPr>
      <w:r>
        <w:rPr>
          <w:rFonts w:hint="eastAsia" w:ascii="仿宋_GB2312"/>
          <w:bCs/>
          <w:szCs w:val="28"/>
        </w:rPr>
        <w:t>数量指标 “当年开展各类科普活动的次数”的目标值是</w:t>
      </w:r>
      <w:r>
        <w:rPr>
          <w:rFonts w:hint="eastAsia" w:ascii="仿宋_GB2312"/>
          <w:bCs/>
          <w:szCs w:val="28"/>
          <w:lang w:val="en-US" w:eastAsia="zh-CN"/>
        </w:rPr>
        <w:t>4</w:t>
      </w:r>
      <w:r>
        <w:rPr>
          <w:rFonts w:hint="eastAsia" w:ascii="仿宋_GB2312"/>
          <w:bCs/>
          <w:szCs w:val="28"/>
          <w:lang w:eastAsia="zh-CN"/>
        </w:rPr>
        <w:t>次</w:t>
      </w:r>
      <w:r>
        <w:rPr>
          <w:rFonts w:hint="eastAsia" w:ascii="仿宋_GB2312"/>
          <w:bCs/>
          <w:szCs w:val="28"/>
        </w:rPr>
        <w:t>，2024</w:t>
      </w:r>
      <w:r>
        <w:rPr>
          <w:rFonts w:ascii="仿宋_GB2312"/>
          <w:bCs/>
          <w:szCs w:val="28"/>
        </w:rPr>
        <w:t>年度我单位实际完成</w:t>
      </w:r>
      <w:r>
        <w:rPr>
          <w:rFonts w:hint="eastAsia" w:ascii="仿宋_GB2312"/>
          <w:bCs/>
          <w:szCs w:val="28"/>
          <w:lang w:val="en-US" w:eastAsia="zh-CN"/>
        </w:rPr>
        <w:t>4</w:t>
      </w:r>
      <w:r>
        <w:rPr>
          <w:rFonts w:hint="eastAsia" w:ascii="仿宋_GB2312"/>
          <w:bCs/>
          <w:szCs w:val="28"/>
          <w:lang w:eastAsia="zh-CN"/>
        </w:rPr>
        <w:t>次</w:t>
      </w:r>
      <w:r>
        <w:rPr>
          <w:rFonts w:hint="eastAsia" w:ascii="仿宋_GB2312"/>
          <w:bCs/>
          <w:szCs w:val="28"/>
        </w:rPr>
        <w:t>，</w:t>
      </w:r>
      <w:r>
        <w:rPr>
          <w:rFonts w:hint="eastAsia" w:ascii="仿宋_GB2312"/>
          <w:bCs/>
          <w:color w:val="auto"/>
          <w:szCs w:val="28"/>
          <w:lang w:eastAsia="zh-CN"/>
        </w:rPr>
        <w:t>分别开展了：</w:t>
      </w:r>
      <w:r>
        <w:rPr>
          <w:rFonts w:hint="eastAsia" w:ascii="仿宋_GB2312"/>
          <w:bCs/>
          <w:color w:val="auto"/>
          <w:szCs w:val="28"/>
          <w:lang w:val="en-US" w:eastAsia="zh-CN"/>
        </w:rPr>
        <w:t>2024年第八个全国科技工作者日暨第22个乌鲁木齐市科普活动月主场活动、第十三届自治区青少年科学嘉年华活动、2024年全国科普日乌鲁木齐市主场活动、2024年乌鲁木齐市青少年科技创新大赛。</w:t>
      </w:r>
      <w:r>
        <w:rPr>
          <w:rFonts w:hint="eastAsia" w:ascii="仿宋_GB2312"/>
          <w:b/>
          <w:bCs/>
          <w:szCs w:val="28"/>
        </w:rPr>
        <w:t>实际完成率：</w:t>
      </w:r>
      <w:r>
        <w:rPr>
          <w:rFonts w:hint="eastAsia" w:ascii="仿宋_GB2312"/>
          <w:szCs w:val="28"/>
          <w:lang w:val="en-US" w:eastAsia="zh-CN"/>
        </w:rPr>
        <w:t>100%，</w:t>
      </w:r>
      <w:r>
        <w:rPr>
          <w:rFonts w:hint="eastAsia" w:ascii="仿宋_GB2312"/>
          <w:szCs w:val="28"/>
        </w:rPr>
        <w:t>故实际完成率得分为</w:t>
      </w:r>
      <w:r>
        <w:rPr>
          <w:rFonts w:hint="eastAsia" w:ascii="仿宋_GB2312"/>
          <w:szCs w:val="28"/>
          <w:lang w:val="en-US" w:eastAsia="zh-CN"/>
        </w:rPr>
        <w:t>4</w:t>
      </w:r>
      <w:r>
        <w:rPr>
          <w:rFonts w:hint="eastAsia" w:ascii="仿宋_GB2312"/>
          <w:szCs w:val="28"/>
        </w:rPr>
        <w:t>分。故实际完成率得分为</w:t>
      </w:r>
      <w:r>
        <w:rPr>
          <w:rFonts w:hint="eastAsia" w:ascii="仿宋_GB2312"/>
          <w:szCs w:val="28"/>
          <w:lang w:val="en-US" w:eastAsia="zh-CN"/>
        </w:rPr>
        <w:t>4</w:t>
      </w:r>
      <w:r>
        <w:rPr>
          <w:rFonts w:hint="eastAsia" w:ascii="仿宋_GB2312"/>
          <w:szCs w:val="28"/>
        </w:rPr>
        <w:t>分。</w:t>
      </w:r>
    </w:p>
    <w:p w14:paraId="13D45DB9">
      <w:pPr>
        <w:spacing w:line="360" w:lineRule="auto"/>
        <w:ind w:firstLine="560"/>
        <w:rPr>
          <w:rFonts w:ascii="仿宋_GB2312"/>
          <w:bCs/>
          <w:szCs w:val="28"/>
        </w:rPr>
      </w:pPr>
      <w:r>
        <w:rPr>
          <w:rFonts w:hint="eastAsia" w:ascii="仿宋_GB2312"/>
          <w:bCs/>
          <w:szCs w:val="28"/>
        </w:rPr>
        <w:t>数量指标“创作高质量科普视频数量”的目标值是</w:t>
      </w:r>
      <w:r>
        <w:rPr>
          <w:rFonts w:hint="eastAsia" w:ascii="仿宋_GB2312"/>
          <w:bCs/>
          <w:szCs w:val="28"/>
          <w:lang w:val="en-US" w:eastAsia="zh-CN"/>
        </w:rPr>
        <w:t>1</w:t>
      </w:r>
      <w:r>
        <w:rPr>
          <w:rFonts w:hint="eastAsia" w:ascii="仿宋_GB2312"/>
          <w:bCs/>
          <w:szCs w:val="28"/>
        </w:rPr>
        <w:t>个，</w:t>
      </w:r>
      <w:r>
        <w:rPr>
          <w:rFonts w:ascii="仿宋_GB2312"/>
          <w:bCs/>
          <w:szCs w:val="28"/>
        </w:rPr>
        <w:t>2024年度我单位</w:t>
      </w:r>
      <w:r>
        <w:rPr>
          <w:rFonts w:hint="eastAsia" w:ascii="仿宋_GB2312"/>
          <w:bCs/>
          <w:szCs w:val="28"/>
          <w:lang w:eastAsia="zh-CN"/>
        </w:rPr>
        <w:t>实际完成</w:t>
      </w:r>
      <w:r>
        <w:rPr>
          <w:rFonts w:hint="eastAsia" w:ascii="仿宋_GB2312"/>
          <w:bCs/>
          <w:szCs w:val="28"/>
          <w:lang w:val="en-US" w:eastAsia="zh-CN"/>
        </w:rPr>
        <w:t>2个，原因为通过多方比对选择了报价合适的供应商，提升财政资金使用效率，原定资金拍摄数量增加，导致存在小幅提升。</w:t>
      </w:r>
      <w:r>
        <w:rPr>
          <w:rFonts w:hint="eastAsia" w:ascii="仿宋_GB2312"/>
          <w:b/>
          <w:bCs/>
          <w:szCs w:val="28"/>
        </w:rPr>
        <w:t>实际完成率：</w:t>
      </w:r>
      <w:r>
        <w:rPr>
          <w:rFonts w:hint="eastAsia" w:ascii="仿宋_GB2312"/>
          <w:szCs w:val="28"/>
          <w:lang w:val="en-US" w:eastAsia="zh-CN"/>
        </w:rPr>
        <w:t>200%</w:t>
      </w:r>
      <w:r>
        <w:rPr>
          <w:rFonts w:hint="eastAsia" w:ascii="仿宋_GB2312"/>
          <w:szCs w:val="28"/>
          <w:lang w:eastAsia="zh-CN"/>
        </w:rPr>
        <w:t>，故</w:t>
      </w:r>
      <w:r>
        <w:rPr>
          <w:rFonts w:hint="eastAsia" w:ascii="仿宋_GB2312"/>
          <w:szCs w:val="28"/>
        </w:rPr>
        <w:t>实际完成率得分为</w:t>
      </w:r>
      <w:r>
        <w:rPr>
          <w:rFonts w:hint="eastAsia" w:ascii="仿宋_GB2312"/>
          <w:szCs w:val="28"/>
          <w:lang w:val="en-US" w:eastAsia="zh-CN"/>
        </w:rPr>
        <w:t>4</w:t>
      </w:r>
      <w:r>
        <w:rPr>
          <w:rFonts w:hint="eastAsia" w:ascii="仿宋_GB2312"/>
          <w:szCs w:val="28"/>
        </w:rPr>
        <w:t>分。故实际完成率得分为</w:t>
      </w:r>
      <w:r>
        <w:rPr>
          <w:rFonts w:hint="eastAsia" w:ascii="仿宋_GB2312"/>
          <w:szCs w:val="28"/>
          <w:lang w:val="en-US" w:eastAsia="zh-CN"/>
        </w:rPr>
        <w:t>4</w:t>
      </w:r>
      <w:r>
        <w:rPr>
          <w:rFonts w:hint="eastAsia" w:ascii="仿宋_GB2312"/>
          <w:szCs w:val="28"/>
        </w:rPr>
        <w:t>分。</w:t>
      </w:r>
    </w:p>
    <w:p w14:paraId="326625B9">
      <w:pPr>
        <w:spacing w:line="360" w:lineRule="auto"/>
        <w:ind w:firstLine="560"/>
        <w:rPr>
          <w:rFonts w:hint="eastAsia" w:ascii="仿宋_GB2312"/>
          <w:szCs w:val="28"/>
        </w:rPr>
      </w:pPr>
      <w:r>
        <w:rPr>
          <w:rFonts w:hint="eastAsia" w:ascii="仿宋_GB2312"/>
          <w:bCs/>
          <w:szCs w:val="28"/>
        </w:rPr>
        <w:t>数量指标“奖补科普教育基地数量”的目标值是</w:t>
      </w:r>
      <w:r>
        <w:rPr>
          <w:rFonts w:hint="eastAsia" w:ascii="仿宋_GB2312"/>
          <w:bCs/>
          <w:szCs w:val="28"/>
          <w:lang w:val="en-US" w:eastAsia="zh-CN"/>
        </w:rPr>
        <w:t>15个</w:t>
      </w:r>
      <w:r>
        <w:rPr>
          <w:rFonts w:hint="eastAsia" w:ascii="仿宋_GB2312"/>
          <w:bCs/>
          <w:szCs w:val="28"/>
        </w:rPr>
        <w:t>，</w:t>
      </w:r>
      <w:r>
        <w:rPr>
          <w:rFonts w:ascii="仿宋_GB2312"/>
          <w:bCs/>
          <w:szCs w:val="28"/>
        </w:rPr>
        <w:t>2024年度我单位</w:t>
      </w:r>
      <w:r>
        <w:rPr>
          <w:rFonts w:hint="eastAsia" w:ascii="仿宋_GB2312"/>
          <w:bCs/>
          <w:szCs w:val="28"/>
          <w:lang w:eastAsia="zh-CN"/>
        </w:rPr>
        <w:t>实际完成</w:t>
      </w:r>
      <w:r>
        <w:rPr>
          <w:rFonts w:hint="eastAsia" w:ascii="仿宋_GB2312"/>
          <w:bCs/>
          <w:color w:val="auto"/>
          <w:szCs w:val="28"/>
          <w:lang w:val="en-US" w:eastAsia="zh-CN"/>
        </w:rPr>
        <w:t>14个，原因为根据工作实际开展情况，符合评选标准的科普教育基地数量为14个，导致存在小幅偏差。奖补科普教育基地分别为：北清通航科技（乌鲁木齐）有限公司航空科普教育基地、新疆灵杰科技有限公司砥砺综合教育创新实践基地、乌鲁木齐屯盛农业综合经营有限公司西缘产业发展中心农业产业科技示范园科普教育基地、铁建重工新疆有限公司高端装备科普实践基地、科大讯飞新疆分公司人工智能体验中心、新疆野马文化发展有限公司新疆古生态园、乌鲁木齐爱尔眼科医院有限公司眼健康科普教育基地、乌鲁木齐市植物园、新疆百妙锦教育咨询有限责任公司乌鲁木齐市分公司即刻飞行创客教育基地、乌鲁木齐艾瑞丁教育培训中心有限公司奇点能量科技活动中心、乌鲁木齐市新市区安宁渠塞外水乡有机农场、乌鲁木齐丝路拾乡文化科技有限公司“六亩半”植物染色观光体验园、乌鲁木齐市聚鑫鹏飞畜牧养殖合作社。</w:t>
      </w:r>
      <w:r>
        <w:rPr>
          <w:rFonts w:hint="eastAsia" w:ascii="仿宋_GB2312"/>
          <w:b/>
          <w:bCs/>
          <w:szCs w:val="28"/>
        </w:rPr>
        <w:t>实际完成率：</w:t>
      </w:r>
      <w:r>
        <w:rPr>
          <w:rFonts w:hint="eastAsia" w:ascii="仿宋_GB2312"/>
          <w:szCs w:val="28"/>
          <w:lang w:val="en-US" w:eastAsia="zh-CN"/>
        </w:rPr>
        <w:t>93.33%，故</w:t>
      </w:r>
      <w:r>
        <w:rPr>
          <w:rFonts w:hint="eastAsia" w:ascii="仿宋_GB2312"/>
          <w:szCs w:val="28"/>
        </w:rPr>
        <w:t>实际完成率得分为</w:t>
      </w:r>
      <w:r>
        <w:rPr>
          <w:rFonts w:hint="eastAsia" w:ascii="仿宋_GB2312"/>
          <w:szCs w:val="28"/>
          <w:lang w:val="en-US" w:eastAsia="zh-CN"/>
        </w:rPr>
        <w:t>3.73</w:t>
      </w:r>
      <w:r>
        <w:rPr>
          <w:rFonts w:hint="eastAsia" w:ascii="仿宋_GB2312"/>
          <w:szCs w:val="28"/>
        </w:rPr>
        <w:t>分。</w:t>
      </w:r>
    </w:p>
    <w:p w14:paraId="3E460912">
      <w:pPr>
        <w:spacing w:line="360" w:lineRule="auto"/>
        <w:ind w:firstLine="560"/>
        <w:rPr>
          <w:rFonts w:ascii="仿宋_GB2312"/>
          <w:szCs w:val="28"/>
        </w:rPr>
      </w:pPr>
      <w:r>
        <w:rPr>
          <w:rFonts w:hint="eastAsia" w:ascii="仿宋_GB2312"/>
          <w:bCs/>
          <w:color w:val="auto"/>
          <w:szCs w:val="28"/>
          <w:lang w:val="en-US" w:eastAsia="zh-CN"/>
        </w:rPr>
        <w:t xml:space="preserve">数量指标“青少年科技活动特色学校奖补先进集体数量”的目标值是11个，2024年度我单位实际完成10个，原因为根据工作实际开展情况，符合评选标准的先进集体数量为10个，导致存在小幅偏差。奖补青少年科技活动特色学校分别为：乌鲁木齐市三八幼儿园、乌鲁木齐市第 </w:t>
      </w:r>
      <w:r>
        <w:rPr>
          <w:rFonts w:hint="default" w:ascii="仿宋_GB2312"/>
          <w:bCs/>
          <w:color w:val="auto"/>
          <w:szCs w:val="28"/>
          <w:lang w:val="en-US" w:eastAsia="zh-CN"/>
        </w:rPr>
        <w:t xml:space="preserve">66 </w:t>
      </w:r>
      <w:r>
        <w:rPr>
          <w:rFonts w:hint="eastAsia" w:ascii="仿宋_GB2312"/>
          <w:bCs/>
          <w:color w:val="auto"/>
          <w:szCs w:val="28"/>
          <w:lang w:val="en-US" w:eastAsia="zh-CN"/>
        </w:rPr>
        <w:t xml:space="preserve">中学、乌鲁木齐市第 </w:t>
      </w:r>
      <w:r>
        <w:rPr>
          <w:rFonts w:hint="default" w:ascii="仿宋_GB2312"/>
          <w:bCs/>
          <w:color w:val="auto"/>
          <w:szCs w:val="28"/>
          <w:lang w:val="en-US" w:eastAsia="zh-CN"/>
        </w:rPr>
        <w:t xml:space="preserve">113 </w:t>
      </w:r>
      <w:r>
        <w:rPr>
          <w:rFonts w:hint="eastAsia" w:ascii="仿宋_GB2312"/>
          <w:bCs/>
          <w:color w:val="auto"/>
          <w:szCs w:val="28"/>
          <w:lang w:val="en-US" w:eastAsia="zh-CN"/>
        </w:rPr>
        <w:t xml:space="preserve">中学、乌鲁木齐市第 </w:t>
      </w:r>
      <w:r>
        <w:rPr>
          <w:rFonts w:hint="default" w:ascii="仿宋_GB2312"/>
          <w:bCs/>
          <w:color w:val="auto"/>
          <w:szCs w:val="28"/>
          <w:lang w:val="en-US" w:eastAsia="zh-CN"/>
        </w:rPr>
        <w:t xml:space="preserve">126 </w:t>
      </w:r>
      <w:r>
        <w:rPr>
          <w:rFonts w:hint="eastAsia" w:ascii="仿宋_GB2312"/>
          <w:bCs/>
          <w:color w:val="auto"/>
          <w:szCs w:val="28"/>
          <w:lang w:val="en-US" w:eastAsia="zh-CN"/>
        </w:rPr>
        <w:t xml:space="preserve">中学、乌鲁木齐市第 </w:t>
      </w:r>
      <w:r>
        <w:rPr>
          <w:rFonts w:hint="default" w:ascii="仿宋_GB2312"/>
          <w:bCs/>
          <w:color w:val="auto"/>
          <w:szCs w:val="28"/>
          <w:lang w:val="en-US" w:eastAsia="zh-CN"/>
        </w:rPr>
        <w:t xml:space="preserve">23 </w:t>
      </w:r>
      <w:r>
        <w:rPr>
          <w:rFonts w:hint="eastAsia" w:ascii="仿宋_GB2312"/>
          <w:bCs/>
          <w:color w:val="auto"/>
          <w:szCs w:val="28"/>
          <w:lang w:val="en-US" w:eastAsia="zh-CN"/>
        </w:rPr>
        <w:t xml:space="preserve">中学、乌鲁木齐市第 </w:t>
      </w:r>
      <w:r>
        <w:rPr>
          <w:rFonts w:hint="default" w:ascii="仿宋_GB2312"/>
          <w:bCs/>
          <w:color w:val="auto"/>
          <w:szCs w:val="28"/>
          <w:lang w:val="en-US" w:eastAsia="zh-CN"/>
        </w:rPr>
        <w:t xml:space="preserve">13 </w:t>
      </w:r>
      <w:r>
        <w:rPr>
          <w:rFonts w:hint="eastAsia" w:ascii="仿宋_GB2312"/>
          <w:bCs/>
          <w:color w:val="auto"/>
          <w:szCs w:val="28"/>
          <w:lang w:val="en-US" w:eastAsia="zh-CN"/>
        </w:rPr>
        <w:t xml:space="preserve">中学、乌鲁木齐市第 </w:t>
      </w:r>
      <w:r>
        <w:rPr>
          <w:rFonts w:hint="default" w:ascii="仿宋_GB2312"/>
          <w:bCs/>
          <w:color w:val="auto"/>
          <w:szCs w:val="28"/>
          <w:lang w:val="en-US" w:eastAsia="zh-CN"/>
        </w:rPr>
        <w:t xml:space="preserve">91 </w:t>
      </w:r>
      <w:r>
        <w:rPr>
          <w:rFonts w:hint="eastAsia" w:ascii="仿宋_GB2312"/>
          <w:bCs/>
          <w:color w:val="auto"/>
          <w:szCs w:val="28"/>
          <w:lang w:val="en-US" w:eastAsia="zh-CN"/>
        </w:rPr>
        <w:t xml:space="preserve">中学、乌鲁木齐市第 </w:t>
      </w:r>
      <w:r>
        <w:rPr>
          <w:rFonts w:hint="default" w:ascii="仿宋_GB2312"/>
          <w:bCs/>
          <w:color w:val="auto"/>
          <w:szCs w:val="28"/>
          <w:lang w:val="en-US" w:eastAsia="zh-CN"/>
        </w:rPr>
        <w:t xml:space="preserve">16 </w:t>
      </w:r>
      <w:r>
        <w:rPr>
          <w:rFonts w:hint="eastAsia" w:ascii="仿宋_GB2312"/>
          <w:bCs/>
          <w:color w:val="auto"/>
          <w:szCs w:val="28"/>
          <w:lang w:val="en-US" w:eastAsia="zh-CN"/>
        </w:rPr>
        <w:t xml:space="preserve">中学、乌鲁木齐市第 </w:t>
      </w:r>
      <w:r>
        <w:rPr>
          <w:rFonts w:hint="default" w:ascii="仿宋_GB2312"/>
          <w:bCs/>
          <w:color w:val="auto"/>
          <w:szCs w:val="28"/>
          <w:lang w:val="en-US" w:eastAsia="zh-CN"/>
        </w:rPr>
        <w:t xml:space="preserve">71 </w:t>
      </w:r>
      <w:r>
        <w:rPr>
          <w:rFonts w:hint="eastAsia" w:ascii="仿宋_GB2312"/>
          <w:bCs/>
          <w:color w:val="auto"/>
          <w:szCs w:val="28"/>
          <w:lang w:val="en-US" w:eastAsia="zh-CN"/>
        </w:rPr>
        <w:t xml:space="preserve">小学、乌鲁木齐市第 </w:t>
      </w:r>
      <w:r>
        <w:rPr>
          <w:rFonts w:hint="default" w:ascii="仿宋_GB2312"/>
          <w:bCs/>
          <w:color w:val="auto"/>
          <w:szCs w:val="28"/>
          <w:lang w:val="en-US" w:eastAsia="zh-CN"/>
        </w:rPr>
        <w:t xml:space="preserve">115 </w:t>
      </w:r>
      <w:r>
        <w:rPr>
          <w:rFonts w:hint="eastAsia" w:ascii="仿宋_GB2312"/>
          <w:bCs/>
          <w:color w:val="auto"/>
          <w:szCs w:val="28"/>
          <w:lang w:val="en-US" w:eastAsia="zh-CN"/>
        </w:rPr>
        <w:t>中学。</w:t>
      </w:r>
      <w:r>
        <w:rPr>
          <w:rFonts w:hint="eastAsia" w:ascii="仿宋_GB2312"/>
          <w:b/>
          <w:bCs/>
          <w:szCs w:val="28"/>
        </w:rPr>
        <w:t>实际完成率：</w:t>
      </w:r>
      <w:r>
        <w:rPr>
          <w:rFonts w:hint="eastAsia" w:ascii="仿宋_GB2312"/>
          <w:szCs w:val="28"/>
          <w:lang w:val="en-US" w:eastAsia="zh-CN"/>
        </w:rPr>
        <w:t>90.9%，故</w:t>
      </w:r>
      <w:r>
        <w:rPr>
          <w:rFonts w:hint="eastAsia" w:ascii="仿宋_GB2312"/>
          <w:szCs w:val="28"/>
        </w:rPr>
        <w:t>实际完成率得分为</w:t>
      </w:r>
      <w:r>
        <w:rPr>
          <w:rFonts w:hint="eastAsia" w:ascii="仿宋_GB2312"/>
          <w:szCs w:val="28"/>
          <w:lang w:val="en-US" w:eastAsia="zh-CN"/>
        </w:rPr>
        <w:t>3.63</w:t>
      </w:r>
      <w:r>
        <w:rPr>
          <w:rFonts w:hint="eastAsia" w:ascii="仿宋_GB2312"/>
          <w:szCs w:val="28"/>
        </w:rPr>
        <w:t>分。</w:t>
      </w:r>
    </w:p>
    <w:p w14:paraId="1345B5FB">
      <w:pPr>
        <w:spacing w:line="360" w:lineRule="auto"/>
        <w:ind w:firstLine="560"/>
        <w:rPr>
          <w:rFonts w:hint="eastAsia" w:ascii="仿宋_GB2312"/>
          <w:szCs w:val="28"/>
        </w:rPr>
      </w:pPr>
    </w:p>
    <w:p w14:paraId="34FEFC2F">
      <w:pPr>
        <w:spacing w:line="360" w:lineRule="auto"/>
        <w:ind w:firstLine="560"/>
        <w:rPr>
          <w:rFonts w:ascii="仿宋_GB2312"/>
          <w:bCs/>
          <w:szCs w:val="28"/>
        </w:rPr>
      </w:pPr>
      <w:r>
        <w:rPr>
          <w:rFonts w:ascii="仿宋_GB2312"/>
          <w:szCs w:val="28"/>
        </w:rPr>
        <w:t>综上，数量指标得分为</w:t>
      </w:r>
      <w:r>
        <w:rPr>
          <w:rFonts w:hint="eastAsia" w:ascii="仿宋_GB2312"/>
          <w:szCs w:val="28"/>
          <w:lang w:val="en-US" w:eastAsia="zh-CN"/>
        </w:rPr>
        <w:t>15.36</w:t>
      </w:r>
      <w:r>
        <w:rPr>
          <w:rFonts w:ascii="仿宋_GB2312"/>
          <w:szCs w:val="28"/>
        </w:rPr>
        <w:t>分。</w:t>
      </w:r>
    </w:p>
    <w:p w14:paraId="64688274">
      <w:pPr>
        <w:pStyle w:val="4"/>
        <w:ind w:firstLine="643"/>
      </w:pPr>
      <w:bookmarkStart w:id="50" w:name="_Toc196487562"/>
      <w:r>
        <w:rPr>
          <w:rFonts w:hint="eastAsia"/>
        </w:rPr>
        <w:t>2</w:t>
      </w:r>
      <w:r>
        <w:t>.</w:t>
      </w:r>
      <w:r>
        <w:rPr>
          <w:rFonts w:hint="eastAsia"/>
        </w:rPr>
        <w:t>产出质量</w:t>
      </w:r>
      <w:bookmarkEnd w:id="50"/>
    </w:p>
    <w:p w14:paraId="473F3F45">
      <w:pPr>
        <w:spacing w:line="360" w:lineRule="auto"/>
        <w:ind w:firstLine="560"/>
        <w:rPr>
          <w:rFonts w:hint="eastAsia"/>
          <w:highlight w:val="none"/>
        </w:rPr>
      </w:pPr>
      <w:bookmarkStart w:id="51" w:name="_Toc196487563"/>
      <w:r>
        <w:rPr>
          <w:rFonts w:hint="eastAsia"/>
          <w:highlight w:val="none"/>
        </w:rPr>
        <w:t>质量指标：</w:t>
      </w:r>
    </w:p>
    <w:p w14:paraId="5CC88F23">
      <w:pPr>
        <w:spacing w:line="360" w:lineRule="auto"/>
        <w:ind w:firstLine="560"/>
        <w:rPr>
          <w:rFonts w:hint="eastAsia" w:ascii="仿宋_GB2312"/>
          <w:szCs w:val="28"/>
          <w:highlight w:val="none"/>
        </w:rPr>
      </w:pPr>
      <w:r>
        <w:rPr>
          <w:rFonts w:hint="eastAsia"/>
          <w:highlight w:val="none"/>
          <w:lang w:val="en-US" w:eastAsia="zh-CN"/>
        </w:rPr>
        <w:t>科技特色学校评选合格率</w:t>
      </w:r>
      <w:r>
        <w:rPr>
          <w:rFonts w:hint="eastAsia"/>
          <w:highlight w:val="none"/>
        </w:rPr>
        <w:t>的目标值为</w:t>
      </w:r>
      <w:r>
        <w:rPr>
          <w:highlight w:val="none"/>
        </w:rPr>
        <w:t>&gt;=9</w:t>
      </w:r>
      <w:r>
        <w:rPr>
          <w:rFonts w:hint="eastAsia"/>
          <w:highlight w:val="none"/>
          <w:lang w:val="en-US" w:eastAsia="zh-CN"/>
        </w:rPr>
        <w:t>0</w:t>
      </w:r>
      <w:r>
        <w:rPr>
          <w:highlight w:val="none"/>
        </w:rPr>
        <w:t>%</w:t>
      </w:r>
      <w:r>
        <w:rPr>
          <w:rFonts w:hint="eastAsia"/>
          <w:highlight w:val="none"/>
        </w:rPr>
        <w:t>。2</w:t>
      </w:r>
      <w:r>
        <w:rPr>
          <w:highlight w:val="none"/>
        </w:rPr>
        <w:t>02</w:t>
      </w:r>
      <w:r>
        <w:rPr>
          <w:rFonts w:hint="eastAsia"/>
          <w:highlight w:val="none"/>
          <w:lang w:val="en-US" w:eastAsia="zh-CN"/>
        </w:rPr>
        <w:t>4</w:t>
      </w:r>
      <w:r>
        <w:rPr>
          <w:rFonts w:hint="eastAsia"/>
          <w:highlight w:val="none"/>
        </w:rPr>
        <w:t>年度我单位实际完成</w:t>
      </w:r>
      <w:r>
        <w:rPr>
          <w:rFonts w:hint="eastAsia"/>
          <w:highlight w:val="none"/>
          <w:lang w:val="en-US" w:eastAsia="zh-CN"/>
        </w:rPr>
        <w:t>90.91%</w:t>
      </w:r>
      <w:r>
        <w:rPr>
          <w:rFonts w:hint="eastAsia"/>
          <w:highlight w:val="none"/>
        </w:rPr>
        <w:t>，</w:t>
      </w:r>
      <w:r>
        <w:rPr>
          <w:rFonts w:hint="eastAsia"/>
          <w:highlight w:val="none"/>
          <w:lang w:val="en-US" w:eastAsia="zh-CN"/>
        </w:rPr>
        <w:t>原因为：参与评审学校11家，最终评选为乌鲁木齐市青少年科技活动特色学校数量为10家，故合格率为90.91%，</w:t>
      </w:r>
      <w:r>
        <w:rPr>
          <w:rFonts w:hint="eastAsia"/>
          <w:highlight w:val="none"/>
        </w:rPr>
        <w:t>分值</w:t>
      </w:r>
      <w:r>
        <w:rPr>
          <w:rFonts w:hint="eastAsia"/>
          <w:highlight w:val="none"/>
          <w:lang w:val="en-US" w:eastAsia="zh-CN"/>
        </w:rPr>
        <w:t>3</w:t>
      </w:r>
      <w:r>
        <w:rPr>
          <w:rFonts w:hint="eastAsia"/>
          <w:highlight w:val="none"/>
        </w:rPr>
        <w:t>分，实际得分</w:t>
      </w:r>
      <w:r>
        <w:rPr>
          <w:rFonts w:hint="eastAsia"/>
          <w:highlight w:val="none"/>
          <w:lang w:val="en-US" w:eastAsia="zh-CN"/>
        </w:rPr>
        <w:t>3</w:t>
      </w:r>
      <w:r>
        <w:rPr>
          <w:rFonts w:hint="eastAsia"/>
          <w:highlight w:val="none"/>
        </w:rPr>
        <w:t>分</w:t>
      </w:r>
      <w:r>
        <w:rPr>
          <w:rFonts w:hint="eastAsia" w:ascii="仿宋_GB2312"/>
          <w:szCs w:val="28"/>
          <w:highlight w:val="none"/>
        </w:rPr>
        <w:t>。</w:t>
      </w:r>
    </w:p>
    <w:p w14:paraId="50DFB36C">
      <w:pPr>
        <w:spacing w:line="360" w:lineRule="auto"/>
        <w:ind w:firstLine="560"/>
        <w:rPr>
          <w:rFonts w:hint="eastAsia" w:ascii="仿宋_GB2312"/>
          <w:szCs w:val="28"/>
          <w:highlight w:val="none"/>
        </w:rPr>
      </w:pPr>
      <w:r>
        <w:rPr>
          <w:rFonts w:hint="eastAsia"/>
          <w:highlight w:val="none"/>
          <w:lang w:val="en-US" w:eastAsia="zh-CN"/>
        </w:rPr>
        <w:t>科普活动完成率的</w:t>
      </w:r>
      <w:r>
        <w:rPr>
          <w:rFonts w:hint="eastAsia"/>
          <w:highlight w:val="none"/>
        </w:rPr>
        <w:t>目标值为</w:t>
      </w:r>
      <w:r>
        <w:rPr>
          <w:highlight w:val="none"/>
        </w:rPr>
        <w:t>&gt;=9</w:t>
      </w:r>
      <w:r>
        <w:rPr>
          <w:rFonts w:hint="eastAsia"/>
          <w:highlight w:val="none"/>
          <w:lang w:val="en-US" w:eastAsia="zh-CN"/>
        </w:rPr>
        <w:t>0</w:t>
      </w:r>
      <w:r>
        <w:rPr>
          <w:highlight w:val="none"/>
        </w:rPr>
        <w:t>%</w:t>
      </w:r>
      <w:r>
        <w:rPr>
          <w:rFonts w:hint="eastAsia"/>
          <w:highlight w:val="none"/>
        </w:rPr>
        <w:t>。2</w:t>
      </w:r>
      <w:r>
        <w:rPr>
          <w:highlight w:val="none"/>
        </w:rPr>
        <w:t>02</w:t>
      </w:r>
      <w:r>
        <w:rPr>
          <w:rFonts w:hint="eastAsia"/>
          <w:highlight w:val="none"/>
          <w:lang w:val="en-US" w:eastAsia="zh-CN"/>
        </w:rPr>
        <w:t>4</w:t>
      </w:r>
      <w:r>
        <w:rPr>
          <w:rFonts w:hint="eastAsia"/>
          <w:highlight w:val="none"/>
        </w:rPr>
        <w:t>年度我单位实际</w:t>
      </w:r>
      <w:r>
        <w:rPr>
          <w:rFonts w:hint="eastAsia"/>
          <w:highlight w:val="none"/>
          <w:lang w:val="en-US" w:eastAsia="zh-CN"/>
        </w:rPr>
        <w:t>完成100</w:t>
      </w:r>
      <w:r>
        <w:rPr>
          <w:highlight w:val="none"/>
        </w:rPr>
        <w:t>%</w:t>
      </w:r>
      <w:r>
        <w:rPr>
          <w:rFonts w:hint="eastAsia"/>
          <w:highlight w:val="none"/>
        </w:rPr>
        <w:t>，</w:t>
      </w:r>
      <w:r>
        <w:rPr>
          <w:rFonts w:hint="eastAsia"/>
          <w:highlight w:val="none"/>
          <w:lang w:val="en-US" w:eastAsia="zh-CN"/>
        </w:rPr>
        <w:t>原因为：目标值4次，最终实际完成4次活动，故完成率为100%，</w:t>
      </w:r>
      <w:r>
        <w:rPr>
          <w:rFonts w:hint="eastAsia"/>
          <w:highlight w:val="none"/>
        </w:rPr>
        <w:t>分值</w:t>
      </w:r>
      <w:r>
        <w:rPr>
          <w:rFonts w:hint="eastAsia"/>
          <w:highlight w:val="none"/>
          <w:lang w:val="en-US" w:eastAsia="zh-CN"/>
        </w:rPr>
        <w:t>3</w:t>
      </w:r>
      <w:r>
        <w:rPr>
          <w:rFonts w:hint="eastAsia"/>
          <w:highlight w:val="none"/>
        </w:rPr>
        <w:t>分，实际得分</w:t>
      </w:r>
      <w:r>
        <w:rPr>
          <w:rFonts w:hint="eastAsia"/>
          <w:highlight w:val="none"/>
          <w:lang w:val="en-US" w:eastAsia="zh-CN"/>
        </w:rPr>
        <w:t>3</w:t>
      </w:r>
      <w:r>
        <w:rPr>
          <w:rFonts w:hint="eastAsia"/>
          <w:highlight w:val="none"/>
        </w:rPr>
        <w:t>分</w:t>
      </w:r>
      <w:r>
        <w:rPr>
          <w:rFonts w:hint="eastAsia" w:ascii="仿宋_GB2312"/>
          <w:szCs w:val="28"/>
          <w:highlight w:val="none"/>
        </w:rPr>
        <w:t>。</w:t>
      </w:r>
    </w:p>
    <w:p w14:paraId="0C59D01F">
      <w:pPr>
        <w:spacing w:line="360" w:lineRule="auto"/>
        <w:ind w:firstLine="560"/>
        <w:rPr>
          <w:rFonts w:hint="eastAsia" w:ascii="仿宋_GB2312"/>
          <w:szCs w:val="28"/>
          <w:highlight w:val="none"/>
        </w:rPr>
      </w:pPr>
      <w:r>
        <w:rPr>
          <w:rFonts w:hint="eastAsia"/>
          <w:highlight w:val="none"/>
          <w:lang w:val="en-US" w:eastAsia="zh-CN"/>
        </w:rPr>
        <w:t>科普教育基地评选合格率的</w:t>
      </w:r>
      <w:r>
        <w:rPr>
          <w:rFonts w:hint="eastAsia"/>
          <w:highlight w:val="none"/>
        </w:rPr>
        <w:t>目标值为</w:t>
      </w:r>
      <w:r>
        <w:rPr>
          <w:highlight w:val="none"/>
        </w:rPr>
        <w:t>&gt;=9</w:t>
      </w:r>
      <w:r>
        <w:rPr>
          <w:rFonts w:hint="eastAsia"/>
          <w:highlight w:val="none"/>
          <w:lang w:val="en-US" w:eastAsia="zh-CN"/>
        </w:rPr>
        <w:t>0</w:t>
      </w:r>
      <w:r>
        <w:rPr>
          <w:highlight w:val="none"/>
        </w:rPr>
        <w:t>%</w:t>
      </w:r>
      <w:r>
        <w:rPr>
          <w:rFonts w:hint="eastAsia"/>
          <w:highlight w:val="none"/>
        </w:rPr>
        <w:t>。2</w:t>
      </w:r>
      <w:r>
        <w:rPr>
          <w:highlight w:val="none"/>
        </w:rPr>
        <w:t>02</w:t>
      </w:r>
      <w:r>
        <w:rPr>
          <w:rFonts w:hint="eastAsia"/>
          <w:highlight w:val="none"/>
          <w:lang w:val="en-US" w:eastAsia="zh-CN"/>
        </w:rPr>
        <w:t>4</w:t>
      </w:r>
      <w:r>
        <w:rPr>
          <w:rFonts w:hint="eastAsia"/>
          <w:highlight w:val="none"/>
        </w:rPr>
        <w:t>年度我单位实际</w:t>
      </w:r>
      <w:r>
        <w:rPr>
          <w:rFonts w:hint="eastAsia"/>
          <w:highlight w:val="none"/>
          <w:lang w:val="en-US" w:eastAsia="zh-CN"/>
        </w:rPr>
        <w:t>完成93.33</w:t>
      </w:r>
      <w:r>
        <w:rPr>
          <w:highlight w:val="none"/>
        </w:rPr>
        <w:t>%</w:t>
      </w:r>
      <w:r>
        <w:rPr>
          <w:rFonts w:hint="eastAsia"/>
          <w:highlight w:val="none"/>
        </w:rPr>
        <w:t>，</w:t>
      </w:r>
      <w:r>
        <w:rPr>
          <w:rFonts w:hint="eastAsia"/>
          <w:highlight w:val="none"/>
          <w:lang w:val="en-US" w:eastAsia="zh-CN"/>
        </w:rPr>
        <w:t>原因为：15家科普教育基地中有14家评选合格，故合格率为93.33%，</w:t>
      </w:r>
      <w:r>
        <w:rPr>
          <w:rFonts w:hint="eastAsia"/>
          <w:highlight w:val="none"/>
        </w:rPr>
        <w:t>分值</w:t>
      </w:r>
      <w:r>
        <w:rPr>
          <w:rFonts w:hint="eastAsia"/>
          <w:highlight w:val="none"/>
          <w:lang w:val="en-US" w:eastAsia="zh-CN"/>
        </w:rPr>
        <w:t>3</w:t>
      </w:r>
      <w:r>
        <w:rPr>
          <w:rFonts w:hint="eastAsia"/>
          <w:highlight w:val="none"/>
        </w:rPr>
        <w:t>分，实际得分</w:t>
      </w:r>
      <w:r>
        <w:rPr>
          <w:rFonts w:hint="eastAsia"/>
          <w:highlight w:val="none"/>
          <w:lang w:val="en-US" w:eastAsia="zh-CN"/>
        </w:rPr>
        <w:t>3</w:t>
      </w:r>
      <w:r>
        <w:rPr>
          <w:rFonts w:hint="eastAsia"/>
          <w:highlight w:val="none"/>
        </w:rPr>
        <w:t>分</w:t>
      </w:r>
      <w:r>
        <w:rPr>
          <w:rFonts w:hint="eastAsia" w:ascii="仿宋_GB2312"/>
          <w:szCs w:val="28"/>
          <w:highlight w:val="none"/>
        </w:rPr>
        <w:t>。</w:t>
      </w:r>
    </w:p>
    <w:p w14:paraId="3EB2C021">
      <w:pPr>
        <w:spacing w:line="360" w:lineRule="auto"/>
        <w:ind w:firstLine="560"/>
        <w:rPr>
          <w:rFonts w:ascii="仿宋_GB2312"/>
          <w:szCs w:val="28"/>
          <w:highlight w:val="none"/>
        </w:rPr>
      </w:pPr>
      <w:r>
        <w:rPr>
          <w:rFonts w:hint="eastAsia"/>
          <w:highlight w:val="none"/>
          <w:lang w:val="en-US" w:eastAsia="zh-CN"/>
        </w:rPr>
        <w:t>科普视频制作验收合格率</w:t>
      </w:r>
      <w:r>
        <w:rPr>
          <w:rFonts w:hint="eastAsia"/>
          <w:highlight w:val="none"/>
        </w:rPr>
        <w:t>目标值为</w:t>
      </w:r>
      <w:r>
        <w:rPr>
          <w:highlight w:val="none"/>
        </w:rPr>
        <w:t>&gt;=9</w:t>
      </w:r>
      <w:r>
        <w:rPr>
          <w:rFonts w:hint="eastAsia"/>
          <w:highlight w:val="none"/>
          <w:lang w:val="en-US" w:eastAsia="zh-CN"/>
        </w:rPr>
        <w:t>0</w:t>
      </w:r>
      <w:r>
        <w:rPr>
          <w:highlight w:val="none"/>
        </w:rPr>
        <w:t>%</w:t>
      </w:r>
      <w:r>
        <w:rPr>
          <w:rFonts w:hint="eastAsia"/>
          <w:highlight w:val="none"/>
        </w:rPr>
        <w:t>。2</w:t>
      </w:r>
      <w:r>
        <w:rPr>
          <w:highlight w:val="none"/>
        </w:rPr>
        <w:t>02</w:t>
      </w:r>
      <w:r>
        <w:rPr>
          <w:rFonts w:hint="eastAsia"/>
          <w:highlight w:val="none"/>
          <w:lang w:val="en-US" w:eastAsia="zh-CN"/>
        </w:rPr>
        <w:t>4</w:t>
      </w:r>
      <w:r>
        <w:rPr>
          <w:rFonts w:hint="eastAsia"/>
          <w:highlight w:val="none"/>
        </w:rPr>
        <w:t>年度我单位实际</w:t>
      </w:r>
      <w:r>
        <w:rPr>
          <w:rFonts w:hint="eastAsia"/>
          <w:highlight w:val="none"/>
          <w:lang w:val="en-US" w:eastAsia="zh-CN"/>
        </w:rPr>
        <w:t>完成100</w:t>
      </w:r>
      <w:r>
        <w:rPr>
          <w:highlight w:val="none"/>
        </w:rPr>
        <w:t>%</w:t>
      </w:r>
      <w:r>
        <w:rPr>
          <w:rFonts w:hint="eastAsia"/>
          <w:highlight w:val="none"/>
        </w:rPr>
        <w:t>，</w:t>
      </w:r>
      <w:r>
        <w:rPr>
          <w:rFonts w:hint="eastAsia"/>
          <w:highlight w:val="none"/>
          <w:lang w:val="en-US" w:eastAsia="zh-CN"/>
        </w:rPr>
        <w:t>原因为：2个科普宣传视频均达到验收标准，故合格率为100%，</w:t>
      </w:r>
      <w:r>
        <w:rPr>
          <w:rFonts w:hint="eastAsia"/>
          <w:highlight w:val="none"/>
        </w:rPr>
        <w:t>分值</w:t>
      </w:r>
      <w:r>
        <w:rPr>
          <w:rFonts w:hint="eastAsia"/>
          <w:highlight w:val="none"/>
          <w:lang w:val="en-US" w:eastAsia="zh-CN"/>
        </w:rPr>
        <w:t>3</w:t>
      </w:r>
      <w:r>
        <w:rPr>
          <w:rFonts w:hint="eastAsia"/>
          <w:highlight w:val="none"/>
        </w:rPr>
        <w:t>分，实际得分</w:t>
      </w:r>
      <w:r>
        <w:rPr>
          <w:rFonts w:hint="eastAsia"/>
          <w:highlight w:val="none"/>
          <w:lang w:val="en-US" w:eastAsia="zh-CN"/>
        </w:rPr>
        <w:t>3</w:t>
      </w:r>
      <w:r>
        <w:rPr>
          <w:rFonts w:hint="eastAsia"/>
          <w:highlight w:val="none"/>
        </w:rPr>
        <w:t>分</w:t>
      </w:r>
      <w:r>
        <w:rPr>
          <w:rFonts w:hint="eastAsia" w:ascii="仿宋_GB2312"/>
          <w:szCs w:val="28"/>
          <w:highlight w:val="none"/>
        </w:rPr>
        <w:t>。</w:t>
      </w:r>
      <w:bookmarkEnd w:id="51"/>
    </w:p>
    <w:p w14:paraId="259C416D">
      <w:pPr>
        <w:pStyle w:val="4"/>
        <w:ind w:firstLine="643"/>
      </w:pPr>
      <w:bookmarkStart w:id="52" w:name="_Toc196487564"/>
      <w:bookmarkStart w:id="53" w:name="_Toc67911615"/>
      <w:r>
        <w:rPr>
          <w:rFonts w:hint="eastAsia"/>
          <w:lang w:val="en-US" w:eastAsia="zh-CN"/>
        </w:rPr>
        <w:t>3</w:t>
      </w:r>
      <w:r>
        <w:t>.</w:t>
      </w:r>
      <w:r>
        <w:rPr>
          <w:rFonts w:hint="eastAsia"/>
        </w:rPr>
        <w:t>产出成本</w:t>
      </w:r>
      <w:bookmarkEnd w:id="52"/>
      <w:bookmarkEnd w:id="53"/>
    </w:p>
    <w:p w14:paraId="385B7C2A">
      <w:pPr>
        <w:spacing w:line="360" w:lineRule="auto"/>
        <w:ind w:firstLine="562"/>
        <w:rPr>
          <w:rFonts w:ascii="仿宋_GB2312"/>
          <w:b/>
          <w:bCs/>
          <w:color w:val="000000"/>
          <w:szCs w:val="28"/>
          <w:highlight w:val="none"/>
        </w:rPr>
      </w:pPr>
      <w:bookmarkStart w:id="54" w:name="_Toc165277252"/>
      <w:bookmarkStart w:id="55" w:name="_Toc196487565"/>
      <w:r>
        <w:rPr>
          <w:rFonts w:hint="eastAsia" w:ascii="仿宋_GB2312"/>
          <w:b/>
          <w:bCs/>
          <w:szCs w:val="28"/>
        </w:rPr>
        <w:t>经济成本</w:t>
      </w:r>
      <w:bookmarkEnd w:id="54"/>
      <w:r>
        <w:rPr>
          <w:rFonts w:ascii="仿宋_GB2312"/>
          <w:b/>
          <w:bCs/>
          <w:szCs w:val="28"/>
        </w:rPr>
        <w:t>：</w:t>
      </w:r>
      <w:r>
        <w:rPr>
          <w:rFonts w:hint="eastAsia" w:ascii="仿宋_GB2312"/>
          <w:b/>
          <w:bCs/>
          <w:szCs w:val="28"/>
        </w:rPr>
        <w:t>项目预算控制率：</w:t>
      </w:r>
      <w:r>
        <w:rPr>
          <w:rFonts w:hint="eastAsia" w:ascii="仿宋_GB2312"/>
          <w:b/>
          <w:bCs/>
          <w:color w:val="000000"/>
          <w:szCs w:val="28"/>
          <w:highlight w:val="none"/>
        </w:rPr>
        <w:t>“</w:t>
      </w:r>
      <w:r>
        <w:rPr>
          <w:rFonts w:hint="eastAsia"/>
          <w:color w:val="000000"/>
          <w:highlight w:val="none"/>
          <w:lang w:val="en-US" w:eastAsia="zh-CN"/>
        </w:rPr>
        <w:t>举办科普讲座</w:t>
      </w:r>
      <w:r>
        <w:rPr>
          <w:rFonts w:hint="eastAsia" w:ascii="仿宋_GB2312"/>
          <w:b/>
          <w:bCs/>
          <w:color w:val="000000"/>
          <w:szCs w:val="28"/>
          <w:highlight w:val="none"/>
        </w:rPr>
        <w:t>”</w:t>
      </w:r>
      <w:r>
        <w:rPr>
          <w:rFonts w:hint="eastAsia"/>
          <w:color w:val="000000"/>
          <w:highlight w:val="none"/>
        </w:rPr>
        <w:t>预算为</w:t>
      </w:r>
      <w:r>
        <w:rPr>
          <w:rFonts w:hint="eastAsia"/>
          <w:color w:val="000000"/>
          <w:highlight w:val="none"/>
          <w:lang w:val="en-US" w:eastAsia="zh-CN"/>
        </w:rPr>
        <w:t>2</w:t>
      </w:r>
      <w:r>
        <w:rPr>
          <w:rFonts w:hint="eastAsia"/>
          <w:color w:val="000000"/>
          <w:highlight w:val="none"/>
        </w:rPr>
        <w:t>万元，</w:t>
      </w:r>
      <w:r>
        <w:rPr>
          <w:rFonts w:hint="eastAsia" w:ascii="仿宋_GB2312"/>
          <w:bCs/>
          <w:color w:val="auto"/>
          <w:szCs w:val="28"/>
          <w:highlight w:val="none"/>
        </w:rPr>
        <w:t>实际支出</w:t>
      </w:r>
      <w:r>
        <w:rPr>
          <w:rFonts w:hint="eastAsia" w:ascii="仿宋_GB2312"/>
          <w:bCs/>
          <w:color w:val="auto"/>
          <w:szCs w:val="28"/>
          <w:highlight w:val="none"/>
          <w:lang w:val="en-US" w:eastAsia="zh-CN"/>
        </w:rPr>
        <w:t>0</w:t>
      </w:r>
      <w:r>
        <w:rPr>
          <w:rFonts w:hint="eastAsia" w:ascii="仿宋_GB2312"/>
          <w:bCs/>
          <w:color w:val="auto"/>
          <w:szCs w:val="28"/>
          <w:highlight w:val="none"/>
        </w:rPr>
        <w:t>万元</w:t>
      </w:r>
      <w:r>
        <w:rPr>
          <w:rFonts w:hint="eastAsia" w:ascii="仿宋_GB2312"/>
          <w:bCs/>
          <w:color w:val="auto"/>
          <w:szCs w:val="28"/>
          <w:highlight w:val="none"/>
          <w:lang w:eastAsia="zh-CN"/>
        </w:rPr>
        <w:t>，原因为本年因实际工作安排，未开展科普讲座，，导致成本指标存在偏差</w:t>
      </w:r>
      <w:r>
        <w:rPr>
          <w:rFonts w:hint="eastAsia" w:ascii="仿宋_GB2312"/>
          <w:bCs/>
          <w:color w:val="auto"/>
          <w:szCs w:val="28"/>
          <w:highlight w:val="none"/>
        </w:rPr>
        <w:t>；</w:t>
      </w:r>
      <w:r>
        <w:rPr>
          <w:rFonts w:hint="eastAsia" w:ascii="仿宋_GB2312"/>
          <w:bCs/>
          <w:color w:val="000000"/>
          <w:szCs w:val="28"/>
          <w:highlight w:val="none"/>
        </w:rPr>
        <w:t>“</w:t>
      </w:r>
      <w:r>
        <w:rPr>
          <w:rFonts w:hint="eastAsia" w:ascii="仿宋_GB2312"/>
          <w:bCs/>
          <w:color w:val="000000"/>
          <w:szCs w:val="28"/>
          <w:highlight w:val="none"/>
          <w:lang w:val="en-US" w:eastAsia="zh-CN"/>
        </w:rPr>
        <w:t>奖补科普教育基地15个</w:t>
      </w:r>
      <w:r>
        <w:rPr>
          <w:rFonts w:hint="eastAsia" w:ascii="仿宋_GB2312"/>
          <w:bCs/>
          <w:color w:val="000000"/>
          <w:szCs w:val="28"/>
          <w:highlight w:val="none"/>
        </w:rPr>
        <w:t>”预算为</w:t>
      </w:r>
      <w:r>
        <w:rPr>
          <w:rFonts w:hint="eastAsia" w:ascii="仿宋_GB2312"/>
          <w:bCs/>
          <w:color w:val="000000"/>
          <w:szCs w:val="28"/>
          <w:highlight w:val="none"/>
          <w:lang w:val="en-US" w:eastAsia="zh-CN"/>
        </w:rPr>
        <w:t>15</w:t>
      </w:r>
      <w:r>
        <w:rPr>
          <w:rFonts w:hint="eastAsia" w:ascii="仿宋_GB2312"/>
          <w:bCs/>
          <w:color w:val="000000"/>
          <w:szCs w:val="28"/>
          <w:highlight w:val="none"/>
        </w:rPr>
        <w:t>万元，实际支出</w:t>
      </w:r>
      <w:r>
        <w:rPr>
          <w:rFonts w:hint="eastAsia" w:ascii="仿宋_GB2312"/>
          <w:bCs/>
          <w:color w:val="000000"/>
          <w:szCs w:val="28"/>
          <w:highlight w:val="none"/>
          <w:lang w:val="en-US" w:eastAsia="zh-CN"/>
        </w:rPr>
        <w:t>15</w:t>
      </w:r>
      <w:r>
        <w:rPr>
          <w:rFonts w:hint="eastAsia" w:ascii="仿宋_GB2312"/>
          <w:bCs/>
          <w:color w:val="000000"/>
          <w:szCs w:val="28"/>
          <w:highlight w:val="none"/>
        </w:rPr>
        <w:t>万元；</w:t>
      </w:r>
      <w:r>
        <w:rPr>
          <w:rFonts w:hint="eastAsia" w:ascii="仿宋_GB2312"/>
          <w:bCs/>
          <w:color w:val="000000"/>
          <w:szCs w:val="28"/>
          <w:highlight w:val="none"/>
          <w:lang w:eastAsia="zh-CN"/>
        </w:rPr>
        <w:t>“</w:t>
      </w:r>
      <w:r>
        <w:rPr>
          <w:rFonts w:hint="eastAsia" w:ascii="仿宋_GB2312"/>
          <w:bCs/>
          <w:color w:val="000000"/>
          <w:szCs w:val="28"/>
          <w:highlight w:val="none"/>
          <w:lang w:val="en-US" w:eastAsia="zh-CN"/>
        </w:rPr>
        <w:t>青少年科技活动特色学校奖补先进集体11个</w:t>
      </w:r>
      <w:r>
        <w:rPr>
          <w:rFonts w:hint="eastAsia" w:ascii="仿宋_GB2312"/>
          <w:bCs/>
          <w:color w:val="000000"/>
          <w:szCs w:val="28"/>
          <w:highlight w:val="none"/>
          <w:lang w:eastAsia="zh-CN"/>
        </w:rPr>
        <w:t>”</w:t>
      </w:r>
      <w:r>
        <w:rPr>
          <w:rFonts w:hint="eastAsia"/>
          <w:color w:val="000000"/>
          <w:highlight w:val="none"/>
        </w:rPr>
        <w:t>预算为</w:t>
      </w:r>
      <w:r>
        <w:rPr>
          <w:rFonts w:hint="eastAsia"/>
          <w:color w:val="000000"/>
          <w:highlight w:val="none"/>
          <w:lang w:val="en-US" w:eastAsia="zh-CN"/>
        </w:rPr>
        <w:t>11</w:t>
      </w:r>
      <w:r>
        <w:rPr>
          <w:rFonts w:hint="eastAsia"/>
          <w:color w:val="000000"/>
          <w:highlight w:val="none"/>
        </w:rPr>
        <w:t>万元，</w:t>
      </w:r>
      <w:r>
        <w:rPr>
          <w:rFonts w:hint="eastAsia" w:ascii="仿宋_GB2312"/>
          <w:bCs/>
          <w:color w:val="000000"/>
          <w:szCs w:val="28"/>
          <w:highlight w:val="none"/>
        </w:rPr>
        <w:t>实际支出</w:t>
      </w:r>
      <w:r>
        <w:rPr>
          <w:rFonts w:hint="eastAsia" w:ascii="仿宋_GB2312"/>
          <w:bCs/>
          <w:color w:val="000000"/>
          <w:szCs w:val="28"/>
          <w:highlight w:val="none"/>
          <w:lang w:val="en-US" w:eastAsia="zh-CN"/>
        </w:rPr>
        <w:t>10</w:t>
      </w:r>
      <w:r>
        <w:rPr>
          <w:rFonts w:hint="eastAsia" w:ascii="仿宋_GB2312"/>
          <w:bCs/>
          <w:color w:val="000000"/>
          <w:szCs w:val="28"/>
          <w:highlight w:val="none"/>
        </w:rPr>
        <w:t>万元</w:t>
      </w:r>
      <w:r>
        <w:rPr>
          <w:rFonts w:hint="eastAsia" w:ascii="仿宋_GB2312"/>
          <w:bCs/>
          <w:color w:val="000000"/>
          <w:szCs w:val="28"/>
          <w:highlight w:val="none"/>
          <w:lang w:eastAsia="zh-CN"/>
        </w:rPr>
        <w:t>，原因为根据实际评选要求，评选出先进集体数量为10个，导致与年初设定目标值存在偏差；“</w:t>
      </w:r>
      <w:r>
        <w:rPr>
          <w:rFonts w:hint="eastAsia" w:ascii="仿宋_GB2312"/>
          <w:bCs/>
          <w:color w:val="000000"/>
          <w:szCs w:val="28"/>
          <w:highlight w:val="none"/>
          <w:lang w:val="en-US" w:eastAsia="zh-CN"/>
        </w:rPr>
        <w:t>开发创作高质量科普视频或科普创作作品1个</w:t>
      </w:r>
      <w:r>
        <w:rPr>
          <w:rFonts w:hint="eastAsia" w:ascii="仿宋_GB2312"/>
          <w:bCs/>
          <w:color w:val="000000"/>
          <w:szCs w:val="28"/>
          <w:highlight w:val="none"/>
          <w:lang w:eastAsia="zh-CN"/>
        </w:rPr>
        <w:t>”</w:t>
      </w:r>
      <w:r>
        <w:rPr>
          <w:rFonts w:hint="eastAsia"/>
          <w:color w:val="000000"/>
          <w:highlight w:val="none"/>
        </w:rPr>
        <w:t>预算为</w:t>
      </w:r>
      <w:r>
        <w:rPr>
          <w:rFonts w:hint="eastAsia"/>
          <w:color w:val="000000"/>
          <w:highlight w:val="none"/>
          <w:lang w:val="en-US" w:eastAsia="zh-CN"/>
        </w:rPr>
        <w:t>22</w:t>
      </w:r>
      <w:r>
        <w:rPr>
          <w:rFonts w:hint="eastAsia"/>
          <w:color w:val="000000"/>
          <w:highlight w:val="none"/>
        </w:rPr>
        <w:t>万元，</w:t>
      </w:r>
      <w:r>
        <w:rPr>
          <w:rFonts w:hint="eastAsia" w:ascii="仿宋_GB2312"/>
          <w:bCs/>
          <w:color w:val="000000"/>
          <w:szCs w:val="28"/>
          <w:highlight w:val="none"/>
        </w:rPr>
        <w:t>实际支出</w:t>
      </w:r>
      <w:r>
        <w:rPr>
          <w:rFonts w:hint="eastAsia" w:ascii="仿宋_GB2312"/>
          <w:bCs/>
          <w:color w:val="000000"/>
          <w:szCs w:val="28"/>
          <w:highlight w:val="none"/>
          <w:lang w:val="en-US" w:eastAsia="zh-CN"/>
        </w:rPr>
        <w:t>22</w:t>
      </w:r>
      <w:r>
        <w:rPr>
          <w:rFonts w:hint="eastAsia" w:ascii="仿宋_GB2312"/>
          <w:bCs/>
          <w:color w:val="000000"/>
          <w:szCs w:val="28"/>
          <w:highlight w:val="none"/>
        </w:rPr>
        <w:t>万元</w:t>
      </w:r>
      <w:r>
        <w:rPr>
          <w:rFonts w:hint="eastAsia" w:ascii="仿宋_GB2312"/>
          <w:bCs/>
          <w:color w:val="000000"/>
          <w:szCs w:val="28"/>
          <w:highlight w:val="none"/>
          <w:lang w:eastAsia="zh-CN"/>
        </w:rPr>
        <w:t>；</w:t>
      </w:r>
      <w:r>
        <w:rPr>
          <w:rFonts w:hint="eastAsia" w:ascii="仿宋_GB2312"/>
          <w:bCs/>
          <w:color w:val="000000"/>
          <w:szCs w:val="28"/>
          <w:highlight w:val="none"/>
          <w:lang w:val="en-US" w:eastAsia="zh-CN"/>
        </w:rPr>
        <w:t>四</w:t>
      </w:r>
      <w:r>
        <w:rPr>
          <w:rFonts w:hint="eastAsia" w:ascii="仿宋_GB2312"/>
          <w:bCs/>
          <w:color w:val="000000"/>
          <w:szCs w:val="28"/>
          <w:highlight w:val="none"/>
        </w:rPr>
        <w:t>个项目已按计划执行，未</w:t>
      </w:r>
      <w:r>
        <w:rPr>
          <w:rFonts w:hint="eastAsia" w:ascii="仿宋_GB2312"/>
          <w:bCs/>
          <w:color w:val="000000"/>
          <w:szCs w:val="28"/>
          <w:highlight w:val="none"/>
          <w:lang w:val="en-US" w:eastAsia="zh-CN"/>
        </w:rPr>
        <w:t>全部支付完毕</w:t>
      </w:r>
      <w:r>
        <w:rPr>
          <w:rFonts w:hint="eastAsia" w:ascii="仿宋_GB2312"/>
          <w:bCs/>
          <w:color w:val="000000"/>
          <w:szCs w:val="28"/>
          <w:highlight w:val="none"/>
        </w:rPr>
        <w:t>预算金额，故得分为</w:t>
      </w:r>
      <w:r>
        <w:rPr>
          <w:rFonts w:hint="eastAsia" w:ascii="仿宋_GB2312"/>
          <w:bCs/>
          <w:color w:val="000000"/>
          <w:szCs w:val="28"/>
          <w:highlight w:val="none"/>
          <w:lang w:val="en-US" w:eastAsia="zh-CN"/>
        </w:rPr>
        <w:t>8.72</w:t>
      </w:r>
      <w:r>
        <w:rPr>
          <w:rFonts w:hint="eastAsia" w:ascii="仿宋_GB2312"/>
          <w:bCs/>
          <w:color w:val="000000"/>
          <w:szCs w:val="28"/>
          <w:highlight w:val="none"/>
        </w:rPr>
        <w:t>分</w:t>
      </w:r>
      <w:r>
        <w:rPr>
          <w:rFonts w:ascii="仿宋_GB2312"/>
          <w:bCs/>
          <w:color w:val="000000"/>
          <w:szCs w:val="28"/>
          <w:highlight w:val="none"/>
        </w:rPr>
        <w:t>。</w:t>
      </w:r>
      <w:bookmarkEnd w:id="55"/>
    </w:p>
    <w:p w14:paraId="577462CE">
      <w:pPr>
        <w:pStyle w:val="3"/>
        <w:ind w:firstLine="643"/>
        <w:rPr>
          <w:rFonts w:ascii="仿宋" w:hAnsi="仿宋" w:eastAsia="仿宋"/>
          <w:lang w:bidi="en-US"/>
        </w:rPr>
      </w:pPr>
      <w:r>
        <w:rPr>
          <w:rFonts w:ascii="仿宋" w:hAnsi="仿宋" w:eastAsia="仿宋"/>
          <w:lang w:bidi="en-US"/>
        </w:rPr>
        <w:t>（四）项目效益</w:t>
      </w:r>
    </w:p>
    <w:p w14:paraId="25FD0C44">
      <w:pPr>
        <w:spacing w:line="360" w:lineRule="auto"/>
        <w:ind w:firstLine="560"/>
        <w:rPr>
          <w:rFonts w:ascii="仿宋_GB2312"/>
          <w:szCs w:val="28"/>
        </w:rPr>
      </w:pPr>
      <w:r>
        <w:rPr>
          <w:rFonts w:hint="eastAsia" w:ascii="仿宋_GB2312"/>
          <w:szCs w:val="28"/>
        </w:rPr>
        <w:t>项目效益指标由</w:t>
      </w:r>
      <w:r>
        <w:rPr>
          <w:rFonts w:ascii="仿宋_GB2312"/>
          <w:szCs w:val="28"/>
        </w:rPr>
        <w:t>1</w:t>
      </w:r>
      <w:r>
        <w:rPr>
          <w:rFonts w:hint="eastAsia" w:ascii="仿宋_GB2312"/>
          <w:szCs w:val="28"/>
        </w:rPr>
        <w:t>个二级指标和</w:t>
      </w:r>
      <w:r>
        <w:rPr>
          <w:rFonts w:hint="eastAsia" w:ascii="仿宋_GB2312"/>
          <w:szCs w:val="28"/>
          <w:lang w:val="en-US" w:eastAsia="zh-CN"/>
        </w:rPr>
        <w:t>1</w:t>
      </w:r>
      <w:r>
        <w:rPr>
          <w:rFonts w:hint="eastAsia" w:ascii="仿宋_GB2312"/>
          <w:szCs w:val="28"/>
        </w:rPr>
        <w:t>个三级指标构成，权重为</w:t>
      </w:r>
      <w:r>
        <w:rPr>
          <w:rFonts w:hint="eastAsia" w:ascii="仿宋_GB2312"/>
          <w:szCs w:val="28"/>
          <w:lang w:val="en-US" w:eastAsia="zh-CN"/>
        </w:rPr>
        <w:t>10</w:t>
      </w:r>
      <w:r>
        <w:rPr>
          <w:rFonts w:hint="eastAsia" w:ascii="仿宋_GB2312"/>
          <w:szCs w:val="28"/>
        </w:rPr>
        <w:t>分，实际得分</w:t>
      </w:r>
      <w:r>
        <w:rPr>
          <w:rFonts w:hint="eastAsia" w:ascii="仿宋_GB2312"/>
          <w:szCs w:val="28"/>
          <w:lang w:val="en-US" w:eastAsia="zh-CN"/>
        </w:rPr>
        <w:t>10</w:t>
      </w:r>
      <w:r>
        <w:rPr>
          <w:rFonts w:hint="eastAsia" w:ascii="仿宋_GB2312"/>
          <w:szCs w:val="28"/>
        </w:rPr>
        <w:t>分。</w:t>
      </w:r>
      <w:r>
        <w:rPr>
          <w:rFonts w:ascii="仿宋_GB2312"/>
          <w:szCs w:val="28"/>
        </w:rPr>
        <w:t xml:space="preserve"> </w:t>
      </w:r>
    </w:p>
    <w:p w14:paraId="2DA0EE24">
      <w:pPr>
        <w:spacing w:line="360" w:lineRule="auto"/>
        <w:ind w:firstLine="562"/>
        <w:rPr>
          <w:rFonts w:ascii="仿宋_GB2312"/>
          <w:b/>
          <w:bCs/>
          <w:szCs w:val="28"/>
        </w:rPr>
      </w:pPr>
      <w:r>
        <w:rPr>
          <w:rFonts w:hint="eastAsia" w:ascii="仿宋_GB2312"/>
          <w:b/>
          <w:bCs/>
          <w:szCs w:val="28"/>
        </w:rPr>
        <w:t>（1）实施效益</w:t>
      </w:r>
    </w:p>
    <w:p w14:paraId="452D73B1">
      <w:pPr>
        <w:spacing w:line="360" w:lineRule="auto"/>
        <w:ind w:firstLine="562"/>
        <w:rPr>
          <w:rFonts w:ascii="仿宋_GB2312"/>
          <w:szCs w:val="28"/>
        </w:rPr>
      </w:pPr>
      <w:r>
        <w:rPr>
          <w:rFonts w:hint="eastAsia" w:ascii="仿宋_GB2312"/>
          <w:b/>
          <w:bCs/>
          <w:szCs w:val="28"/>
        </w:rPr>
        <w:t>经济效益指标：</w:t>
      </w:r>
      <w:r>
        <w:rPr>
          <w:rFonts w:hint="eastAsia" w:ascii="仿宋_GB2312"/>
          <w:szCs w:val="28"/>
        </w:rPr>
        <w:t>不适用。</w:t>
      </w:r>
      <w:r>
        <w:rPr>
          <w:rFonts w:ascii="仿宋_GB2312"/>
          <w:szCs w:val="28"/>
        </w:rPr>
        <w:t xml:space="preserve"> </w:t>
      </w:r>
    </w:p>
    <w:p w14:paraId="1AFA0E11">
      <w:pPr>
        <w:spacing w:line="360" w:lineRule="auto"/>
        <w:ind w:firstLine="562"/>
        <w:rPr>
          <w:rFonts w:ascii="仿宋_GB2312"/>
          <w:szCs w:val="28"/>
        </w:rPr>
      </w:pPr>
      <w:r>
        <w:rPr>
          <w:rFonts w:hint="eastAsia" w:ascii="仿宋_GB2312"/>
          <w:b/>
          <w:bCs/>
          <w:szCs w:val="28"/>
        </w:rPr>
        <w:t>社会效益指标</w:t>
      </w:r>
      <w:r>
        <w:rPr>
          <w:rFonts w:hint="eastAsia" w:ascii="仿宋_GB2312"/>
          <w:szCs w:val="28"/>
        </w:rPr>
        <w:t>：评价指标“</w:t>
      </w:r>
      <w:r>
        <w:rPr>
          <w:rFonts w:hint="eastAsia" w:ascii="仿宋_GB2312"/>
          <w:szCs w:val="28"/>
          <w:lang w:val="en-US" w:eastAsia="zh-CN"/>
        </w:rPr>
        <w:t>科普活动公众参与率</w:t>
      </w:r>
      <w:r>
        <w:rPr>
          <w:rFonts w:hint="eastAsia" w:ascii="仿宋_GB2312"/>
          <w:szCs w:val="28"/>
        </w:rPr>
        <w:t>”，指标值：有所提升，实际完成值：完全达到预期，</w:t>
      </w:r>
      <w:r>
        <w:rPr>
          <w:rFonts w:hint="eastAsia"/>
        </w:rPr>
        <w:t>分值</w:t>
      </w:r>
      <w:r>
        <w:rPr>
          <w:rFonts w:hint="eastAsia"/>
          <w:lang w:val="en-US" w:eastAsia="zh-CN"/>
        </w:rPr>
        <w:t>10</w:t>
      </w:r>
      <w:r>
        <w:rPr>
          <w:rFonts w:hint="eastAsia"/>
        </w:rPr>
        <w:t>分，实际得分</w:t>
      </w:r>
      <w:r>
        <w:rPr>
          <w:rFonts w:hint="eastAsia"/>
          <w:lang w:val="en-US" w:eastAsia="zh-CN"/>
        </w:rPr>
        <w:t>10</w:t>
      </w:r>
      <w:r>
        <w:rPr>
          <w:rFonts w:hint="eastAsia"/>
        </w:rPr>
        <w:t>分</w:t>
      </w:r>
      <w:r>
        <w:rPr>
          <w:rFonts w:hint="eastAsia" w:ascii="仿宋_GB2312"/>
          <w:szCs w:val="28"/>
        </w:rPr>
        <w:t>。</w:t>
      </w:r>
      <w:r>
        <w:rPr>
          <w:rFonts w:hint="eastAsia" w:ascii="仿宋_GB2312"/>
          <w:color w:val="auto"/>
          <w:szCs w:val="28"/>
        </w:rPr>
        <w:t>本项目的实施通过</w:t>
      </w:r>
      <w:r>
        <w:rPr>
          <w:rFonts w:hint="eastAsia" w:ascii="仿宋_GB2312"/>
          <w:color w:val="auto"/>
          <w:szCs w:val="28"/>
          <w:lang w:val="en-US" w:eastAsia="zh-CN"/>
        </w:rPr>
        <w:t>各类</w:t>
      </w:r>
      <w:r>
        <w:rPr>
          <w:rFonts w:hint="eastAsia" w:ascii="仿宋_GB2312"/>
          <w:color w:val="auto"/>
          <w:szCs w:val="28"/>
        </w:rPr>
        <w:t>科普</w:t>
      </w:r>
      <w:r>
        <w:rPr>
          <w:rFonts w:hint="eastAsia" w:ascii="仿宋_GB2312"/>
          <w:color w:val="auto"/>
          <w:szCs w:val="28"/>
          <w:lang w:val="en-US" w:eastAsia="zh-CN"/>
        </w:rPr>
        <w:t>活动</w:t>
      </w:r>
      <w:r>
        <w:rPr>
          <w:rFonts w:hint="eastAsia" w:ascii="仿宋_GB2312"/>
          <w:color w:val="auto"/>
          <w:szCs w:val="28"/>
        </w:rPr>
        <w:t>等多种形式，开展各类科普宣传活动提高群众科普知识水平</w:t>
      </w:r>
      <w:r>
        <w:rPr>
          <w:rFonts w:hint="eastAsia" w:ascii="仿宋_GB2312"/>
          <w:szCs w:val="28"/>
        </w:rPr>
        <w:t>，举办乌鲁木齐市青少年科技创新大赛暨科技成果展览活动，不仅为青少年提供了展示科技成果与创新思维的舞台，更能激发他们探索科学的热情，从小培养科技创新能力。同时，拍摄科普视频并对系列科普活动进行宣传，能借助新媒体的传播优势，将科普知识传递给更广泛的青少年群体，营造良好的科技创新氛围。《新疆维吾尔自治区科学技术协会条例》强调，要培育科普教育基地，加强科学技术普及供给体系建设。对表现突出的科普单位进行奖补，能激励受到表彰奖励的单位持续开展优质科普活动，发挥示范带头作用，吸引更多社会力量参与科普工作，促进科普资源的优化整合与高效利用，全面提升基层科普服务水平。得分为10分。</w:t>
      </w:r>
    </w:p>
    <w:p w14:paraId="6057FE3C">
      <w:pPr>
        <w:spacing w:line="360" w:lineRule="auto"/>
        <w:ind w:firstLine="562"/>
        <w:rPr>
          <w:rFonts w:ascii="仿宋_GB2312"/>
          <w:szCs w:val="28"/>
        </w:rPr>
      </w:pPr>
      <w:r>
        <w:rPr>
          <w:rFonts w:hint="eastAsia" w:ascii="仿宋_GB2312"/>
          <w:b/>
          <w:bCs/>
          <w:szCs w:val="28"/>
        </w:rPr>
        <w:t>生态效益指标</w:t>
      </w:r>
      <w:r>
        <w:rPr>
          <w:rFonts w:hint="eastAsia" w:ascii="仿宋_GB2312"/>
          <w:szCs w:val="28"/>
        </w:rPr>
        <w:t>：不适用。</w:t>
      </w:r>
    </w:p>
    <w:p w14:paraId="58244DB7">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 w:val="24"/>
          <w:szCs w:val="24"/>
        </w:rPr>
        <w:t>10</w:t>
      </w:r>
      <w:r>
        <w:rPr>
          <w:rFonts w:hint="eastAsia" w:ascii="仿宋_GB2312" w:hAnsi="仿宋" w:cs="宋体"/>
          <w:b/>
          <w:kern w:val="0"/>
          <w:szCs w:val="28"/>
        </w:rPr>
        <w:t>分，得分</w:t>
      </w:r>
      <w:r>
        <w:rPr>
          <w:rFonts w:hint="eastAsia" w:ascii="仿宋_GB2312" w:hAnsi="仿宋" w:cs="宋体"/>
          <w:b/>
          <w:kern w:val="0"/>
          <w:szCs w:val="28"/>
          <w:lang w:val="en-US" w:eastAsia="zh-CN"/>
        </w:rPr>
        <w:t>10</w:t>
      </w:r>
      <w:r>
        <w:rPr>
          <w:rFonts w:hint="eastAsia" w:ascii="仿宋_GB2312" w:hAnsi="仿宋" w:cs="宋体"/>
          <w:b/>
          <w:kern w:val="0"/>
          <w:szCs w:val="28"/>
        </w:rPr>
        <w:t>分。</w:t>
      </w:r>
    </w:p>
    <w:p w14:paraId="6B6B7450">
      <w:pPr>
        <w:pStyle w:val="3"/>
        <w:ind w:firstLine="643"/>
        <w:rPr>
          <w:rFonts w:ascii="仿宋" w:hAnsi="仿宋" w:eastAsia="仿宋"/>
          <w:lang w:bidi="en-US"/>
        </w:rPr>
      </w:pPr>
      <w:bookmarkStart w:id="56" w:name="_Toc165277255"/>
      <w:r>
        <w:rPr>
          <w:rFonts w:hint="eastAsia" w:ascii="仿宋" w:hAnsi="仿宋" w:eastAsia="仿宋"/>
          <w:lang w:bidi="en-US"/>
        </w:rPr>
        <w:t>（五）</w:t>
      </w:r>
      <w:r>
        <w:rPr>
          <w:rFonts w:ascii="仿宋" w:hAnsi="仿宋" w:eastAsia="仿宋"/>
          <w:lang w:bidi="en-US"/>
        </w:rPr>
        <w:t>满意度指标完成情况分析</w:t>
      </w:r>
      <w:bookmarkEnd w:id="56"/>
    </w:p>
    <w:p w14:paraId="1E6D43C5">
      <w:pPr>
        <w:spacing w:line="360" w:lineRule="auto"/>
        <w:ind w:firstLine="562"/>
        <w:rPr>
          <w:rFonts w:ascii="仿宋_GB2312"/>
          <w:b/>
          <w:bCs/>
          <w:szCs w:val="28"/>
        </w:rPr>
      </w:pPr>
      <w:r>
        <w:rPr>
          <w:rFonts w:hint="eastAsia" w:ascii="仿宋_GB2312"/>
          <w:b/>
          <w:bCs/>
          <w:szCs w:val="28"/>
        </w:rPr>
        <w:t>（</w:t>
      </w:r>
      <w:r>
        <w:rPr>
          <w:rFonts w:ascii="仿宋_GB2312"/>
          <w:b/>
          <w:bCs/>
          <w:szCs w:val="28"/>
        </w:rPr>
        <w:t>1</w:t>
      </w:r>
      <w:r>
        <w:rPr>
          <w:rFonts w:hint="eastAsia" w:ascii="仿宋_GB2312"/>
          <w:b/>
          <w:bCs/>
          <w:szCs w:val="28"/>
        </w:rPr>
        <w:t>）满意度指标</w:t>
      </w:r>
    </w:p>
    <w:p w14:paraId="7B8C6B3D">
      <w:pPr>
        <w:spacing w:line="360" w:lineRule="auto"/>
        <w:ind w:firstLine="562"/>
        <w:rPr>
          <w:rFonts w:hint="eastAsia" w:ascii="仿宋_GB2312"/>
          <w:szCs w:val="28"/>
        </w:rPr>
      </w:pPr>
      <w:r>
        <w:rPr>
          <w:rFonts w:hint="eastAsia" w:ascii="仿宋_GB2312"/>
          <w:b/>
          <w:bCs/>
          <w:szCs w:val="28"/>
        </w:rPr>
        <w:t>群众满意度：</w:t>
      </w:r>
      <w:r>
        <w:rPr>
          <w:rFonts w:hint="eastAsia" w:ascii="仿宋_GB2312"/>
          <w:szCs w:val="28"/>
        </w:rPr>
        <w:t>评价指标“受益群众满意度（%）”，指标值：</w:t>
      </w:r>
      <w:r>
        <w:rPr>
          <w:rFonts w:hint="eastAsia" w:ascii="华文宋体" w:hAnsi="华文宋体" w:eastAsia="华文宋体"/>
          <w:szCs w:val="28"/>
        </w:rPr>
        <w:t>≥</w:t>
      </w:r>
      <w:r>
        <w:rPr>
          <w:rFonts w:ascii="仿宋_GB2312"/>
          <w:szCs w:val="28"/>
        </w:rPr>
        <w:t>90</w:t>
      </w:r>
      <w:r>
        <w:rPr>
          <w:rFonts w:hint="eastAsia" w:ascii="仿宋_GB2312"/>
          <w:szCs w:val="28"/>
        </w:rPr>
        <w:t>%，实际完成值：</w:t>
      </w:r>
      <w:r>
        <w:rPr>
          <w:rFonts w:hint="eastAsia" w:ascii="华文宋体" w:hAnsi="华文宋体" w:eastAsia="华文宋体"/>
          <w:szCs w:val="28"/>
        </w:rPr>
        <w:t>≥</w:t>
      </w:r>
      <w:r>
        <w:rPr>
          <w:rFonts w:ascii="仿宋_GB2312"/>
          <w:szCs w:val="28"/>
        </w:rPr>
        <w:t>9</w:t>
      </w:r>
      <w:r>
        <w:rPr>
          <w:rFonts w:hint="eastAsia" w:ascii="仿宋_GB2312"/>
          <w:szCs w:val="28"/>
          <w:lang w:val="en-US" w:eastAsia="zh-CN"/>
        </w:rPr>
        <w:t>6.4</w:t>
      </w:r>
      <w:r>
        <w:rPr>
          <w:rFonts w:hint="eastAsia" w:ascii="仿宋_GB2312"/>
          <w:szCs w:val="28"/>
        </w:rPr>
        <w:t>%，</w:t>
      </w:r>
      <w:r>
        <w:rPr>
          <w:rFonts w:hint="eastAsia"/>
        </w:rPr>
        <w:t>分值10分，实际得分10分</w:t>
      </w:r>
      <w:r>
        <w:rPr>
          <w:rFonts w:hint="eastAsia" w:ascii="仿宋_GB2312"/>
          <w:szCs w:val="28"/>
        </w:rPr>
        <w:t>。通过设置问卷调查的方式进行考评评价，共计调查样本总量为40个样本，有效调查问卷40份。其中，统计“参加科普活动群众满意度”的平均值为</w:t>
      </w:r>
      <w:r>
        <w:rPr>
          <w:rFonts w:hint="eastAsia" w:ascii="仿宋_GB2312"/>
          <w:szCs w:val="28"/>
          <w:lang w:val="en-US" w:eastAsia="zh-CN"/>
        </w:rPr>
        <w:t>96.4</w:t>
      </w:r>
      <w:r>
        <w:rPr>
          <w:rFonts w:hint="eastAsia" w:ascii="仿宋_GB2312"/>
          <w:szCs w:val="28"/>
        </w:rPr>
        <w:t>%。故满意度指标得分为10分。</w:t>
      </w:r>
    </w:p>
    <w:p w14:paraId="5B88EFF2">
      <w:pPr>
        <w:autoSpaceDE w:val="0"/>
        <w:spacing w:line="600" w:lineRule="exact"/>
        <w:ind w:left="0" w:leftChars="0" w:firstLine="562" w:firstLineChars="200"/>
        <w:rPr>
          <w:rFonts w:hint="eastAsia"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10</w:t>
      </w:r>
      <w:r>
        <w:rPr>
          <w:rFonts w:hint="eastAsia" w:ascii="仿宋_GB2312" w:hAnsi="仿宋" w:cs="宋体"/>
          <w:b/>
          <w:kern w:val="0"/>
          <w:szCs w:val="28"/>
        </w:rPr>
        <w:t>分，得分</w:t>
      </w:r>
      <w:r>
        <w:rPr>
          <w:rFonts w:hint="eastAsia" w:ascii="仿宋_GB2312" w:hAnsi="仿宋" w:cs="宋体"/>
          <w:b/>
          <w:kern w:val="0"/>
          <w:szCs w:val="28"/>
          <w:lang w:val="en-US" w:eastAsia="zh-CN"/>
        </w:rPr>
        <w:t>10</w:t>
      </w:r>
      <w:r>
        <w:rPr>
          <w:rFonts w:hint="eastAsia" w:ascii="仿宋_GB2312" w:hAnsi="仿宋" w:cs="宋体"/>
          <w:b/>
          <w:kern w:val="0"/>
          <w:szCs w:val="28"/>
        </w:rPr>
        <w:t>分。</w:t>
      </w:r>
    </w:p>
    <w:p w14:paraId="080BC7D7">
      <w:pPr>
        <w:pStyle w:val="2"/>
        <w:ind w:firstLine="0" w:firstLineChars="0"/>
        <w:jc w:val="left"/>
        <w:rPr>
          <w:rFonts w:ascii="仿宋" w:hAnsi="仿宋" w:eastAsia="仿宋"/>
          <w:sz w:val="36"/>
          <w:szCs w:val="36"/>
          <w:lang w:bidi="en-US"/>
        </w:rPr>
      </w:pPr>
      <w:r>
        <w:rPr>
          <w:rFonts w:hint="eastAsia" w:ascii="仿宋" w:hAnsi="仿宋" w:eastAsia="仿宋"/>
          <w:sz w:val="36"/>
          <w:szCs w:val="36"/>
          <w:lang w:bidi="en-US"/>
        </w:rPr>
        <w:t>五、主要经验及做法、存在的问题及原因分析</w:t>
      </w:r>
      <w:bookmarkEnd w:id="48"/>
      <w:bookmarkEnd w:id="49"/>
    </w:p>
    <w:p w14:paraId="1EAC7371">
      <w:pPr>
        <w:pStyle w:val="3"/>
        <w:ind w:firstLine="643"/>
        <w:rPr>
          <w:rFonts w:ascii="仿宋" w:hAnsi="仿宋" w:eastAsia="仿宋"/>
          <w:lang w:bidi="en-US"/>
        </w:rPr>
      </w:pPr>
      <w:bookmarkStart w:id="57" w:name="_Toc196487568"/>
      <w:bookmarkStart w:id="58" w:name="_Toc67911618"/>
      <w:bookmarkStart w:id="59" w:name="_Toc196487571"/>
      <w:bookmarkStart w:id="60" w:name="_Toc67911619"/>
      <w:r>
        <w:rPr>
          <w:rFonts w:hint="eastAsia" w:ascii="仿宋" w:hAnsi="仿宋" w:eastAsia="仿宋"/>
          <w:lang w:bidi="en-US"/>
        </w:rPr>
        <w:t>（一）主要经验及做法</w:t>
      </w:r>
      <w:bookmarkEnd w:id="57"/>
      <w:bookmarkEnd w:id="58"/>
    </w:p>
    <w:p w14:paraId="69F809B2">
      <w:pPr>
        <w:spacing w:line="360" w:lineRule="auto"/>
        <w:ind w:firstLine="562"/>
        <w:rPr>
          <w:rFonts w:hint="eastAsia" w:ascii="仿宋_GB2312"/>
          <w:szCs w:val="28"/>
        </w:rPr>
      </w:pPr>
      <w:r>
        <w:rPr>
          <w:rFonts w:hint="eastAsia" w:ascii="仿宋_GB2312"/>
          <w:szCs w:val="28"/>
          <w:lang w:val="en-US" w:eastAsia="zh-CN"/>
        </w:rPr>
        <w:t>乌</w:t>
      </w:r>
      <w:r>
        <w:rPr>
          <w:rFonts w:hint="eastAsia" w:ascii="仿宋_GB2312"/>
          <w:szCs w:val="28"/>
        </w:rPr>
        <w:t>鲁木齐市科协在“基层科普行动计划”资金使用中，形成两大核心经验做法。</w:t>
      </w:r>
    </w:p>
    <w:p w14:paraId="2AD95852">
      <w:pPr>
        <w:spacing w:line="360" w:lineRule="auto"/>
        <w:ind w:firstLine="562"/>
        <w:rPr>
          <w:rFonts w:hint="eastAsia" w:ascii="仿宋_GB2312"/>
          <w:szCs w:val="28"/>
        </w:rPr>
      </w:pPr>
      <w:r>
        <w:rPr>
          <w:rFonts w:hint="eastAsia" w:ascii="仿宋_GB2312"/>
          <w:szCs w:val="28"/>
        </w:rPr>
        <w:t xml:space="preserve"> 一是聚焦重点群体与传播创新。投入资金举办乌鲁木齐市青少年科技创新大赛暨科技成果展览活动，在新疆国际会展中心搭建高水平展示平台，激发青少年对科技创新的兴趣，培养其创新精神和实践能力。同时，注重利用新媒体手段，将资金用于拍摄科普视频，通过生动有趣、通俗易懂的内容，拓宽科普传播渠道，实现科普知识广泛传播。</w:t>
      </w:r>
    </w:p>
    <w:p w14:paraId="04628DD5">
      <w:pPr>
        <w:spacing w:line="360" w:lineRule="auto"/>
        <w:ind w:firstLine="562"/>
        <w:rPr>
          <w:rFonts w:hint="eastAsia" w:ascii="仿宋_GB2312"/>
          <w:szCs w:val="28"/>
        </w:rPr>
      </w:pPr>
      <w:r>
        <w:rPr>
          <w:rFonts w:hint="eastAsia" w:ascii="仿宋_GB2312"/>
          <w:szCs w:val="28"/>
        </w:rPr>
        <w:t xml:space="preserve"> 二是积极开展奖补工作。综合考量各级科普教育基地组织开展科普活动的数量、公众参与度、社会影响力、组织单位积极性等多方面因素，对优秀的科普教育基地和科技特色学校进行表彰。这一做法既体现对相关单位工作的认可和鼓励，也充分发挥其示范引领作用，激励更多单位积极投身科普事业，营造良好的科普氛围。</w:t>
      </w:r>
    </w:p>
    <w:p w14:paraId="15E0319A">
      <w:pPr>
        <w:pStyle w:val="3"/>
        <w:ind w:firstLine="643"/>
        <w:rPr>
          <w:rFonts w:ascii="仿宋" w:hAnsi="仿宋" w:eastAsia="仿宋"/>
          <w:lang w:bidi="en-US"/>
        </w:rPr>
      </w:pPr>
      <w:bookmarkStart w:id="61" w:name="_Toc196487569"/>
      <w:r>
        <w:rPr>
          <w:rFonts w:hint="eastAsia" w:ascii="仿宋" w:hAnsi="仿宋" w:eastAsia="仿宋"/>
          <w:lang w:bidi="en-US"/>
        </w:rPr>
        <w:t>（二）存在的问题及原因分析</w:t>
      </w:r>
      <w:bookmarkEnd w:id="61"/>
    </w:p>
    <w:p w14:paraId="0A16D24B">
      <w:pPr>
        <w:pStyle w:val="2"/>
        <w:numPr>
          <w:ilvl w:val="0"/>
          <w:numId w:val="0"/>
        </w:numPr>
        <w:spacing w:line="360" w:lineRule="auto"/>
        <w:ind w:left="280" w:leftChars="0" w:firstLine="560" w:firstLineChars="200"/>
        <w:jc w:val="left"/>
        <w:rPr>
          <w:rFonts w:hint="eastAsia" w:ascii="仿宋_GB2312" w:hAnsi="Calibri" w:eastAsia="仿宋_GB2312" w:cs="黑体"/>
          <w:b w:val="0"/>
          <w:bCs w:val="0"/>
          <w:kern w:val="2"/>
          <w:sz w:val="28"/>
          <w:szCs w:val="28"/>
          <w:lang w:val="en-US" w:eastAsia="zh-CN" w:bidi="ar-SA"/>
        </w:rPr>
      </w:pPr>
      <w:bookmarkStart w:id="62" w:name="_Toc67911620"/>
      <w:bookmarkStart w:id="63" w:name="_Toc196487570"/>
      <w:r>
        <w:rPr>
          <w:rFonts w:hint="eastAsia" w:ascii="仿宋_GB2312" w:hAnsi="Calibri" w:eastAsia="仿宋_GB2312" w:cs="黑体"/>
          <w:b w:val="0"/>
          <w:bCs w:val="0"/>
          <w:kern w:val="2"/>
          <w:sz w:val="28"/>
          <w:szCs w:val="28"/>
          <w:lang w:val="en-US" w:eastAsia="zh-CN" w:bidi="ar-SA"/>
        </w:rPr>
        <w:t>存在问题如下：</w:t>
      </w:r>
      <w:r>
        <w:rPr>
          <w:rFonts w:hint="eastAsia" w:ascii="仿宋_GB2312" w:cs="黑体"/>
          <w:b w:val="0"/>
          <w:bCs w:val="0"/>
          <w:kern w:val="2"/>
          <w:sz w:val="28"/>
          <w:szCs w:val="28"/>
          <w:lang w:val="en-US" w:eastAsia="zh-CN" w:bidi="ar-SA"/>
        </w:rPr>
        <w:t>1.</w:t>
      </w:r>
      <w:r>
        <w:rPr>
          <w:rFonts w:hint="eastAsia" w:ascii="仿宋_GB2312" w:hAnsi="Calibri" w:eastAsia="仿宋_GB2312" w:cs="黑体"/>
          <w:b w:val="0"/>
          <w:bCs w:val="0"/>
          <w:kern w:val="2"/>
          <w:sz w:val="28"/>
          <w:szCs w:val="28"/>
          <w:lang w:val="en-US" w:eastAsia="zh-CN" w:bidi="ar-SA"/>
        </w:rPr>
        <w:t>活动形式与内容创新性不足：青少年科技创新活动形式较为单一，创新展示手段不足，难以充分调动参与者的积极性与创造力。科普视频内容同质化严重，形式单一，未能结合热点话题与科普元素，传播吸引力不足。2. 激励效果有限：奖补对象覆盖面较窄，仅涉及部分科普教育基地，未能充分调动更多社会力量参与科普工作的积极性。</w:t>
      </w:r>
    </w:p>
    <w:p w14:paraId="637EBD58">
      <w:pPr>
        <w:pStyle w:val="2"/>
        <w:numPr>
          <w:ilvl w:val="0"/>
          <w:numId w:val="0"/>
        </w:numPr>
        <w:spacing w:line="360" w:lineRule="auto"/>
        <w:ind w:left="280" w:leftChars="0" w:firstLine="560" w:firstLineChars="200"/>
        <w:jc w:val="left"/>
        <w:rPr>
          <w:rFonts w:hint="eastAsia" w:ascii="仿宋_GB2312" w:hAnsi="Calibri" w:eastAsia="仿宋_GB2312" w:cs="黑体"/>
          <w:b w:val="0"/>
          <w:bCs w:val="0"/>
          <w:kern w:val="2"/>
          <w:sz w:val="28"/>
          <w:szCs w:val="28"/>
          <w:lang w:val="en-US" w:eastAsia="zh-CN" w:bidi="ar-SA"/>
        </w:rPr>
      </w:pPr>
      <w:r>
        <w:rPr>
          <w:rFonts w:hint="eastAsia" w:ascii="仿宋_GB2312" w:hAnsi="Calibri" w:eastAsia="仿宋_GB2312" w:cs="黑体"/>
          <w:b w:val="0"/>
          <w:bCs w:val="0"/>
          <w:kern w:val="2"/>
          <w:sz w:val="28"/>
          <w:szCs w:val="28"/>
          <w:lang w:val="en-US" w:eastAsia="zh-CN" w:bidi="ar-SA"/>
        </w:rPr>
        <w:t>原因如下：1.资源整合能力有限。短视频内容策划未能将热点话题与科普知识进行创新融合，缺乏形式多样性。2. 配套政策和资源支持不足，缺乏长期规划和持续性激励机制，难以调动更多社会力量参与科普工作的积极性和持续性。</w:t>
      </w:r>
    </w:p>
    <w:p w14:paraId="0D86EFC2">
      <w:pPr>
        <w:pStyle w:val="2"/>
        <w:ind w:firstLine="0" w:firstLineChars="0"/>
        <w:jc w:val="left"/>
        <w:rPr>
          <w:rFonts w:hint="eastAsia" w:ascii="仿宋" w:hAnsi="仿宋" w:eastAsia="仿宋"/>
          <w:sz w:val="36"/>
          <w:szCs w:val="36"/>
          <w:lang w:val="en-US" w:eastAsia="zh-CN" w:bidi="en-US"/>
        </w:rPr>
      </w:pPr>
      <w:r>
        <w:rPr>
          <w:rFonts w:hint="eastAsia" w:ascii="仿宋" w:hAnsi="仿宋" w:eastAsia="仿宋"/>
          <w:sz w:val="36"/>
          <w:szCs w:val="36"/>
          <w:lang w:val="en-US" w:eastAsia="zh-CN" w:bidi="en-US"/>
        </w:rPr>
        <w:t>六、有关建议</w:t>
      </w:r>
      <w:bookmarkEnd w:id="62"/>
      <w:bookmarkEnd w:id="63"/>
    </w:p>
    <w:p w14:paraId="2FED9DBF">
      <w:pPr>
        <w:keepLines w:val="0"/>
        <w:pageBreakBefore w:val="0"/>
        <w:numPr>
          <w:ilvl w:val="0"/>
          <w:numId w:val="0"/>
        </w:numPr>
        <w:kinsoku/>
        <w:wordWrap/>
        <w:overflowPunct/>
        <w:topLinePunct w:val="0"/>
        <w:autoSpaceDE/>
        <w:autoSpaceDN/>
        <w:bidi w:val="0"/>
        <w:adjustRightInd/>
        <w:spacing w:line="560" w:lineRule="exact"/>
        <w:ind w:firstLine="560" w:firstLineChars="200"/>
        <w:jc w:val="both"/>
        <w:textAlignment w:val="auto"/>
        <w:rPr>
          <w:rFonts w:hint="eastAsia" w:ascii="仿宋_GB2312" w:hAnsi="Calibri" w:eastAsia="仿宋_GB2312" w:cs="黑体"/>
          <w:b w:val="0"/>
          <w:bCs w:val="0"/>
          <w:kern w:val="2"/>
          <w:sz w:val="28"/>
          <w:szCs w:val="28"/>
          <w:lang w:val="en-US" w:eastAsia="zh-CN" w:bidi="ar-SA"/>
        </w:rPr>
      </w:pPr>
      <w:r>
        <w:rPr>
          <w:rFonts w:hint="eastAsia" w:ascii="仿宋_GB2312" w:hAnsi="Calibri" w:eastAsia="仿宋_GB2312" w:cs="黑体"/>
          <w:b w:val="0"/>
          <w:bCs w:val="0"/>
          <w:kern w:val="2"/>
          <w:sz w:val="28"/>
          <w:szCs w:val="28"/>
          <w:lang w:val="en-US" w:eastAsia="zh-CN" w:bidi="ar-SA"/>
        </w:rPr>
        <w:t>1.科普视频的制作应结合热点，采用动画等多样形式，提高吸引力。</w:t>
      </w:r>
    </w:p>
    <w:p w14:paraId="0144C57B">
      <w:pPr>
        <w:keepLines w:val="0"/>
        <w:pageBreakBefore w:val="0"/>
        <w:numPr>
          <w:ilvl w:val="0"/>
          <w:numId w:val="0"/>
        </w:numPr>
        <w:kinsoku/>
        <w:wordWrap/>
        <w:overflowPunct/>
        <w:topLinePunct w:val="0"/>
        <w:autoSpaceDE/>
        <w:autoSpaceDN/>
        <w:bidi w:val="0"/>
        <w:adjustRightInd/>
        <w:spacing w:line="560" w:lineRule="exact"/>
        <w:ind w:firstLine="560" w:firstLineChars="200"/>
        <w:jc w:val="both"/>
        <w:textAlignment w:val="auto"/>
        <w:rPr>
          <w:rFonts w:hint="eastAsia" w:ascii="仿宋_GB2312" w:hAnsi="Calibri" w:eastAsia="仿宋_GB2312" w:cs="黑体"/>
          <w:b w:val="0"/>
          <w:bCs w:val="0"/>
          <w:kern w:val="2"/>
          <w:sz w:val="28"/>
          <w:szCs w:val="28"/>
          <w:lang w:val="en-US" w:eastAsia="zh-CN" w:bidi="ar-SA"/>
        </w:rPr>
      </w:pPr>
      <w:r>
        <w:rPr>
          <w:rFonts w:hint="eastAsia" w:ascii="仿宋_GB2312" w:hAnsi="Calibri" w:eastAsia="仿宋_GB2312" w:cs="黑体"/>
          <w:b w:val="0"/>
          <w:bCs w:val="0"/>
          <w:kern w:val="2"/>
          <w:sz w:val="28"/>
          <w:szCs w:val="28"/>
          <w:lang w:val="en-US" w:eastAsia="zh-CN" w:bidi="ar-SA"/>
        </w:rPr>
        <w:t xml:space="preserve">2.定期参加自治区科协举办的各类科普培训，提高市科协队伍科普人员自身素质，增强参加科普活动人员的满意度。  </w:t>
      </w:r>
    </w:p>
    <w:p w14:paraId="5C5319C6">
      <w:pPr>
        <w:keepLines w:val="0"/>
        <w:pageBreakBefore w:val="0"/>
        <w:numPr>
          <w:ilvl w:val="0"/>
          <w:numId w:val="0"/>
        </w:numPr>
        <w:kinsoku/>
        <w:wordWrap/>
        <w:overflowPunct/>
        <w:topLinePunct w:val="0"/>
        <w:autoSpaceDE/>
        <w:autoSpaceDN/>
        <w:bidi w:val="0"/>
        <w:adjustRightInd/>
        <w:spacing w:line="560" w:lineRule="exact"/>
        <w:ind w:firstLine="560" w:firstLineChars="200"/>
        <w:jc w:val="both"/>
        <w:textAlignment w:val="auto"/>
        <w:rPr>
          <w:rFonts w:hint="default" w:ascii="仿宋_GB2312" w:hAnsi="Calibri" w:eastAsia="仿宋_GB2312" w:cs="黑体"/>
          <w:b w:val="0"/>
          <w:bCs w:val="0"/>
          <w:kern w:val="2"/>
          <w:sz w:val="28"/>
          <w:szCs w:val="28"/>
          <w:lang w:val="en-US" w:eastAsia="zh-CN" w:bidi="ar-SA"/>
        </w:rPr>
      </w:pPr>
      <w:r>
        <w:rPr>
          <w:rFonts w:hint="eastAsia" w:ascii="仿宋_GB2312" w:hAnsi="Calibri" w:eastAsia="仿宋_GB2312" w:cs="黑体"/>
          <w:b w:val="0"/>
          <w:bCs w:val="0"/>
          <w:kern w:val="2"/>
          <w:sz w:val="28"/>
          <w:szCs w:val="28"/>
          <w:lang w:val="en-US" w:eastAsia="zh-CN" w:bidi="ar-SA"/>
        </w:rPr>
        <w:t>3. 增加奖补对象，涵盖社区、企业等更多主体；除资金奖励外，提供宣传、培训等支持。</w:t>
      </w:r>
    </w:p>
    <w:p w14:paraId="08C7A534">
      <w:pPr>
        <w:pStyle w:val="2"/>
        <w:ind w:firstLine="0" w:firstLineChars="0"/>
        <w:jc w:val="left"/>
        <w:rPr>
          <w:rFonts w:ascii="仿宋" w:hAnsi="仿宋" w:eastAsia="仿宋"/>
          <w:sz w:val="36"/>
          <w:szCs w:val="36"/>
          <w:lang w:bidi="en-US"/>
        </w:rPr>
      </w:pPr>
      <w:r>
        <w:rPr>
          <w:rFonts w:hint="eastAsia" w:ascii="仿宋" w:hAnsi="仿宋" w:eastAsia="仿宋"/>
          <w:sz w:val="36"/>
          <w:szCs w:val="36"/>
          <w:lang w:bidi="en-US"/>
        </w:rPr>
        <w:t>七、其他需要说明的问题</w:t>
      </w:r>
      <w:bookmarkEnd w:id="59"/>
      <w:bookmarkEnd w:id="60"/>
    </w:p>
    <w:p w14:paraId="57B5A3C8">
      <w:pPr>
        <w:spacing w:line="360" w:lineRule="auto"/>
        <w:ind w:firstLine="560"/>
        <w:rPr>
          <w:rFonts w:hint="eastAsia" w:ascii="仿宋_GB2312"/>
          <w:szCs w:val="28"/>
        </w:rPr>
      </w:pPr>
      <w:r>
        <w:rPr>
          <w:rFonts w:hint="eastAsia" w:ascii="仿宋_GB2312"/>
          <w:szCs w:val="28"/>
        </w:rPr>
        <w:t>1.项目预算安排与执行紧密结合绩效目标并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指标管理机制，便于有效考核执行效果。</w:t>
      </w:r>
    </w:p>
    <w:p w14:paraId="6AA70307">
      <w:pPr>
        <w:spacing w:line="360" w:lineRule="auto"/>
        <w:ind w:firstLine="560"/>
        <w:rPr>
          <w:rFonts w:ascii="仿宋_GB2312"/>
          <w:szCs w:val="28"/>
        </w:rPr>
      </w:pPr>
      <w:r>
        <w:rPr>
          <w:rFonts w:hint="eastAsia" w:ascii="仿宋_GB2312"/>
          <w:szCs w:val="28"/>
        </w:rPr>
        <w:t>2.专项资金在立项的时候要充分考虑各方面的因素，努力使各个项目更加科学、有效，提前做好项目实施计划, 加大资金争取力度，及时制定专项资金使用中应注意加强沟通协调，加快资金使用力度及拨付进度，避免再出现结余资金较大或者资金追减的问题。</w:t>
      </w:r>
    </w:p>
    <w:sectPr>
      <w:headerReference r:id="rId13" w:type="default"/>
      <w:footerReference r:id="rId14"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altName w:val="Times New Roman"/>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仿宋_GBK">
    <w:panose1 w:val="02000000000000000000"/>
    <w:charset w:val="86"/>
    <w:family w:val="auto"/>
    <w:pitch w:val="default"/>
    <w:sig w:usb0="A00002BF" w:usb1="38CF7CFA" w:usb2="00082016" w:usb3="00000000" w:csb0="00040001" w:csb1="00000000"/>
  </w:font>
  <w:font w:name="Gungsuh">
    <w:panose1 w:val="02030600000101010101"/>
    <w:charset w:val="81"/>
    <w:family w:val="roman"/>
    <w:pitch w:val="default"/>
    <w:sig w:usb0="B00002AF" w:usb1="69D77CFB" w:usb2="00000030" w:usb3="00000000" w:csb0="4008009F" w:csb1="DFD70000"/>
  </w:font>
  <w:font w:name="华文宋体">
    <w:panose1 w:val="02010600040101010101"/>
    <w:charset w:val="86"/>
    <w:family w:val="auto"/>
    <w:pitch w:val="default"/>
    <w:sig w:usb0="00000287" w:usb1="080F0000" w:usb2="00000000" w:usb3="00000000" w:csb0="0004009F" w:csb1="DFD7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等线 Light">
    <w:altName w:val="MingLiU"/>
    <w:panose1 w:val="00000000000000000000"/>
    <w:charset w:val="00"/>
    <w:family w:val="auto"/>
    <w:pitch w:val="default"/>
    <w:sig w:usb0="00000000" w:usb1="00000000" w:usb2="00000000" w:usb3="00000000" w:csb0="00000000" w:csb1="00000000"/>
  </w:font>
  <w:font w:name="MingLiU">
    <w:panose1 w:val="02020509000000000000"/>
    <w:charset w:val="88"/>
    <w:family w:val="auto"/>
    <w:pitch w:val="default"/>
    <w:sig w:usb0="A00002FF" w:usb1="28CFFCFA" w:usb2="00000016" w:usb3="00000000" w:csb0="001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64DF84">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4E5FE8">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491505">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docPartObj>
        <w:docPartGallery w:val="autotext"/>
      </w:docPartObj>
    </w:sdtPr>
    <w:sdtEndPr>
      <w:rPr>
        <w:rFonts w:hint="eastAsia" w:ascii="仿宋_GB2312" w:eastAsia="仿宋_GB2312"/>
        <w:sz w:val="21"/>
        <w:szCs w:val="21"/>
      </w:rPr>
    </w:sdtEndPr>
    <w:sdtContent>
      <w:p w14:paraId="6F8E6850">
        <w:pPr>
          <w:pStyle w:val="9"/>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w:t>
        </w:r>
        <w:r>
          <w:rPr>
            <w:rFonts w:hint="eastAsia" w:ascii="仿宋_GB2312" w:eastAsia="仿宋_GB2312"/>
            <w:sz w:val="21"/>
            <w:szCs w:val="21"/>
          </w:rPr>
          <w:fldChar w:fldCharType="end"/>
        </w:r>
      </w:p>
    </w:sdtContent>
  </w:sdt>
  <w:p w14:paraId="6BD003DF">
    <w:pPr>
      <w:pStyle w:val="9"/>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docPartObj>
        <w:docPartGallery w:val="autotext"/>
      </w:docPartObj>
    </w:sdtPr>
    <w:sdtEndPr>
      <w:rPr>
        <w:rFonts w:hint="eastAsia" w:ascii="仿宋_GB2312" w:eastAsia="仿宋_GB2312"/>
        <w:sz w:val="21"/>
        <w:szCs w:val="21"/>
      </w:rPr>
    </w:sdtEndPr>
    <w:sdtContent>
      <w:p w14:paraId="4176BBA0">
        <w:pPr>
          <w:pStyle w:val="9"/>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18</w:t>
        </w:r>
        <w:r>
          <w:rPr>
            <w:rFonts w:hint="eastAsia" w:ascii="仿宋_GB2312" w:eastAsia="仿宋_GB2312"/>
            <w:sz w:val="21"/>
            <w:szCs w:val="21"/>
          </w:rPr>
          <w:fldChar w:fldCharType="end"/>
        </w:r>
      </w:p>
    </w:sdtContent>
  </w:sdt>
  <w:p w14:paraId="74626038">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14:paraId="6F8D1DA6">
      <w:pPr>
        <w:pStyle w:val="12"/>
        <w:ind w:firstLine="0" w:firstLineChars="0"/>
        <w:jc w:val="both"/>
        <w:rPr>
          <w:rFonts w:ascii="仿宋_GB2312"/>
        </w:rPr>
      </w:pPr>
      <w:r>
        <w:rPr>
          <w:rStyle w:val="18"/>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14:paraId="13B52888">
      <w:pPr>
        <w:pStyle w:val="12"/>
        <w:ind w:firstLine="0" w:firstLineChars="0"/>
        <w:jc w:val="both"/>
        <w:rPr>
          <w:rFonts w:ascii="仿宋_GB2312"/>
        </w:rPr>
      </w:pPr>
      <w:r>
        <w:rPr>
          <w:rFonts w:hint="eastAsia" w:ascii="仿宋_GB2312"/>
        </w:rPr>
        <w:t>本次绩效评价结果实施百分制和四级分类，其中90（含）-100分为优、80（含）-90分为良、</w:t>
      </w:r>
      <w:r>
        <w:rPr>
          <w:rFonts w:ascii="仿宋_GB2312"/>
        </w:rPr>
        <w:t>7</w:t>
      </w:r>
      <w:r>
        <w:rPr>
          <w:rFonts w:hint="eastAsia" w:ascii="仿宋_GB2312"/>
        </w:rPr>
        <w:t>0（含）-80分为中、</w:t>
      </w:r>
      <w:r>
        <w:rPr>
          <w:rFonts w:ascii="仿宋_GB2312"/>
        </w:rPr>
        <w:t>7</w:t>
      </w:r>
      <w:r>
        <w:rPr>
          <w:rFonts w:hint="eastAsia" w:ascii="仿宋_GB2312"/>
        </w:rPr>
        <w:t>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65A15E">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580D58">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175362">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1CC67D">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FED251">
    <w:pPr>
      <w:pStyle w:val="10"/>
      <w:ind w:firstLine="560"/>
      <w:jc w:val="right"/>
      <w:rPr>
        <w:rFonts w:ascii="仿宋_GB2312" w:eastAsia="仿宋_GB2312"/>
        <w:sz w:val="21"/>
        <w:szCs w:val="21"/>
      </w:rPr>
    </w:pPr>
    <w:r>
      <w:rPr>
        <w:rFonts w:hint="eastAsia" w:ascii="仿宋_GB2312" w:eastAsia="仿宋_GB2312"/>
        <w:sz w:val="21"/>
        <w:szCs w:val="21"/>
      </w:rPr>
      <w:t>部门项目报告模板</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NotTrackMoves/>
  <w:documentProtection w:enforcement="0"/>
  <w:defaultTabStop w:val="420"/>
  <w:drawingGridHorizontalSpacing w:val="140"/>
  <w:drawingGridVerticalSpacing w:val="38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6A74142"/>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unhideWhenUsed/>
    <w:qFormat/>
    <w:uiPriority w:val="9"/>
    <w:pPr>
      <w:keepNext/>
      <w:keepLines/>
      <w:spacing w:before="260" w:after="260" w:line="416" w:lineRule="auto"/>
      <w:outlineLvl w:val="2"/>
    </w:pPr>
    <w:rPr>
      <w:b/>
      <w:bCs/>
      <w:sz w:val="32"/>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Body Text Indent"/>
    <w:basedOn w:val="1"/>
    <w:qFormat/>
    <w:uiPriority w:val="0"/>
    <w:pPr>
      <w:ind w:left="420" w:leftChars="200"/>
    </w:pPr>
    <w:rPr>
      <w:rFonts w:ascii="Times New Roman" w:hAnsi="Times New Roman" w:cs="Times New Roman"/>
    </w:rPr>
  </w:style>
  <w:style w:type="paragraph" w:styleId="6">
    <w:name w:val="toc 3"/>
    <w:basedOn w:val="1"/>
    <w:next w:val="1"/>
    <w:autoRedefine/>
    <w:unhideWhenUsed/>
    <w:qFormat/>
    <w:uiPriority w:val="39"/>
    <w:pPr>
      <w:ind w:left="840" w:leftChars="400"/>
    </w:pPr>
  </w:style>
  <w:style w:type="paragraph" w:styleId="7">
    <w:name w:val="Date"/>
    <w:basedOn w:val="1"/>
    <w:next w:val="1"/>
    <w:link w:val="24"/>
    <w:semiHidden/>
    <w:unhideWhenUsed/>
    <w:qFormat/>
    <w:uiPriority w:val="99"/>
    <w:pPr>
      <w:ind w:left="100" w:leftChars="2500"/>
    </w:pPr>
  </w:style>
  <w:style w:type="paragraph" w:styleId="8">
    <w:name w:val="Balloon Text"/>
    <w:basedOn w:val="1"/>
    <w:link w:val="33"/>
    <w:semiHidden/>
    <w:unhideWhenUsed/>
    <w:qFormat/>
    <w:uiPriority w:val="99"/>
    <w:rPr>
      <w:sz w:val="18"/>
      <w:szCs w:val="18"/>
    </w:rPr>
  </w:style>
  <w:style w:type="paragraph" w:styleId="9">
    <w:name w:val="footer"/>
    <w:basedOn w:val="1"/>
    <w:link w:val="23"/>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2"/>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autoRedefine/>
    <w:unhideWhenUsed/>
    <w:qFormat/>
    <w:uiPriority w:val="39"/>
  </w:style>
  <w:style w:type="paragraph" w:styleId="12">
    <w:name w:val="footnote text"/>
    <w:basedOn w:val="1"/>
    <w:link w:val="26"/>
    <w:semiHidden/>
    <w:unhideWhenUsed/>
    <w:qFormat/>
    <w:uiPriority w:val="99"/>
    <w:pPr>
      <w:snapToGrid w:val="0"/>
      <w:jc w:val="left"/>
    </w:pPr>
    <w:rPr>
      <w:sz w:val="18"/>
      <w:szCs w:val="18"/>
    </w:rPr>
  </w:style>
  <w:style w:type="paragraph" w:styleId="13">
    <w:name w:val="toc 2"/>
    <w:basedOn w:val="1"/>
    <w:next w:val="1"/>
    <w:autoRedefine/>
    <w:unhideWhenUsed/>
    <w:qFormat/>
    <w:uiPriority w:val="39"/>
    <w:pPr>
      <w:ind w:left="420" w:leftChars="200"/>
    </w:p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Hyperlink"/>
    <w:basedOn w:val="16"/>
    <w:unhideWhenUsed/>
    <w:qFormat/>
    <w:uiPriority w:val="99"/>
    <w:rPr>
      <w:color w:val="0563C1" w:themeColor="hyperlink"/>
      <w:u w:val="single"/>
      <w14:textFill>
        <w14:solidFill>
          <w14:schemeClr w14:val="hlink"/>
        </w14:solidFill>
      </w14:textFill>
    </w:rPr>
  </w:style>
  <w:style w:type="character" w:styleId="18">
    <w:name w:val="footnote reference"/>
    <w:basedOn w:val="16"/>
    <w:semiHidden/>
    <w:unhideWhenUsed/>
    <w:qFormat/>
    <w:uiPriority w:val="99"/>
    <w:rPr>
      <w:vertAlign w:val="superscript"/>
    </w:rPr>
  </w:style>
  <w:style w:type="paragraph" w:customStyle="1" w:styleId="19">
    <w:name w:val="Comment Text"/>
    <w:basedOn w:val="1"/>
    <w:link w:val="31"/>
    <w:unhideWhenUsed/>
    <w:qFormat/>
    <w:uiPriority w:val="99"/>
    <w:pPr>
      <w:jc w:val="left"/>
    </w:pPr>
  </w:style>
  <w:style w:type="paragraph" w:customStyle="1" w:styleId="20">
    <w:name w:val="Comment Subject"/>
    <w:basedOn w:val="19"/>
    <w:next w:val="19"/>
    <w:link w:val="32"/>
    <w:semiHidden/>
    <w:unhideWhenUsed/>
    <w:qFormat/>
    <w:uiPriority w:val="99"/>
    <w:rPr>
      <w:b/>
      <w:bCs/>
    </w:rPr>
  </w:style>
  <w:style w:type="character" w:customStyle="1" w:styleId="21">
    <w:name w:val="Comment Reference"/>
    <w:basedOn w:val="16"/>
    <w:semiHidden/>
    <w:unhideWhenUsed/>
    <w:qFormat/>
    <w:uiPriority w:val="99"/>
    <w:rPr>
      <w:sz w:val="21"/>
      <w:szCs w:val="21"/>
    </w:rPr>
  </w:style>
  <w:style w:type="character" w:customStyle="1" w:styleId="22">
    <w:name w:val="页眉 Char"/>
    <w:basedOn w:val="16"/>
    <w:link w:val="10"/>
    <w:qFormat/>
    <w:uiPriority w:val="99"/>
    <w:rPr>
      <w:sz w:val="18"/>
      <w:szCs w:val="18"/>
    </w:rPr>
  </w:style>
  <w:style w:type="character" w:customStyle="1" w:styleId="23">
    <w:name w:val="页脚 Char"/>
    <w:basedOn w:val="16"/>
    <w:link w:val="9"/>
    <w:qFormat/>
    <w:uiPriority w:val="99"/>
    <w:rPr>
      <w:sz w:val="18"/>
      <w:szCs w:val="18"/>
    </w:rPr>
  </w:style>
  <w:style w:type="character" w:customStyle="1" w:styleId="24">
    <w:name w:val="日期 Char"/>
    <w:basedOn w:val="16"/>
    <w:link w:val="7"/>
    <w:semiHidden/>
    <w:qFormat/>
    <w:uiPriority w:val="99"/>
    <w:rPr>
      <w:rFonts w:ascii="Calibri" w:hAnsi="Calibri" w:eastAsia="仿宋_GB2312" w:cs="黑体"/>
      <w:sz w:val="28"/>
    </w:rPr>
  </w:style>
  <w:style w:type="character" w:customStyle="1" w:styleId="25">
    <w:name w:val="标题 2 Char"/>
    <w:basedOn w:val="16"/>
    <w:link w:val="3"/>
    <w:qFormat/>
    <w:uiPriority w:val="9"/>
    <w:rPr>
      <w:rFonts w:asciiTheme="majorHAnsi" w:hAnsiTheme="majorHAnsi" w:eastAsiaTheme="majorEastAsia" w:cstheme="majorBidi"/>
      <w:b/>
      <w:bCs/>
      <w:sz w:val="32"/>
      <w:szCs w:val="32"/>
    </w:rPr>
  </w:style>
  <w:style w:type="character" w:customStyle="1" w:styleId="26">
    <w:name w:val="脚注文本 Char"/>
    <w:basedOn w:val="16"/>
    <w:link w:val="12"/>
    <w:semiHidden/>
    <w:qFormat/>
    <w:uiPriority w:val="99"/>
    <w:rPr>
      <w:rFonts w:ascii="Calibri" w:hAnsi="Calibri" w:eastAsia="仿宋_GB2312" w:cs="黑体"/>
      <w:sz w:val="18"/>
      <w:szCs w:val="18"/>
    </w:rPr>
  </w:style>
  <w:style w:type="paragraph" w:styleId="27">
    <w:name w:val="List Paragraph"/>
    <w:basedOn w:val="1"/>
    <w:qFormat/>
    <w:uiPriority w:val="34"/>
    <w:pPr>
      <w:ind w:firstLine="420"/>
    </w:pPr>
  </w:style>
  <w:style w:type="table" w:customStyle="1" w:styleId="28">
    <w:name w:val="网格型1"/>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9">
    <w:name w:val="标题 1 Char"/>
    <w:basedOn w:val="16"/>
    <w:link w:val="2"/>
    <w:qFormat/>
    <w:uiPriority w:val="9"/>
    <w:rPr>
      <w:rFonts w:ascii="Calibri" w:hAnsi="Calibri" w:eastAsia="仿宋_GB2312" w:cs="黑体"/>
      <w:b/>
      <w:bCs/>
      <w:kern w:val="44"/>
      <w:sz w:val="44"/>
      <w:szCs w:val="44"/>
    </w:rPr>
  </w:style>
  <w:style w:type="paragraph" w:customStyle="1" w:styleId="30">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1">
    <w:name w:val="批注文字 Char"/>
    <w:basedOn w:val="16"/>
    <w:link w:val="19"/>
    <w:qFormat/>
    <w:uiPriority w:val="99"/>
    <w:rPr>
      <w:rFonts w:ascii="Calibri" w:hAnsi="Calibri" w:eastAsia="仿宋_GB2312" w:cs="黑体"/>
      <w:sz w:val="28"/>
    </w:rPr>
  </w:style>
  <w:style w:type="character" w:customStyle="1" w:styleId="32">
    <w:name w:val="批注主题 Char"/>
    <w:basedOn w:val="31"/>
    <w:link w:val="20"/>
    <w:semiHidden/>
    <w:qFormat/>
    <w:uiPriority w:val="99"/>
    <w:rPr>
      <w:rFonts w:ascii="Calibri" w:hAnsi="Calibri" w:eastAsia="仿宋_GB2312" w:cs="黑体"/>
      <w:b/>
      <w:bCs/>
      <w:sz w:val="28"/>
    </w:rPr>
  </w:style>
  <w:style w:type="character" w:customStyle="1" w:styleId="33">
    <w:name w:val="批注框文本 Char"/>
    <w:basedOn w:val="16"/>
    <w:link w:val="8"/>
    <w:semiHidden/>
    <w:qFormat/>
    <w:uiPriority w:val="99"/>
    <w:rPr>
      <w:rFonts w:ascii="Calibri" w:hAnsi="Calibri" w:eastAsia="仿宋_GB2312" w:cs="黑体"/>
      <w:sz w:val="18"/>
      <w:szCs w:val="18"/>
    </w:rPr>
  </w:style>
  <w:style w:type="character" w:customStyle="1" w:styleId="34">
    <w:name w:val="标题 3 Char"/>
    <w:basedOn w:val="16"/>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D1E825ACBDCA47E9853BCA39146A13C0_13</vt:lpwstr>
  </property>
  <property fmtid="{D5CDD505-2E9C-101B-9397-08002B2CF9AE}" pid="4" name="KSOTemplateDocerSaveRecord">
    <vt:lpwstr>eyJoZGlkIjoiMmI3Y2ZkZmI1ZTU3NjFlYWIxZmY0YjgyZWFkZmM2NjgiLCJ1c2VySWQiOiI0MTI0OTMzOTUifQ==</vt:lpwstr>
  </property>
</Properties>
</file>

<file path=customXml/itemProps1.xml><?xml version="1.0" encoding="utf-8"?>
<ds:datastoreItem xmlns:ds="http://schemas.openxmlformats.org/officeDocument/2006/customXml" ds:itemID="{1AF72445-BB0D-49D7-8B19-4B216F245C12}">
  <ds:schemaRefs/>
</ds:datastoreItem>
</file>

<file path=customXml/itemProps2.xml><?xml version="1.0" encoding="utf-8"?>
<ds:datastoreItem xmlns:ds="http://schemas.openxmlformats.org/officeDocument/2006/customXml" ds:itemID="{5cdb2d7e-fe5e-4205-9e63-9fea525a7aa0}">
  <ds:schemaRefs/>
</ds:datastoreItem>
</file>

<file path=docProps/app.xml><?xml version="1.0" encoding="utf-8"?>
<Properties xmlns="http://schemas.openxmlformats.org/officeDocument/2006/extended-properties" xmlns:vt="http://schemas.openxmlformats.org/officeDocument/2006/docPropsVTypes">
  <Template>Normal</Template>
  <Pages>33</Pages>
  <Words>9136</Words>
  <Characters>9557</Characters>
  <Lines>81</Lines>
  <Paragraphs>23</Paragraphs>
  <TotalTime>21</TotalTime>
  <ScaleCrop>false</ScaleCrop>
  <LinksUpToDate>false</LinksUpToDate>
  <CharactersWithSpaces>9687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2025-04-25T07:26:00Z</dcterms:created>
  <dc:creator>张 宇</dc:creator>
  <cp:lastModifiedBy>脑子进了地沟油。</cp:lastModifiedBy>
  <cp:lastPrinted>2023-04-11T02:57:00Z</cp:lastPrinted>
  <dcterms:modified xsi:type="dcterms:W3CDTF">2025-09-26T07:51:43Z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D1E825ACBDCA47E9853BCA39146A13C0_13</vt:lpwstr>
  </property>
  <property fmtid="{D5CDD505-2E9C-101B-9397-08002B2CF9AE}" pid="4" name="KSOTemplateDocerSaveRecord">
    <vt:lpwstr>eyJoZGlkIjoiOTk4OGQwMDhiNzg0NjZlZGMyZGQwM2I5MmM3MmFkNTgiLCJ1c2VySWQiOiIzMzUxOTI5NDcifQ==</vt:lpwstr>
  </property>
</Properties>
</file>