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场馆运行</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乌鲁木齐市科学技术馆</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乌鲁木齐市科学技术馆</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李佳</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1．项目背景、主要内容及实施情况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该项目实施背景：乌鲁木齐市科技馆坐落在人员密集、环境优美的人民公园旁，总建筑面积6800平方米（其中展览教育设施面积4292.37平方米）。是全国科普教育基地、国家防震减灾科普教育基地、自治区研学旅游基地、新疆少先队校外实践教育基地和爱国主义教育基地。自2011年8月10日起正式开馆以来，始终坚持面向社会公众免费开放。该项资金主要用于保障场馆正常运转支付劳务费（保洁人员工资）、维修（护）科技馆展品展项、开展各类科普活动购置实验用具、器材、支付委托业务费购买公众责任险等方面。</w:t>
      </w:r>
      <w:r>
        <w:cr/>
      </w:r>
      <w:r>
        <w:rPr>
          <w:rFonts w:eastAsia="楷体"/>
          <w:b w:val="0"/>
          <w:bCs w:val="0"/>
          <w:spacing w:val="-4"/>
          <w:sz w:val="32"/>
          <w:szCs w:val="32"/>
        </w:rPr>
        <w:br/>
      </w:r>
      <w:r>
        <w:rPr>
          <w:rStyle w:val="Strong"/>
          <w:rFonts w:eastAsia="楷体"/>
          <w:b w:val="0"/>
          <w:bCs w:val="0"/>
          <w:spacing w:val="-4"/>
          <w:sz w:val="32"/>
          <w:szCs w:val="32"/>
        </w:rPr>
        <w:t xml:space="preserve">乌鲁木齐市科技馆作为以面向少年儿童为主的主题科技馆，依托现有资源，聚焦核心，因地制宜更新改造适宜儿童的互动性、启发性、探究性强的展陈项目和科普设施。在项目推进过程中，乌鲁木齐市科技馆本着“道德·人·科技”的理念，以获知真理、舒展身心、享受科学为目标，“科普红包大拜年”“整点活动”“端午、中秋科普文化周”“科技馆里的国学智慧”“跟着悟空打卡科技馆”等各类品牌科普活动得到了各族群众尤其是青少年朋友的好评。</w:t>
      </w:r>
      <w:r>
        <w:cr/>
      </w:r>
      <w:r>
        <w:rPr>
          <w:rFonts w:eastAsia="楷体"/>
          <w:b w:val="0"/>
          <w:bCs w:val="0"/>
          <w:spacing w:val="-4"/>
          <w:sz w:val="32"/>
          <w:szCs w:val="32"/>
        </w:rPr>
        <w:br/>
      </w:r>
      <w:r>
        <w:rPr>
          <w:rStyle w:val="Strong"/>
          <w:rFonts w:eastAsia="楷体"/>
          <w:b w:val="0"/>
          <w:bCs w:val="0"/>
          <w:spacing w:val="-4"/>
          <w:sz w:val="32"/>
          <w:szCs w:val="32"/>
        </w:rPr>
        <w:t xml:space="preserve">项目2024年的主要实施内容：</w:t>
      </w:r>
      <w:r>
        <w:cr/>
      </w:r>
      <w:r>
        <w:rPr>
          <w:rFonts w:eastAsia="楷体"/>
          <w:b w:val="0"/>
          <w:bCs w:val="0"/>
          <w:spacing w:val="-4"/>
          <w:sz w:val="32"/>
          <w:szCs w:val="32"/>
        </w:rPr>
        <w:br/>
      </w:r>
      <w:r>
        <w:rPr>
          <w:rStyle w:val="Strong"/>
          <w:rFonts w:eastAsia="楷体"/>
          <w:b w:val="0"/>
          <w:bCs w:val="0"/>
          <w:spacing w:val="-4"/>
          <w:sz w:val="32"/>
          <w:szCs w:val="32"/>
        </w:rPr>
        <w:t xml:space="preserve">①“维修（护）费”用主要用于场馆常设展品维修共计7件（分别为：4D影院、虚拟射击、消防趣味互联，骑自行车发电、真空、电磁轨道加速器、会跳舞的曲别针）;</w:t>
      </w:r>
      <w:r>
        <w:cr/>
      </w:r>
      <w:r>
        <w:rPr>
          <w:rFonts w:eastAsia="楷体"/>
          <w:b w:val="0"/>
          <w:bCs w:val="0"/>
          <w:spacing w:val="-4"/>
          <w:sz w:val="32"/>
          <w:szCs w:val="32"/>
        </w:rPr>
        <w:br/>
      </w:r>
      <w:r>
        <w:rPr>
          <w:rStyle w:val="Strong"/>
          <w:rFonts w:eastAsia="楷体"/>
          <w:b w:val="0"/>
          <w:bCs w:val="0"/>
          <w:spacing w:val="-4"/>
          <w:sz w:val="32"/>
          <w:szCs w:val="32"/>
        </w:rPr>
        <w:t xml:space="preserve">②“劳务费”主要用于聘请7名保洁人员，对场馆卫生等方面进行了全方面的清扫，增强进馆参观人群的舒适度；</w:t>
      </w:r>
      <w:r>
        <w:cr/>
      </w:r>
      <w:r>
        <w:rPr>
          <w:rFonts w:eastAsia="楷体"/>
          <w:b w:val="0"/>
          <w:bCs w:val="0"/>
          <w:spacing w:val="-4"/>
          <w:sz w:val="32"/>
          <w:szCs w:val="32"/>
        </w:rPr>
        <w:br/>
      </w:r>
      <w:r>
        <w:rPr>
          <w:rStyle w:val="Strong"/>
          <w:rFonts w:eastAsia="楷体"/>
          <w:b w:val="0"/>
          <w:bCs w:val="0"/>
          <w:spacing w:val="-4"/>
          <w:sz w:val="32"/>
          <w:szCs w:val="32"/>
        </w:rPr>
        <w:t xml:space="preserve">③“开展线上线下各类科普活动成本”主要用于购买科普实验器具及整点科普活动用具。</w:t>
      </w:r>
      <w:r>
        <w:cr/>
      </w:r>
      <w:r>
        <w:rPr>
          <w:rFonts w:eastAsia="楷体"/>
          <w:b w:val="0"/>
          <w:bCs w:val="0"/>
          <w:spacing w:val="-4"/>
          <w:sz w:val="32"/>
          <w:szCs w:val="32"/>
        </w:rPr>
        <w:br/>
      </w:r>
      <w:r>
        <w:rPr>
          <w:rStyle w:val="Strong"/>
          <w:rFonts w:eastAsia="楷体"/>
          <w:b w:val="0"/>
          <w:bCs w:val="0"/>
          <w:spacing w:val="-4"/>
          <w:sz w:val="32"/>
          <w:szCs w:val="32"/>
        </w:rPr>
        <w:t xml:space="preserve">实际完成情况。为：①一是开展线上线下各类科普活动120场。其中连续开展13年的品牌教育活动“科普红包大拜年”，在春节期间开展40场次，近5600余人次参加活动；日常展教“整点活动”全年开展20场次，包括科学实验、一字一乾坤、科普制作、防震减灾演练、科普知识问答等活动；暑期针对青少年开展“悟空打卡科技馆”系列活动，创新打造以“悟空”为主题的打卡集章互动科普活动，根据打卡单上的线索，找到对应展品进行体验并收集印章，集齐5枚印章可获得科普奖品。该活动共开展22场次，荣获中国科协办公厅颁发的“2024年全国科普日优秀科普活动”荣誉；世界地球日期间开展相关科普活动4场，包括认识我们的地球、一棵小树的成长和奇思妙想试验场，提高青少年保护大自然的意识；5月科普活动月期间开展相关科普活动8场，其中在第八个“全国科技工作者日”暨第22个乌鲁木齐市科普活动月主场活动举办之际，在新疆1413科化体育产业园设置了流动科技馆展示，参与人数3000余人；端午文化科普周活动中，讲述传统文化蕴含的科学原理，包括科学探究实验：龙舟为什么能浮在水面上、端午趣味运动会、端午科普我知道、龙舟DIY等，共开展6场；线上开展“一分钟科普有奖问答”，制作20期科普小视频，普及科学知识，传播科学思想。二是开展青少年科普制作30次。包括机器人制作4次；暑期和科学家一起发明创造系列8次；纸上电路制作4次；科学酷发明14次。三是全年接待第91中学、23中学、若羌研学团、青少年宫等各中小学幼儿园团队，以及各区县委办局团队30个，科普服务4649人次。</w:t>
      </w:r>
      <w:r>
        <w:cr/>
      </w:r>
      <w:r>
        <w:rPr>
          <w:rFonts w:eastAsia="楷体"/>
          <w:b w:val="0"/>
          <w:bCs w:val="0"/>
          <w:spacing w:val="-4"/>
          <w:sz w:val="32"/>
          <w:szCs w:val="32"/>
        </w:rPr>
        <w:br/>
      </w:r>
      <w:r>
        <w:rPr>
          <w:rStyle w:val="Strong"/>
          <w:rFonts w:eastAsia="楷体"/>
          <w:b w:val="0"/>
          <w:bCs w:val="0"/>
          <w:spacing w:val="-4"/>
          <w:sz w:val="32"/>
          <w:szCs w:val="32"/>
        </w:rPr>
        <w:t xml:space="preserve">②通过聘请保洁7人，对场馆卫生等方面进行了全方面的清扫，增强进馆参观人群的舒适度。</w:t>
      </w:r>
      <w:r>
        <w:cr/>
      </w:r>
      <w:r>
        <w:rPr>
          <w:rFonts w:eastAsia="楷体"/>
          <w:b w:val="0"/>
          <w:bCs w:val="0"/>
          <w:spacing w:val="-4"/>
          <w:sz w:val="32"/>
          <w:szCs w:val="32"/>
        </w:rPr>
        <w:br/>
      </w:r>
      <w:r>
        <w:rPr>
          <w:rStyle w:val="Strong"/>
          <w:rFonts w:eastAsia="楷体"/>
          <w:b w:val="0"/>
          <w:bCs w:val="0"/>
          <w:spacing w:val="-4"/>
          <w:sz w:val="32"/>
          <w:szCs w:val="32"/>
        </w:rPr>
        <w:t xml:space="preserve">2.资金投入和使用情况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该项目资金投入情况：经乌财科教【2024】2号文件批准，项目系2024年本级资金，共安排预算81.49万元，年中资金追减29.72万元，主要原因：①拟购置的专用设备采购因不适配场馆升级与未来技术的兼容性，决定暂缓本年度采购。②压缩非必要的培训费，减少相应支出。</w:t>
      </w:r>
      <w:r>
        <w:cr/>
      </w:r>
      <w:r>
        <w:rPr>
          <w:rFonts w:eastAsia="楷体"/>
          <w:b w:val="0"/>
          <w:bCs w:val="0"/>
          <w:spacing w:val="-4"/>
          <w:sz w:val="32"/>
          <w:szCs w:val="32"/>
        </w:rPr>
        <w:br/>
      </w:r>
      <w:r>
        <w:rPr>
          <w:rStyle w:val="Strong"/>
          <w:rFonts w:eastAsia="楷体"/>
          <w:b w:val="0"/>
          <w:bCs w:val="0"/>
          <w:spacing w:val="-4"/>
          <w:sz w:val="32"/>
          <w:szCs w:val="32"/>
        </w:rPr>
        <w:t xml:space="preserve">该项目资金使用情况：总预算81.49万元、资金主要用于①办公费16万元；②专用设备购置20万元；③ 劳务费21.26万元；④维修（护）费15.50万元；⑤培训费4.28万元；⑥邮电费2.45万元；⑦委托业务费2万元。年终执行51.77万元，预算执行率100%。</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该项目为经常性项目。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全年开展线上线下各类科普活动120场次，开展青少年科普制作30次，全年接待参观团队30次，通过维修展品、购买科普实验用品，聘请7名保洁人员保障场馆卫生等方面不断提升了科技馆服务质量，改善体验环境，吸引更多的观众参观学习科学知识，切实为全民科学素质提高发挥重要作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2024年市科技馆使用劳务费20.62万元，主要用于聘请场馆保洁人员7名支付保洁工资；使用维修费15.49万元，主要用于维修场馆常设展品7件（分别为：4D影院、虚拟射击、消防趣味互联，骑自行车发电、真空、电磁轨道加速器、会跳舞的曲别针）；使用办公费15.66万元，主要用于开展科普展教活动用科普实验用品1批及各类活动费用。</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首先，项目的目标、范围和要求在绩效评价指标体系中得到了全面而细致地体现。该项目设置了维修场馆常设展品，不断提升科技馆服务质量，营造和谐社会等核心指标，能够全面反映项目主要产出及实施效果。本次绩效评价资金范围覆盖2024年度项目所有资金，绩效评价指标体系包含项目决策、项目过程、项目产出、项目效益、满意度指标等5个维度，并根据5个维度进一步细化分解，如：项目立项、绩效目标、资金投入、资金管理、组织实施、满意度等评价指标，能够全面反映项目全周期实施管理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其次，对于项目的计划和执行过程，我们也进行了深入的分析和评估，正对项目的资金执行计划分析了预算编制科学性及资金分配合理性，正对项目实施计划分析了立项依据充分性及立项程序规范性。在项目实施前，制定详细的资金申请计划和任务时间表，并严格按照计划进行执行。对照项目计划设置产出指标及效益指标，如：线上下线各类科普活动120次，科普手工制作30次，接待团队30次等指标，及时跟踪项目的进展情况，确保各项任务能及时完成。通过这些措施，我们能够充分了解项目的实施情况，圆满完成全年各项任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最后，关于评价数据的来源和采集，我们采取了多种方式和渠道。一方面，我们通过问卷调查的方式收集服务对象的评价数据，另一方面，我们也从财务体统中提取相关数据，用于分析项目的成本和资源利用等情况。同时，严格核查数据的真实性和有效性，确保评价结果的准确性和可靠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通过对项目设立的背景、意义、项目内容、项目现状及绩效目标、资金投入、资金管理、组织实施、产出指标、成本指标和效益指标等进行深入调研和分析，进一步了解场馆运行项目的实施情况，并考察项目实施过程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（1）绩效评价的对象：场馆运行项目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该项目资金由市财政及时拨付，我单位有序完成设定目标的部分工作任务，购买科普实验用具，完成了线上线下各类科普活动120次，科普手工制作30次，接待团队30个，维修场馆7件常设展品，通过以上不断提升科技馆服务质量，改善体验环境，吸引更多的观众参观。提升科技场馆影响力具体情况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1.积极开展线上线下各类科普文化传播活动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支出15.66万元，如期推进线下日常展教“整点活动”。包括科学实验、一字一乾坤、手工DIY、防震减灾演练、等活动将优秀传统文化和国学文化融入到科普活动中，形成了“端午文化科普周”、“中秋文化科普周”等主题活动。端午节期间开展了科学探究实验、趣味科普运动会、龙舟DIY等活动。在每年传统农历新年期间，面向社区、家庭和学校发放“科普红包”，并开展形式多样的科普活动。线上开展趣味科学实验，有奖知识问答，范围涵盖了自然资源、生命科学、声光现象、数学、力与机械等领域，让孩子们近距离感受到科学的神奇与乐趣。通过短视频在融媒体等平台的播放，扩大了乌鲁木齐市科普工作的宣传范围和影响力。</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2.维修（护）常设展品、聘请保洁人员从而改善体验环境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支出15.49万元，用于维修（护）科技馆场馆常设展品，通过展品积极开展科普文化传播活动，与第50中学、第80中学、第16中学、第22小学、第68中学、第27小学、第77中学共7家学校签订馆校合作协议，利用流动科普设施资源进校园开展馆校联合实践活动，助推“双减”工作落地见效。联合乌鲁木齐市第27小学、乌鲁木齐市第71小学开展《科技馆里的科学课》。活动激发了青少年的创新热情，拓展了科学视野，有效引导了青少年融入现代文明生活，真正让科普知识“飞入寻常百姓家”，营造了讲科学、爱科学、学科学、用科学的浓厚社会氛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3.支出20.62万元，用于支付场馆劳务人员（保洁工资），通过保洁人员认真细心的打扫卫生，积极营造出环境整洁的空间，让更多的参观者予以更多的舒适体验。</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指标说明</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项目申请、设立过程是否符合相关要求，用以反映和考核项目立项的规范情况。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项目所设定的绩效目标是否依据充分，是否符合客观实际，用以反映和考核项目绩效目标与项目实施的相符情况。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资金到位率=（实际到位资金/预算资金）×100%。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预算执行率=（实际支出资金/实际到位资金）×100%。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项目实施单位的财务和业务管理制度是否健全，用以反映和考核财务和业务管理制度对项目顺利实施的保障情况。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开展线上线下开展各类科普活动次数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项目实施的实际产出数与计划产出数的比率，用以反映和考核项目产出数量目标的实现程度。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实际完成率=（实际产出数/计划产出数）×100%。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开展青少年科普制作次数</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全年接待参观团队次数</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聘用场馆保洁人员人数</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购置专用设备</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科普讲解投诉率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质量达标率=（质量达标产出数/实际产出数）×100%。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设备购置验收合格率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主题科普活动完成率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实际完成时间：项目实施单位完成该项目实际所耗用的时间。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维修费用及其他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开展线上线下开展各类科普活动成本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劳务费费用</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保障科技馆的正常运行，提高全民科学素质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参观人员满意度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社会公众或服务对象对项目实施效果的满意程度。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根据本项目（场馆运行）的特点，本次评价主要采用比较法和公众评判，对项目总预算和明细预算的内容、标准、计划是否经济合理进行深入分析，以考察实际产出和效益是否达到预期。</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·《中共中央国务院关于全面实施预算绩效管理的意见》（中发〔2018〕34号）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《关于印发&lt;乌鲁木齐市本级部门预算绩效目标管理暂行办法&gt;的通知》（乌财预〔2018〕56号）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《关于做好2019年部门预算项目支出绩效目标管理有关事宜的通知》（乌财预〔2018〕76号）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·《科学技术馆建设标准》的通知（建标〔2007〕166号）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《财政部 中国科协关于印发&lt;科技馆免费开放补助资金管理办法&gt;》的通知（财教〔2023〕162号）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关于印发《新疆维吾尔自治区中央补助地方科技馆免费开放补助资金管理办法&gt;》的通知（新财教〔2018〕60号）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场馆运行进行客观评价，最终评分结果为：总分为92.18分，绩效评级为“优”[本次绩效评价结果实施百分制和四级分类，其中90（含）-100分为优、80（含）-90分为良、70（含）-80分为中、70分以下为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3.18</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63.60%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开展线上线下开展各类科普活动次数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开展青少年科普制作次数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全年接待参观团队次数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聘用场馆保洁人员人数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购置专用设备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0</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科普讲解投诉率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设备购置验收合格率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0</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主题科普活动完成率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维修费用及其他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开展线上线下开展各类科普活动成本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劳务费费用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保障科技馆的正常运行，提高全民科学素质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参观人员满意度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由市财政及时拨付，单位有序完成设定目标的部分工作任务，购买科普实验用具，完成了线上下线各类科普活动120次，科普手工制作30次，接待团队30个，维修场馆7件常设展品，通过以上不断提升科技馆服务质量，改善体验环境，吸引更多的观众参观。提升科技场馆影响力具体情况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是支出15.49万元，用于维修（护）科技馆场馆常设展品，通过展品积极开展科普文化传播活动，与第50中学、第80中学、第16中学、第22小学、第68中学、第27小学、第77中学共7家学校签订馆校合作协议，利用流动科普设施资源进校园开展馆校联合实践活动，助推“双减”工作落地见效。联合乌鲁木齐市第27小学、乌鲁木齐市第71小学开展《科技馆里的科学课》。活动激发了青少年的创新热情，拓展了科学视野，有效引导了青少年融入现代文明生活，真正让科普知识“飞入寻常百姓家”，营造了讲科学、爱科学、学科学、用科学的浓厚社会氛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是支出15.66万元，如期推进线下日常展教“整点活动”。包括科学实验、一字一乾坤、手工DIY、防震减灾演练、等活动将优秀传统文化和国学文化融入到科普活动中，形成了“端午文化科普周”、“中秋文化科普周”等主题活动。端午节期间开展了科学探究实验、趣味科普运动会、龙舟DIY等活动。在每年传统农历新年期间，面向社区、家庭和学校发放“科普红包”，并开展形式多样的科普活动。线上开展趣味科学实验，有奖知识问答，范围涵盖了自然资源、生命科学、声光现象、数学、力与机械等领域，让孩子们近距离感受到科学的神奇与乐趣。通过短视频在融媒体等平台的播放，扩大了乌鲁木齐市科普工作的宣传范围和影响力。</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三是支出20.62万元，用于支付场馆劳务人员（保洁工资），通过保洁人员认真细心的打扫卫生，积极营造出环境整洁的空间，让更多的参观者予以更多的舒适体验。</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项目决算指标由3个二级指标和6个三级指标构成，权重为20分，实际得分20分。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项目立项符合国家法律法规、政策要求。同时，项目与部门职责范围相符，向公众普及科学技术知识，传播科学思想和方法，倡导科学精神，宣传科学技术成就；开展科普展览、科学实验、学术交流等科普教育活动，提高公众科学文化素质。此外，本项目属于公共财政支持范围，符合地方事权支出责任划分原则。因此，立项依据充分，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项目按照《财政部 中国科协关于印发&lt;科技馆免费开放补助资金管理办法&gt;》的通知（财教〔2023〕162号）及《全国科技馆建设标准》等规定的程序申请设立，通过项目预算评审核定单等审批文件、材料符合相关要求，故立项程序规范，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效益和满意度构建绩效评价指标，且具有明确性、可衡量性、可实现性、相关性和时限性等特点，能较为全面地反映本项目的产出和效益，故绩效目标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结合传统节日及科普宣传重要节点，融入传统文化，通过科普研学、科学实验、一分钟科普等多种形式，开展各类科普宣传活动。其中，目标已细化为具体的绩效指标，分别是数量指标5条（①开展线上线下开展各类科普活动次数、②开展青少年科普制作次数、③全年接待参观团队次数、④聘用场馆保洁人员人数、⑤购置专用设备），质量指标2条（①科普讲解投诉率、②设备购置验收合格率），时效指标1条（主题科普活动完成率），成本指标3条（①维修费用及其他、②开展线上线下开展各类科普活动成本、③劳务费费用），效益指标1条（保障科技馆的正常运行，提高全民科学素质），满意度指标1条（参观人员满意度）。通过数量指标、质量指标、时效指标和成本、满意度指标予以量化，并具有确切的评价标准，且指标设定均与目标相关。各项指标均能在现实条件下收集到相关数据进行佐证，并与当年项目年度计划相对应，故绩效目标明确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根据经费下达的通知，2024年初预算数81.49万元，其中：“劳务费”21.26万元，依据市财政局项目预算评审中心核定表核定出聘请保洁人员劳务费用，“维修（护）费”15.50万元依据场馆常设展品损坏程度市场报价申报预算，“邮电费”2.45万元、“委托业务费”2万元依据往年签订的合同申报预算，“专用设备购置”20万元依据全国科技馆场馆建设标准申报预算，“培训费”4.28万元依据往年各省开展的培训文件申报预算，“办公费”16万元依据当年工作计划申报预算。预算编制经过科学论证，预算内容与项目内容相匹配，预算额度测算依据充分，并按标准编制，预算测算的资金量与工作任务相匹配，故预算编制科学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资金分配合理性：根据乌财科教【2024】2号、文件精神，该部分资金适合使用科技馆场馆运行，资金由市级财政拨付，总预算81.49万元、资金主要用于①办公费16万元；②专用设备购置20万元；③ 劳务费21.26万元；④维修（护）费15.50万元；⑤培训费4.28万元；⑥邮电费2.45万元；⑦委托业务费2万元。年终执行51.77万元，预算执行率100%。通过以上资金分配在项目运作后，可以完全覆盖科技馆场馆运行项目。故资金分配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项目过程指标由2个二级指标和5个三级指标构成，权重为20分，实际得分18.18分。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该项目资金预算为81.49万元，由市财政拨付，截止2024年12月25日到位51.77万元，进行了线上线下开展各类科普活动、维修费、劳务费等支出，资金直接支付到各供应商，资金到位率为63.53%。故资金到位率指标得分为3.18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预算执行率：51.77万元在资金到位后支付给各供应商及物业公司，预算执行率为100%，故预算执行率得分为5分。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资金使用合规性：本项目资金的使用符合《财政部 中国科协关于印发&lt;科技馆免费开放补助资金管理办法&gt;》的通知（财教〔2023〕162号）和单位内控管理制度的相关管理办法的规定。同时，资金的拨付有完整的审批程序和手续，符合项目预算批复或合同规定的用途，不存在截留、挤占、挪用、虚列支出等情况。故资金使用合规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综上，该指标满分13分，得分11.18分。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乌鲁木齐市科技馆制定《乌鲁木齐市科技馆财经领导小组议事规则》和《市科技馆财经制度实施方案》等管理制度，且制度合法、合规、完整，为项目顺利实施提供重要保障。故管理制度健全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乌鲁木齐市科技馆严格遵守相关法律法规和相关管理规定，项目调整及支出调整手续完备，整体管理合理有序，项目完成后，及时将会计凭证、维修单等相关资料分类归档，制度执行有效。故制度执行有效性指标得分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项目产出指标由4个二级指标和11个三级指标构成，权重为40分，实际得分34分。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 “开展线上线下开展各类科普活动次数”的目标值是120场次，2024年度我单位实际完成120场次。实际完成率100%，故实际完成率得分为3分。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数量指标“开展青少年科普制作次数”的目标值是30次，2024年度我单位实际完成30次。实际完成率100%，故实际完成率得分为3分。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数量指标“全年接待参观团队次数”的目标值是30次，2024年度我单位实际完成30次。实际完成率100%，故实际完成率得分为2分。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数量指标“聘用场馆保洁人员人数”的目标值是7人，2024年度我单位实际完成7人。实际完成率100%，故实际完成率得分为1分。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数量指标“购置专用设备”的目标值是1批，2024年度我单位实际完成0批，原因是前期采购计划不符合场馆后期制定的目标。实际完成率0%，故实际完成率得分为0分。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综上，数量指标得分为9分。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设备购置验收合格率的目标值为&gt;=98%。2024年度我单位实际完成0%，原因是前期采购计划不符合场馆后期制定的目标，未采购故未验收。分值5分，实际得分0分。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科普讲解投诉率目标值为&lt;=2%。2024年度我单位实际无人投诉0%，分值5分，实际得分5分。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实际完成率：50%，故实际完成率得分为5分。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时效指标：“主题科普活动完成率”目标值为&gt;=95%。2024年度我单位实际完成95%，分值10分，实际得分10分。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经济成本：“维修费用及其他”的目标值是≦15.49万元，2024年度我单位实际支出15.49万元；实际完成率100%，故实际完成率得分为4分。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经济成本：“开展线上线下各类科普活动费用”的目标值是≦15.66万元，2024年度我单位实际支出15.66万元；实际完成率100%，故实际完成率得分为2分。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经济成本：“劳务费用”的目标值是≦20.62万元，2024年度我单位实际支出20.62万元；实际完成率100%，故实际完成率得分为4分。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三个项目已按计划执行，仅开展线上线下各类科普活动费用未全部支付完毕预算金额，故得分为10分。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项目效益指标由1个二级指标和1个三级指标构成，权重为10分，实际得分10分。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保障科技馆的正常运行，提高全民科学素质”，指标值：有所提升，实际完成值：达成年度指标，分值10分，实际得分10分。本项目的实施通过科学实验、线上线下各类科普活动等多种形式，开展各类科普宣传活动提高群众科普知识水平，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综上，该指标满分10分，得分10分。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（1）满意度指标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群众满意度：评价指标“参加人员满意度”，指标值：≥90%，实际完成值90%，分值10分，实际得分10分。通过设置问卷调查的方式进行考评评价，共计调查样本总量为40个样本，有效调查问卷40份。其中，统计“参加科普活动群众满意度”的平均值为90%。故满意度指标得分为10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乌鲁木齐市科技馆是小型科技馆，在资源有限的情况下，需要通过科学规划和精准服务，实现高效运行和发展。因此定位于以服务青少年儿童为主，设计符合其需求的科普内容，打造差异化主题。展品购置及科普活动设计以儿童教育发展理念和儿童心理特点为基础，不刻意追求大而全，而是在核心功能性的基础上，讲好中国故事，弘扬科学精神，普及科学知识，融入中国优秀传统文化和特色地域文化，打造极具特色的儿童主题科技馆，让“道德·人·科技”的办馆理念在儿童展教规划主题上得到充分的诠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由此确定本年度场馆运行执行中的两大特色：一是将传统文化与科普相结合，打造“科普红包大拜年”“端午文化科普周”“中秋文化科普周”“科技馆里的国学智慧”等特色主题活动，将传统民俗如剪纸、24节气色彩之谜、包粽子、划龙舟等巧妙融入到科普活动中，在学习科学的同时，感受传统文化的魅力，成为科技馆最受欢迎的特色科普品牌活动。二是融入青少年儿童喜爱的卡通人物——孙悟空，打造解谜式集章打卡活动。在西游主题展区，唐僧师徒取经的故事被设计成一个个游戏板块，孙悟空形象的卡通玩偶一边讲解游戏中的科学原理，一边带孩子们打卡集章。小朋友们手持打卡册，依照其中的线索，寻找与众不同的展品，解锁印章宝藏，一一在打卡册上留下独特的印记。通过游戏了解防震减灾知识、基础科学知识等。集齐五个图章，还能换取图书水彩笔等小奖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乌鲁木齐市科技馆以“玩科学”为理念，将原本深奥的科学原理进行具象化，让科学知识真正“活”了起来，设计环节兼顾挑战性和趣味性的平衡，并运用动手实践、交流互动、课程研究等方式，让孩子们多角度，多元化体验科学奇妙，了解传统文化，</w:t>
      </w:r>
      <w:r>
        <w:rPr>
          <w:rStyle w:val="Strong"/>
          <w:rFonts w:eastAsia="楷体" w:hint="eastAsia"/>
          <w:b w:val="0"/>
          <w:bCs w:val="0"/>
          <w:spacing w:val="-4"/>
          <w:sz w:val="32"/>
          <w:szCs w:val="32"/>
        </w:rPr>
        <w:t xml:space="preserve">铸牢中华民族共同体意识</w:t>
      </w:r>
      <w:r>
        <w:rPr>
          <w:rStyle w:val="Strong"/>
          <w:rFonts w:eastAsia="楷体" w:hint="eastAsia"/>
          <w:b w:val="0"/>
          <w:bCs w:val="0"/>
          <w:spacing w:val="-4"/>
          <w:sz w:val="32"/>
          <w:szCs w:val="32"/>
        </w:rPr>
        <w:t xml:space="preserve">。</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对展教项目和科学课程的开发有待提高。</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一是展品更新滞后与维护困难。展品陈旧、设备故障维修周期长（需专业厂家人员上门服务），影响观众体验，无法吸引重复参观；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二是专业人才短缺与服务能力不足。专职展教人员少，讲解人员年龄偏大，部分科普内容传递不专业。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三是观众吸引力不足。参观人次波动大，节假日以外客流稀少。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原因如下：一是前沿科技展品（如VR、机器人）采购成本高，更新换代快；二是展项与新疆科技馆部分重复，缺乏本地特色或创新形式；三是本地科研资源利用率低，展教内容缺乏权威性。 </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 提升运营效率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在非高峰时段针对性增设主题展览、互动体验活动等短周期项目，例如结合季节特点推出限定科普展或亲子手工课堂，通过灵活利用闲置时段与空间，有效提升场地资源利用率，激活淡季客流活力。</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2. 优化经济效益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全面引入节能照明系统、智能温控设备等绿色技术设施，同步搭建智慧化管理平台（如能源监控系统），实时监测并动态调节能耗使用。通过技术升级与管理创新双驱动，实现运营成本精细化管控，持续提升经济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3. 强化服务质量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建立常态化培训机制，每季度围绕科普讲解技巧、前沿知识更新、应急服务能力等维度，组织讲解员开展理论授课与实战演练。通过系统化能力提升，打造高素质科普服务团队，切实增强参观人员的体验感与满意度。</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1、项目执行紧扣立项初衷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在项目实施过程中，财政单位加强对项目的监督和管理。建立了定期的项目进度汇报制度，及时掌握项目进展情况。对于偏离立项初衷的行为，及时进行纠正和调整。同时，加强与项目实施单位的沟通和协调，为项目实施提供必要的支持和保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2、申报审核保障项目质量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财政单位建立了完善的项目申报、审核机制，为项目的质量提供了有力保障。在项目申报环节，财政单位明确了申报条件和要求，规范了申报流程，确保申报项目具有可行性和必要性。同时，加强对申报材料的真实性和合法性审查，防止虚假申报和骗取财政资金的行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3、资金管理杜绝违规行为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单位高度重视项目资金的合规使用，采取了一系列措施确保资金安全。在资金管理方面，建立了严格的财务管理制度。明确了资金的使用范围、审批流程和监督机制。要求项目实施单位设立专门的项目账户，实行专款专用。加强对资金支出的审核和监管，确保每一笔资金都用于项目建设。</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同时，加强对项目实施单位的财务培训和指导。提高项目实施单位的财务管理水平和合规意识。通过定期开展财务审计和监督检查，及时发现并纠正资金使用过程中存在的问题。对于违规使用资金的行为，依法依规进行严肃处理。</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42C998617B8848E787C18A7229A09342_13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39</Pages>
  <Words>98</Words>
  <Characters>559</Characters>
  <Application>WPS Office_12.8.2.18205_F1E327BC-269C-435d-A152-05C5408002CA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2025-04-28T05:31:00Z</dcterms:created>
  <dcterms:modified xsi:type="dcterms:W3CDTF">2025-09-08T03:34:58Z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2052-12.8.2.18205</vt:lpwstr>
  </property>
  <property fmtid="{D5CDD505-2E9C-101B-9397-08002B2CF9AE}" pid="3" name="ICV">
    <vt:lpwstr>42C998617B8848E787C18A7229A09342_13</vt:lpwstr>
  </property>
</Properties>
</file>