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779BD"/>
    <w:p w14:paraId="056F48C0">
      <w:pPr>
        <w:spacing w:line="540" w:lineRule="exact"/>
        <w:jc w:val="center"/>
        <w:rPr>
          <w:rFonts w:ascii="华文中宋" w:hAnsi="华文中宋" w:eastAsia="华文中宋" w:cs="宋体"/>
          <w:b/>
          <w:kern w:val="0"/>
          <w:sz w:val="52"/>
          <w:szCs w:val="52"/>
        </w:rPr>
      </w:pPr>
      <w:bookmarkStart w:id="0" w:name="_GoBack"/>
      <w:bookmarkEnd w:id="0"/>
    </w:p>
    <w:p w14:paraId="6D0874A1">
      <w:pPr>
        <w:spacing w:line="540" w:lineRule="exact"/>
        <w:jc w:val="center"/>
        <w:rPr>
          <w:rFonts w:ascii="华文中宋" w:hAnsi="华文中宋" w:eastAsia="华文中宋" w:cs="宋体"/>
          <w:b/>
          <w:kern w:val="0"/>
          <w:sz w:val="52"/>
          <w:szCs w:val="52"/>
        </w:rPr>
      </w:pPr>
    </w:p>
    <w:p w14:paraId="3FA6BAFD">
      <w:pPr>
        <w:spacing w:line="540" w:lineRule="exact"/>
        <w:jc w:val="center"/>
        <w:rPr>
          <w:rFonts w:ascii="华文中宋" w:hAnsi="华文中宋" w:eastAsia="华文中宋" w:cs="宋体"/>
          <w:b/>
          <w:kern w:val="0"/>
          <w:sz w:val="52"/>
          <w:szCs w:val="52"/>
        </w:rPr>
      </w:pPr>
    </w:p>
    <w:p w14:paraId="47023F2D">
      <w:pPr>
        <w:spacing w:line="540" w:lineRule="exact"/>
        <w:jc w:val="center"/>
        <w:rPr>
          <w:rFonts w:ascii="华文中宋" w:hAnsi="华文中宋" w:eastAsia="华文中宋" w:cs="宋体"/>
          <w:b/>
          <w:kern w:val="0"/>
          <w:sz w:val="52"/>
          <w:szCs w:val="52"/>
        </w:rPr>
      </w:pPr>
    </w:p>
    <w:p w14:paraId="095AADA2">
      <w:pPr>
        <w:spacing w:line="540" w:lineRule="exact"/>
        <w:jc w:val="center"/>
        <w:rPr>
          <w:rFonts w:ascii="华文中宋" w:hAnsi="华文中宋" w:eastAsia="华文中宋" w:cs="宋体"/>
          <w:b/>
          <w:kern w:val="0"/>
          <w:sz w:val="52"/>
          <w:szCs w:val="52"/>
        </w:rPr>
      </w:pPr>
    </w:p>
    <w:p w14:paraId="6D976718">
      <w:pPr>
        <w:spacing w:line="540" w:lineRule="exact"/>
        <w:jc w:val="center"/>
        <w:rPr>
          <w:rFonts w:ascii="华文中宋" w:hAnsi="华文中宋" w:eastAsia="华文中宋" w:cs="宋体"/>
          <w:b/>
          <w:kern w:val="0"/>
          <w:sz w:val="52"/>
          <w:szCs w:val="52"/>
        </w:rPr>
      </w:pPr>
    </w:p>
    <w:p w14:paraId="481ABB41">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75570031">
      <w:pPr>
        <w:spacing w:line="540" w:lineRule="exact"/>
        <w:jc w:val="center"/>
        <w:rPr>
          <w:rFonts w:ascii="华文中宋" w:hAnsi="华文中宋" w:eastAsia="华文中宋" w:cs="宋体"/>
          <w:b/>
          <w:kern w:val="0"/>
          <w:sz w:val="52"/>
          <w:szCs w:val="52"/>
        </w:rPr>
      </w:pPr>
    </w:p>
    <w:p w14:paraId="6C508A1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14:paraId="18C67C03">
      <w:pPr>
        <w:spacing w:line="540" w:lineRule="exact"/>
        <w:jc w:val="center"/>
        <w:rPr>
          <w:rFonts w:hAnsi="宋体" w:eastAsia="仿宋_GB2312" w:cs="宋体"/>
          <w:kern w:val="0"/>
          <w:sz w:val="30"/>
          <w:szCs w:val="30"/>
        </w:rPr>
      </w:pPr>
    </w:p>
    <w:p w14:paraId="1FE19101">
      <w:pPr>
        <w:spacing w:line="540" w:lineRule="exact"/>
        <w:jc w:val="center"/>
        <w:rPr>
          <w:rFonts w:hAnsi="宋体" w:eastAsia="仿宋_GB2312" w:cs="宋体"/>
          <w:kern w:val="0"/>
          <w:sz w:val="30"/>
          <w:szCs w:val="30"/>
        </w:rPr>
      </w:pPr>
    </w:p>
    <w:p w14:paraId="18C4F9C2">
      <w:pPr>
        <w:spacing w:line="540" w:lineRule="exact"/>
        <w:jc w:val="center"/>
        <w:rPr>
          <w:rFonts w:hAnsi="宋体" w:eastAsia="仿宋_GB2312" w:cs="宋体"/>
          <w:kern w:val="0"/>
          <w:sz w:val="30"/>
          <w:szCs w:val="30"/>
        </w:rPr>
      </w:pPr>
    </w:p>
    <w:p w14:paraId="0E3B045D">
      <w:pPr>
        <w:spacing w:line="540" w:lineRule="exact"/>
        <w:jc w:val="center"/>
        <w:rPr>
          <w:rFonts w:hAnsi="宋体" w:eastAsia="仿宋_GB2312" w:cs="宋体"/>
          <w:kern w:val="0"/>
          <w:sz w:val="30"/>
          <w:szCs w:val="30"/>
        </w:rPr>
      </w:pPr>
    </w:p>
    <w:p w14:paraId="032E043F">
      <w:pPr>
        <w:spacing w:line="540" w:lineRule="exact"/>
        <w:jc w:val="center"/>
        <w:rPr>
          <w:rFonts w:hAnsi="宋体" w:eastAsia="仿宋_GB2312" w:cs="宋体"/>
          <w:kern w:val="0"/>
          <w:sz w:val="30"/>
          <w:szCs w:val="30"/>
        </w:rPr>
      </w:pPr>
    </w:p>
    <w:p w14:paraId="66DDF5E6">
      <w:pPr>
        <w:spacing w:line="540" w:lineRule="exact"/>
        <w:jc w:val="center"/>
        <w:rPr>
          <w:rFonts w:hAnsi="宋体" w:eastAsia="仿宋_GB2312" w:cs="宋体"/>
          <w:kern w:val="0"/>
          <w:sz w:val="30"/>
          <w:szCs w:val="30"/>
        </w:rPr>
      </w:pPr>
    </w:p>
    <w:p w14:paraId="3B886C83">
      <w:pPr>
        <w:spacing w:line="540" w:lineRule="exact"/>
        <w:rPr>
          <w:rFonts w:hAnsi="宋体" w:eastAsia="仿宋_GB2312" w:cs="宋体"/>
          <w:kern w:val="0"/>
          <w:sz w:val="30"/>
          <w:szCs w:val="30"/>
        </w:rPr>
      </w:pPr>
    </w:p>
    <w:p w14:paraId="69B51A6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E71BA8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场馆运行</w:t>
      </w:r>
    </w:p>
    <w:p w14:paraId="51EAC66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乌鲁木齐市科学技术馆</w:t>
      </w:r>
    </w:p>
    <w:p w14:paraId="3F7B17D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乌鲁木齐市科学技术馆</w:t>
      </w:r>
    </w:p>
    <w:p w14:paraId="38A44B1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李佳</w:t>
      </w:r>
    </w:p>
    <w:p w14:paraId="17BDB62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2025年05月19日</w:t>
      </w:r>
    </w:p>
    <w:p w14:paraId="02A934A0">
      <w:pPr>
        <w:spacing w:line="700" w:lineRule="exact"/>
        <w:ind w:firstLine="708" w:firstLineChars="236"/>
        <w:jc w:val="left"/>
        <w:rPr>
          <w:rFonts w:hAnsi="宋体" w:eastAsia="仿宋_GB2312" w:cs="宋体"/>
          <w:kern w:val="0"/>
          <w:sz w:val="30"/>
          <w:szCs w:val="30"/>
        </w:rPr>
      </w:pPr>
    </w:p>
    <w:p w14:paraId="3A845F80">
      <w:pPr>
        <w:spacing w:line="540" w:lineRule="exact"/>
        <w:rPr>
          <w:rStyle w:val="19"/>
          <w:rFonts w:ascii="黑体" w:hAnsi="黑体" w:eastAsia="黑体"/>
          <w:b w:val="0"/>
          <w:spacing w:val="-4"/>
          <w:sz w:val="32"/>
          <w:szCs w:val="32"/>
        </w:rPr>
      </w:pPr>
    </w:p>
    <w:p w14:paraId="2E0D0E09">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79B432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19CE103B">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1．项目背景、主要内容及实施情况</w:t>
      </w:r>
      <w:r>
        <w:cr/>
      </w:r>
      <w:r>
        <w:rPr>
          <w:rFonts w:eastAsia="楷体"/>
          <w:b w:val="0"/>
          <w:bCs w:val="0"/>
          <w:spacing w:val="-4"/>
          <w:sz w:val="32"/>
          <w:szCs w:val="32"/>
        </w:rPr>
        <w:br w:type="textWrapping"/>
      </w:r>
      <w:r>
        <w:rPr>
          <w:rStyle w:val="19"/>
          <w:rFonts w:eastAsia="楷体"/>
          <w:b w:val="0"/>
          <w:bCs w:val="0"/>
          <w:spacing w:val="-4"/>
          <w:sz w:val="32"/>
          <w:szCs w:val="32"/>
        </w:rPr>
        <w:t>该项目实施背景：乌鲁木齐市科技馆坐落在人员密集、环境优美的人民公园旁，总建筑面积6800平方米（其中展览教育设施面积4292.37平方米）。是全国科普教育基地、国家防震减灾科普教育基地、自治区研学旅游基地、新疆少先队校外实践教育基地和爱国主义教育基地。自2011年8月10日起正式开馆以来，始终坚持面向社会公众免费开放。该项资金主要用于保障场馆正常运转支付劳务费（保洁人员工资）、维修（护）科技馆展品展项、开展各类科普活动购置实验用具、器材、支付委托业务费购买公众责任险等方面。</w:t>
      </w:r>
      <w:r>
        <w:cr/>
      </w:r>
      <w:r>
        <w:rPr>
          <w:rFonts w:eastAsia="楷体"/>
          <w:b w:val="0"/>
          <w:bCs w:val="0"/>
          <w:spacing w:val="-4"/>
          <w:sz w:val="32"/>
          <w:szCs w:val="32"/>
        </w:rPr>
        <w:br w:type="textWrapping"/>
      </w:r>
      <w:r>
        <w:rPr>
          <w:rStyle w:val="19"/>
          <w:rFonts w:eastAsia="楷体"/>
          <w:b w:val="0"/>
          <w:bCs w:val="0"/>
          <w:spacing w:val="-4"/>
          <w:sz w:val="32"/>
          <w:szCs w:val="32"/>
        </w:rPr>
        <w:t>乌鲁木齐市科技馆作为以面向少年儿童为主的主题科技馆，依托现有资源，聚焦核心，因地制宜更新改造适宜儿童的互动性、启发性、探究性强的展陈项目和科普设施。在项目推进过程中，乌鲁木齐市科技馆本着“道德·人·科技”的理念，以获知真理、舒展身心、享受科学为目标，“科普红包大拜年”“整点活动”“端午、中秋科普文化周”“科技馆里的国学智慧”“跟着悟空打卡科技馆”等各类品牌科普活动得到了各族群众尤其是青少年朋友的好评。</w:t>
      </w:r>
      <w:r>
        <w:cr/>
      </w:r>
      <w:r>
        <w:rPr>
          <w:rFonts w:eastAsia="楷体"/>
          <w:b w:val="0"/>
          <w:bCs w:val="0"/>
          <w:spacing w:val="-4"/>
          <w:sz w:val="32"/>
          <w:szCs w:val="32"/>
        </w:rPr>
        <w:br w:type="textWrapping"/>
      </w:r>
      <w:r>
        <w:rPr>
          <w:rStyle w:val="19"/>
          <w:rFonts w:eastAsia="楷体"/>
          <w:b w:val="0"/>
          <w:bCs w:val="0"/>
          <w:spacing w:val="-4"/>
          <w:sz w:val="32"/>
          <w:szCs w:val="32"/>
        </w:rPr>
        <w:t>项目2024年的主要实施内容：</w:t>
      </w:r>
      <w:r>
        <w:cr/>
      </w:r>
      <w:r>
        <w:rPr>
          <w:rFonts w:eastAsia="楷体"/>
          <w:b w:val="0"/>
          <w:bCs w:val="0"/>
          <w:spacing w:val="-4"/>
          <w:sz w:val="32"/>
          <w:szCs w:val="32"/>
        </w:rPr>
        <w:br w:type="textWrapping"/>
      </w:r>
      <w:r>
        <w:rPr>
          <w:rStyle w:val="19"/>
          <w:rFonts w:eastAsia="楷体"/>
          <w:b w:val="0"/>
          <w:bCs w:val="0"/>
          <w:spacing w:val="-4"/>
          <w:sz w:val="32"/>
          <w:szCs w:val="32"/>
        </w:rPr>
        <w:t>①“维修（护）费”用主要用于场馆常设展品维修共计7件（分别为：4D影院、虚拟射击、消防趣味互联，骑自行车发电、真空、电磁轨道加速器、会跳舞的曲别针）;</w:t>
      </w:r>
      <w:r>
        <w:cr/>
      </w:r>
      <w:r>
        <w:rPr>
          <w:rFonts w:eastAsia="楷体"/>
          <w:b w:val="0"/>
          <w:bCs w:val="0"/>
          <w:spacing w:val="-4"/>
          <w:sz w:val="32"/>
          <w:szCs w:val="32"/>
        </w:rPr>
        <w:br w:type="textWrapping"/>
      </w:r>
      <w:r>
        <w:rPr>
          <w:rStyle w:val="19"/>
          <w:rFonts w:eastAsia="楷体"/>
          <w:b w:val="0"/>
          <w:bCs w:val="0"/>
          <w:spacing w:val="-4"/>
          <w:sz w:val="32"/>
          <w:szCs w:val="32"/>
        </w:rPr>
        <w:t>②“劳务费”主要用于聘请7名保洁人员，对场馆卫生等方面进行了全方面的清扫，增强进馆参观人群的舒适度；</w:t>
      </w:r>
      <w:r>
        <w:cr/>
      </w:r>
      <w:r>
        <w:rPr>
          <w:rFonts w:eastAsia="楷体"/>
          <w:b w:val="0"/>
          <w:bCs w:val="0"/>
          <w:spacing w:val="-4"/>
          <w:sz w:val="32"/>
          <w:szCs w:val="32"/>
        </w:rPr>
        <w:br w:type="textWrapping"/>
      </w:r>
      <w:r>
        <w:rPr>
          <w:rStyle w:val="19"/>
          <w:rFonts w:eastAsia="楷体"/>
          <w:b w:val="0"/>
          <w:bCs w:val="0"/>
          <w:spacing w:val="-4"/>
          <w:sz w:val="32"/>
          <w:szCs w:val="32"/>
        </w:rPr>
        <w:t>③“开展线上线下各类科普活动成本”主要用于购买科普实验器具及整点科普活动用具。</w:t>
      </w:r>
      <w:r>
        <w:cr/>
      </w:r>
      <w:r>
        <w:rPr>
          <w:rFonts w:eastAsia="楷体"/>
          <w:b w:val="0"/>
          <w:bCs w:val="0"/>
          <w:spacing w:val="-4"/>
          <w:sz w:val="32"/>
          <w:szCs w:val="32"/>
        </w:rPr>
        <w:br w:type="textWrapping"/>
      </w:r>
      <w:r>
        <w:rPr>
          <w:rStyle w:val="19"/>
          <w:rFonts w:eastAsia="楷体"/>
          <w:b w:val="0"/>
          <w:bCs w:val="0"/>
          <w:spacing w:val="-4"/>
          <w:sz w:val="32"/>
          <w:szCs w:val="32"/>
        </w:rPr>
        <w:t>实际完成情况。为：①一是开展线上线下各类科普活动120场。其中连续开展13年的品牌教育活动“科普红包大拜年”，在春节期间开展40场次，近5600余人次参加活动；日常展教“整点活动”全年开展20场次，包括科学实验、一字一乾坤、科普制作、防震减灾演练、科普知识问答等活动；暑期针对青少年开展“悟空打卡科技馆”系列活动，创新打造以“悟空”为主题的打卡集章互动科普活动，根据打卡单上的线索，找到对应展品进行体验并收集印章，集齐5枚印章可获得科普奖品。该活动共开展22场次，荣获中国科协办公厅颁发的“2024年全国科普日优秀科普活动”荣誉；世界地球日期间开展相关科普活动4场，包括认识我们的地球、一棵小树的成长和奇思妙想试验场，提高青少年保护大自然的意识；5月科普活动月期间开展相关科普活动8场，其中在第八个“全国科技工作者日”暨第22个乌鲁木齐市科普活动月主场活动举办之际，在新疆1413科化体育产业园设置了流动科技馆展示，参与人数3000余人；端午文化科普周活动中，讲述传统文化蕴含的科学原理，包括科学探究实验：龙舟为什么能浮在水面上、端午趣味运动会、端午科普我知道、龙舟DIY等，共开展6场；线上开展“一分钟科普有奖问答”，制作20期科普小视频，普及科学知识，传播科学思想。二是开展青少年科普制作30次。包括机器人制作4次；暑期和科学家一起发明创造系列8次；纸上电路制作4次；科学酷发明14次。三是全年接待第91中学、23中学、若羌研学团、青少年宫等各中小学幼儿园团队，以及各区县委办局团队30个，科普服务4649人次。</w:t>
      </w:r>
      <w:r>
        <w:cr/>
      </w:r>
      <w:r>
        <w:rPr>
          <w:rFonts w:eastAsia="楷体"/>
          <w:b w:val="0"/>
          <w:bCs w:val="0"/>
          <w:spacing w:val="-4"/>
          <w:sz w:val="32"/>
          <w:szCs w:val="32"/>
        </w:rPr>
        <w:br w:type="textWrapping"/>
      </w:r>
      <w:r>
        <w:rPr>
          <w:rStyle w:val="19"/>
          <w:rFonts w:eastAsia="楷体"/>
          <w:b w:val="0"/>
          <w:bCs w:val="0"/>
          <w:spacing w:val="-4"/>
          <w:sz w:val="32"/>
          <w:szCs w:val="32"/>
        </w:rPr>
        <w:t>②通过聘请保洁7人，对场馆卫生等方面进行了全方面的清扫，增强进馆参观人群的舒适度。</w:t>
      </w:r>
      <w:r>
        <w:cr/>
      </w:r>
      <w:r>
        <w:rPr>
          <w:rFonts w:eastAsia="楷体"/>
          <w:b w:val="0"/>
          <w:bCs w:val="0"/>
          <w:spacing w:val="-4"/>
          <w:sz w:val="32"/>
          <w:szCs w:val="32"/>
        </w:rPr>
        <w:br w:type="textWrapping"/>
      </w:r>
      <w:r>
        <w:rPr>
          <w:rStyle w:val="19"/>
          <w:rFonts w:eastAsia="楷体"/>
          <w:b w:val="0"/>
          <w:bCs w:val="0"/>
          <w:spacing w:val="-4"/>
          <w:sz w:val="32"/>
          <w:szCs w:val="32"/>
        </w:rPr>
        <w:t>2.资金投入和使用情况</w:t>
      </w:r>
      <w:r>
        <w:cr/>
      </w:r>
      <w:r>
        <w:rPr>
          <w:rFonts w:eastAsia="楷体"/>
          <w:b w:val="0"/>
          <w:bCs w:val="0"/>
          <w:spacing w:val="-4"/>
          <w:sz w:val="32"/>
          <w:szCs w:val="32"/>
        </w:rPr>
        <w:br w:type="textWrapping"/>
      </w:r>
      <w:r>
        <w:rPr>
          <w:rStyle w:val="19"/>
          <w:rFonts w:eastAsia="楷体"/>
          <w:b w:val="0"/>
          <w:bCs w:val="0"/>
          <w:spacing w:val="-4"/>
          <w:sz w:val="32"/>
          <w:szCs w:val="32"/>
        </w:rPr>
        <w:t>该项目资金投入情况：经乌财科教【2024】2号文件批准，项目系2024年本级资金，共安排预算81.49万元，年中资金追减29.72万元，主要原因：①拟购置的专用设备采购因不适配场馆升级与未来技术的兼容性，决定暂缓本年度采购。②压缩非必要的培训费，减少相应支出。</w:t>
      </w:r>
      <w:r>
        <w:cr/>
      </w:r>
      <w:r>
        <w:rPr>
          <w:rFonts w:eastAsia="楷体"/>
          <w:b w:val="0"/>
          <w:bCs w:val="0"/>
          <w:spacing w:val="-4"/>
          <w:sz w:val="32"/>
          <w:szCs w:val="32"/>
        </w:rPr>
        <w:br w:type="textWrapping"/>
      </w:r>
      <w:r>
        <w:rPr>
          <w:rStyle w:val="19"/>
          <w:rFonts w:eastAsia="楷体"/>
          <w:b w:val="0"/>
          <w:bCs w:val="0"/>
          <w:spacing w:val="-4"/>
          <w:sz w:val="32"/>
          <w:szCs w:val="32"/>
        </w:rPr>
        <w:t>该项目资金使用情况：总预算81.49万元、资金主要用于①办公费16万元；②专用设备购置20万元；③ 劳务费21.26万元；④维修（护）费15.50万元；⑤培训费4.28万元；⑥邮电费2.45万元；⑦委托业务费2万元。年终执行51.77万元，预算执行率100%。</w:t>
      </w:r>
    </w:p>
    <w:p w14:paraId="488F85F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319C7AC">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该项目为经常性项目。</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总体绩效目标：全年开展线上线下各类科普活动120场次，开展青少年科普制作30次，全年接待参观团队30次，通过维修展品、购买科普实验用品，聘请7名保洁人员保障场馆卫生等方面不断提升了科技馆服务质量，改善体验环境，吸引更多的观众参观学习科学知识，切实为全民科学素质提高发挥重要作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阶段性目标为：2024年市科技馆使用劳务费20.62万元，主要用于聘请场馆保洁人员7名支付保洁工资；使用维修费15.49万元，主要用于维修场馆常设展品7件（分别为：4D影院、虚拟射击、消防趣味互联，骑自行车发电、真空、电磁轨道加速器、会跳舞的曲别针）；使用办公费15.66万元，主要用于开展科普展教活动用科普实验用品1批及各类活动费用。</w:t>
      </w:r>
    </w:p>
    <w:p w14:paraId="23FA2D1A">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764B76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B3D40A3">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1.绩效评价完整性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首先，项目的目标、范围和要求在绩效评价指标体系中得到了全面而细致地体现。该项目设置了维修场馆常设展品，不断提升科技馆服务质量，营造和谐社会等核心指标，能够全面反映项目主要产出及实施效果。本次绩效评价资金范围覆盖2024年度项目所有资金，绩效评价指标体系包含项目决策、项目过程、项目产出、项目效益、满意度指标等5个维度，并根据5个维度进一步细化分解，如：项目立项、绩效目标、资金投入、资金管理、组织实施、满意度等评价指标，能够全面反映项目全周期实施管理情况。</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其次，对于项目的计划和执行过程，我们也进行了深入的分析和评估，正对项目的资金执行计划分析了预算编制科学性及资金分配合理性，正对项目实施计划分析了立项依据充分性及立项程序规范性。在项目实施前，制定详细的资金申请计划和任务时间表，并严格按照计划进行执行。对照项目计划设置产出指标及效益指标，如：线上下线各类科普活动120次，科普手工制作30次，接待团队30次等指标，及时跟踪项目的进展情况，确保各项任务能及时完成。通过这些措施，我们能够充分了解项目的实施情况，圆满完成全年各项任务。</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最后，关于评价数据的来源和采集，我们采取了多种方式和渠道。一方面，我们通过问卷调查的方式收集服务对象的评价数据，另一方面，我们也从财务体统中提取相关数据，用于分析项目的成本和资源利用等情况。同时，严格核查数据的真实性和有效性，确保评价结果的准确性和可靠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2.评价目的</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     </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场馆运行项目的实施情况，并考察项目实施过程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3.评价对象</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（1）绩效评价的对象：场馆运行项目 </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4.绩效评价范围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1.时间范围：2024年1月1日至2024年12月31日。</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范围：该项目资金由市财政及时拨付，我单位有序完成设定目标的部分工作任务，购买科普实验用具，完成了线上线下各类科普活动120次，科普手工制作30次，接待团队30个，维修场馆7件常设展品，通过以上不断提升科技馆服务质量，改善体验环境，吸引更多的观众参观。提升科技场馆影响力具体情况如下：</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1.积极开展线上线下各类科普文化传播活动</w:t>
      </w:r>
      <w:r>
        <w:cr/>
      </w:r>
      <w:r>
        <w:rPr>
          <w:rFonts w:hint="eastAsia" w:eastAsia="楷体"/>
          <w:b w:val="0"/>
          <w:bCs w:val="0"/>
          <w:spacing w:val="-4"/>
          <w:sz w:val="32"/>
          <w:szCs w:val="32"/>
        </w:rPr>
        <w:br w:type="textWrapping"/>
      </w:r>
      <w:r>
        <w:rPr>
          <w:rStyle w:val="19"/>
          <w:rFonts w:hint="eastAsia" w:eastAsia="楷体"/>
          <w:b w:val="0"/>
          <w:bCs w:val="0"/>
          <w:spacing w:val="-4"/>
          <w:sz w:val="32"/>
          <w:szCs w:val="32"/>
        </w:rPr>
        <w:t>支出15.66万元，如期推进线下日常展教“整点活动”。包括科学实验、一字一乾坤、手工DIY、防震减灾演练、等活动将优秀传统文化和国学文化融入到科普活动中，形成了“端午文化科普周”、“中秋文化科普周”等主题活动。端午节期间开展了科学探究实验、趣味科普运动会、龙舟DIY等活动。在每年传统农历新年期间，面向社区、家庭和学校发放“科普红包”，并开展形式多样的科普活动。线上开展趣味科学实验，有奖知识问答，范围涵盖了自然资源、生命科学、声光现象、数学、力与机械等领域，让孩子们近距离感受到科学的神奇与乐趣。通过短视频在融媒体等平台的播放，扩大了乌鲁木齐市科普工作的宣传范围和影响力。</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2.维修（护）常设展品、聘请保洁人员从而改善体验环境</w:t>
      </w:r>
      <w:r>
        <w:cr/>
      </w:r>
      <w:r>
        <w:rPr>
          <w:rFonts w:hint="eastAsia" w:eastAsia="楷体"/>
          <w:b w:val="0"/>
          <w:bCs w:val="0"/>
          <w:spacing w:val="-4"/>
          <w:sz w:val="32"/>
          <w:szCs w:val="32"/>
        </w:rPr>
        <w:br w:type="textWrapping"/>
      </w:r>
      <w:r>
        <w:rPr>
          <w:rStyle w:val="19"/>
          <w:rFonts w:hint="eastAsia" w:eastAsia="楷体"/>
          <w:b w:val="0"/>
          <w:bCs w:val="0"/>
          <w:spacing w:val="-4"/>
          <w:sz w:val="32"/>
          <w:szCs w:val="32"/>
        </w:rPr>
        <w:t>支出15.49万元，用于维修（护）科技馆场馆常设展品，通过展品积极开展科普文化传播活动，与第50中学、第80中学、第16中学、第22小学、第68中学、第27小学、第77中学共7家学校签订馆校合作协议，利用流动科普设施资源进校园开展馆校联合实践活动，助推“双减”工作落地见效。联合乌鲁木齐市第27小学、乌鲁木齐市第71小学开展《科技馆里的科学课》。活动激发了青少年的创新热情，拓展了科学视野，有效引导了青少年融入现代文明生活，真正让科普知识“飞入寻常百姓家”，营造了讲科学、爱科学、学科学、用科学的浓厚社会氛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3.支出20.62万元，用于支付场馆劳务人员（保洁工资），通过保洁人员认真细心的打扫卫生，积极营造出环境整洁的空间，让更多的参观者予以更多的舒适体验。</w:t>
      </w:r>
    </w:p>
    <w:p w14:paraId="3B6D53B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9CE1B1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1.评价原则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（一）科学公正。绩效评价应当运用科学合理的方法，按照规范的程序，对项目绩效进行客观、公正的反映。</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cr/>
      </w:r>
      <w:r>
        <w:rPr>
          <w:rFonts w:hint="eastAsia" w:eastAsia="楷体"/>
          <w:b w:val="0"/>
          <w:bCs w:val="0"/>
          <w:spacing w:val="-4"/>
          <w:sz w:val="32"/>
          <w:szCs w:val="32"/>
        </w:rPr>
        <w:br w:type="textWrapping"/>
      </w:r>
      <w:r>
        <w:rPr>
          <w:rStyle w:val="19"/>
          <w:rFonts w:hint="eastAsia" w:eastAsia="楷体"/>
          <w:b w:val="0"/>
          <w:bCs w:val="0"/>
          <w:spacing w:val="-4"/>
          <w:sz w:val="32"/>
          <w:szCs w:val="32"/>
        </w:rPr>
        <w:t>（四）公开透明。绩效评价结果应依法依规公开，并自觉接受社会监督。</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绩效评价指标体系作为衡量绩效目标实现程度的考核工具，一般遵循以下原则：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（1）相关性原则：绩效评价指标应当与绩效目标有直接的联系，能够恰当反映目标的实现程度。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（2）重要性原则：应当优先使用最具评价对象代表性、最能反映评价要求的核心指标。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（3）可比性原则：对同类评价对象要设定共性的绩效评价指标，以便于评价结果可以相互比较。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（5）经济性原则：绩效评价指标设计应当通俗易懂、简便易行，数据的获得应当考虑现实条件和可操作性，符合成本效益原则。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本项目的评价指标体系建立如下表所示。</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项目支出绩效评价指标体系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指标解释</w:t>
      </w:r>
      <w:r>
        <w:rPr>
          <w:rStyle w:val="19"/>
          <w:rFonts w:hint="eastAsia" w:eastAsia="楷体"/>
          <w:b w:val="0"/>
          <w:bCs w:val="0"/>
          <w:spacing w:val="-4"/>
          <w:sz w:val="32"/>
          <w:szCs w:val="32"/>
        </w:rPr>
        <w:tab/>
      </w:r>
      <w:r>
        <w:rPr>
          <w:rStyle w:val="19"/>
          <w:rFonts w:hint="eastAsia" w:eastAsia="楷体"/>
          <w:b w:val="0"/>
          <w:bCs w:val="0"/>
          <w:spacing w:val="-4"/>
          <w:sz w:val="32"/>
          <w:szCs w:val="32"/>
        </w:rPr>
        <w:t>指标说明</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充分性</w:t>
      </w:r>
      <w:r>
        <w:rPr>
          <w:rStyle w:val="19"/>
          <w:rFonts w:hint="eastAsia" w:eastAsia="楷体"/>
          <w:b w:val="0"/>
          <w:bCs w:val="0"/>
          <w:spacing w:val="-4"/>
          <w:sz w:val="32"/>
          <w:szCs w:val="32"/>
        </w:rPr>
        <w:tab/>
      </w:r>
      <w:r>
        <w:rPr>
          <w:rStyle w:val="19"/>
          <w:rFonts w:hint="eastAsia" w:eastAsia="楷体"/>
          <w:b w:val="0"/>
          <w:bCs w:val="0"/>
          <w:spacing w:val="-4"/>
          <w:sz w:val="32"/>
          <w:szCs w:val="32"/>
        </w:rPr>
        <w:t>项目立项是否符合法律法规、相关政策、发展规划以及部门职责，用以反映和考核项目立项依据情况。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①项目立项是否符合国家法律法规、国民经济发展规划和相关政策；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②项目立项是否符合行业发展规划和政策要求；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③项目立项是否与部门职责范围相符，</w:t>
      </w:r>
      <w:r>
        <w:rPr>
          <w:rStyle w:val="19"/>
          <w:rFonts w:hint="eastAsia" w:eastAsia="楷体"/>
          <w:b w:val="0"/>
          <w:bCs w:val="0"/>
          <w:spacing w:val="-4"/>
          <w:sz w:val="32"/>
          <w:szCs w:val="32"/>
          <w:lang w:val="en-US" w:eastAsia="zh-CN"/>
        </w:rPr>
        <w:t>属于部门</w:t>
      </w:r>
      <w:r>
        <w:rPr>
          <w:rStyle w:val="19"/>
          <w:rFonts w:hint="eastAsia" w:eastAsia="楷体"/>
          <w:b w:val="0"/>
          <w:bCs w:val="0"/>
          <w:spacing w:val="-4"/>
          <w:sz w:val="32"/>
          <w:szCs w:val="32"/>
        </w:rPr>
        <w:t>履职所需；</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④项目是否属于公共财政支持范围，是否符合中央、地方事权支出责任划分原则；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⑤项目是否与相关部门同类项目或部门内部相关项目重复。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规范性</w:t>
      </w:r>
      <w:r>
        <w:rPr>
          <w:rStyle w:val="19"/>
          <w:rFonts w:hint="eastAsia" w:eastAsia="楷体"/>
          <w:b w:val="0"/>
          <w:bCs w:val="0"/>
          <w:spacing w:val="-4"/>
          <w:sz w:val="32"/>
          <w:szCs w:val="32"/>
        </w:rPr>
        <w:tab/>
      </w:r>
      <w:r>
        <w:rPr>
          <w:rStyle w:val="19"/>
          <w:rFonts w:hint="eastAsia" w:eastAsia="楷体"/>
          <w:b w:val="0"/>
          <w:bCs w:val="0"/>
          <w:spacing w:val="-4"/>
          <w:sz w:val="32"/>
          <w:szCs w:val="32"/>
        </w:rPr>
        <w:t>项目申请、设立过程是否符合相关要求，用以反映和考核项目立项的规范情况。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项目所设定的绩效目标是否依据充分，是否符合客观实际，用以反映和考核项目绩效目标与项目实施的相符情况。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明确性</w:t>
      </w:r>
      <w:r>
        <w:rPr>
          <w:rStyle w:val="19"/>
          <w:rFonts w:hint="eastAsia" w:eastAsia="楷体"/>
          <w:b w:val="0"/>
          <w:bCs w:val="0"/>
          <w:spacing w:val="-4"/>
          <w:sz w:val="32"/>
          <w:szCs w:val="32"/>
        </w:rPr>
        <w:tab/>
      </w:r>
      <w:r>
        <w:rPr>
          <w:rStyle w:val="19"/>
          <w:rFonts w:hint="eastAsia" w:eastAsia="楷体"/>
          <w:b w:val="0"/>
          <w:bCs w:val="0"/>
          <w:spacing w:val="-4"/>
          <w:sz w:val="32"/>
          <w:szCs w:val="32"/>
        </w:rPr>
        <w:t>依据绩效目标设定的绩效指标是否清晰、细化、可衡量等，用以反映和考核项目绩效目标的明细化情况。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科学性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项目预算编制是否经过科学论证、有明确标准，资金额度与年度目标是否相适应，用以反映和考核项目预算编制的科学性、合理性情况。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项目预算资金分配是否有测算依据，与补助单位或地方实际是否相适应，用以反映和考核项目预算资金分配的科学性、合理性情况。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实际到位资金与预算资金的比率，用以反映和考核资金落实情况对项目实施的总体保障程度。</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资金到位率=（实际到位资金/预算资金）×100%。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项目预算资金是否按照计划执行，用以反映或考核项目预算执行情况。</w:t>
      </w:r>
      <w:r>
        <w:rPr>
          <w:rStyle w:val="19"/>
          <w:rFonts w:hint="eastAsia" w:eastAsia="楷体"/>
          <w:b w:val="0"/>
          <w:bCs w:val="0"/>
          <w:spacing w:val="-4"/>
          <w:sz w:val="32"/>
          <w:szCs w:val="32"/>
        </w:rPr>
        <w:tab/>
      </w:r>
      <w:r>
        <w:rPr>
          <w:rStyle w:val="19"/>
          <w:rFonts w:hint="eastAsia" w:eastAsia="楷体"/>
          <w:b w:val="0"/>
          <w:bCs w:val="0"/>
          <w:spacing w:val="-4"/>
          <w:sz w:val="32"/>
          <w:szCs w:val="32"/>
        </w:rPr>
        <w:t>预算执行率=（实际支出资金/实际到位资金）×100%。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资金使用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合规性</w:t>
      </w:r>
      <w:r>
        <w:rPr>
          <w:rStyle w:val="19"/>
          <w:rFonts w:hint="eastAsia" w:eastAsia="楷体"/>
          <w:b w:val="0"/>
          <w:bCs w:val="0"/>
          <w:spacing w:val="-4"/>
          <w:sz w:val="32"/>
          <w:szCs w:val="32"/>
        </w:rPr>
        <w:tab/>
      </w:r>
      <w:r>
        <w:rPr>
          <w:rStyle w:val="19"/>
          <w:rFonts w:hint="eastAsia" w:eastAsia="楷体"/>
          <w:b w:val="0"/>
          <w:bCs w:val="0"/>
          <w:spacing w:val="-4"/>
          <w:sz w:val="32"/>
          <w:szCs w:val="32"/>
        </w:rPr>
        <w:t>项目资金使用是否符合相关的财务管理制度规定，用以反映和考核项目资金的规范运行情况。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健全性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项目实施单位的财务和业务管理制度是否健全，用以反映和考核财务和业务管理制度对项目顺利实施的保障情况。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有效性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项目实施是否符合相关管理规定，用以反映和考核相关管理制度的有效执行情况。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开展线上线下开展各类科普活动次数</w:t>
      </w:r>
      <w:r>
        <w:rPr>
          <w:rStyle w:val="19"/>
          <w:rFonts w:hint="eastAsia" w:eastAsia="楷体"/>
          <w:b w:val="0"/>
          <w:bCs w:val="0"/>
          <w:spacing w:val="-4"/>
          <w:sz w:val="32"/>
          <w:szCs w:val="32"/>
        </w:rPr>
        <w:tab/>
      </w:r>
      <w:r>
        <w:rPr>
          <w:rStyle w:val="19"/>
          <w:rFonts w:hint="eastAsia" w:eastAsia="楷体"/>
          <w:b w:val="0"/>
          <w:bCs w:val="0"/>
          <w:spacing w:val="-4"/>
          <w:sz w:val="32"/>
          <w:szCs w:val="32"/>
        </w:rPr>
        <w:t>项目实施的实际产出数与计划产出数的比率，用以反映和考核项目产出数量目标的实现程度。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实际完成率=（实际产出数/计划产出数）×100%。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实际产出数：一定时期（本年度或项目期）内项目实际产出的产品或提供的服务数量。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计划产出数：项目绩效目标确定的在一定时期（本年度或项目期）内计划产出的产品或提供的服务数量。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开展青少年科普制作次数</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全年接待参观团队次数</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聘用场馆保洁人员人数</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购置专用设备</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科普讲解投诉率</w:t>
      </w:r>
      <w:r>
        <w:rPr>
          <w:rStyle w:val="19"/>
          <w:rFonts w:hint="eastAsia" w:eastAsia="楷体"/>
          <w:b w:val="0"/>
          <w:bCs w:val="0"/>
          <w:spacing w:val="-4"/>
          <w:sz w:val="32"/>
          <w:szCs w:val="32"/>
        </w:rPr>
        <w:tab/>
      </w:r>
      <w:r>
        <w:rPr>
          <w:rStyle w:val="19"/>
          <w:rFonts w:hint="eastAsia" w:eastAsia="楷体"/>
          <w:b w:val="0"/>
          <w:bCs w:val="0"/>
          <w:spacing w:val="-4"/>
          <w:sz w:val="32"/>
          <w:szCs w:val="32"/>
        </w:rPr>
        <w:t>项目完成的质量达标产出数与实际产出数的比率，用以反映和考核项目产出质量目标的实现程度。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质量达标率=（质量达标产出数/实际产出数）×100%。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设备购置验收合格率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主题科普活动完成率</w:t>
      </w:r>
      <w:r>
        <w:rPr>
          <w:rStyle w:val="19"/>
          <w:rFonts w:hint="eastAsia" w:eastAsia="楷体"/>
          <w:b w:val="0"/>
          <w:bCs w:val="0"/>
          <w:spacing w:val="-4"/>
          <w:sz w:val="32"/>
          <w:szCs w:val="32"/>
        </w:rPr>
        <w:tab/>
      </w:r>
      <w:r>
        <w:rPr>
          <w:rStyle w:val="19"/>
          <w:rFonts w:hint="eastAsia" w:eastAsia="楷体"/>
          <w:b w:val="0"/>
          <w:bCs w:val="0"/>
          <w:spacing w:val="-4"/>
          <w:sz w:val="32"/>
          <w:szCs w:val="32"/>
        </w:rPr>
        <w:t>项目实际完成时间与计划完成时间的比较，用以反映和考核项目产出时效目标的实现程度。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实际完成时间：项目实施单位完成该项目实际所耗用的时间。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维修费用及其他</w:t>
      </w:r>
      <w:r>
        <w:rPr>
          <w:rStyle w:val="19"/>
          <w:rFonts w:hint="eastAsia" w:eastAsia="楷体"/>
          <w:b w:val="0"/>
          <w:bCs w:val="0"/>
          <w:spacing w:val="-4"/>
          <w:sz w:val="32"/>
          <w:szCs w:val="32"/>
        </w:rPr>
        <w:tab/>
      </w:r>
      <w:r>
        <w:rPr>
          <w:rStyle w:val="19"/>
          <w:rFonts w:hint="eastAsia" w:eastAsia="楷体"/>
          <w:b w:val="0"/>
          <w:bCs w:val="0"/>
          <w:spacing w:val="-4"/>
          <w:sz w:val="32"/>
          <w:szCs w:val="32"/>
        </w:rPr>
        <w:t>完成项目计划工作目标的实际节约成本与计划成本的比率，用以反映和考核项目的成本节约程度。</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开展线上线下开展各类科普活动成本</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劳务费费用</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社会效益指标</w:t>
      </w:r>
      <w:r>
        <w:rPr>
          <w:rStyle w:val="19"/>
          <w:rFonts w:hint="eastAsia" w:eastAsia="楷体"/>
          <w:b w:val="0"/>
          <w:bCs w:val="0"/>
          <w:spacing w:val="-4"/>
          <w:sz w:val="32"/>
          <w:szCs w:val="32"/>
        </w:rPr>
        <w:tab/>
      </w:r>
      <w:r>
        <w:rPr>
          <w:rStyle w:val="19"/>
          <w:rFonts w:hint="eastAsia" w:eastAsia="楷体"/>
          <w:b w:val="0"/>
          <w:bCs w:val="0"/>
          <w:spacing w:val="-4"/>
          <w:sz w:val="32"/>
          <w:szCs w:val="32"/>
        </w:rPr>
        <w:t>保障科技馆的正常运行，提高全民科学素质</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项目实施所产生的效益。</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项目实施所产生的社会效益、经济效益、生态效益、可持续影响等。可根据项目实际情况有选择地设置和细化。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参观人员满意度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社会公众或服务对象对项目实施效果的满意程度。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（1）成本效益分析法。是指将投入与产出、效益进行关联性分析的方法。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（2）比较法。是指将实施情况与绩效目标、历史情况、不同部门和地区同类支出情况进行比较的方法。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（3）因素分析法。是指综合分析影响绩效目标实现、实施效果的内外部因素的方法。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（4）最低成本法。是指在绩效目标确定的前提下，成本最小者为优的方法。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（5）公众评判法。是指通过专家评估、公众问卷及抽样调查等方式进行评判的方法。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（6）标杆管理法。是指以国内外同行业中较高的绩效水平为标杆进行评判的方法。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（7）其他评价方法。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根据本项目（场馆运行）的特点，本次评价主要采用比较法和公众评判，对项目总预算和明细预算的内容、标准、计划是否经济合理进行深入分析，以考察实际产出和效益是否达到预期。</w:t>
      </w:r>
      <w:r>
        <w:cr/>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绩效评价标准主要包括计划标准、行业标准、历史标准等，用于对绩效指标完成情况进行比较。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（1）计划标准。指以预先制定的目标、计划、预算、定额等作为评价标准。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（2）行业标准。指参照国家公布的行业指标数据制定的评价标准。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（3）历史标准。指参照历史数据制定的评价标准，为体现绩效改进的原则，在可实现的条件下应当确定相对较高的评价标准。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在上述评价标准的基础上，本次评价依据以下文件为重要指导和准绳：</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·《中共中央国务院关于全面实施预算绩效管理的意见》（中发〔2018〕34号）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 《关于印发&lt;乌鲁木齐市本级部门预算绩效目标管理暂行办法&gt;的通知》（乌财预〔2018〕56号）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 《关于做好2019年部门预算项目支出绩效目标管理有关事宜的通知》（乌财预〔2018〕76号）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·《项目支出绩效评价管理办法》（财预〔2020〕10号）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·《科学技术馆建设标准》的通知（建标〔2007〕166号）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 《财政部 中国科协关于印发&lt;科技馆免费开放补助资金管理办法&gt;》的通知（财教〔2023〕162号）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  关于印发《新疆维吾尔自治区中央补助地方科技馆免费开放补助资金管理办法&gt;》的通知（新财教〔2018〕60号）</w:t>
      </w:r>
    </w:p>
    <w:p w14:paraId="3E2245C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EE83D13">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510F3C4B">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557455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（一）评价结论</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结合项目特点，制定符合项目实际的绩效评价指标体系及评分标准，通过数据采集、问卷调查及访谈等形式，对2024年场馆运行进行客观评价，最终评分结果为：总分为92.18分，绩效评级为“优”[本次绩效评价结果实施百分制和四级分类，其中90（含）-100分为优、80（含）-90分为良、70（含）-80分为中、70分以下为差。]。</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项目各部分权重和绩效分值如附表所示：</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项目各部分权重和绩效分值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分值</w:t>
      </w:r>
      <w:r>
        <w:rPr>
          <w:rStyle w:val="19"/>
          <w:rFonts w:hint="eastAsia" w:eastAsia="楷体"/>
          <w:b w:val="0"/>
          <w:bCs w:val="0"/>
          <w:spacing w:val="-4"/>
          <w:sz w:val="32"/>
          <w:szCs w:val="32"/>
        </w:rPr>
        <w:tab/>
      </w:r>
      <w:r>
        <w:rPr>
          <w:rStyle w:val="19"/>
          <w:rFonts w:hint="eastAsia" w:eastAsia="楷体"/>
          <w:b w:val="0"/>
          <w:bCs w:val="0"/>
          <w:spacing w:val="-4"/>
          <w:sz w:val="32"/>
          <w:szCs w:val="32"/>
        </w:rPr>
        <w:t>得分</w:t>
      </w:r>
      <w:r>
        <w:rPr>
          <w:rStyle w:val="19"/>
          <w:rFonts w:hint="eastAsia" w:eastAsia="楷体"/>
          <w:b w:val="0"/>
          <w:bCs w:val="0"/>
          <w:spacing w:val="-4"/>
          <w:sz w:val="32"/>
          <w:szCs w:val="32"/>
        </w:rPr>
        <w:tab/>
      </w:r>
      <w:r>
        <w:rPr>
          <w:rStyle w:val="19"/>
          <w:rFonts w:hint="eastAsia" w:eastAsia="楷体"/>
          <w:b w:val="0"/>
          <w:bCs w:val="0"/>
          <w:spacing w:val="-4"/>
          <w:sz w:val="32"/>
          <w:szCs w:val="32"/>
        </w:rPr>
        <w:t>得分率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立项依据充分性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立项程序规范性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绩效指标明确性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预算编制科学性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3.18</w:t>
      </w:r>
      <w:r>
        <w:rPr>
          <w:rStyle w:val="19"/>
          <w:rFonts w:hint="eastAsia" w:eastAsia="楷体"/>
          <w:b w:val="0"/>
          <w:bCs w:val="0"/>
          <w:spacing w:val="-4"/>
          <w:sz w:val="32"/>
          <w:szCs w:val="32"/>
        </w:rPr>
        <w:tab/>
      </w:r>
      <w:r>
        <w:rPr>
          <w:rStyle w:val="19"/>
          <w:rFonts w:hint="eastAsia" w:eastAsia="楷体"/>
          <w:b w:val="0"/>
          <w:bCs w:val="0"/>
          <w:spacing w:val="-4"/>
          <w:sz w:val="32"/>
          <w:szCs w:val="32"/>
        </w:rPr>
        <w:t>63.60%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资金使用合规性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管理制度健全性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制度执行有效性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开展线上线下开展各类科普活动次数</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90%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开展青少年科普制作次数</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全年接待参观团队次数</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聘用场馆保洁人员人数</w:t>
      </w:r>
      <w:r>
        <w:rPr>
          <w:rStyle w:val="19"/>
          <w:rFonts w:hint="eastAsia" w:eastAsia="楷体"/>
          <w:b w:val="0"/>
          <w:bCs w:val="0"/>
          <w:spacing w:val="-4"/>
          <w:sz w:val="32"/>
          <w:szCs w:val="32"/>
        </w:rPr>
        <w:tab/>
      </w:r>
      <w:r>
        <w:rPr>
          <w:rStyle w:val="19"/>
          <w:rFonts w:hint="eastAsia" w:eastAsia="楷体"/>
          <w:b w:val="0"/>
          <w:bCs w:val="0"/>
          <w:spacing w:val="-4"/>
          <w:sz w:val="32"/>
          <w:szCs w:val="32"/>
        </w:rPr>
        <w:t>1</w:t>
      </w:r>
      <w:r>
        <w:rPr>
          <w:rStyle w:val="19"/>
          <w:rFonts w:hint="eastAsia" w:eastAsia="楷体"/>
          <w:b w:val="0"/>
          <w:bCs w:val="0"/>
          <w:spacing w:val="-4"/>
          <w:sz w:val="32"/>
          <w:szCs w:val="32"/>
        </w:rPr>
        <w:tab/>
      </w:r>
      <w:r>
        <w:rPr>
          <w:rStyle w:val="19"/>
          <w:rFonts w:hint="eastAsia" w:eastAsia="楷体"/>
          <w:b w:val="0"/>
          <w:bCs w:val="0"/>
          <w:spacing w:val="-4"/>
          <w:sz w:val="32"/>
          <w:szCs w:val="32"/>
        </w:rPr>
        <w:t>1</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购置专用设备</w:t>
      </w:r>
      <w:r>
        <w:rPr>
          <w:rStyle w:val="19"/>
          <w:rFonts w:hint="eastAsia" w:eastAsia="楷体"/>
          <w:b w:val="0"/>
          <w:bCs w:val="0"/>
          <w:spacing w:val="-4"/>
          <w:sz w:val="32"/>
          <w:szCs w:val="32"/>
        </w:rPr>
        <w:tab/>
      </w:r>
      <w:r>
        <w:rPr>
          <w:rStyle w:val="19"/>
          <w:rFonts w:hint="eastAsia" w:eastAsia="楷体"/>
          <w:b w:val="0"/>
          <w:bCs w:val="0"/>
          <w:spacing w:val="-4"/>
          <w:sz w:val="32"/>
          <w:szCs w:val="32"/>
        </w:rPr>
        <w:t>1</w:t>
      </w:r>
      <w:r>
        <w:rPr>
          <w:rStyle w:val="19"/>
          <w:rFonts w:hint="eastAsia" w:eastAsia="楷体"/>
          <w:b w:val="0"/>
          <w:bCs w:val="0"/>
          <w:spacing w:val="-4"/>
          <w:sz w:val="32"/>
          <w:szCs w:val="32"/>
        </w:rPr>
        <w:tab/>
      </w:r>
      <w:r>
        <w:rPr>
          <w:rStyle w:val="19"/>
          <w:rFonts w:hint="eastAsia" w:eastAsia="楷体"/>
          <w:b w:val="0"/>
          <w:bCs w:val="0"/>
          <w:spacing w:val="-4"/>
          <w:sz w:val="32"/>
          <w:szCs w:val="32"/>
        </w:rPr>
        <w:t>0</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科普讲解投诉率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设备购置验收合格率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0</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主题科普活动完成率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维修费用及其他</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开展线上线下开展各类科普活动成本</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劳务费费用</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项目效益</w:t>
      </w:r>
      <w:r>
        <w:rPr>
          <w:rStyle w:val="19"/>
          <w:rFonts w:hint="eastAsia" w:eastAsia="楷体"/>
          <w:b w:val="0"/>
          <w:bCs w:val="0"/>
          <w:spacing w:val="-4"/>
          <w:sz w:val="32"/>
          <w:szCs w:val="32"/>
        </w:rPr>
        <w:tab/>
      </w:r>
      <w:r>
        <w:rPr>
          <w:rStyle w:val="19"/>
          <w:rFonts w:hint="eastAsia" w:eastAsia="楷体"/>
          <w:b w:val="0"/>
          <w:bCs w:val="0"/>
          <w:spacing w:val="-4"/>
          <w:sz w:val="32"/>
          <w:szCs w:val="32"/>
        </w:rPr>
        <w:t>保障科技馆的正常运行，提高全民科学素质</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参观人员满意度</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（二）主要绩效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资金由市财政及时拨付，单位有序完成设定目标的部分工作任务，购买科普实验用具，完成了线上下线各类科普活动120次，科普手工制作30次，接待团队30个，维修场馆7件常设展品，通过以上不断提升科技馆服务质量，改善体验环境，吸引更多的观众参观。提升科技场馆影响力具体情况如下：</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是支出15.49万元，用于维修（护）科技馆场馆常设展品，通过展品积极开展科普文化传播活动，与第50中学、第80中学、第16中学、第22小学、第68中学、第27小学、第77中学共7家学校签订馆校合作协议，利用流动科普设施资源进校园开展馆校联合实践活动，助推“双减”工作落地见效。联合乌鲁木齐市第27小学、乌鲁木齐市第71小学开展《科技馆里的科学课》。活动激发了青少年的创新热情，拓展了科学视野，有效引导了青少年融入现代文明生活，真正让科普知识“飞入寻常百姓家”，营造了讲科学、爱科学、学科学、用科学的浓厚社会氛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是支出15.66万元，如期推进线下日常展教“整点活动”。包括科学实验、一字一乾坤、手工DIY、防震减灾演练、等活动将优秀传统文化和国学文化融入到科普活动中，形成了“端午文化科普周”、“中秋文化科普周”等主题活动。端午节期间开展了科学探究实验、趣味科普运动会、龙舟DIY等活动。在每年传统农历新年期间，面向社区、家庭和学校发放“科普红包”，并开展形式多样的科普活动。线上开展趣味科学实验，有奖知识问答，范围涵盖了自然资源、生命科学、声光现象、数学、力与机械等领域，让孩子们近距离感受到科学的神奇与乐趣。通过短视频在融媒体等平台的播放，扩大了乌鲁木齐市科普工作的宣传范围和影响力。</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三是支出20.62万元，用于支付场馆劳务人员（保洁工资），通过保洁人员认真细心的打扫卫生，积极营造出环境整洁的空间，让更多的参观者予以更多的舒适体验。</w:t>
      </w:r>
    </w:p>
    <w:p w14:paraId="0BFB2E1E">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56BFB05">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3FE1B08">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项目决算指标由3个二级指标和6个三级指标构成，权重为20分，实际得分20分。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依据充分性：项目立项符合国家法律法规、政策要求。同时，项目与部门职责范围相符，向公众普及科学技术知识，传播科学思想和方法，倡导科学精神，宣传科学技术成就；开展科普展览、科学实验、学术交流等科普教育活动，提高公众科学文化素质。此外，本项目属于公共财政支持范围，符合地方事权支出责任划分原则。因此，立项依据充分，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 项目按照《财政部 中国科协关于印发&lt;科技馆免费开放补助资金管理办法&gt;》的通知（财教〔2023〕162号）及《全国科技馆建设标准》等规定的程序申请设立，通过项目预算评审核定单等审批文件、材料符合相关要求，故立项程序规范，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综上，该指标满分8分，得分8分。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明确性：结合传统节日及科普宣传重要节点，融入传统文化，通过科普研学、科学实验、一分钟科普等多种形式，开展各类科普宣传活动。其中，目标已细化为具体的绩效指标，分别是数量指标5条（①开展线上线下开展各类科普活动次数、②开展青少年科普制作次数、③全年接待参观团队次数、④聘用场馆保洁人员人数、⑤购置专用设备），质量指标2条（①科普讲解投诉率、②设备购置验收合格率），时效指标1条（主题科普活动完成率），成本指标3条（①维修费用及其他、②开展线上线下开展各类科普活动成本、③劳务费费用），效益指标1条（保障科技馆的正常运行，提高全民科学素质），满意度指标1条（参观人员满意度）。通过数量指标、质量指标、时效指标和成本、满意度指标予以量化，并具有确切的评价标准，且指标设定均与目标相关。各项指标均能在现实条件下收集到相关数据进行佐证，并与当年项目年度计划相对应，故绩效目标明确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编制科学性：根据经费下达的通知，2024年初预算数81.49万元，其中：“劳务费”21.26万元，依据市财政局项目预算评审中心核定表核定出聘请保洁人员劳务费用，“维修（护）费”15.50万元依据场馆常设展品损坏程度市场报价申报预算，“邮电费”2.45万元、“委托业务费”2万元依据往年签订的合同申报预算，“专用设备购置”20万元依据全国科技馆场馆建设标准申报预算，“培训费”4.28万元依据往年各省开展的培训文件申报预算，“办公费”16万元依据当年工作计划申报预算。预算编制经过科学论证，预算内容与项目内容相匹配，预算额度测算依据充分，并按标准编制，预算测算的资金量与工作任务相匹配，故预算编制科学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资金分配合理性：根据乌财科教【2024】2号、文件精神，该部分资金适合使用科技馆场馆运行，资金由市级财政拨付，总预算81.49万元、资金主要用于①办公费16万元；②专用设备购置20万元；③ 劳务费21.26万元；④维修（护）费15.50万元；⑤培训费4.28万元；⑥邮电费2.45万元；⑦委托业务费2万元。年终执行51.77万元，预算执行率100%。通过以上资金分配在项目运作后，可以完全覆盖科技馆场馆运行项目。故资金分配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rPr>
          <w:rStyle w:val="19"/>
          <w:rFonts w:hint="eastAsia" w:eastAsia="楷体"/>
          <w:b w:val="0"/>
          <w:bCs w:val="0"/>
          <w:spacing w:val="-4"/>
          <w:sz w:val="32"/>
          <w:szCs w:val="32"/>
        </w:rPr>
        <w:tab/>
      </w:r>
    </w:p>
    <w:p w14:paraId="7980122C">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6A0D604B">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项目过程指标由2个二级指标和5个三级指标构成，权重为20分，实际得分18.18分。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到位率：该项目资金预算为81.49万元，由市财政拨付，截止2024年12月25日到位51.77万元，进行了线上线下开展各类科普活动、维修费、劳务费等支出，资金直接支付到各供应商，资金到位率为63.53%。故资金到位率指标得分为3.18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预算执行率：51.77万元在资金到位后支付给各供应商及物业公司，预算执行率为100%，故预算执行率得分为5分。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资金使用合规性：本项目资金的使用符合《财政部 中国科协关于印发&lt;科技馆免费开放补助资金管理办法&gt;》的通知（财教〔2023〕162号）和单位内控管理制度的相关管理办法的规定。同时，资金的拨付有完整的审批程序和手续，符合项目预算批复或合同规定的用途，不存在截留、挤占、挪用、虚列支出等情况。故资金使用合规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综上，该指标满分13分，得分11.18分。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管理制度健全性：乌鲁木齐市科技馆制定《乌鲁木齐市科技馆财经领导小组议事规则》和《市科技馆财经制度实施方案》等管理制度，且制度合法、合规、完整，为项目顺利实施提供重要保障。故管理制度健全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制度执行有效性：根据评价小组核查情况，乌鲁木齐市科技馆严格遵守相关法律法规和相关管理规定，项目调整及支出调整手续完备，整体管理合理有序，项目完成后，及时将会计凭证、维修单等相关资料分类归档，制度执行有效。故制度执行有效性指标得分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综上，该指标满分7分，得分7分。</w:t>
      </w:r>
    </w:p>
    <w:p w14:paraId="6B67DE4B">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45482BAE">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项目产出指标由4个二级指标和11个三级指标构成，权重为40分，实际得分34分。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1.产出数量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 “开展线上线下开展各类科普活动次数”的目标值是120场次，2024年度我单位实际完成120场次。实际完成率100%，故实际完成率得分为3分。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数量指标“开展青少年科普制作次数”的目标值是30次，2024年度我单位实际完成30次。实际完成率100%，故实际完成率得分为3分。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数量指标“全年接待参观团队次数”的目标值是30次，2024年度我单位实际完成30次。实际完成率100%，故实际完成率得分为2分。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数量指标“聘用场馆保洁人员人数”的目标值是7人，2024年度我单位实际完成7人。实际完成率100%，故实际完成率得分为1分。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数量指标“购置专用设备”的目标值是1批，2024年度我单位实际完成0批，原因是前期采购计划不符合场馆后期制定的目标。实际完成率0%，故实际完成率得分为0分。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综上，数量指标得分为9分。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2.产出质量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质量指标：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设备购置验收合格率的目标值为&gt;=98%。2024年度我单位实际完成0%，原因是前期采购计划不符合场馆后期制定的目标，未采购故未验收。分值5分，实际得分0分。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科普讲解投诉率目标值为&lt;=2%。2024年度我单位实际无人投诉0%，分值5分，实际得分5分。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实际完成率：50%，故实际完成率得分为5分。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3.产出时效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时效指标：“主题科普活动完成率”目标值为&gt;=95%。2024年度我单位实际完成95%，分值10分，实际得分10分。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4.产出成本</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经济成本：“维修费用及其他”的目标值是≦15.49万元，2024年度我单位实际支出15.49万元；实际完成率100%，故实际完成率得分为4分。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经济成本：“开展线上线下各类科普活动费用”的目标值是≦15.66万元，2024年度我单位实际支出15.66万元；实际完成率100%，故实际完成率得分为2分。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经济成本：“劳务费用”的目标值是≦20.62万元，2024年度我单位实际支出20.62万元；实际完成率100%，故实际完成率得分为4分。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三个项目已按计划执行，仅开展线上线下各类科普活动费用未全部支付完毕预算金额，故得分为10分。</w:t>
      </w:r>
    </w:p>
    <w:p w14:paraId="395693DD">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90A889A">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 xml:space="preserve">项目效益指标由1个二级指标和1个三级指标构成，权重为10分，实际得分10分。 </w:t>
      </w:r>
      <w:r>
        <w:cr/>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经济效益指标：不适用。 </w:t>
      </w:r>
      <w:r>
        <w:cr/>
      </w:r>
      <w:r>
        <w:rPr>
          <w:rFonts w:hint="eastAsia" w:eastAsia="楷体"/>
          <w:b w:val="0"/>
          <w:bCs w:val="0"/>
          <w:spacing w:val="-4"/>
          <w:sz w:val="32"/>
          <w:szCs w:val="32"/>
        </w:rPr>
        <w:br w:type="textWrapping"/>
      </w:r>
      <w:r>
        <w:rPr>
          <w:rStyle w:val="19"/>
          <w:rFonts w:hint="eastAsia" w:eastAsia="楷体"/>
          <w:b w:val="0"/>
          <w:bCs w:val="0"/>
          <w:spacing w:val="-4"/>
          <w:sz w:val="32"/>
          <w:szCs w:val="32"/>
        </w:rPr>
        <w:t>社会效益指标：评价指标“保障科技馆的正常运行，提高全民科学素质”，指标值：有所提升，实际完成值：达成年度指标，分值10分，实际得分10分。本项目的实施通过科学实验、线上线下各类科普活动等多种形式，开展各类科普宣传活动提高群众科普知识水平，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生态效益指标：不适用。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综上，该指标满分10分，得分10分。</w:t>
      </w:r>
    </w:p>
    <w:p w14:paraId="1C24FDBD">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（1）满意度指标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群众满意度：评价指标“参加人员满意度”，指标值：≥90%，实际完成值90%，分值10分，实际得分10分。通过设置问卷调查的方式进行考评评价，共计调查样本总量为40个样本，有效调查问卷40份。其中，统计“参加科普活动群众满意度”的平均值为90%。故满意度指标得分为10分。</w:t>
      </w:r>
    </w:p>
    <w:p w14:paraId="1003BAB5">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751A52F4">
      <w:pPr>
        <w:spacing w:line="540" w:lineRule="exact"/>
        <w:ind w:firstLine="624" w:firstLineChars="200"/>
        <w:rPr>
          <w:rStyle w:val="19"/>
          <w:rFonts w:eastAsia="楷体"/>
        </w:rPr>
      </w:pPr>
      <w:r>
        <w:rPr>
          <w:rStyle w:val="19"/>
          <w:rFonts w:hint="eastAsia" w:eastAsia="楷体"/>
          <w:b w:val="0"/>
          <w:bCs w:val="0"/>
          <w:spacing w:val="-4"/>
          <w:sz w:val="32"/>
          <w:szCs w:val="32"/>
        </w:rPr>
        <w:t>（一）主要经验及做法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乌鲁木齐市科技馆是小型科技馆，在资源有限的情况下，需要通过科学规划和精准服务，实现高效运行和发展。因此定位于以服务青少年儿童为主，设计符合其需求的科普内容，打造差异化主题。展品购置及科普活动设计以儿童教育发展理念和儿童心理特点为基础，不刻意追求大而全，而是在核心功能性的基础上，讲好中国故事，弘扬科学精神，普及科学知识，融入中国优秀传统文化和特色地域文化，打造极具特色的儿童主题科技馆，让“道德·人·科技”的办馆理念在儿童展教规划主题上得到充分的诠释。</w:t>
      </w:r>
      <w:r>
        <w:cr/>
      </w:r>
      <w:r>
        <w:rPr>
          <w:rFonts w:hint="eastAsia" w:eastAsia="楷体"/>
          <w:b w:val="0"/>
          <w:bCs w:val="0"/>
          <w:spacing w:val="-4"/>
          <w:sz w:val="32"/>
          <w:szCs w:val="32"/>
        </w:rPr>
        <w:br w:type="textWrapping"/>
      </w:r>
      <w:r>
        <w:rPr>
          <w:rStyle w:val="19"/>
          <w:rFonts w:hint="eastAsia" w:eastAsia="楷体"/>
          <w:b w:val="0"/>
          <w:bCs w:val="0"/>
          <w:spacing w:val="-4"/>
          <w:sz w:val="32"/>
          <w:szCs w:val="32"/>
        </w:rPr>
        <w:t>由此确定本年度场馆运行执行中的两大特色：一是将传统文化与科普相结合，打造“科普红包大拜年”“端午文化科普周”“中秋文化科普周”“科技馆里的国学智慧”等特色主题活动，将传统民俗如剪纸、24节气色彩之谜、包粽子、划龙舟等巧妙融入到科普活动中，在学习科学的同时，感受传统文化的魅力，成为科技馆最受欢迎的特色科普品牌活动。二是融入青少年儿童喜爱的卡通人物——孙悟空，打造解谜式集章打卡活动。在西游主题展区，唐僧师徒取经的故事被设计成一个个游戏板块，孙悟空形象的卡通玩偶一边讲解游戏中的科学原理，一边带孩子们打卡集章。小朋友们手持打卡册，依照其中的线索，寻找与众不同的展品，解锁印章宝藏，一一在打卡册上留下独特的印记。通过游戏了解防震减灾知识、基础科学知识等。集齐五个图章，还能换取图书水彩笔等小奖品。</w:t>
      </w:r>
      <w:r>
        <w:cr/>
      </w:r>
      <w:r>
        <w:rPr>
          <w:rFonts w:hint="eastAsia" w:eastAsia="楷体"/>
          <w:b w:val="0"/>
          <w:bCs w:val="0"/>
          <w:spacing w:val="-4"/>
          <w:sz w:val="32"/>
          <w:szCs w:val="32"/>
        </w:rPr>
        <w:br w:type="textWrapping"/>
      </w:r>
      <w:r>
        <w:rPr>
          <w:rStyle w:val="19"/>
          <w:rFonts w:hint="eastAsia" w:eastAsia="楷体"/>
          <w:b w:val="0"/>
          <w:bCs w:val="0"/>
          <w:spacing w:val="-4"/>
          <w:sz w:val="32"/>
          <w:szCs w:val="32"/>
        </w:rPr>
        <w:t>乌鲁木齐市科技馆以“玩科学”为理念，将原本深奥的科学原理进行具象化，让科学知识真正“活”了起来，设计环节兼顾挑战性和趣味性的平衡，并运用动手实践、交流互动、课程研究等方式，让孩子们多角度，多元化体验科学奇妙，了解传统文化，铸牢中华民族共同体意识。</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cr/>
      </w:r>
      <w:r>
        <w:rPr>
          <w:rFonts w:hint="eastAsia" w:eastAsia="楷体"/>
          <w:b w:val="0"/>
          <w:bCs w:val="0"/>
          <w:spacing w:val="-4"/>
          <w:sz w:val="32"/>
          <w:szCs w:val="32"/>
        </w:rPr>
        <w:br w:type="textWrapping"/>
      </w:r>
      <w:r>
        <w:rPr>
          <w:rStyle w:val="19"/>
          <w:rFonts w:hint="eastAsia" w:eastAsia="楷体"/>
          <w:b w:val="0"/>
          <w:bCs w:val="0"/>
          <w:spacing w:val="-4"/>
          <w:sz w:val="32"/>
          <w:szCs w:val="32"/>
        </w:rPr>
        <w:t>对展教项目和科学课程的开发有待提高。</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一是展品更新滞后与维护困难。展品陈旧、设备故障维修周期长（需专业厂家人员上门服务），影响观众体验，无法吸引重复参观；  </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二是专业人才短缺与服务能力不足。专职展教人员少，讲解人员年龄偏大，部分科普内容传递不专业。  </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三是观众吸引力不足。参观人次波动大，节假日以外客流稀少。</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原因如下：一是前沿科技展品（如VR、机器人）采购成本高，更新换代快；二是展项与新疆科技馆部分重复，缺乏本地特色或创新形式；三是本地科研资源利用率低，展教内容缺乏权威性。 </w:t>
      </w:r>
    </w:p>
    <w:p w14:paraId="25E932D9">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6C3598C6">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 提升运营效率</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在非高峰时段针对性增设主题展览、互动体验活动等短周期项目，例如结合季节特点推出限定科普展或亲子手工课堂，通过灵活利用闲置时段与空间，有效提升场地资源利用率，激活淡季客流活力。</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2. 优化经济效益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全面引入节能照明系统、智能温控设备等绿色技术设施，同步搭建智慧化管理平台（如能源监控系统），实时监测并动态调节能耗使用。通过技术升级与管理创新双驱动，实现运营成本精细化管控，持续提升经济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3. 强化服务质量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建立常态化培训机制，每季度围绕科普讲解技巧、前沿知识更新、应急服务能力等维度，组织讲解员开展理论授课与实战演练。通过系统化能力提升，打造高素质科普服务团队，切实增强参观人员的体验感与满意度。</w:t>
      </w:r>
    </w:p>
    <w:p w14:paraId="2DDA3C71">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182952E2">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1、项目执行紧扣立项初衷</w:t>
      </w:r>
      <w:r>
        <w:cr/>
      </w:r>
      <w:r>
        <w:rPr>
          <w:rFonts w:hint="eastAsia" w:eastAsia="楷体"/>
          <w:b w:val="0"/>
          <w:bCs w:val="0"/>
          <w:spacing w:val="-4"/>
          <w:sz w:val="32"/>
          <w:szCs w:val="32"/>
        </w:rPr>
        <w:br w:type="textWrapping"/>
      </w:r>
      <w:r>
        <w:rPr>
          <w:rStyle w:val="19"/>
          <w:rFonts w:hint="eastAsia" w:eastAsia="楷体"/>
          <w:b w:val="0"/>
          <w:bCs w:val="0"/>
          <w:spacing w:val="-4"/>
          <w:sz w:val="32"/>
          <w:szCs w:val="32"/>
        </w:rPr>
        <w:t>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w:t>
      </w:r>
      <w:r>
        <w:cr/>
      </w:r>
      <w:r>
        <w:rPr>
          <w:rFonts w:hint="eastAsia" w:eastAsia="楷体"/>
          <w:b w:val="0"/>
          <w:bCs w:val="0"/>
          <w:spacing w:val="-4"/>
          <w:sz w:val="32"/>
          <w:szCs w:val="32"/>
        </w:rPr>
        <w:br w:type="textWrapping"/>
      </w:r>
      <w:r>
        <w:rPr>
          <w:rStyle w:val="19"/>
          <w:rFonts w:hint="eastAsia" w:eastAsia="楷体"/>
          <w:b w:val="0"/>
          <w:bCs w:val="0"/>
          <w:spacing w:val="-4"/>
          <w:sz w:val="32"/>
          <w:szCs w:val="32"/>
        </w:rPr>
        <w:t>在项目实施过程中，财政单位加强对项目的监督和管理。建立了定期的项目进度汇报制度，及时掌握项目进展情况。对于偏离立项初衷的行为，及时进行纠正和调整。同时，加强与项目实施单位的沟通和协调，为项目实施提供必要的支持和保障。</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2、申报审核保障项目质量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财政单位建立了完善的项目申报、审核机制，为项目的质量提供了有力保障。在项目申报环节，财政单位明确了申报条件和要求，规范了申报流程，确保申报项目具有可行性和必要性。同时，加强对申报材料的真实性和合法性审查，防止虚假申报和骗取财政资金的行为。</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3、资金管理杜绝违规行为</w:t>
      </w:r>
      <w:r>
        <w:cr/>
      </w:r>
      <w:r>
        <w:rPr>
          <w:rFonts w:hint="eastAsia" w:eastAsia="楷体"/>
          <w:b w:val="0"/>
          <w:bCs w:val="0"/>
          <w:spacing w:val="-4"/>
          <w:sz w:val="32"/>
          <w:szCs w:val="32"/>
        </w:rPr>
        <w:br w:type="textWrapping"/>
      </w:r>
      <w:r>
        <w:rPr>
          <w:rStyle w:val="19"/>
          <w:rFonts w:hint="eastAsia" w:eastAsia="楷体"/>
          <w:b w:val="0"/>
          <w:bCs w:val="0"/>
          <w:spacing w:val="-4"/>
          <w:sz w:val="32"/>
          <w:szCs w:val="32"/>
        </w:rPr>
        <w:t>单位高度重视项目资金的合规使用，采取了一系列措施确保资金安全。在资金管理方面，建立了严格的财务管理制度。明确了资金的使用范围、审批流程和监督机制。要求项目实施单位设立专门的项目账户，实行专款专用。加强对资金支出的审核和监管，确保每一笔资金都用于项目建设。</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同时，加强对项目实施单位的财务培训和指导。提高项目实施单位的财务管理水平和合规意识。通过定期开展财务审计和监督检查，及时发现并纠正资金使用过程中存在的问题。对于违规使用资金的行为，依法依规进行严肃处理。</w:t>
      </w:r>
    </w:p>
    <w:p w14:paraId="1168A46D">
      <w:pPr>
        <w:spacing w:line="540" w:lineRule="exact"/>
        <w:ind w:firstLine="624" w:firstLineChars="200"/>
        <w:rPr>
          <w:rStyle w:val="19"/>
          <w:rFonts w:ascii="仿宋" w:hAnsi="仿宋" w:eastAsia="仿宋"/>
          <w:b w:val="0"/>
          <w:spacing w:val="-4"/>
          <w:sz w:val="32"/>
          <w:szCs w:val="32"/>
        </w:rPr>
      </w:pPr>
    </w:p>
    <w:p w14:paraId="553F45C0">
      <w:pPr>
        <w:spacing w:line="540" w:lineRule="exact"/>
        <w:ind w:firstLine="624" w:firstLineChars="200"/>
        <w:rPr>
          <w:rStyle w:val="19"/>
          <w:rFonts w:ascii="仿宋" w:hAnsi="仿宋" w:eastAsia="仿宋"/>
          <w:b w:val="0"/>
          <w:spacing w:val="-4"/>
          <w:sz w:val="32"/>
          <w:szCs w:val="32"/>
        </w:rPr>
      </w:pPr>
    </w:p>
    <w:p w14:paraId="73A62FAC">
      <w:pPr>
        <w:spacing w:line="540" w:lineRule="exact"/>
        <w:ind w:firstLine="624" w:firstLineChars="200"/>
        <w:rPr>
          <w:rStyle w:val="19"/>
          <w:rFonts w:ascii="仿宋" w:hAnsi="仿宋" w:eastAsia="仿宋"/>
          <w:b w:val="0"/>
          <w:spacing w:val="-4"/>
          <w:sz w:val="32"/>
          <w:szCs w:val="32"/>
        </w:rPr>
      </w:pPr>
    </w:p>
    <w:p w14:paraId="15E661C0">
      <w:pPr>
        <w:spacing w:line="540" w:lineRule="exact"/>
        <w:ind w:firstLine="624" w:firstLineChars="200"/>
        <w:rPr>
          <w:rStyle w:val="19"/>
          <w:rFonts w:ascii="仿宋" w:hAnsi="仿宋" w:eastAsia="仿宋"/>
          <w:b w:val="0"/>
          <w:spacing w:val="-4"/>
          <w:sz w:val="32"/>
          <w:szCs w:val="32"/>
        </w:rPr>
      </w:pPr>
    </w:p>
    <w:p w14:paraId="5F54690D">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altName w:val="Times New Roman"/>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10D0060">
        <w:pPr>
          <w:pStyle w:val="12"/>
          <w:jc w:val="center"/>
        </w:pPr>
        <w:r>
          <w:fldChar w:fldCharType="begin"/>
        </w:r>
        <w:r>
          <w:instrText xml:space="preserve">PAGE   \* MERGEFORMAT</w:instrText>
        </w:r>
        <w:r>
          <w:fldChar w:fldCharType="separate"/>
        </w:r>
        <w:r>
          <w:rPr>
            <w:lang w:val="zh-CN"/>
          </w:rPr>
          <w:t>2</w:t>
        </w:r>
        <w:r>
          <w:fldChar w:fldCharType="end"/>
        </w:r>
      </w:p>
    </w:sdtContent>
  </w:sdt>
  <w:p w14:paraId="29EF7B8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BD4B5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42C998617B8848E787C18A7229A09342_13</vt:lpwstr>
  </property>
</Properties>
</file>

<file path=customXml/itemProps1.xml><?xml version="1.0" encoding="utf-8"?>
<ds:datastoreItem xmlns:ds="http://schemas.openxmlformats.org/officeDocument/2006/customXml" ds:itemID="{8d945f58-9c1c-40a2-a6e8-3bc9e6a2f32e}">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39</Pages>
  <Words>14433</Words>
  <Characters>15040</Characters>
  <Lines>4</Lines>
  <Paragraphs>1</Paragraphs>
  <TotalTime>0</TotalTime>
  <ScaleCrop>false</ScaleCrop>
  <LinksUpToDate>false</LinksUpToDate>
  <CharactersWithSpaces>15323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脑子进了地沟油。</cp:lastModifiedBy>
  <cp:lastPrinted>2018-12-31T10:56:00Z</cp:lastPrinted>
  <dcterms:modified xsi:type="dcterms:W3CDTF">2025-09-26T04:02:17Z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42C998617B8848E787C18A7229A09342_13</vt:lpwstr>
  </property>
  <property fmtid="{D5CDD505-2E9C-101B-9397-08002B2CF9AE}" pid="4" name="KSOTemplateDocerSaveRecord">
    <vt:lpwstr>eyJoZGlkIjoiOTk4OGQwMDhiNzg0NjZlZGMyZGQwM2I5MmM3MmFkNTgiLCJ1c2VySWQiOiIzMzUxOTI5NDcifQ==</vt:lpwstr>
  </property>
</Properties>
</file>