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乌鲁木齐市工商业联合会（乌鲁木齐市总商会）2024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部门概况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乌鲁木齐市工商业联合会（乌鲁木齐市总商会）是具有统治性、经济性、民间性有机统一基本特征的人民团体和商会组织，是党和政府联系非公有制经济人士的桥梁纽带，是政府管理和服务非公有制经济的助手。是中国人民政治协商会议的重要组成部分，工商联工作是党的统一战线工作和经济工作的重要内容，工商联事业是中国特色社会主义事业的重要组成部分。</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乌鲁木齐市工商业联合会（乌鲁木齐市总商会）2024年度，实有人数42人，其中：在职人员17人，减少2人；离休人员0人，增加0人；退休人员25人,增加7人。</w:t>
      </w:r>
    </w:p>
    <w:p>
      <w:pPr>
        <w:spacing w:line="580" w:lineRule="exact"/>
        <w:ind w:firstLine="640"/>
        <w:jc w:val="both"/>
      </w:pPr>
      <w:r>
        <w:rPr>
          <w:rFonts w:ascii="仿宋_GB2312" w:hAnsi="仿宋_GB2312" w:eastAsia="仿宋_GB2312"/>
          <w:sz w:val="32"/>
        </w:rPr>
        <w:t>乌鲁木齐市工商业联合会（乌鲁木齐市总商会）无下属预算单位，下设4个科室，分别是：党政办公室、经济联络部、党建工作部、组织宣传部（会员部）。</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2024年度收入总计429.82万元，</w:t>
      </w:r>
      <w:r>
        <w:rPr>
          <w:rFonts w:ascii="仿宋_GB2312" w:hAnsi="仿宋_GB2312" w:eastAsia="仿宋_GB2312"/>
          <w:b w:val="0"/>
          <w:sz w:val="32"/>
        </w:rPr>
        <w:t>其中：本年收入合计429.82万元，使用非财政拨款结余（含专用结余）0.00万元，年初结转和结余0.00万元。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2024年度支出总计429.82万元，</w:t>
      </w:r>
      <w:r>
        <w:rPr>
          <w:rFonts w:ascii="仿宋_GB2312" w:hAnsi="仿宋_GB2312" w:eastAsia="仿宋_GB2312"/>
          <w:b w:val="0"/>
          <w:sz w:val="32"/>
        </w:rPr>
        <w:t>其中：本年支出合计429.82万元，结余分配0.00万元，年末结转和结余0.00万元。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减少29.13万元，下降6.35%，主要原因是：本年在职人员减少，相关人员及公用经费较上年减少。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本年收入429.82万元，</w:t>
      </w:r>
      <w:r>
        <w:rPr>
          <w:rFonts w:ascii="仿宋_GB2312" w:hAnsi="仿宋_GB2312" w:eastAsia="仿宋_GB2312"/>
          <w:b w:val="0"/>
          <w:sz w:val="32"/>
        </w:rPr>
        <w:t>其中：财政拨款收入429.82万元，占100.00%；上级补助收入0.00万元，占0.00%；事业收入0.00万元，占0.00%；经营收入0.00万元，占0.00%；附属单位上缴收入0.00万元，占0.00%；其他收入0.00万元，占0.00%。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本年支出429.82万元，</w:t>
      </w:r>
      <w:r>
        <w:rPr>
          <w:rFonts w:ascii="仿宋_GB2312" w:hAnsi="仿宋_GB2312" w:eastAsia="仿宋_GB2312"/>
          <w:b w:val="0"/>
          <w:sz w:val="32"/>
        </w:rPr>
        <w:t>其中：基本支出421.00万元，占97.95%；项目支出8.82万元，占2.05%；上缴上级支出0.00万元，占0.00%；经营支出0.00万元，占0.00%；对附属单位补助支出0.00万元，占0.00%。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2024年度财政拨款收入总计429.82万元，</w:t>
      </w:r>
      <w:r>
        <w:rPr>
          <w:rFonts w:ascii="仿宋_GB2312" w:hAnsi="仿宋_GB2312" w:eastAsia="仿宋_GB2312"/>
          <w:b w:val="0"/>
          <w:sz w:val="32"/>
        </w:rPr>
        <w:t>其中：年初财政拨款结转和结余0.00万元，本年财政拨款收入429.82万元。</w:t>
      </w:r>
      <w:r>
        <w:rPr>
          <w:rFonts w:ascii="仿宋_GB2312" w:hAnsi="仿宋_GB2312" w:eastAsia="仿宋_GB2312"/>
          <w:b/>
          <w:sz w:val="32"/>
        </w:rPr>
        <w:t>财政拨款支出总计429.82万元，</w:t>
      </w:r>
      <w:r>
        <w:rPr>
          <w:rFonts w:ascii="仿宋_GB2312" w:hAnsi="仿宋_GB2312" w:eastAsia="仿宋_GB2312"/>
          <w:b w:val="0"/>
          <w:sz w:val="32"/>
        </w:rPr>
        <w:t>其中：年末财政拨款结转和结余0.00万元，本年财政拨款支出429.82万元。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减少28.57万元，下降6.23%，主要原因是：本年在职人员减少，相关人员及公用经费较上年减少。</w:t>
      </w:r>
      <w:r>
        <w:rPr>
          <w:rFonts w:ascii="仿宋_GB2312" w:hAnsi="仿宋_GB2312" w:eastAsia="仿宋_GB2312"/>
          <w:b/>
          <w:sz w:val="32"/>
        </w:rPr>
        <w:t>与年初预算相比，</w:t>
      </w:r>
      <w:r>
        <w:rPr>
          <w:rFonts w:ascii="仿宋_GB2312" w:hAnsi="仿宋_GB2312" w:eastAsia="仿宋_GB2312"/>
          <w:b w:val="0"/>
          <w:sz w:val="32"/>
        </w:rPr>
        <w:t>年初预算数404.45万元，决算数429.82万元，预决算差异率6.27%，主要原因是：本年退休人员增加，年中追加职业年金经费，导致预决算存在差异。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2024年度一般公共预算财政拨款支出429.82万元，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减少28.57万元，下降6.23%，主要原因是：本年在职人员减少，相关人员及公用经费较上年减少。</w:t>
      </w:r>
      <w:r>
        <w:rPr>
          <w:rFonts w:ascii="仿宋_GB2312" w:hAnsi="仿宋_GB2312" w:eastAsia="仿宋_GB2312"/>
          <w:b/>
          <w:sz w:val="32"/>
        </w:rPr>
        <w:t>与年初预算相比,</w:t>
      </w:r>
      <w:r>
        <w:rPr>
          <w:rFonts w:ascii="仿宋_GB2312" w:hAnsi="仿宋_GB2312" w:eastAsia="仿宋_GB2312"/>
          <w:b w:val="0"/>
          <w:sz w:val="32"/>
        </w:rPr>
        <w:t>年初预算数404.45万元，决算数429.82万元，预决算差异率6.27%，主要原因是：本年退休人员增加，年中追加职业年金经费，导致预决算存在差异。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1.一般公共服务支出(类)339.80万元,占79.06%。</w:t>
      </w:r>
    </w:p>
    <w:p>
      <w:pPr>
        <w:spacing w:line="580" w:lineRule="exact"/>
        <w:ind w:firstLine="640"/>
        <w:jc w:val="both"/>
      </w:pPr>
      <w:r>
        <w:rPr>
          <w:rFonts w:ascii="仿宋_GB2312" w:hAnsi="仿宋_GB2312" w:eastAsia="仿宋_GB2312"/>
          <w:b w:val="0"/>
          <w:sz w:val="32"/>
        </w:rPr>
        <w:t>2.科学技术支出(类)0.88万元,占0.20%。</w:t>
      </w:r>
    </w:p>
    <w:p>
      <w:pPr>
        <w:spacing w:line="580" w:lineRule="exact"/>
        <w:ind w:firstLine="640"/>
        <w:jc w:val="both"/>
      </w:pPr>
      <w:r>
        <w:rPr>
          <w:rFonts w:ascii="仿宋_GB2312" w:hAnsi="仿宋_GB2312" w:eastAsia="仿宋_GB2312"/>
          <w:b w:val="0"/>
          <w:sz w:val="32"/>
        </w:rPr>
        <w:t>3.社会保障和就业支出(类)89.14万元,占20.74%。</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1.一般公共服务支出(类)民主党派及工商联事务(款)行政运行(项):支出决算数为331.86万元，比上年决算减少28.96万元，下降8.03%,主要原因是：本年在职人员减少，相关人员及公用经费较上年减少。</w:t>
      </w:r>
    </w:p>
    <w:p>
      <w:pPr>
        <w:spacing w:line="580" w:lineRule="exact"/>
        <w:ind w:firstLine="640"/>
        <w:jc w:val="both"/>
      </w:pPr>
      <w:r>
        <w:rPr>
          <w:rFonts w:ascii="仿宋_GB2312" w:hAnsi="仿宋_GB2312" w:eastAsia="仿宋_GB2312"/>
          <w:b w:val="0"/>
          <w:sz w:val="32"/>
        </w:rPr>
        <w:t>2.一般公共服务支出(类)民主党派及工商联事务(款)一般行政管理事务(项):支出决算数为0.00万元，比上年决算减少5.32万元，下降100.00%,主要原因是：本年功能科目调整，非公有制党建工作专项经费上年度在本科目列支，本年调整至其他民主党派及工商联事务支出科目列支，导致经费较上年减少。</w:t>
      </w:r>
    </w:p>
    <w:p>
      <w:pPr>
        <w:spacing w:line="580" w:lineRule="exact"/>
        <w:ind w:firstLine="640"/>
        <w:jc w:val="both"/>
      </w:pPr>
      <w:r>
        <w:rPr>
          <w:rFonts w:ascii="仿宋_GB2312" w:hAnsi="仿宋_GB2312" w:eastAsia="仿宋_GB2312"/>
          <w:b w:val="0"/>
          <w:sz w:val="32"/>
        </w:rPr>
        <w:t>3.一般公共服务支出(类)民主党派及工商联事务(款)其他民主党派及工商联事务支出(项):支出决算数为7.94万元，比上年决算增加0.96万元，增长13.75%,主要原因是：本年功能科目调整，非公有制党建工作专项经费上年度在一般行政管理事务科目列支，本年调整至其他民主党派及工商联事务支出科目列支，导致经费较上年增加。</w:t>
      </w:r>
    </w:p>
    <w:p>
      <w:pPr>
        <w:spacing w:line="580" w:lineRule="exact"/>
        <w:ind w:firstLine="640"/>
        <w:jc w:val="both"/>
      </w:pPr>
      <w:r>
        <w:rPr>
          <w:rFonts w:ascii="仿宋_GB2312" w:hAnsi="仿宋_GB2312" w:eastAsia="仿宋_GB2312"/>
          <w:b w:val="0"/>
          <w:sz w:val="32"/>
        </w:rPr>
        <w:t>4.科学技术支出(类)其他科学技术支出(款)其他科学技术支出(项):支出决算数为0.88万元，比上年决算增加0.88万元，增长100.00%,主要原因是：本年增加专用设备购置费，相应支出增加。</w:t>
      </w:r>
    </w:p>
    <w:p>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5.社会保障和就业支出(类)行政事业单位养老支出(款)行政单位离退休(项):支出决算数为16.90万元，比上年决算增加4.34万元，增长34.55%,主要原因是：本年退休人员增加，退休费支出增加。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37.43万元，比上年决算增加0.15万元，增长0.40%,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7.社会保障和就业支出(类)行政事业单位养老支出(款)机关事业单位职业年金缴费支出(项):支出决算数为34.81万元，比上年决算增加22.46万元，增长181.86%,主要原因是：本年新增退休人员，职业年金缴费支出增加。</w:t>
      </w:r>
    </w:p>
    <w:p>
      <w:pPr>
        <w:spacing w:line="580" w:lineRule="exact"/>
        <w:ind w:firstLine="640"/>
        <w:jc w:val="both"/>
      </w:pPr>
      <w:r>
        <w:rPr>
          <w:rFonts w:ascii="仿宋_GB2312" w:hAnsi="仿宋_GB2312" w:eastAsia="仿宋_GB2312"/>
          <w:b w:val="0"/>
          <w:sz w:val="32"/>
        </w:rPr>
        <w:t>8.社会保障和就业支出(类)抚恤(款)死亡抚恤(项):支出决算数为0.00万元，比上年决算减少23.09万元，下降100.00%,主要原因是：本年无新增死亡人员，死亡抚恤支出较上年减少。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2024年度一般公共预算财政拨款基本支出421.00万元，其中：</w:t>
      </w:r>
      <w:r>
        <w:rPr>
          <w:rFonts w:ascii="仿宋_GB2312" w:hAnsi="仿宋_GB2312" w:eastAsia="仿宋_GB2312"/>
          <w:b/>
          <w:sz w:val="32"/>
        </w:rPr>
        <w:t>人员经费386.74万元，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w:t>
      </w:r>
    </w:p>
    <w:p>
      <w:pPr>
        <w:spacing w:line="580" w:lineRule="exact"/>
        <w:ind w:firstLine="640"/>
        <w:jc w:val="both"/>
      </w:pPr>
      <w:r>
        <w:rPr>
          <w:rFonts w:ascii="仿宋_GB2312" w:hAnsi="仿宋_GB2312" w:eastAsia="仿宋_GB2312"/>
          <w:b/>
          <w:sz w:val="32"/>
        </w:rPr>
        <w:t>公用经费34.27万元，</w:t>
      </w:r>
      <w:r>
        <w:rPr>
          <w:rFonts w:ascii="仿宋_GB2312" w:hAnsi="仿宋_GB2312" w:eastAsia="仿宋_GB2312"/>
          <w:b w:val="0"/>
          <w:sz w:val="32"/>
        </w:rPr>
        <w:t>包括：办公费、邮电费、差旅费、委托业务费、工会经费、福利费、公务用车运行维护费、办公设备购置。</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2024年度财政拨款“三公”经费支出4.67万元，</w:t>
      </w:r>
      <w:r>
        <w:rPr>
          <w:rFonts w:ascii="仿宋_GB2312" w:hAnsi="仿宋_GB2312" w:eastAsia="仿宋_GB2312"/>
          <w:b w:val="0"/>
          <w:sz w:val="32"/>
        </w:rPr>
        <w:t>比上年减少0.11万元，下降2.30%，主要原因是：严格落实中央八项规定精神，厉行节约，减少公务用车运行维护费。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公务用车购置及运行维护费支出4.67万元，占100.00%，比上年减少0.11万元，下降2.30%，主要原因是：严格落实中央八项规定精神，厉行节约，减少公务用车运行维护费。</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4.67万元，其中：公务用车购置费0.00万元，公务用车运行维护费4.67万元。公务用车运行维护费开支内容包括车辆加油费、维修费、保险费、审车费、过路费等。公务用车购置数0辆，公务用车保有量2辆。国有资产占用情况中固定资产车辆2辆，与公务用车保有量差异原因是：本部门固定资产车辆与公务用车保有量一致无差异。</w:t>
      </w:r>
    </w:p>
    <w:p>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4.67万元，决算数4.67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4.67万元，决算数4.67万元，预决算差异率0.00%，主要原因是：严格按照预算执行，预决算无差异。公务接待费全年预算数0.00万元，决算数0.00万元，预决算差异率0.00%，主要原因是：本部门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乌鲁木齐市工商业联合会（乌鲁木齐市总商会）（行政单位和参照公务员法管理事业单位）机关运行经费支出34.27万元，比上年减少1.39万元，下降3.90%，主要原因是：严格控制公用经费，合理节约办公用品，减少不必要开支。</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2024年度政府采购支出总额5.74万元，其中：政府采购货物支出0.57万元、政府采购工程支出0.00万元、政府采购服务支出5.17万元。</w:t>
      </w:r>
    </w:p>
    <w:p>
      <w:pPr>
        <w:spacing w:line="580" w:lineRule="exact"/>
        <w:ind w:firstLine="640"/>
        <w:jc w:val="both"/>
      </w:pPr>
      <w:r>
        <w:rPr>
          <w:rFonts w:ascii="仿宋_GB2312" w:hAnsi="仿宋_GB2312" w:eastAsia="仿宋_GB2312"/>
          <w:b w:val="0"/>
          <w:sz w:val="32"/>
        </w:rPr>
        <w:t>授予中小企业合同金额1.98万元，占政府采购支出总额的34.49%，其中：授予小微企业合同金额1.98万元，占政府采购支出总额的34.49%。</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0.00平方米，价值0.00万元。车辆2辆，价值24.22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429.82万元，实际执行总额429.82万元；预算绩效评价项目1个，全年预算数7.94万元，全年执行数7.94万元。预算绩效管理取得的成效：一是扎实推进党的二十届三中全会和自治区党委、市委全会精神的学习和宣传。把学习贯彻党的二十大、二十届二中、三中全会、自治区党委、市委全会精神作为重大政治任务，推动学习宣传贯彻不断走深、走心、走实。开展以“党的二十届三中全会精神、自治区党委全会、市委全会精神解读”为主要内容，通过组织开展“企业家大讲堂”“上门送学”等方式，多渠道、多途径开展经常性党的理念和政策宣传宣讲，不断增强中华民族共同体意识，以强信心为重点加强正面宣传和系统联动，切实提高全市工商联系统服务“两个健康”能力和水平；二是强化党建引领，促进商会党建与业务同频共振。积极探索在直属商会开展党建工作的有效方法和途径，运用线上和现场指导等方式灵活多样的组织党务工作者和会员企业负责人学习党的理论知识，2025年计划开展党务工作培训班2期，努力建设一支守信念、讲奉献、有本领、重品行的基层党组织带头人队伍。以 “五个好”党支部创建工作为目标，推动商会党建工作更加规范。通过选派党建工作指导员，结合商会业务工作强化对商会党建工作的具体指导、监督、宣传和服务，着力抓好党的组织和党的工作在商会的全覆盖，规范党的组织生活和党员教育管理。大力开展“党旗红、商会兴”等主题活动，评选表彰“支持党建工作的好会长”“五个好”商会党支部等，激励商会负责人积极主动支持党建工作，成为党建工作的热心人。发现的问题及原因：一是部分绩效目标设定模糊。部分绩效目标设定时，缺乏清晰、量化的指标，导致难以准确衡量经费使用效果；二是重分配轻管理执行：多数精力放在争取经费分配上，对经费使用过程管理不足；三是部分评价指标体系不完善：当前绩效评价指标多侧重经费合规性审查，对党建工作实际成效、党员和群众满意度等关键指标关注不足。如评价党建阵地建设经费时，仅考量场地建设和设备采购是否符合预算，忽略阵地使用频率、党员参与度等效果指标；四是缺乏有效沟通反馈：绩效评价结果反馈机制缺失，评价结束后，相关部门未及时将结果反馈给非公党建工作部，无法得知经费使用存在的问题，难以及时整改，影响绩效提升。下一步改进措施：一是优化绩效目标设定。细化目标内容：要求党建工作部门在制定党建经费项目绩效目标时，将定性目标转化为定量和定性相结合的具体目标。比如党员培训，明确培训课程不少于多少次，培训后党员理论知识考核通过率达到百分之多少等量化指标，以及党员思想觉悟提升、工作作风改善等定性描述，确保目标可衡量、可考核；二是强化经费使用管理。第一，完善预算编制流程，预算执行定期报告，对偏离预算的支出及时调整。第二，规范经费流向。加强对经费使用全过程的监督，利用信息化手段记录经费流向，确保每一笔支出都合规、透明；三是完善评价指标体系。根据工作发展和企业实际情况，每年对绩效评价指标体系进行一次全面评估和更新，确保指标体系能够准确反映党建经费项目的绩效情况；四是建立有效沟通反馈机制。绩效评价结束后，评价部门应在5个工作日内将评价结果反馈给各部门，同时提出具体的改进建议。各部门要针对反馈问题制定整改方案，并在规定时间内完成整改。具体附部门整体支出绩效自评表，项目支出绩效自评表和部门评价报告。</w:t>
      </w:r>
    </w:p>
    <w:p>
      <w:r>
        <w:br w:type="page"/>
      </w:r>
    </w:p>
    <w:tbl>
      <w:tblPr>
        <w:tblW w:type="auto" w:w="0"/>
        <w:tblLook w:firstColumn="1" w:firstRow="1" w:lastColumn="0" w:lastRow="0" w:noHBand="0" w:noVBand="1" w:val="04A0"/>
      </w:tblPr>
      <w:tblGrid>
        <w:gridCol w:w="1105"/>
        <w:gridCol w:w="1105"/>
        <w:gridCol w:w="1105"/>
        <w:gridCol w:w="1105"/>
        <w:gridCol w:w="1105"/>
        <w:gridCol w:w="1105"/>
        <w:gridCol w:w="1105"/>
        <w:gridCol w:w="1105"/>
      </w:tblGrid>
      <w:tr>
        <w:tc>
          <w:tcPr>
            <w:tcW w:type="dxa" w:w="8840"/>
            <w:gridSpan w:val="8"/>
            <w:vAlign w:val="center"/>
          </w:tcPr>
          <w:p>
            <w:pPr>
              <w:jc w:val="center"/>
            </w:pPr>
            <w:r>
              <w:rPr>
                <w:rFonts w:ascii="宋体" w:hAnsi="宋体" w:eastAsia="宋体"/>
                <w:sz w:val="24"/>
              </w:rPr>
              <w:t>部门整体支出绩效自评表</w:t>
            </w:r>
          </w:p>
        </w:tc>
      </w:tr>
      <w:tr>
        <w:tc>
          <w:tcPr>
            <w:tcW w:type="dxa" w:w="8840"/>
            <w:gridSpan w:val="8"/>
            <w:vAlign w:val="center"/>
          </w:tcPr>
          <w:p>
            <w:pPr>
              <w:jc w:val="center"/>
            </w:pPr>
            <w:r>
              <w:rPr>
                <w:rFonts w:ascii="宋体" w:hAnsi="宋体" w:eastAsia="宋体"/>
                <w:sz w:val="24"/>
              </w:rPr>
              <w:t>（2024年度）</w:t>
            </w:r>
          </w:p>
        </w:tc>
      </w:tr>
      <w:tr>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部门名称</w:t>
            </w:r>
          </w:p>
        </w:tc>
        <w:tc>
          <w:tcPr>
            <w:tcW w:type="dxa" w:w="7735"/>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乌鲁木齐市工商业联合会（乌鲁木齐市总商会）</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年度总资金</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404.45</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429.82</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429.82</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404.45</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429.82</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429.82</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其他资金（万元）</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3315"/>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420"/>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实际完成目标</w:t>
            </w:r>
          </w:p>
        </w:tc>
      </w:tr>
      <w:tr>
        <w:tc>
          <w:tcPr>
            <w:tcW w:type="dxa" w:w="1105"/>
            <w:vMerge/>
            <w:tcBorders>
              <w:start w:sz="10" w:val="single"/>
              <w:top w:sz="10" w:val="single"/>
              <w:end w:sz="10" w:val="single"/>
              <w:bottom w:sz="10" w:val="single"/>
              <w:insideV w:sz="10" w:val="single"/>
            </w:tcBorders>
          </w:tcPr>
          <w:p/>
        </w:tc>
        <w:tc>
          <w:tcPr>
            <w:tcW w:type="dxa" w:w="3315"/>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 xml:space="preserve">我单位工作职能：加强和改进非公有制经济人士思想政治工作；参与政治协商，做好民主监督、参政议政有关工作；协助政府管理和服务非公有制经济；协助政府管理和服务非公有制经济 ；反映非公有制企业和非公有制经济人士利益诉求，维护其合法权益；协助有关部门开展非公有制经济组织党建工作。                                                                                         目标一：开展非公有制企业、区县工商联各类主题会议、培训工作。                                                          </w:t>
              <w:br/>
              <w:br/>
              <w:t>目标二：帮助非公有制经济人士、商会提高思想，强化商会党建，提升两个覆盖。</w:t>
            </w:r>
          </w:p>
        </w:tc>
        <w:tc>
          <w:tcPr>
            <w:tcW w:type="dxa" w:w="4420"/>
            <w:gridSpan w:val="4"/>
            <w:tcBorders>
              <w:start w:sz="10" w:val="single"/>
              <w:top w:sz="10" w:val="single"/>
              <w:end w:sz="10" w:val="single"/>
              <w:bottom w:sz="10" w:val="single"/>
              <w:insideV w:sz="10" w:val="single"/>
            </w:tcBorders>
            <w:vAlign w:val="center"/>
          </w:tcPr>
          <w:p>
            <w:pPr>
              <w:jc w:val="both"/>
            </w:pPr>
            <w:r>
              <w:rPr>
                <w:rFonts w:ascii="宋体" w:hAnsi="宋体" w:eastAsia="宋体"/>
                <w:sz w:val="16"/>
              </w:rPr>
              <w:t>（一）坚持以习近平新时代中国特色社会主义思想为指导，强化民营经济人士理想信念教育。一是强化理论学习，在深学细悟上下功夫。二是依托商会党支部有效载体，扎实开展学题教育。为商会党支部党员配发《党的二十届三中全会学习资料》500余册、配发《中共中央关于进一步全面深化改革、推进中国式现代化的决定》辅导读本1000余册。三是突出政治引领，强化教育培训。组织36名商会、会员企业负责人在乌鲁木齐社会主义学院组织民营经济高质量发展研讨班1期，邀请自治区工商联主要领导及我市高等院校教授为商会企业讲授关于中国式现代化有关内容。</w:t>
              <w:br/>
              <w:br/>
              <w:t>（二）强化主责主业，以促进“两个健康”为主题，推动商会改革发展。一是完善组织网络。大力发展会员，提高服务覆盖面，今年以来，新发展新会员1263家，截至目前共有会员6321家，增幅24.9%。二是搭建合作平台。举办乌鲁木齐市工商联、香港大湾区国际供应链行业联合会洽谈交流活动；推荐20名企业家参加自治区工商联组织的企业沙龙；与市商务局共同举办以“高质量推进新疆自贸试验区乌鲁木齐片区建设”为主题的企业家沙龙活动。三是强化县级工商联建设。制定党组班子成员联系区县工商联工作机制，指导天山区工商联、沙依巴克区工商联、水磨沟区工商联首次成立街道商会，填补了乌鲁木齐市区县工商联没有街道商会的空白，不断拓宽工商联工作覆盖面。指导高新区（新市区）工商联、米东区工商联获评“全国五好县级工商联”。</w:t>
              <w:br/>
              <w:br/>
              <w:t>（三）以党建促会建共发展为目标，推动商会党建各项措施落实落地。一是强化“两个覆盖”。新成立党支部2个，现有42个直属商会党支部，292名党员，共有联合党支部10个，商会党组织和党的工作覆盖率已达95%。二是强化典型引领。积极开展市级两新组织“五个好”党支部示范点推荐评选工作，经过严格评比和筛选推荐2个党支部作为市级两新工委“五个好”党支部示范点，7个党支部被评为本级“五个好”党支部。三是强化培训指导。修订完善了《向商会党支部选派党建指导员制度》，选取7名机关党员与7个商会党支部“结对子”，通过开展现场指导、座谈交流等方式，推动商会党建与商会中心工作有机融合，共同发展。</w:t>
              <w:br/>
              <w:br/>
              <w:t>（四）充分发挥桥梁纽带和参谋助手作用，强化服务，助推优化营商环境。一是开展调研走访，全力帮助解决企业困难诉求。深入61家商会、40家企业开展涉企政策宣讲和实地调研，收集企业困难和诉求14个，均已协调市属职能部门解决。二是加强政企沟通交流，努力构建亲清政商关系。制定并推动落实《驻乌企业家沙龙工作方案》，积极搭建政企沟通交流的平台，组织企业家沙龙活动2场次，举办政企沟通交流活动2场次，累计146名企业家在政企沟通交流活动中为我市民营经济健康发展建言献策。三是搭建企业对外贸易桥梁引导、鼓励民营企业“走出去”。组织开展对企业外投资政策集中宣传2场次，积极搭建我市民营企业对外贸易的桥梁，为企业提供更多商机。四是配合全国工商联来我市开展“强化营商环境评价结果运用 切实发挥以评促改作用”调研相关工作。推荐我市6家有代表性的民营企业参加全国工商联调研组优化营商环境一对一访谈，为持续优化营商环境建言献策。</w:t>
              <w:br/>
              <w:br/>
              <w:t>（五）扎实开展民营企业培优工程，提高民营企业综合竞争力。一是加强党和政府涉企政策宣传和解读提升民企信心。结合我市民营经济发展实际情况，制定了《市工商联关于落实自治区支持乌鲁木齐市经济高质量发展专题会议精神措施》，在全市工商联系统推动落实。特别是我市促进民营经济发展壮大的“39条措施”，切实提升民营企业对涉企政策的理解把握，确保政策落实落地。二是搭建涉企司法平台。协调联系市中级法院、市人民检察院、市公安局、市司法局开展检企联络、警企联络和企业法治体检等活动，为民营企业发展提供法律咨询和服务，促进民营企业合规经营，实现健康发展。三是搭建银企对接桥梁。围绕民营企业融资难、融资贵问题，深入商会及会员企业走访调研，切实了解和掌握企业生产经营、资产评估、信用等级和融资需求等情况。</w:t>
              <w:br/>
              <w:br/>
              <w:t>（六）强化干部队伍建设与机关作风建设，营造风清气正政治生态。一是不断优化干部队伍结构。二是高标准开展党纪学题教育。三是扎实开展群众身边不正之风和腐败问题集中整治工作。党组研究制定《市工商联群众身边不正之风和腐败问题集中整治工作方案》，认真梳理可能存在的问题和群众反映的具体实在、集中整治期间能够解决的实事，并严抓整改落实。</w:t>
            </w:r>
          </w:p>
        </w:tc>
      </w:tr>
      <w:tr>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1105"/>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开展民营经济人士主题培训次数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&gt;=2次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《关于加强新时代工商联工作的意见》、在乌鲁木齐市工商业联合会（市总商会）十四届执委会议上的报告</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1105"/>
            <w:vMerge/>
            <w:tcBorders>
              <w:start w:sz="10" w:val="single"/>
              <w:top w:sz="10" w:val="single"/>
              <w:end w:sz="10" w:val="single"/>
              <w:bottom w:sz="10" w:val="single"/>
              <w:insideV w:sz="10" w:val="single"/>
            </w:tcBorders>
          </w:tcPr>
          <w:p/>
        </w:tc>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开展商会、区县工商联各类主题会议次数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&gt;=4次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《关于加强新时代工商联工作的意见》、在乌鲁木齐市工商业联合会（市总商会）十四届执委会议上的报告</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4次</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1105"/>
            <w:vMerge/>
            <w:tcBorders>
              <w:start w:sz="10" w:val="single"/>
              <w:top w:sz="10" w:val="single"/>
              <w:end w:sz="10" w:val="single"/>
              <w:bottom w:sz="10" w:val="single"/>
              <w:insideV w:sz="10" w:val="single"/>
            </w:tcBorders>
          </w:tcPr>
          <w:p/>
        </w:tc>
        <w:tc>
          <w:tcPr>
            <w:tcW w:type="dxa" w:w="1105"/>
            <w:vMerge/>
            <w:tcBorders>
              <w:start w:sz="10" w:val="single"/>
              <w:top w:sz="10" w:val="single"/>
              <w:end w:sz="10" w:val="single"/>
              <w:bottom w:sz="10" w:val="single"/>
              <w:insideV w:sz="10" w:val="single"/>
            </w:tcBorders>
          </w:tcP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走访商会覆盖率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《关于加强新时代工商联工作的意见》、在乌鲁木齐市工商业联合会（市总商会）十四届执委会议上的报告</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80%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可持续发展能力</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注重发展商会组织个数</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&gt;=3家</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《关于加强新时代工商联工作的意见》</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3家</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1105"/>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r>
    </w:tbl>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项目支出绩效自评表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非公有制党建工作经费</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乌鲁木齐市工商业联合会</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932"/>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乌鲁木齐市工商业联合会</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 （万元）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10.00分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7.94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1、引导商会党支部书记、党务工作者和积极分子进一步坚定理想信念。 2、强化社会责任担当，不断推进理想信念教育不断取得实效，推动非公有制党建建设。3、开展2024年市总商会党委换届工作，强化党组织配置。</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1、依托商会党支部有效载体，扎实开展学题教育。为商会党支部党员配发《党的二十届三中全会学习资料》、配发《中共中央关于进一步全面深化改革、推进中国式现代化的决定》辅导读本1015册。 2、开展党组织培训。组织开展商会党支部书记、党务工作者、党员骨干开展党的二十届三中全会精神专题培训班。 3、强化“两个覆盖”，推动商会党建标准化规范化建设。一是提升覆盖率。一是强化“两个覆盖”。新成立党支部2个，现有42个直属商会党支部，292名党员，共有联合党支部10个，商会党组织和党的工作覆盖率已达95%。二是强化典型引领。积极开展市级两新组织“五个好”党支部示范点推荐评选工作，经过严格评比和筛选推荐2个党支部作为市级两新工委“五个好”党支部示范点，7个党支部被评为本级“五个好”党支部。</w:t>
            </w:r>
          </w:p>
        </w:tc>
      </w:tr>
      <w:tr>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年度指标值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商会党建书籍配发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&gt;=800本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=1015本</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根据市委组织部《关于组织“两企三新”深入开展党的二十届三中全会精神教育培训的通知》要求配发书籍，因商会党组织党建书籍较少，申请多发，造成超出预期指标</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党务培训班培训人数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&gt;=40人次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=62人次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商会党建与改革发展结合不够紧密，2025年将强化党建引领，促进商会党建与业务同频共振。</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组织党支部开展党务培训班</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&gt;=1期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直属商会党支部党务工作者培训率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由于会议组织到位，实际参会人数增多，超出预期指标</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党务培训班费用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购买商会党建书籍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购买学习资料和书籍等费用</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&lt;=1.94万元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=1.94万元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有效提高商会党建各项工作</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有效提高</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完全达到预期</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由于会议组织到位，实际参会人数增多，超出预期指标</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由于工作将为到位，得到商会认可，满意率超出预期指标</w:t>
            </w:r>
          </w:p>
        </w:tc>
      </w:tr>
      <w:tr>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983"/>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99.00分</w:t>
            </w:r>
          </w:p>
        </w:tc>
        <w:tc>
          <w:tcPr>
            <w:tcW w:type="dxa" w:w="983"/>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本部门无其他需说明的事项。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