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4265B"/>
    <w:p w14:paraId="45378B73">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14:paraId="4C9C1A8E">
      <w:pPr>
        <w:spacing w:line="540" w:lineRule="exact"/>
        <w:jc w:val="center"/>
        <w:rPr>
          <w:rFonts w:ascii="华文中宋" w:hAnsi="华文中宋" w:eastAsia="华文中宋" w:cs="宋体"/>
          <w:b/>
          <w:kern w:val="0"/>
          <w:sz w:val="52"/>
          <w:szCs w:val="52"/>
        </w:rPr>
      </w:pPr>
    </w:p>
    <w:p w14:paraId="737DCA8C">
      <w:pPr>
        <w:spacing w:line="540" w:lineRule="exact"/>
        <w:jc w:val="center"/>
        <w:rPr>
          <w:rFonts w:ascii="华文中宋" w:hAnsi="华文中宋" w:eastAsia="华文中宋" w:cs="宋体"/>
          <w:b/>
          <w:kern w:val="0"/>
          <w:sz w:val="52"/>
          <w:szCs w:val="52"/>
        </w:rPr>
      </w:pPr>
    </w:p>
    <w:p w14:paraId="767EB097">
      <w:pPr>
        <w:spacing w:line="540" w:lineRule="exact"/>
        <w:jc w:val="center"/>
        <w:rPr>
          <w:rFonts w:ascii="华文中宋" w:hAnsi="华文中宋" w:eastAsia="华文中宋" w:cs="宋体"/>
          <w:b/>
          <w:kern w:val="0"/>
          <w:sz w:val="52"/>
          <w:szCs w:val="52"/>
        </w:rPr>
      </w:pPr>
    </w:p>
    <w:p w14:paraId="4784B682">
      <w:pPr>
        <w:spacing w:line="540" w:lineRule="exact"/>
        <w:jc w:val="center"/>
        <w:rPr>
          <w:rFonts w:ascii="华文中宋" w:hAnsi="华文中宋" w:eastAsia="华文中宋" w:cs="宋体"/>
          <w:b/>
          <w:kern w:val="0"/>
          <w:sz w:val="52"/>
          <w:szCs w:val="52"/>
        </w:rPr>
      </w:pPr>
    </w:p>
    <w:p w14:paraId="5BC2D9DC">
      <w:pPr>
        <w:spacing w:line="540" w:lineRule="exact"/>
        <w:jc w:val="center"/>
        <w:rPr>
          <w:rFonts w:ascii="华文中宋" w:hAnsi="华文中宋" w:eastAsia="华文中宋" w:cs="宋体"/>
          <w:b/>
          <w:kern w:val="0"/>
          <w:sz w:val="52"/>
          <w:szCs w:val="52"/>
        </w:rPr>
      </w:pPr>
    </w:p>
    <w:p w14:paraId="1627560E">
      <w:pPr>
        <w:spacing w:line="540" w:lineRule="exact"/>
        <w:jc w:val="center"/>
        <w:rPr>
          <w:rFonts w:ascii="华文中宋" w:hAnsi="华文中宋" w:eastAsia="华文中宋" w:cs="宋体"/>
          <w:b/>
          <w:kern w:val="0"/>
          <w:sz w:val="52"/>
          <w:szCs w:val="52"/>
        </w:rPr>
      </w:pPr>
    </w:p>
    <w:p w14:paraId="1ECCC7F7">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14:paraId="47805A09">
      <w:pPr>
        <w:spacing w:line="540" w:lineRule="exact"/>
        <w:jc w:val="center"/>
        <w:rPr>
          <w:rFonts w:ascii="华文中宋" w:hAnsi="华文中宋" w:eastAsia="华文中宋" w:cs="宋体"/>
          <w:b/>
          <w:kern w:val="0"/>
          <w:sz w:val="52"/>
          <w:szCs w:val="52"/>
        </w:rPr>
      </w:pPr>
    </w:p>
    <w:p w14:paraId="44109C7E">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14:paraId="7D98107E">
      <w:pPr>
        <w:spacing w:line="540" w:lineRule="exact"/>
        <w:jc w:val="center"/>
        <w:rPr>
          <w:rFonts w:hAnsi="宋体" w:eastAsia="仿宋_GB2312" w:cs="宋体"/>
          <w:kern w:val="0"/>
          <w:sz w:val="30"/>
          <w:szCs w:val="30"/>
        </w:rPr>
      </w:pPr>
    </w:p>
    <w:p w14:paraId="29FCEFE4">
      <w:pPr>
        <w:spacing w:line="540" w:lineRule="exact"/>
        <w:jc w:val="center"/>
        <w:rPr>
          <w:rFonts w:hAnsi="宋体" w:eastAsia="仿宋_GB2312" w:cs="宋体"/>
          <w:kern w:val="0"/>
          <w:sz w:val="30"/>
          <w:szCs w:val="30"/>
        </w:rPr>
      </w:pPr>
    </w:p>
    <w:p w14:paraId="725825F3">
      <w:pPr>
        <w:spacing w:line="540" w:lineRule="exact"/>
        <w:jc w:val="center"/>
        <w:rPr>
          <w:rFonts w:hAnsi="宋体" w:eastAsia="仿宋_GB2312" w:cs="宋体"/>
          <w:kern w:val="0"/>
          <w:sz w:val="30"/>
          <w:szCs w:val="30"/>
        </w:rPr>
      </w:pPr>
    </w:p>
    <w:p w14:paraId="3496EB45">
      <w:pPr>
        <w:spacing w:line="540" w:lineRule="exact"/>
        <w:jc w:val="center"/>
        <w:rPr>
          <w:rFonts w:hAnsi="宋体" w:eastAsia="仿宋_GB2312" w:cs="宋体"/>
          <w:kern w:val="0"/>
          <w:sz w:val="30"/>
          <w:szCs w:val="30"/>
        </w:rPr>
      </w:pPr>
    </w:p>
    <w:p w14:paraId="61D6357A">
      <w:pPr>
        <w:spacing w:line="540" w:lineRule="exact"/>
        <w:jc w:val="center"/>
        <w:rPr>
          <w:rFonts w:hAnsi="宋体" w:eastAsia="仿宋_GB2312" w:cs="宋体"/>
          <w:kern w:val="0"/>
          <w:sz w:val="30"/>
          <w:szCs w:val="30"/>
        </w:rPr>
      </w:pPr>
    </w:p>
    <w:p w14:paraId="42A7A94B">
      <w:pPr>
        <w:spacing w:line="540" w:lineRule="exact"/>
        <w:jc w:val="center"/>
        <w:rPr>
          <w:rFonts w:hAnsi="宋体" w:eastAsia="仿宋_GB2312" w:cs="宋体"/>
          <w:kern w:val="0"/>
          <w:sz w:val="30"/>
          <w:szCs w:val="30"/>
        </w:rPr>
      </w:pPr>
    </w:p>
    <w:p w14:paraId="61A9ADDE">
      <w:pPr>
        <w:spacing w:line="540" w:lineRule="exact"/>
        <w:rPr>
          <w:rFonts w:hAnsi="宋体" w:eastAsia="仿宋_GB2312" w:cs="宋体"/>
          <w:kern w:val="0"/>
          <w:sz w:val="30"/>
          <w:szCs w:val="30"/>
        </w:rPr>
      </w:pPr>
    </w:p>
    <w:p w14:paraId="2B6F8A6E">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14:paraId="497ABDF0">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关于拨付市外办赴白俄罗斯相关经费的通知</w:t>
      </w:r>
    </w:p>
    <w:p w14:paraId="44563BD1">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乌鲁木齐市人民政府外事办公室</w:t>
      </w:r>
    </w:p>
    <w:p w14:paraId="14627701">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乌鲁木齐市人民政府外事办公室</w:t>
      </w:r>
    </w:p>
    <w:p w14:paraId="5AB54529">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王霞</w:t>
      </w:r>
    </w:p>
    <w:p w14:paraId="65B57CF3">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2025年05月12日</w:t>
      </w:r>
    </w:p>
    <w:p w14:paraId="29DA8274">
      <w:pPr>
        <w:spacing w:line="700" w:lineRule="exact"/>
        <w:ind w:firstLine="708" w:firstLineChars="236"/>
        <w:jc w:val="left"/>
        <w:rPr>
          <w:rFonts w:hAnsi="宋体" w:eastAsia="仿宋_GB2312" w:cs="宋体"/>
          <w:kern w:val="0"/>
          <w:sz w:val="30"/>
          <w:szCs w:val="30"/>
        </w:rPr>
      </w:pPr>
    </w:p>
    <w:p w14:paraId="13542FBB">
      <w:pPr>
        <w:spacing w:line="540" w:lineRule="exact"/>
        <w:rPr>
          <w:rStyle w:val="19"/>
          <w:rFonts w:ascii="黑体" w:hAnsi="黑体" w:eastAsia="黑体"/>
          <w:b w:val="0"/>
          <w:spacing w:val="-4"/>
          <w:sz w:val="32"/>
          <w:szCs w:val="32"/>
        </w:rPr>
      </w:pPr>
    </w:p>
    <w:p w14:paraId="17B8BC13">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14:paraId="7CDF3270">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14:paraId="58FDADA8">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eastAsia="楷体"/>
          <w:b w:val="0"/>
          <w:bCs w:val="0"/>
          <w:spacing w:val="-4"/>
          <w:sz w:val="32"/>
          <w:szCs w:val="32"/>
        </w:rPr>
      </w:pPr>
      <w:r>
        <w:rPr>
          <w:rStyle w:val="19"/>
          <w:rFonts w:eastAsia="楷体"/>
          <w:b w:val="0"/>
          <w:bCs w:val="0"/>
          <w:spacing w:val="-4"/>
          <w:sz w:val="32"/>
          <w:szCs w:val="32"/>
        </w:rPr>
        <w:t>1．项目背景、主要内容及实施情况</w:t>
      </w:r>
    </w:p>
    <w:p w14:paraId="76B2EDB5">
      <w:pPr>
        <w:keepNext w:val="0"/>
        <w:keepLines w:val="0"/>
        <w:pageBreakBefore w:val="0"/>
        <w:widowControl w:val="0"/>
        <w:kinsoku/>
        <w:wordWrap/>
        <w:overflowPunct/>
        <w:topLinePunct w:val="0"/>
        <w:autoSpaceDE/>
        <w:autoSpaceDN/>
        <w:bidi w:val="0"/>
        <w:adjustRightInd/>
        <w:snapToGrid/>
        <w:spacing w:line="540" w:lineRule="exact"/>
        <w:ind w:left="0" w:leftChars="0" w:firstLine="624" w:firstLineChars="200"/>
        <w:textAlignment w:val="auto"/>
        <w:rPr>
          <w:rStyle w:val="19"/>
          <w:rFonts w:eastAsia="楷体"/>
          <w:b w:val="0"/>
          <w:bCs w:val="0"/>
          <w:spacing w:val="-4"/>
          <w:sz w:val="32"/>
          <w:szCs w:val="32"/>
        </w:rPr>
      </w:pPr>
      <w:r>
        <w:rPr>
          <w:rStyle w:val="19"/>
          <w:rFonts w:eastAsia="楷体"/>
          <w:b w:val="0"/>
          <w:bCs w:val="0"/>
          <w:spacing w:val="-4"/>
          <w:sz w:val="32"/>
          <w:szCs w:val="32"/>
        </w:rPr>
        <w:t>该项目实施背景：依据乌政外【2024】58号《关于我市组团出访白俄罗斯戈梅利市开展商务、文旅考察并商谈签署友成意向书活动的请示》，为配合国家总体外交，在中白全天候全面战略伙伴关系框架下进一步加强地方层面各领域交流，白俄罗斯邀请我市政府代表团前去访问，并商谈签署友好城市意向书相关事宜。</w:t>
      </w:r>
      <w:r>
        <w:rPr>
          <w:rFonts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eastAsia="楷体"/>
          <w:b w:val="0"/>
          <w:bCs w:val="0"/>
          <w:spacing w:val="-4"/>
          <w:sz w:val="32"/>
          <w:szCs w:val="32"/>
        </w:rPr>
        <w:t>项目2024年的主要实施内容：①为开启城市与实体经济层面互利关系的新局面，创造有利经济发展和社会生活各个领域的条件奠定基础，赴白俄罗斯与戈梅利市商谈签署友城关系意向书事宜;②顺访白俄罗斯首都明斯克市，联合商务、文旅部门与白方经济部、文化部等机构开展专题对接，深化多领域务实合作。</w:t>
      </w:r>
      <w:r>
        <w:rPr>
          <w:rFonts w:eastAsia="楷体"/>
          <w:b w:val="0"/>
          <w:bCs w:val="0"/>
          <w:spacing w:val="-4"/>
          <w:sz w:val="32"/>
          <w:szCs w:val="32"/>
        </w:rPr>
        <w:br w:type="textWrapping"/>
      </w:r>
      <w:r>
        <w:rPr>
          <w:rStyle w:val="19"/>
          <w:rFonts w:eastAsia="楷体"/>
          <w:b w:val="0"/>
          <w:bCs w:val="0"/>
          <w:spacing w:val="-4"/>
          <w:sz w:val="32"/>
          <w:szCs w:val="32"/>
        </w:rPr>
        <w:t>实际完成情况。为：①顺利与戈梅利市签署友城关系意向书，进一步拓展了我市友城朋友圈，推动共建“一带一路”倡议走深走实;②顺访明斯克市，与白方主管经济、文化、旅游的官员会面，开展商务、文旅考察，参访白方工业园区和相关企业。</w:t>
      </w:r>
      <w:r>
        <w:rPr>
          <w:rFonts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eastAsia="楷体"/>
          <w:b w:val="0"/>
          <w:bCs w:val="0"/>
          <w:spacing w:val="-4"/>
          <w:sz w:val="32"/>
          <w:szCs w:val="32"/>
        </w:rPr>
        <w:t>该项目资金投入情况：经乌财行【2024】200号《关于下达市外办赴白俄罗斯出国境经费的通知》文件批准，项目系2024年本级资金，共安排预算12.08万元，于2024年年中追加预算批复项目。实际到位资金12.08万元，年中无调整情况。</w:t>
      </w:r>
      <w:r>
        <w:rPr>
          <w:rFonts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eastAsia="楷体"/>
          <w:b w:val="0"/>
          <w:bCs w:val="0"/>
          <w:spacing w:val="-4"/>
          <w:sz w:val="32"/>
          <w:szCs w:val="32"/>
        </w:rPr>
        <w:t>该项目资金使用情况：该项目总预算12.08万元，资金主要用于购买机票10.82万元、支付食宿费0.39万元、公杂费及城市间交通费0.84万元。该项项目资金执行12.05万元，执行率为99%。</w:t>
      </w:r>
    </w:p>
    <w:p w14:paraId="5B17CE57">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14:paraId="10741C85">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以准确、清晰地反映财政资金在使用期所能达到的预期产出和效果。</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该项目为当年一次性项目。</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该项目总体绩效目标：在中白全天候全面战略伙伴关系框架下进一步加强地方层面各领域交流，与戈梅利市签署友城关系意向书并于白方经济、文化等部门官员会面。此次出访，顺利完成我市首次对白的城市交流活动，夯实了两地合作基础。</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该项目阶段性目标为：①顺利与戈梅利市签署友城关系意向书;②顺访明斯克市，与白方主管经济、文化、旅游的官员会面，开展商务、文旅考察，参访白方工业园区和相关企业。</w:t>
      </w:r>
    </w:p>
    <w:p w14:paraId="1B98916C">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14:paraId="53640A3A">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14:paraId="53183107">
      <w:pPr>
        <w:spacing w:line="540" w:lineRule="exact"/>
        <w:ind w:firstLine="624" w:firstLineChars="200"/>
        <w:rPr>
          <w:rStyle w:val="19"/>
          <w:rFonts w:hint="eastAsia" w:eastAsia="楷体"/>
          <w:b w:val="0"/>
          <w:bCs w:val="0"/>
          <w:spacing w:val="-4"/>
          <w:sz w:val="32"/>
          <w:szCs w:val="32"/>
        </w:rPr>
      </w:pPr>
      <w:r>
        <w:rPr>
          <w:rStyle w:val="19"/>
          <w:rFonts w:hint="eastAsia" w:eastAsia="楷体"/>
          <w:b w:val="0"/>
          <w:bCs w:val="0"/>
          <w:spacing w:val="-4"/>
          <w:sz w:val="32"/>
          <w:szCs w:val="32"/>
        </w:rPr>
        <w:t>1.绩效评价完整性</w:t>
      </w:r>
    </w:p>
    <w:p w14:paraId="4784B406">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构建了一套较为完善的绩效评价指标体系，在项目目标方面，针对出访访问城市数量，设置了出访天数、出访城市数量等数量指标，直观反映出访时间、地点；对于确保经费合理合规，通过机票费用、食宿费用、城市间交通费等指标，精准衡量出访经费使用情况；在履职尽责方面，利用翻译人员翻译失误率指标，有效评估出访过程中我办翻译人员工作的开展情况；在落实出访效果方面，设置加强与白方地方层面各领域交流指标，有效跟踪出访时效。在项目范围和要求上，绩效评价指标体系从出访目的、出访过程、经费使用、社会效益等多个维度进行设计。通过这些指标的设置，能够完整、全面地体现项目的目标、范围和要求，为准确评价项目绩效奠定了坚实基础。</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从项目计划和执行过程来看，制定了详细的出访计划，明确了出访时间、出访任务。在实际执行过程中，出访人员严格按照计划推进工作，确保了项目整体按计划有序推进。在出访时间上，按照计划完成按时返回，符合出访规定；经费使用过程中，完全按照计划、标准执行，有效保障了财政经费合理合法合规使用；出访工作也取得显著成效，开启首次访问白方活动，顺利与戈梅利市签署友城意向书，为未来的合作奠定坚实基础。整体来看，项目进展顺利，各项任务均已完成，达到了预期目标。</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本项目评价数据来自本次活动市委市政府领导批示、出访方案、支付发票等资料。通过建立严格的审核机制，对出访费用严格审核，有效保障了评价数据的准确性和完整性，为绩效评价工作提供了可靠的数据支持。</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1）通过对项目设立的背景、意义、项目内容、项目现状及绩效目标、资金投入、资金管理、组织实施、产出指标、成本指标和效益指标等进行深入调研和分析，进一步了解关于拨付市外办赴白俄罗斯相关经费的通知实施情况，并考察项目实施过程和效果。</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（2）通过评价，客观公正反映项目立项科学性、项目管理规范性、项目实施有效性和项目效果，总结项目实施的经验，发现项目实施过程中存在的问题，提高财政资金使用效益。</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（1）绩效评价的对象：关于拨付市外办赴白俄罗斯相关经费的通知</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2.项目范围：关于拨付市外办赴白俄罗斯相关经费的通知用于保障我市市政府代表团出访白俄罗斯，共计花费12.05万元用于支付出访机票、食宿及公杂等费用。该部分资金已全部拨付到位。该项目已于2024年底进行项目绩效监控及评价。此次活动配合国家总体外交，在中白全天候全面战略伙伴关系框架下进一步加强地方层面各领域交流，完成了对白的首次访问，并在活动期间与戈梅利市缔结友好城市关系意向。通过该项目，我办在严格执行外事活动经费使用各项规定，制定外事活动经费管理办法，加强项目管理规范性等方面积累经验，同时发现项目执行人和财务人员沟通不足，项目绩效指标设置受到影响等问题，针对发现的问题我办将于日后加以改正。对2024年关于拨付市外办赴白俄罗斯相关经费的通知进行客观评价，最终评分结果为：总分为93.95分，绩效评级为“优”。</w:t>
      </w:r>
    </w:p>
    <w:p w14:paraId="11F43B87">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14:paraId="28DEA87A">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1.评价原则</w:t>
      </w:r>
    </w:p>
    <w:p w14:paraId="458D773F">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（一）科学公正。绩效评价应当运用科学合理的方法，按照规范的程序，对项目绩效进行客观、公正的反映。</w:t>
      </w:r>
    </w:p>
    <w:p w14:paraId="0CC3EA4F">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p>
    <w:p w14:paraId="7F873BD8">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p>
    <w:p w14:paraId="4836A05C">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（四）公开透明。绩效评价结果应依法依规公开，并自觉接受社会监督。</w:t>
      </w:r>
    </w:p>
    <w:p w14:paraId="2AC768A4">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p>
    <w:p w14:paraId="4334DCE7">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（1）相关性原则：绩效评价指标应当与绩效目标有直接的联系，能够恰当反映目标的实现程度。</w:t>
      </w:r>
    </w:p>
    <w:p w14:paraId="1F294F07">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（2）重要性原则：应当优先使用最具评价对象代表性、最能反映评价要求的核心指标。</w:t>
      </w:r>
    </w:p>
    <w:p w14:paraId="0E4521CD">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（3）可比性原则：对同类评价对象要设定共性的绩效评价指标，以便于评价结果可以相互比较。</w:t>
      </w:r>
    </w:p>
    <w:p w14:paraId="4AF8E319">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p>
    <w:p w14:paraId="2C7F223F">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p>
    <w:p w14:paraId="14B10A32">
      <w:pPr>
        <w:spacing w:line="540" w:lineRule="exact"/>
        <w:ind w:firstLine="936" w:firstLineChars="300"/>
        <w:rPr>
          <w:rStyle w:val="19"/>
          <w:rFonts w:hint="eastAsia" w:eastAsia="楷体"/>
          <w:b w:val="0"/>
          <w:bCs w:val="0"/>
          <w:spacing w:val="-4"/>
          <w:sz w:val="32"/>
          <w:szCs w:val="32"/>
        </w:rPr>
      </w:pPr>
      <w:r>
        <w:rPr>
          <w:rStyle w:val="19"/>
          <w:rFonts w:hint="eastAsia" w:eastAsia="楷体"/>
          <w:b w:val="0"/>
          <w:bCs w:val="0"/>
          <w:spacing w:val="-4"/>
          <w:sz w:val="32"/>
          <w:szCs w:val="32"/>
        </w:rPr>
        <w:t>本项目的评价指标体系建立如下表所示。</w:t>
      </w:r>
    </w:p>
    <w:p w14:paraId="5ABF1BE7">
      <w:pPr>
        <w:spacing w:line="540" w:lineRule="exact"/>
        <w:ind w:firstLine="936" w:firstLineChars="300"/>
        <w:rPr>
          <w:rStyle w:val="19"/>
          <w:rFonts w:hint="eastAsia" w:eastAsia="楷体"/>
          <w:b w:val="0"/>
          <w:bCs w:val="0"/>
          <w:spacing w:val="-4"/>
          <w:sz w:val="32"/>
          <w:szCs w:val="32"/>
        </w:rPr>
      </w:pPr>
    </w:p>
    <w:p w14:paraId="6EBAC529">
      <w:pPr>
        <w:spacing w:line="540" w:lineRule="exact"/>
        <w:rPr>
          <w:rStyle w:val="19"/>
          <w:rFonts w:eastAsia="楷体"/>
          <w:b w:val="0"/>
          <w:bCs w:val="0"/>
          <w:spacing w:val="-4"/>
          <w:sz w:val="32"/>
          <w:szCs w:val="32"/>
        </w:rPr>
      </w:pPr>
      <w:r>
        <w:rPr>
          <w:rStyle w:val="19"/>
          <w:rFonts w:hint="eastAsia" w:eastAsia="楷体"/>
          <w:b w:val="0"/>
          <w:bCs w:val="0"/>
          <w:spacing w:val="-4"/>
          <w:sz w:val="32"/>
          <w:szCs w:val="32"/>
        </w:rPr>
        <w:t xml:space="preserve">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w:t>
      </w:r>
      <w:r>
        <w:rPr>
          <w:rStyle w:val="19"/>
          <w:rFonts w:hint="eastAsia" w:eastAsia="楷体"/>
          <w:b w:val="0"/>
          <w:bCs w:val="0"/>
          <w:spacing w:val="-4"/>
          <w:sz w:val="32"/>
          <w:szCs w:val="32"/>
          <w:lang w:val="en-US" w:eastAsia="zh-CN"/>
        </w:rPr>
        <w:t xml:space="preserve"> </w:t>
      </w:r>
      <w:r>
        <w:rPr>
          <w:rStyle w:val="19"/>
          <w:rFonts w:hint="eastAsia" w:eastAsia="楷体"/>
          <w:b w:val="0"/>
          <w:bCs w:val="0"/>
          <w:spacing w:val="-4"/>
          <w:sz w:val="32"/>
          <w:szCs w:val="32"/>
        </w:rPr>
        <w:t>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访问城市 项目实施的实际产出数与计划产出数的比率，用以反映和考核项目产出数量目标的实现程度。 实际完成率=（实际产出数/计划产出数）×100%。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出访天数</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翻译人员翻译失误率 项目完成的质量达标产出数与实际产出数的比率，用以反映和考核项目产出质量目标的实现程度。 质量达标率=（质量达标产出数/实际产出数）×100%。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往返机票 完成项目计划工作目标的实际节约成本与计划成本的比率，用以反映和考核项目的成本节约程度。</w:t>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rPr>
          <w:rFonts w:hint="eastAsia" w:eastAsia="楷体"/>
          <w:b w:val="0"/>
          <w:bCs w:val="0"/>
          <w:spacing w:val="-4"/>
          <w:sz w:val="32"/>
          <w:szCs w:val="32"/>
        </w:rPr>
        <w:br w:type="textWrapping"/>
      </w:r>
      <w:r>
        <w:rPr>
          <w:rStyle w:val="19"/>
          <w:rFonts w:hint="eastAsia" w:eastAsia="楷体"/>
          <w:b w:val="0"/>
          <w:bCs w:val="0"/>
          <w:spacing w:val="-4"/>
          <w:sz w:val="32"/>
          <w:szCs w:val="32"/>
        </w:rPr>
        <w:t>食宿费用</w:t>
      </w:r>
      <w:r>
        <w:rPr>
          <w:rFonts w:hint="eastAsia" w:eastAsia="楷体"/>
          <w:b w:val="0"/>
          <w:bCs w:val="0"/>
          <w:spacing w:val="-4"/>
          <w:sz w:val="32"/>
          <w:szCs w:val="32"/>
        </w:rPr>
        <w:br w:type="textWrapping"/>
      </w:r>
      <w:r>
        <w:rPr>
          <w:rStyle w:val="19"/>
          <w:rFonts w:hint="eastAsia" w:eastAsia="楷体"/>
          <w:b w:val="0"/>
          <w:bCs w:val="0"/>
          <w:spacing w:val="-4"/>
          <w:sz w:val="32"/>
          <w:szCs w:val="32"/>
        </w:rPr>
        <w:t>城市间交通费</w:t>
      </w:r>
      <w:r>
        <w:rPr>
          <w:rFonts w:hint="eastAsia" w:eastAsia="楷体"/>
          <w:b w:val="0"/>
          <w:bCs w:val="0"/>
          <w:spacing w:val="-4"/>
          <w:sz w:val="32"/>
          <w:szCs w:val="32"/>
        </w:rPr>
        <w:br w:type="textWrapping"/>
      </w:r>
      <w:r>
        <w:rPr>
          <w:rStyle w:val="19"/>
          <w:rFonts w:hint="eastAsia" w:eastAsia="楷体"/>
          <w:b w:val="0"/>
          <w:bCs w:val="0"/>
          <w:spacing w:val="-4"/>
          <w:sz w:val="32"/>
          <w:szCs w:val="32"/>
        </w:rPr>
        <w:t>公杂及保险费</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出访方案制定时间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 加强与白方地方层面各领域交流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bookmarkStart w:id="0" w:name="_GoBack"/>
      <w:bookmarkEnd w:id="0"/>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本项目（关于拨付市外办赴白俄罗斯相关经费的通知）的特点，本次评价主要采用因素分析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·《关于我市组团出访白俄罗斯戈梅利市开展商务、文旅考察并商谈签署友城意向书活动的请示》（乌政外〔2024〕58号）</w:t>
      </w:r>
      <w:r>
        <w:rPr>
          <w:rFonts w:hint="eastAsia" w:eastAsia="楷体"/>
          <w:b w:val="0"/>
          <w:bCs w:val="0"/>
          <w:spacing w:val="-4"/>
          <w:sz w:val="32"/>
          <w:szCs w:val="32"/>
        </w:rPr>
        <w:br w:type="textWrapping"/>
      </w:r>
      <w:r>
        <w:rPr>
          <w:rStyle w:val="19"/>
          <w:rFonts w:hint="eastAsia" w:eastAsia="楷体"/>
          <w:b w:val="0"/>
          <w:bCs w:val="0"/>
          <w:spacing w:val="-4"/>
          <w:sz w:val="32"/>
          <w:szCs w:val="32"/>
        </w:rPr>
        <w:t>· 《关于下达市外办赴白俄罗斯出国境经费的通知》（乌财行〔2024〕200号）</w:t>
      </w:r>
      <w:r>
        <w:rPr>
          <w:rFonts w:hint="eastAsia" w:eastAsia="楷体"/>
          <w:b w:val="0"/>
          <w:bCs w:val="0"/>
          <w:spacing w:val="-4"/>
          <w:sz w:val="32"/>
          <w:szCs w:val="32"/>
        </w:rPr>
        <w:br w:type="textWrapping"/>
      </w:r>
      <w:r>
        <w:rPr>
          <w:rStyle w:val="19"/>
          <w:rFonts w:hint="eastAsia" w:eastAsia="楷体"/>
          <w:b w:val="0"/>
          <w:bCs w:val="0"/>
          <w:spacing w:val="-4"/>
          <w:sz w:val="32"/>
          <w:szCs w:val="32"/>
        </w:rPr>
        <w:t>· 《因公临时出国经费管理办法》</w:t>
      </w:r>
    </w:p>
    <w:p w14:paraId="2921538C">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14:paraId="64701BB1">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p>
    <w:p w14:paraId="6C1D9251">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14:paraId="057D9EEC">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关于拨付市外办赴白俄罗斯相关经费的通知进行客观评价，最终评分结果为：总分为93.95分，绩效评级为“优”[本次绩效评价结果实施百分制和四级分类，其中90（含）-100分为优、80（含）-90分为良、70（含）-80分为中、70分以下为差。]。</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5 100%</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4.95 99%</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访问城市 5 5 100%</w:t>
      </w:r>
      <w:r>
        <w:rPr>
          <w:rFonts w:hint="eastAsia" w:eastAsia="楷体"/>
          <w:b w:val="0"/>
          <w:bCs w:val="0"/>
          <w:spacing w:val="-4"/>
          <w:sz w:val="32"/>
          <w:szCs w:val="32"/>
        </w:rPr>
        <w:br w:type="textWrapping"/>
      </w:r>
      <w:r>
        <w:rPr>
          <w:rStyle w:val="19"/>
          <w:rFonts w:hint="eastAsia" w:eastAsia="楷体"/>
          <w:b w:val="0"/>
          <w:bCs w:val="0"/>
          <w:spacing w:val="-4"/>
          <w:sz w:val="32"/>
          <w:szCs w:val="32"/>
        </w:rPr>
        <w:t>出访天数 5 5</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翻译人员翻译失误率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往返机票 5 5 100%</w:t>
      </w:r>
      <w:r>
        <w:rPr>
          <w:rFonts w:hint="eastAsia" w:eastAsia="楷体"/>
          <w:b w:val="0"/>
          <w:bCs w:val="0"/>
          <w:spacing w:val="-4"/>
          <w:sz w:val="32"/>
          <w:szCs w:val="32"/>
        </w:rPr>
        <w:br w:type="textWrapping"/>
      </w:r>
      <w:r>
        <w:rPr>
          <w:rStyle w:val="19"/>
          <w:rFonts w:hint="eastAsia" w:eastAsia="楷体"/>
          <w:b w:val="0"/>
          <w:bCs w:val="0"/>
          <w:spacing w:val="-4"/>
          <w:sz w:val="32"/>
          <w:szCs w:val="32"/>
        </w:rPr>
        <w:t>食宿费用 5 4 80%</w:t>
      </w:r>
      <w:r>
        <w:rPr>
          <w:rFonts w:hint="eastAsia" w:eastAsia="楷体"/>
          <w:b w:val="0"/>
          <w:bCs w:val="0"/>
          <w:spacing w:val="-4"/>
          <w:sz w:val="32"/>
          <w:szCs w:val="32"/>
        </w:rPr>
        <w:br w:type="textWrapping"/>
      </w:r>
      <w:r>
        <w:rPr>
          <w:rStyle w:val="19"/>
          <w:rFonts w:hint="eastAsia" w:eastAsia="楷体"/>
          <w:b w:val="0"/>
          <w:bCs w:val="0"/>
          <w:spacing w:val="-4"/>
          <w:sz w:val="32"/>
          <w:szCs w:val="32"/>
        </w:rPr>
        <w:t>城市间交通费用 5 5 100%</w:t>
      </w:r>
      <w:r>
        <w:rPr>
          <w:rFonts w:hint="eastAsia" w:eastAsia="楷体"/>
          <w:b w:val="0"/>
          <w:bCs w:val="0"/>
          <w:spacing w:val="-4"/>
          <w:sz w:val="32"/>
          <w:szCs w:val="32"/>
        </w:rPr>
        <w:br w:type="textWrapping"/>
      </w:r>
      <w:r>
        <w:rPr>
          <w:rStyle w:val="19"/>
          <w:rFonts w:hint="eastAsia" w:eastAsia="楷体"/>
          <w:b w:val="0"/>
          <w:bCs w:val="0"/>
          <w:spacing w:val="-4"/>
          <w:sz w:val="32"/>
          <w:szCs w:val="32"/>
        </w:rPr>
        <w:t>公杂保险费 5 0 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出访方案制定时间 5 5 100%</w:t>
      </w:r>
      <w:r>
        <w:rPr>
          <w:rFonts w:hint="eastAsia" w:eastAsia="楷体"/>
          <w:b w:val="0"/>
          <w:bCs w:val="0"/>
          <w:spacing w:val="-4"/>
          <w:sz w:val="32"/>
          <w:szCs w:val="32"/>
        </w:rPr>
        <w:br w:type="textWrapping"/>
      </w:r>
      <w:r>
        <w:rPr>
          <w:rStyle w:val="19"/>
          <w:rFonts w:hint="eastAsia" w:eastAsia="楷体"/>
          <w:b w:val="0"/>
          <w:bCs w:val="0"/>
          <w:spacing w:val="-4"/>
          <w:sz w:val="32"/>
          <w:szCs w:val="32"/>
        </w:rPr>
        <w:t>效益 项目效益 加强与白方地方层面各领域交流 10 10 100%</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群众满意度 5 5 100%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r>
        <w:rPr>
          <w:rStyle w:val="19"/>
          <w:rFonts w:hint="eastAsia" w:eastAsia="楷体"/>
          <w:b w:val="0"/>
          <w:bCs w:val="0"/>
          <w:spacing w:val="-4"/>
          <w:sz w:val="32"/>
          <w:szCs w:val="32"/>
        </w:rPr>
        <w:t>该项目资金区财政及时拨付，单位在此次评价期间内，有序完成设定目标的部分工作任务，顺利与戈梅利市签署友城关系意向书;顺访明斯克市，与白方主管经济、文化、旅游的官员会面，开展商务、文旅考察，参访白方工业园区和相关企业。</w:t>
      </w:r>
    </w:p>
    <w:p w14:paraId="7113029C">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14:paraId="2F8066D8">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14:paraId="608F21F2">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项目决策指标由3个二级指标和6个三级指标构成，权重为20分，实际得分20分。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经市委市政府领导批准，项目立项符合乌政外[2024]58号文件要求，项目与我单位负责组织接待来访的重要外宾、承办国际交流事务及负责与外国城市缔结友好关系等职责高度契合，属于部门履职所需。此外，本项目属于公共财政支持范围，符合中央、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经报批市委市政府，项目按照乌政外[2024]58号文件规定的程序申请设立，材料符合相关要求，故立项程序规范，得4分。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标，可通过数量指标、质量指标、时效指标和成本指标予以量化，并具有确切的评价标准，且指标设定均与目标相关。各项指标均能通过发票收集到相关数据进行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①预算编制经过科学论证，依据往年接待相应等级团组参加类似活动所需经费，结合实际进行编制。②预算内容与项目内容相匹配，严格按照项目内容支出；③预算额度测算依据充分，与酒店等方面提前询价，查看实时机票价格，按照标准编制。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①该项目设定绩效目标与实际情况相符，与项目内容一致；②项目绩效目标与我办职能的实际工作内容相关；③项目预期产出效益和效果符合正常的业绩水平，符合客观实际；④资金分配根据实际情况，用于机票、住宿等费用，完全匹配。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14:paraId="4F3DD294">
      <w:pPr>
        <w:spacing w:line="540" w:lineRule="exact"/>
        <w:ind w:firstLine="627"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14:paraId="7A5BFA61">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（二）项目过程情况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项目过程指标由2个二级指标和5个三级指标构成，权重为20分，实际得分19.95分。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资金到位率：本项目预算资金12.08万元，资金于12月到位12.08万元，资金到位率100%。故资金到位率指标得分5分。</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预算执行率：本项目资金到位12.08万元，实际执行12.05万元用于支付国际旅费(北京空港嘉华航空服务有限公司)、食宿费、公杂费等,预算执行率99%。故预算执行率得分为4.95分。</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国家财经法规《中央财政预算管理一体化资金支付管理办法》的规定。同时，资金的拨付有市委市政府审批程序，符合项目预算批复或合同规定的用途，不存在截留、挤占、挪用、虚列支出等情况。管理制度以及有关因公出国境专项资金管理办法的规定。同时，资金的拨付有市财政、市外办综合科及市外办分管财务领导审批程序，需要请示、费用发票等手续，符合项目预算批复或合同规定的用途，不存在截留、挤占、挪用、虚列支出等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综上，该指标满分13分，得分12.95分。</w:t>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管理制度健全性：乌鲁木齐市人民政府外事办公室已制定《乌鲁木齐市人民政府外事办公室财务审批管理暂行办法》，且制度合法、合规、完整，为项目顺利实施提供重要保障。故管理制度健全性得分为3分。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评价小组核查情况，乌鲁木齐市人民政府外事办公室严格遵守相关法律法规和相关管理规定，项目调整及支出调整手续完备，整体管理合理有序，项目完成后，及时将会计凭证、支付凭证等相关资料分类归档，制度执行有效。故制度执行有效性指标得分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14:paraId="3A356FD9">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14:paraId="0E92C8F9">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项目产出指标由3个二级指标和7个三级指标构成，权重为45分，实际得分39分。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 “访问城市”的目标值是2个，2024年度我单位实际完成2个，按照计划执行，实际完成率：100%，故实际完成率得分为5分。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数量指标“出访天数”的目标值是4天，2024年度我单位实际出访天数4天，实际完成率：100%，故实际完成率得分为5分。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翻译人员失误率：“翻译人员失误率”的目标值为≤3%。我单位翻译人员在此次出访过程中，以高要求、高水准完成全出访过程翻译工作，得到同行出访领导一致好评。质量达标率得分为10分。 </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其中，出访方案制定时间目标值为≤3天，实际完成值=3天。在收到白方邀请后，我办业务科室相关人员立即拟定报告、出访计划，并及时上报领导。</w:t>
      </w:r>
      <w:r>
        <w:rPr>
          <w:rFonts w:hint="eastAsia" w:eastAsia="楷体"/>
          <w:b w:val="0"/>
          <w:bCs w:val="0"/>
          <w:spacing w:val="-4"/>
          <w:sz w:val="32"/>
          <w:szCs w:val="32"/>
        </w:rPr>
        <w:br w:type="textWrapping"/>
      </w:r>
      <w:r>
        <w:rPr>
          <w:rStyle w:val="19"/>
          <w:rFonts w:hint="eastAsia" w:eastAsia="楷体"/>
          <w:b w:val="0"/>
          <w:bCs w:val="0"/>
          <w:spacing w:val="-4"/>
          <w:sz w:val="32"/>
          <w:szCs w:val="32"/>
        </w:rPr>
        <w:t>故完成及时性得分为5分。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经济成本：本项目实际支出12.05万元，明细如下：</w:t>
      </w:r>
      <w:r>
        <w:rPr>
          <w:rFonts w:hint="eastAsia" w:eastAsia="楷体"/>
          <w:b w:val="0"/>
          <w:bCs w:val="0"/>
          <w:spacing w:val="-4"/>
          <w:sz w:val="32"/>
          <w:szCs w:val="32"/>
        </w:rPr>
        <w:br w:type="textWrapping"/>
      </w:r>
      <w:r>
        <w:rPr>
          <w:rStyle w:val="19"/>
          <w:rFonts w:hint="eastAsia" w:eastAsia="楷体"/>
          <w:b w:val="0"/>
          <w:bCs w:val="0"/>
          <w:spacing w:val="-4"/>
          <w:sz w:val="32"/>
          <w:szCs w:val="32"/>
        </w:rPr>
        <w:t>目标指标 目标值 完成值 分值 得分</w:t>
      </w:r>
      <w:r>
        <w:rPr>
          <w:rFonts w:hint="eastAsia" w:eastAsia="楷体"/>
          <w:b w:val="0"/>
          <w:bCs w:val="0"/>
          <w:spacing w:val="-4"/>
          <w:sz w:val="32"/>
          <w:szCs w:val="32"/>
        </w:rPr>
        <w:br w:type="textWrapping"/>
      </w:r>
      <w:r>
        <w:rPr>
          <w:rStyle w:val="19"/>
          <w:rFonts w:hint="eastAsia" w:eastAsia="楷体"/>
          <w:b w:val="0"/>
          <w:bCs w:val="0"/>
          <w:spacing w:val="-4"/>
          <w:sz w:val="32"/>
          <w:szCs w:val="32"/>
        </w:rPr>
        <w:t>往返机票 ≤108154元 =108154元 5 5</w:t>
      </w:r>
      <w:r>
        <w:rPr>
          <w:rFonts w:hint="eastAsia" w:eastAsia="楷体"/>
          <w:b w:val="0"/>
          <w:bCs w:val="0"/>
          <w:spacing w:val="-4"/>
          <w:sz w:val="32"/>
          <w:szCs w:val="32"/>
        </w:rPr>
        <w:br w:type="textWrapping"/>
      </w:r>
      <w:r>
        <w:rPr>
          <w:rStyle w:val="19"/>
          <w:rFonts w:hint="eastAsia" w:eastAsia="楷体"/>
          <w:b w:val="0"/>
          <w:bCs w:val="0"/>
          <w:spacing w:val="-4"/>
          <w:sz w:val="32"/>
          <w:szCs w:val="32"/>
        </w:rPr>
        <w:t>食宿费用 ≤4809元 =3860元 5 4</w:t>
      </w:r>
      <w:r>
        <w:rPr>
          <w:rFonts w:hint="eastAsia" w:eastAsia="楷体"/>
          <w:b w:val="0"/>
          <w:bCs w:val="0"/>
          <w:spacing w:val="-4"/>
          <w:sz w:val="32"/>
          <w:szCs w:val="32"/>
        </w:rPr>
        <w:br w:type="textWrapping"/>
      </w:r>
      <w:r>
        <w:rPr>
          <w:rStyle w:val="19"/>
          <w:rFonts w:hint="eastAsia" w:eastAsia="楷体"/>
          <w:b w:val="0"/>
          <w:bCs w:val="0"/>
          <w:spacing w:val="-4"/>
          <w:sz w:val="32"/>
          <w:szCs w:val="32"/>
        </w:rPr>
        <w:t>城市间交通费 ≤6683元 =6682元 5 5</w:t>
      </w:r>
      <w:r>
        <w:rPr>
          <w:rFonts w:hint="eastAsia" w:eastAsia="楷体"/>
          <w:b w:val="0"/>
          <w:bCs w:val="0"/>
          <w:spacing w:val="-4"/>
          <w:sz w:val="32"/>
          <w:szCs w:val="32"/>
        </w:rPr>
        <w:br w:type="textWrapping"/>
      </w:r>
      <w:r>
        <w:rPr>
          <w:rStyle w:val="19"/>
          <w:rFonts w:hint="eastAsia" w:eastAsia="楷体"/>
          <w:b w:val="0"/>
          <w:bCs w:val="0"/>
          <w:spacing w:val="-4"/>
          <w:sz w:val="32"/>
          <w:szCs w:val="32"/>
        </w:rPr>
        <w:t>公杂及保险费 ≤1144元 =1815元 5 0</w:t>
      </w:r>
      <w:r>
        <w:rPr>
          <w:rFonts w:hint="eastAsia" w:eastAsia="楷体"/>
          <w:b w:val="0"/>
          <w:bCs w:val="0"/>
          <w:spacing w:val="-4"/>
          <w:sz w:val="32"/>
          <w:szCs w:val="32"/>
        </w:rPr>
        <w:br w:type="textWrapping"/>
      </w:r>
      <w:r>
        <w:rPr>
          <w:rStyle w:val="19"/>
          <w:rFonts w:hint="eastAsia" w:eastAsia="楷体"/>
          <w:b w:val="0"/>
          <w:bCs w:val="0"/>
          <w:spacing w:val="-4"/>
          <w:sz w:val="32"/>
          <w:szCs w:val="32"/>
        </w:rPr>
        <w:t>项目资金全部支付完成，其中，食宿费用指标设置大于实际支出得分为4分，公杂及保险费实际支出大于指标设置得分为0。</w:t>
      </w:r>
      <w:r>
        <w:rPr>
          <w:rFonts w:hint="eastAsia" w:eastAsia="楷体"/>
          <w:b w:val="0"/>
          <w:bCs w:val="0"/>
          <w:spacing w:val="-4"/>
          <w:sz w:val="32"/>
          <w:szCs w:val="32"/>
        </w:rPr>
        <w:br w:type="textWrapping"/>
      </w:r>
      <w:r>
        <w:rPr>
          <w:rStyle w:val="19"/>
          <w:rFonts w:hint="eastAsia" w:eastAsia="楷体"/>
          <w:b w:val="0"/>
          <w:bCs w:val="0"/>
          <w:spacing w:val="-4"/>
          <w:sz w:val="32"/>
          <w:szCs w:val="32"/>
        </w:rPr>
        <w:t>综上，成本指标得分为14分。</w:t>
      </w:r>
    </w:p>
    <w:p w14:paraId="7691C465">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14:paraId="17DADDD8">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项目效益指标由1个二级指标和1个三级指标构成，权重为10分，实际得分10分。</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加强与白方地方层面各领域交流”，指标值：有效推进，实际完成值：完全达到预期。本项目的实施在中白全天候全面战略伙伴关系框架下，进一步加强了地方层面各领域交流，顺利完成我市首次对白的城市交流活动。</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综上，该指标满分10分，得分10分。</w:t>
      </w:r>
    </w:p>
    <w:p w14:paraId="1B715B2F">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群众满意度：评价指标“赴白俄出访同行人员满意度”，指标值：≥95%，实际完成值：=95%。在出访过程中，我办翻译人员保质保量完成翻译工作，且同行出访的市政府领导及文旅、商务部门领导，高度点评本次出访意义，故满意度指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综上，该指标满分5分，得分5分。</w:t>
      </w:r>
    </w:p>
    <w:p w14:paraId="77AEAEBA">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14:paraId="1D7AD078">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一是严格执行外事活动经费使用各项规定，制定外事活动经费管理办法，加强项目管理规范性；二是加强项目管理工作全过程管理，从项目筹划、设立、执行、评价各个流程阶段开展管理工作，提高项目科学可持续。</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一是在项目绩效管理过程中，暴露出执行部门与财务部门协同联动的缺陷，填写项目绩效、指标设置时，大部分仅有财务人员自行完成，无法精准反应项目实施目标。</w:t>
      </w:r>
      <w:r>
        <w:rPr>
          <w:rFonts w:hint="eastAsia" w:eastAsia="楷体"/>
          <w:b w:val="0"/>
          <w:bCs w:val="0"/>
          <w:spacing w:val="-4"/>
          <w:sz w:val="32"/>
          <w:szCs w:val="32"/>
        </w:rPr>
        <w:br w:type="textWrapping"/>
      </w:r>
      <w:r>
        <w:rPr>
          <w:rStyle w:val="19"/>
          <w:rFonts w:hint="eastAsia" w:eastAsia="楷体"/>
          <w:b w:val="0"/>
          <w:bCs w:val="0"/>
          <w:spacing w:val="-4"/>
          <w:sz w:val="32"/>
          <w:szCs w:val="32"/>
        </w:rPr>
        <w:t>二是非财务人员不了解绩效工作具体内容、绩效管理工作意识单薄，对于提供佐证材料等方面存在无法及时提供、提供不准确的现象。</w:t>
      </w:r>
    </w:p>
    <w:p w14:paraId="7D26D78A">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14:paraId="3F865423">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一、系统推进预算绩效目标管理，构建科学化管控体系</w:t>
      </w:r>
      <w:r>
        <w:rPr>
          <w:rFonts w:hint="eastAsia" w:eastAsia="楷体"/>
          <w:b w:val="0"/>
          <w:bCs w:val="0"/>
          <w:spacing w:val="-4"/>
          <w:sz w:val="32"/>
          <w:szCs w:val="32"/>
        </w:rPr>
        <w:br w:type="textWrapping"/>
      </w:r>
      <w:r>
        <w:rPr>
          <w:rStyle w:val="19"/>
          <w:rFonts w:hint="eastAsia" w:eastAsia="楷体"/>
          <w:b w:val="0"/>
          <w:bCs w:val="0"/>
          <w:spacing w:val="-4"/>
          <w:sz w:val="32"/>
          <w:szCs w:val="32"/>
        </w:rPr>
        <w:t>聚焦绩效目标源头管控，建立“全流程标准化+专业化评估”机制。一是规范目标申报模板，制定《预算绩效目标编制指南》，明确经济性、效率性、效益性三类指标的设置规范。</w:t>
      </w:r>
      <w:r>
        <w:rPr>
          <w:rFonts w:hint="eastAsia" w:eastAsia="楷体"/>
          <w:b w:val="0"/>
          <w:bCs w:val="0"/>
          <w:spacing w:val="-4"/>
          <w:sz w:val="32"/>
          <w:szCs w:val="32"/>
        </w:rPr>
        <w:br w:type="textWrapping"/>
      </w:r>
      <w:r>
        <w:rPr>
          <w:rStyle w:val="19"/>
          <w:rFonts w:hint="eastAsia" w:eastAsia="楷体"/>
          <w:b w:val="0"/>
          <w:bCs w:val="0"/>
          <w:spacing w:val="-4"/>
          <w:sz w:val="32"/>
          <w:szCs w:val="32"/>
        </w:rPr>
        <w:t>二、构建分层分类培训体系，实现绩效意识全员渗</w:t>
      </w:r>
      <w:r>
        <w:rPr>
          <w:rFonts w:hint="eastAsia" w:eastAsia="楷体"/>
          <w:b w:val="0"/>
          <w:bCs w:val="0"/>
          <w:spacing w:val="-4"/>
          <w:sz w:val="32"/>
          <w:szCs w:val="32"/>
        </w:rPr>
        <w:br w:type="textWrapping"/>
      </w:r>
      <w:r>
        <w:rPr>
          <w:rStyle w:val="19"/>
          <w:rFonts w:hint="eastAsia" w:eastAsia="楷体"/>
          <w:b w:val="0"/>
          <w:bCs w:val="0"/>
          <w:spacing w:val="-4"/>
          <w:sz w:val="32"/>
          <w:szCs w:val="32"/>
        </w:rPr>
        <w:t>打造“立体化培训+常态化指导”模式，破解“上热中温下冷”难题。一是开展“三层次”专题培训：面向财务人员开设“绩效管理基础”必修课；针对业务骨干组织“绩效指标设计”“成本效益分析”实操工作坊；对领导干部开展“全面绩效管理战略”研讨班，</w:t>
      </w:r>
    </w:p>
    <w:p w14:paraId="5E56C1D7">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14:paraId="4A7D83AA">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在实施过程中严格遵循财政资金管理规范，全面保障了政策执行的科学性与资金使用的合规性。一是项目支出政策与路径设计紧密结合工作实际需求，通过科学论证明确资金分配机制与实施路径，确保政策导向与预期目标高度契合，有效支撑了电子票据改革、预算评审及绩效评价等核心任务的开展。二是项目安排精准有效，严格对照立项目标推进各项工作，通过动态跟踪和阶段性评估验证，未发现实施方向偏离既定规划或与项目初衷不符的情况，切实保障了财政资金的靶向投入。三是项目申报与审核机制健全，建立了“部门申报-财政初审-专家论证-集体决策”的全流程管理闭环，依托信息化手段提升审核效率，并引入多部门联审机制，确保立项依据充分、程序规范透明。四是强化资金监管效能，通过定期专项检查、第三方审计及绩效跟踪问效，严格防范资金使用风险，未发现虚报冒领、套取财政资金等违规行为，切实维护了财政资金的安全性与使用效益。上述机制的综合作用，为本项目规范高效实施提供了坚实保障。</w:t>
      </w:r>
    </w:p>
    <w:p w14:paraId="458F9462">
      <w:pPr>
        <w:spacing w:line="540" w:lineRule="exact"/>
        <w:ind w:firstLine="624" w:firstLineChars="200"/>
        <w:rPr>
          <w:rStyle w:val="19"/>
          <w:rFonts w:ascii="仿宋" w:hAnsi="仿宋" w:eastAsia="仿宋"/>
          <w:b w:val="0"/>
          <w:spacing w:val="-4"/>
          <w:sz w:val="32"/>
          <w:szCs w:val="32"/>
        </w:rPr>
      </w:pPr>
    </w:p>
    <w:p w14:paraId="6D8D1E75">
      <w:pPr>
        <w:spacing w:line="540" w:lineRule="exact"/>
        <w:ind w:firstLine="624" w:firstLineChars="200"/>
        <w:rPr>
          <w:rStyle w:val="19"/>
          <w:rFonts w:ascii="仿宋" w:hAnsi="仿宋" w:eastAsia="仿宋"/>
          <w:b w:val="0"/>
          <w:spacing w:val="-4"/>
          <w:sz w:val="32"/>
          <w:szCs w:val="32"/>
        </w:rPr>
      </w:pPr>
    </w:p>
    <w:p w14:paraId="791B7679">
      <w:pPr>
        <w:spacing w:line="540" w:lineRule="exact"/>
        <w:ind w:firstLine="624" w:firstLineChars="200"/>
        <w:rPr>
          <w:rStyle w:val="19"/>
          <w:rFonts w:ascii="仿宋" w:hAnsi="仿宋" w:eastAsia="仿宋"/>
          <w:b w:val="0"/>
          <w:spacing w:val="-4"/>
          <w:sz w:val="32"/>
          <w:szCs w:val="32"/>
        </w:rPr>
      </w:pPr>
    </w:p>
    <w:p w14:paraId="7223BDF4">
      <w:pPr>
        <w:spacing w:line="540" w:lineRule="exact"/>
        <w:ind w:firstLine="624" w:firstLineChars="200"/>
        <w:rPr>
          <w:rStyle w:val="19"/>
          <w:rFonts w:ascii="仿宋" w:hAnsi="仿宋" w:eastAsia="仿宋"/>
          <w:b w:val="0"/>
          <w:spacing w:val="-4"/>
          <w:sz w:val="32"/>
          <w:szCs w:val="32"/>
        </w:rPr>
      </w:pPr>
    </w:p>
    <w:p w14:paraId="29FAC5D9">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1B94CD-D7D9-4931-95F0-BC082124D2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997DA94-BAD6-4D1C-A6D3-A51D632ABA4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6EB6E563-41E2-4785-BA16-C3EDA4E65E69}"/>
  </w:font>
  <w:font w:name="华文中宋">
    <w:panose1 w:val="02010600040101010101"/>
    <w:charset w:val="86"/>
    <w:family w:val="auto"/>
    <w:pitch w:val="default"/>
    <w:sig w:usb0="00000287" w:usb1="080F0000" w:usb2="00000000" w:usb3="00000000" w:csb0="0004009F" w:csb1="DFD70000"/>
    <w:embedRegular r:id="rId4" w:fontKey="{664F7A9C-C90A-4896-9878-D734F44C3AED}"/>
  </w:font>
  <w:font w:name="方正小标宋_GBK">
    <w:panose1 w:val="02000000000000000000"/>
    <w:charset w:val="86"/>
    <w:family w:val="script"/>
    <w:pitch w:val="default"/>
    <w:sig w:usb0="A00002BF" w:usb1="38CF7CFA" w:usb2="00082016" w:usb3="00000000" w:csb0="00040001" w:csb1="00000000"/>
    <w:embedRegular r:id="rId5" w:fontKey="{AF3F2A4E-D622-49B8-B4CC-CBFB9F369616}"/>
  </w:font>
  <w:font w:name="仿宋_GB2312">
    <w:panose1 w:val="02010609030101010101"/>
    <w:charset w:val="86"/>
    <w:family w:val="modern"/>
    <w:pitch w:val="default"/>
    <w:sig w:usb0="00000001" w:usb1="080E0000" w:usb2="00000000" w:usb3="00000000" w:csb0="00040000" w:csb1="00000000"/>
    <w:embedRegular r:id="rId6" w:fontKey="{D2A3B7E2-C5F3-4631-AC82-0F302E4D3FF4}"/>
  </w:font>
  <w:font w:name="楷体">
    <w:panose1 w:val="02010609060101010101"/>
    <w:charset w:val="86"/>
    <w:family w:val="modern"/>
    <w:pitch w:val="default"/>
    <w:sig w:usb0="800002BF" w:usb1="38CF7CFA" w:usb2="00000016" w:usb3="00000000" w:csb0="00040001" w:csb1="00000000"/>
    <w:embedRegular r:id="rId7" w:fontKey="{1A4AB731-9F0C-4C84-B30A-5433294917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14:paraId="4C10C0DC">
        <w:pPr>
          <w:pStyle w:val="12"/>
          <w:jc w:val="center"/>
        </w:pPr>
        <w:r>
          <w:fldChar w:fldCharType="begin"/>
        </w:r>
        <w:r>
          <w:instrText xml:space="preserve">PAGE   \* MERGEFORMAT</w:instrText>
        </w:r>
        <w:r>
          <w:fldChar w:fldCharType="separate"/>
        </w:r>
        <w:r>
          <w:rPr>
            <w:lang w:val="zh-CN"/>
          </w:rPr>
          <w:t>2</w:t>
        </w:r>
        <w:r>
          <w:fldChar w:fldCharType="end"/>
        </w:r>
      </w:p>
    </w:sdtContent>
  </w:sdt>
  <w:p w14:paraId="4AC9215F">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0671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Props1.xml><?xml version="1.0" encoding="utf-8"?>
<ds:datastoreItem xmlns:ds="http://schemas.openxmlformats.org/officeDocument/2006/customXml" ds:itemID="{5ce3dfeb-f4ac-47bf-9862-33cc5fa0c786}">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22</Pages>
  <Words>10419</Words>
  <Characters>10781</Characters>
  <Lines>4</Lines>
  <Paragraphs>1</Paragraphs>
  <TotalTime>9</TotalTime>
  <ScaleCrop>false</ScaleCrop>
  <LinksUpToDate>false</LinksUpToDate>
  <CharactersWithSpaces>10981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朱博诚</cp:lastModifiedBy>
  <cp:lastPrinted>2018-12-31T10:56:00Z</cp:lastPrinted>
  <dcterms:modified xsi:type="dcterms:W3CDTF">2025-09-25T05:04:55Z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AC8D1C95289B424182C977C1902B2A2F</vt:lpwstr>
  </property>
  <property fmtid="{D5CDD505-2E9C-101B-9397-08002B2CF9AE}" pid="4" name="KSOTemplateDocerSaveRecord">
    <vt:lpwstr>eyJoZGlkIjoiN2UzYzQxN2E2MWEwMjY1ZjViMmI1MTcxZjhmMjVkOTciLCJ1c2VySWQiOiI2NzI2MjkyMTUifQ==</vt:lpwstr>
  </property>
</Properties>
</file>