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乌鲁木齐市文化市场综合行政执法队2024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乌鲁木齐市文化市场综合行政执法队成立于2019年9月，隶属于乌鲁木齐市文化和旅游局（市文物局），主要职责是：贯彻执行国家、自治区及本市有关文化市场管理的方针、政策和法律法规；依法查处娱乐场所，演出、艺术品经营及进出口、文物经营等活动，文化艺术经营、展览展播活动中的违法行为；依法查处旅游经营单位和个人的违法违规行为；依法查处高危险性体育项目经营活动中的违法违规行为；依法查处规定的广播、电影、电视活动中的违法违规行为；依法查处图书、音像制品、电子出版物等方面的违法活动；依法查处网络文化、网络视听、网络出版等方面的违法经营活动；承担“扫黄打非”有关工作任务；依法履行法律法规赋予的其他职责。</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乌鲁木齐市文化市场综合行政执法队2024年度，实有人数183人，其中：在职人员128人，减少15人；离休人员0人，增加0人；退休人员55人,增加10人。</w:t>
      </w:r>
    </w:p>
    <w:p>
      <w:pPr>
        <w:spacing w:line="580" w:lineRule="exact"/>
        <w:ind w:firstLine="640"/>
        <w:jc w:val="both"/>
      </w:pPr>
      <w:r>
        <w:rPr>
          <w:rFonts w:ascii="仿宋_GB2312" w:hAnsi="仿宋_GB2312" w:eastAsia="仿宋_GB2312"/>
          <w:sz w:val="32"/>
        </w:rPr>
        <w:t>乌鲁木齐市文化市场综合行政执法队无下属预算单位，下设12个科室，分别是：党政办公室、法制督查科、执法协调科、投诉受理科、纪检监察室、天山区文化市场综合行政执法队、沙依巴克区文化市场综合行政执法队、高新区文化市场综合行政执法队、经开区（头屯河区）文化市场综合行政执法队、米东区文化市场综合行政执法队、达坂城区文化市场综合行政执法队、水磨沟区文化市场综合行政执法队。</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2024年度收入总计2,657.35万元，</w:t>
      </w:r>
      <w:r>
        <w:rPr>
          <w:rFonts w:ascii="仿宋_GB2312" w:hAnsi="仿宋_GB2312" w:eastAsia="仿宋_GB2312"/>
          <w:b w:val="0"/>
          <w:sz w:val="32"/>
        </w:rPr>
        <w:t>其中：本年收入合计2,657.35万元，使用非财政拨款结余（含专用结余）0.00万元，年初结转和结余0.00万元。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2024年度支出总计2,657.35万元，</w:t>
      </w:r>
      <w:r>
        <w:rPr>
          <w:rFonts w:ascii="仿宋_GB2312" w:hAnsi="仿宋_GB2312" w:eastAsia="仿宋_GB2312"/>
          <w:b w:val="0"/>
          <w:sz w:val="32"/>
        </w:rPr>
        <w:t>其中：本年支出合计2,657.35万元，结余分配0.00万元，年末结转和结余0.00万元。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增加87.16万元，增长3.39%，主要原因是：本年在职人员工资调增，社保、公积金基数调增，人员经费增加；退休人员较上年增加较多，职业年金做实资金增加。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本年收入2,657.35万元，</w:t>
      </w:r>
      <w:r>
        <w:rPr>
          <w:rFonts w:ascii="仿宋_GB2312" w:hAnsi="仿宋_GB2312" w:eastAsia="仿宋_GB2312"/>
          <w:b w:val="0"/>
          <w:sz w:val="32"/>
        </w:rPr>
        <w:t>其中：财政拨款收入2,657.35万元，占100.00%；上级补助收入0.00万元，占0.00%；事业收入0.00万元，占0.00%；经营收入0.00万元，占0.00%；附属单位上缴收入0.00万元，占0.00%；其他收入0.00万元，占0.00%。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本年支出2,657.35万元，</w:t>
      </w:r>
      <w:r>
        <w:rPr>
          <w:rFonts w:ascii="仿宋_GB2312" w:hAnsi="仿宋_GB2312" w:eastAsia="仿宋_GB2312"/>
          <w:b w:val="0"/>
          <w:sz w:val="32"/>
        </w:rPr>
        <w:t>其中：基本支出2,622.10万元，占98.67%；项目支出35.25万元，占1.33%；上缴上级支出0.00万元，占0.00%；经营支出0.00万元，占0.00%；对附属单位补助支出0.00万元，占0.00%。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2024年度财政拨款收入总计2,657.35万元，</w:t>
      </w:r>
      <w:r>
        <w:rPr>
          <w:rFonts w:ascii="仿宋_GB2312" w:hAnsi="仿宋_GB2312" w:eastAsia="仿宋_GB2312"/>
          <w:b w:val="0"/>
          <w:sz w:val="32"/>
        </w:rPr>
        <w:t>其中：年初财政拨款结转和结余0.00万元，本年财政拨款收入2,657.35万元。</w:t>
      </w:r>
      <w:r>
        <w:rPr>
          <w:rFonts w:ascii="仿宋_GB2312" w:hAnsi="仿宋_GB2312" w:eastAsia="仿宋_GB2312"/>
          <w:b/>
          <w:sz w:val="32"/>
        </w:rPr>
        <w:t>财政拨款支出总计2,657.35万元，</w:t>
      </w:r>
      <w:r>
        <w:rPr>
          <w:rFonts w:ascii="仿宋_GB2312" w:hAnsi="仿宋_GB2312" w:eastAsia="仿宋_GB2312"/>
          <w:b w:val="0"/>
          <w:sz w:val="32"/>
        </w:rPr>
        <w:t>其中：年末财政拨款结转和结余0.00万元，本年财政拨款支出2,657.35万元。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增加126.24万元，增长4.99%，主要原因是：本年在职人员工资调增，社保、公积金基数调增，人员经费增加；退休人员较上年增加较多，职业年金做实资金增加。</w:t>
      </w:r>
      <w:r>
        <w:rPr>
          <w:rFonts w:ascii="仿宋_GB2312" w:hAnsi="仿宋_GB2312" w:eastAsia="仿宋_GB2312"/>
          <w:b/>
          <w:sz w:val="32"/>
        </w:rPr>
        <w:t>与年初预算相比，</w:t>
      </w:r>
      <w:r>
        <w:rPr>
          <w:rFonts w:ascii="仿宋_GB2312" w:hAnsi="仿宋_GB2312" w:eastAsia="仿宋_GB2312"/>
          <w:b w:val="0"/>
          <w:sz w:val="32"/>
        </w:rPr>
        <w:t>年初预算数2,491.49万元，决算数2,657.35万元，预决算差异率6.66%，主要原因是：年中追加人员工资、社保、公积金基数调增部分资金及退休人员职业年金做实资金，导致预决算存在差异。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2024年度一般公共预算财政拨款支出2,657.35万元，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增加126.24万元，增长4.99%，主要原因是：本年在职人员工资调增，社保、公积金基数调增，人员经费增加；退休人员较上年增加较多，职业年金做实资金增加。</w:t>
      </w:r>
      <w:r>
        <w:rPr>
          <w:rFonts w:ascii="仿宋_GB2312" w:hAnsi="仿宋_GB2312" w:eastAsia="仿宋_GB2312"/>
          <w:b/>
          <w:sz w:val="32"/>
        </w:rPr>
        <w:t>与年初预算相比,</w:t>
      </w:r>
      <w:r>
        <w:rPr>
          <w:rFonts w:ascii="仿宋_GB2312" w:hAnsi="仿宋_GB2312" w:eastAsia="仿宋_GB2312"/>
          <w:b w:val="0"/>
          <w:sz w:val="32"/>
        </w:rPr>
        <w:t>年初预算数2,491.49万元，决算数2,657.35万元，预决算差异率6.66%，主要原因是：年中追加人员工资、社保、公积金基数调增部分资金及退休人员职业年金做实资金，导致预决算存在差异。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1.文化旅游体育与传媒支出(类)2,657.35万元,占100.00%。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文化旅游体育与传媒支出(类)文化和旅游(款)行政运行(项):支出决算数为2,622.10万元，比上年决算增加127.00万元，增长5.09%,主要原因是：本年在职人员工资调增，社保、公积金基数调增，人员经费增加；退休人员较上年增加较多，职业年金做实资金增加。</w:t>
      </w:r>
    </w:p>
    <w:p>
      <w:pPr>
        <w:spacing w:line="580" w:lineRule="exact"/>
        <w:ind w:firstLine="640"/>
        <w:jc w:val="both"/>
      </w:pPr>
      <w:r>
        <w:rPr>
          <w:rFonts w:ascii="仿宋_GB2312" w:hAnsi="仿宋_GB2312" w:eastAsia="仿宋_GB2312"/>
          <w:b w:val="0"/>
          <w:sz w:val="32"/>
        </w:rPr>
        <w:t>2.文化旅游体育与传媒支出(类)文化和旅游(款)文化和旅游市场管理(项):支出决算数为35.25万元，比上年决算减少0.76万元，下降2.11%,主要原因是：本年度安排文化市场监管经费项目资金减少，支出较上年减少。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2024年度一般公共预算财政拨款基本支出2,622.10万元，其中：</w:t>
      </w:r>
      <w:r>
        <w:rPr>
          <w:rFonts w:ascii="仿宋_GB2312" w:hAnsi="仿宋_GB2312" w:eastAsia="仿宋_GB2312"/>
          <w:b/>
          <w:sz w:val="32"/>
        </w:rPr>
        <w:t>人员经费2,439.49万元，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w:t>
      </w:r>
    </w:p>
    <w:p>
      <w:pPr>
        <w:spacing w:line="580" w:lineRule="exact"/>
        <w:ind w:firstLine="640"/>
        <w:jc w:val="both"/>
      </w:pPr>
      <w:r>
        <w:rPr>
          <w:rFonts w:ascii="仿宋_GB2312" w:hAnsi="仿宋_GB2312" w:eastAsia="仿宋_GB2312"/>
          <w:b/>
          <w:sz w:val="32"/>
        </w:rPr>
        <w:t>公用经费182.61万元，</w:t>
      </w:r>
      <w:r>
        <w:rPr>
          <w:rFonts w:ascii="仿宋_GB2312" w:hAnsi="仿宋_GB2312" w:eastAsia="仿宋_GB2312"/>
          <w:b w:val="0"/>
          <w:sz w:val="32"/>
        </w:rPr>
        <w:t>包括：办公费、咨询费、水费、电费、邮电费、取暖费、差旅费、维修（护）费、租赁费、培训费、劳务费、工会经费、福利费、公务用车运行维护费、其他交通费用、其他商品和服务支出。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2024年度财政拨款“三公”经费支出7.10万元，</w:t>
      </w:r>
      <w:r>
        <w:rPr>
          <w:rFonts w:ascii="仿宋_GB2312" w:hAnsi="仿宋_GB2312" w:eastAsia="仿宋_GB2312"/>
          <w:b w:val="0"/>
          <w:sz w:val="32"/>
        </w:rPr>
        <w:t>比上年减少0.12万元，下降1.66%，主要原因是：严格落实中央八项规定精神，厉行节约，减少公务用车运行维护费。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公务用车购置及运行维护费支出7.10万元，占100.00%，比上年减少0.12万元，下降1.66%，主要原因是：严格落实中央八项规定精神，厉行节约，减少公务用车运行维护费。</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7.10万元，其中：公务用车购置费0.00万元，公务用车运行维护费7.10万元。公务用车运行维护费开支内容包括公务用车保险费、燃油费及维修费支出。公务用车购置数0辆，公务用车保有量13辆。国有资产占用情况中固定资产车辆13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7.10万元，决算数7.10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7.10万元，决算数7.10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文化市场综合行政执法队（行政单位和参照公务员法管理事业单位）机关运行经费支出182.61万元，比上年增加9.50万元，增长5.49%，主要原因是：本年度安排办公室隔断改造、办公设备购置等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2024年度政府采购支出总额42.24万元，其中：政府采购货物支出6.37万元、政府采购工程支出4.34万元、政府采购服务支出31.53万元。</w:t>
      </w:r>
    </w:p>
    <w:p>
      <w:pPr>
        <w:spacing w:line="580" w:lineRule="exact"/>
        <w:ind w:firstLine="640"/>
        <w:jc w:val="both"/>
      </w:pPr>
      <w:r>
        <w:rPr>
          <w:rFonts w:ascii="仿宋_GB2312" w:hAnsi="仿宋_GB2312" w:eastAsia="仿宋_GB2312"/>
          <w:b w:val="0"/>
          <w:sz w:val="32"/>
        </w:rPr>
        <w:t>授予中小企业合同金额8.88万元，占政府采购支出总额的21.02%，其中：授予小微企业合同金额7.91万元，占政府采购支出总额的18.73%。</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13辆，价值234.67万元，其中：副部（省）级及以上领导用车0辆、主要负责人用车0辆、机要通信用车0辆、应急保障用车0辆、执法执勤用车8辆、特种专业技术用车0辆、离退休干部服务用车0辆、其他用车5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0.00万元，实际执行总额0.00万元；预算绩效评价项目1个，全年预算数37.78万元，全年执行数35.25万元。预算绩效管理取得的成效：一是强化结果运用，提升了绩效管理实效；二是逐步形成了讲绩效、重绩效的思想认识。发现的问题及原因：一是惯性思维影响，重支出、轻绩效的思想认识仍然存在；二是认知不到位，绩效评价工作仍以财务部门为主开展。下一步改进措施：一是统一思想，加强协调，增强绩效管理工作合力；二是强化结果运用，增强绩效评价约束力。具体附整体支出绩效自评表，项目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执法监管经费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乌鲁木齐市文化市场综合行政执法队</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9.33分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通过项目实施，保障文化旅游市场监管过程中存在的驾驶员不足、车辆维修保养及加油费用缺口大、罚没物品无地存放的问题。通过项目的实施，确保完成年市场检查数量不少于18000次，办理案件不少于200件，投诉举报处理率、社会满意度达到项目设定的绩效目标，使执法功能得到有效运转，市场监管职能得到有效发挥，促进形成和谐健康的市场监管及运营环境，为文化和旅游市场良性运行提供坚强保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通过项目的实施，2024年度在履行执法监管职责过程中，驾驶员工资保障及时，执法车辆车况良好，保障有力，单位年度完成年市场检查数量21208次，办理案件222件，投诉举报处理率、社会满意度达到项目设定的绩效目标，使执法功能得到有效运转，市场监管职能得到有效发挥，促进形成和谐健康的市场监管及运营环境，为文化和旅游市场良性运行提供坚强保障。</w:t>
              <w:br/>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全年检查场所次数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&gt;=18000次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=21208次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当年因上级部署专项检查任务，检查数量较计划增加。</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全年办案数量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=222件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当年办案数量超计划目标。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投诉处理率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库房租赁成本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&lt;=57000元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=56033元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当年调整库房，金额略有下降。</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劳务工资支出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&lt;=145800元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=145800元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车辆费用支出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&lt;=175000元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=150703.99元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当年有车辆费用未能及时结算。</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双随机一公开制度落实情况</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双随机一公开制度有效落实</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有效落实</w:t>
              <w:tab/>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经营者满意度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98.38分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