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DACF2E4">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乌鲁木齐市文化馆（乌鲁木齐市非物质文化遗产保护中心）2024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w:t>
      </w: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rPr>
        <w:t>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bookmarkStart w:id="0" w:name="_GoBack"/>
      <w:bookmarkEnd w:id="0"/>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r>
        <w:br w:type="page"/>
      </w:r>
    </w:p>
    <w:p>
      <w:pPr>
        <w:spacing w:line="640" w:lineRule="exact"/>
        <w:jc w:val="center"/>
        <w:outlineLvl w:val="1"/>
      </w:pPr>
      <w:r>
        <w:rPr>
          <w:rFonts w:ascii="黑体" w:hAnsi="黑体" w:eastAsia="黑体"/>
          <w:sz w:val="32"/>
        </w:rPr>
        <w:t>第一部分 单位概况</w:t>
      </w:r>
    </w:p>
    <w:p>
      <w:pPr>
        <w:spacing w:line="640" w:lineRule="exact"/>
        <w:ind w:firstLine="640"/>
        <w:jc w:val="both"/>
        <w:outlineLvl w:val="2"/>
      </w:pPr>
      <w:r>
        <w:rPr>
          <w:rFonts w:ascii="黑体" w:hAnsi="黑体" w:eastAsia="黑体"/>
          <w:sz w:val="32"/>
        </w:rPr>
        <w:t>一、主要职能</w:t>
      </w:r>
    </w:p>
    <w:p>
      <w:pPr>
        <w:spacing w:line="580" w:lineRule="exact"/>
        <w:ind w:firstLine="640"/>
        <w:jc w:val="both"/>
      </w:pPr>
      <w:r>
        <w:rPr>
          <w:rFonts w:ascii="仿宋_GB2312" w:hAnsi="仿宋_GB2312" w:eastAsia="仿宋_GB2312"/>
          <w:sz w:val="32"/>
        </w:rPr>
        <w:t>（1）承办政府主办的各类社会文化艺术活动，为群众提供各种健康有益的文化服务。</w:t>
      </w:r>
    </w:p>
    <w:p>
      <w:pPr>
        <w:spacing w:line="580" w:lineRule="exact"/>
        <w:ind w:firstLine="640"/>
        <w:jc w:val="both"/>
      </w:pPr>
      <w:r>
        <w:rPr>
          <w:rFonts w:ascii="仿宋_GB2312" w:hAnsi="仿宋_GB2312" w:eastAsia="仿宋_GB2312"/>
          <w:sz w:val="32"/>
        </w:rPr>
        <w:t>（2）组织群众开展文艺作品创作，辅导、培训文艺骨干和社会文艺团队。</w:t>
      </w:r>
    </w:p>
    <w:p>
      <w:pPr>
        <w:spacing w:line="580" w:lineRule="exact"/>
        <w:ind w:firstLine="640"/>
        <w:jc w:val="both"/>
      </w:pPr>
      <w:r>
        <w:rPr>
          <w:rFonts w:ascii="仿宋_GB2312" w:hAnsi="仿宋_GB2312" w:eastAsia="仿宋_GB2312"/>
          <w:sz w:val="32"/>
        </w:rPr>
        <w:t>（3）搜集整理民族民间文化遗产。</w:t>
      </w:r>
    </w:p>
    <w:p>
      <w:pPr>
        <w:spacing w:line="580" w:lineRule="exact"/>
        <w:ind w:firstLine="640"/>
        <w:jc w:val="both"/>
      </w:pPr>
      <w:r>
        <w:rPr>
          <w:rFonts w:ascii="仿宋_GB2312" w:hAnsi="仿宋_GB2312" w:eastAsia="仿宋_GB2312"/>
          <w:sz w:val="32"/>
        </w:rPr>
        <w:t>（4）组织和开展群众文化理论研究，辅导本市区县文化馆、文化站开展群众文化工作等。</w:t>
      </w:r>
    </w:p>
    <w:p>
      <w:pPr>
        <w:spacing w:line="640" w:lineRule="exact"/>
        <w:ind w:firstLine="640"/>
        <w:jc w:val="both"/>
        <w:outlineLvl w:val="2"/>
      </w:pPr>
      <w:r>
        <w:rPr>
          <w:rFonts w:ascii="黑体" w:hAnsi="黑体" w:eastAsia="黑体"/>
          <w:sz w:val="32"/>
        </w:rPr>
        <w:t>二、机构设置及人员情况</w:t>
      </w:r>
    </w:p>
    <w:p>
      <w:pPr>
        <w:spacing w:line="580" w:lineRule="exact"/>
        <w:ind w:firstLine="640"/>
        <w:jc w:val="both"/>
      </w:pPr>
      <w:r>
        <w:rPr>
          <w:rFonts w:ascii="仿宋_GB2312" w:hAnsi="仿宋_GB2312" w:eastAsia="仿宋_GB2312"/>
          <w:sz w:val="32"/>
        </w:rPr>
        <w:t>乌鲁木齐市文化馆（乌鲁木齐市非物质文化遗产保护中心）2024年度，实有人数75人，其中：在职人员36人，增加1人；离休人员0人，增加0人；退休人员39人,增加1人。</w:t>
      </w:r>
    </w:p>
    <w:p>
      <w:pPr>
        <w:spacing w:line="580" w:lineRule="exact"/>
        <w:ind w:firstLine="640"/>
        <w:jc w:val="both"/>
      </w:pPr>
      <w:r>
        <w:rPr>
          <w:rFonts w:ascii="仿宋_GB2312" w:hAnsi="仿宋_GB2312" w:eastAsia="仿宋_GB2312"/>
          <w:sz w:val="32"/>
        </w:rPr>
        <w:t>乌鲁木齐市文化馆（乌鲁木齐市非物质文化遗产保护中心）无下属预算单位，下设6个科室，分别是：办公室、公共管理部、文艺辅导部、美术辅导部、理论调研部、活动管理部。</w:t>
      </w:r>
    </w:p>
    <w:p>
      <w:r>
        <w:br w:type="page"/>
      </w:r>
    </w:p>
    <w:p>
      <w:pPr>
        <w:spacing w:line="240" w:lineRule="auto"/>
        <w:jc w:val="center"/>
        <w:outlineLvl w:val="1"/>
      </w:pPr>
      <w:r>
        <w:rPr>
          <w:rFonts w:ascii="黑体" w:hAnsi="黑体" w:eastAsia="黑体"/>
          <w:sz w:val="32"/>
        </w:rPr>
        <w:t>第二部分 部门决算情况说明</w:t>
      </w:r>
    </w:p>
    <w:p>
      <w:pPr>
        <w:spacing w:line="640" w:lineRule="exact"/>
        <w:ind w:firstLine="640"/>
        <w:jc w:val="both"/>
        <w:outlineLvl w:val="2"/>
      </w:pPr>
      <w:r>
        <w:rPr>
          <w:rFonts w:ascii="黑体" w:hAnsi="黑体" w:eastAsia="黑体"/>
          <w:sz w:val="32"/>
        </w:rPr>
        <w:t>一、收入支出决算总体情况说明</w:t>
      </w:r>
    </w:p>
    <w:p>
      <w:pPr>
        <w:spacing w:line="580" w:lineRule="exact"/>
        <w:ind w:firstLine="640"/>
        <w:jc w:val="both"/>
      </w:pPr>
      <w:r>
        <w:rPr>
          <w:rFonts w:ascii="仿宋_GB2312" w:hAnsi="仿宋_GB2312" w:eastAsia="仿宋_GB2312"/>
          <w:b/>
          <w:sz w:val="32"/>
        </w:rPr>
        <w:t>2024年度收入总计1,042.96万元，</w:t>
      </w:r>
      <w:r>
        <w:rPr>
          <w:rFonts w:ascii="仿宋_GB2312" w:hAnsi="仿宋_GB2312" w:eastAsia="仿宋_GB2312"/>
          <w:b w:val="0"/>
          <w:sz w:val="32"/>
        </w:rPr>
        <w:t>其中：本年收入合计1,023.26万元，使用非财政拨款结余（含专用结余）0.00万元，年初结转和结余19.71万元。</w:t>
      </w:r>
    </w:p>
    <w:p>
      <w:pPr>
        <w:spacing w:line="580" w:lineRule="exact"/>
        <w:ind w:firstLine="640"/>
        <w:jc w:val="both"/>
      </w:pPr>
      <w:r>
        <w:rPr>
          <w:rFonts w:ascii="仿宋_GB2312" w:hAnsi="仿宋_GB2312" w:eastAsia="仿宋_GB2312"/>
          <w:b/>
          <w:sz w:val="32"/>
        </w:rPr>
        <w:t>2024年度支出总计1,042.96万元，</w:t>
      </w:r>
      <w:r>
        <w:rPr>
          <w:rFonts w:ascii="仿宋_GB2312" w:hAnsi="仿宋_GB2312" w:eastAsia="仿宋_GB2312"/>
          <w:b w:val="0"/>
          <w:sz w:val="32"/>
        </w:rPr>
        <w:t>其中：本年支出合计1,041.46万元，结余分配0.00万元，年末结转和结余1.50万元。</w:t>
      </w:r>
    </w:p>
    <w:p>
      <w:pPr>
        <w:spacing w:line="580" w:lineRule="exact"/>
        <w:ind w:firstLine="640"/>
        <w:jc w:val="both"/>
      </w:pPr>
      <w:r>
        <w:rPr>
          <w:rFonts w:ascii="仿宋_GB2312" w:hAnsi="仿宋_GB2312" w:eastAsia="仿宋_GB2312"/>
          <w:b w:val="0"/>
          <w:sz w:val="32"/>
        </w:rPr>
        <w:t>收入支出总体与上年相比，</w:t>
      </w:r>
      <w:r>
        <w:rPr>
          <w:rFonts w:ascii="仿宋_GB2312" w:hAnsi="仿宋_GB2312" w:eastAsia="仿宋_GB2312"/>
          <w:b w:val="0"/>
          <w:sz w:val="32"/>
        </w:rPr>
        <w:t>增加136.59万元，增长15.07%，主要原因是：本年增加上级转移支付彩票---乌鲁木齐市图书馆（文化馆）数字化阅读平台建设项目、2024年自治区旅游发展专项资金预算（第三批）、  2024年中央补助免费开放资金、  2023年中央文化人才专项经费、  新疆人才发展基金2024年度第一轮支持资金等项目资金，导致收入支出总体比上年增加。</w:t>
      </w:r>
    </w:p>
    <w:p>
      <w:pPr>
        <w:spacing w:line="640" w:lineRule="exact"/>
        <w:ind w:firstLine="640"/>
        <w:jc w:val="both"/>
        <w:outlineLvl w:val="2"/>
      </w:pPr>
      <w:r>
        <w:rPr>
          <w:rFonts w:ascii="黑体" w:hAnsi="黑体" w:eastAsia="黑体"/>
          <w:sz w:val="32"/>
        </w:rPr>
        <w:t>二、收入决算情况说明</w:t>
      </w:r>
    </w:p>
    <w:p>
      <w:pPr>
        <w:spacing w:line="580" w:lineRule="exact"/>
        <w:ind w:firstLine="640"/>
        <w:jc w:val="both"/>
      </w:pPr>
      <w:r>
        <w:rPr>
          <w:rFonts w:ascii="仿宋_GB2312" w:hAnsi="仿宋_GB2312" w:eastAsia="仿宋_GB2312"/>
          <w:b/>
          <w:sz w:val="32"/>
        </w:rPr>
        <w:t>本年收入1,023.26万元，</w:t>
      </w:r>
      <w:r>
        <w:rPr>
          <w:rFonts w:ascii="仿宋_GB2312" w:hAnsi="仿宋_GB2312" w:eastAsia="仿宋_GB2312"/>
          <w:b w:val="0"/>
          <w:sz w:val="32"/>
        </w:rPr>
        <w:t>其中：财政拨款收入1,023.25万元，占100.00%；上级补助收入0.00万元，占0.00%；事业收入0.00万元，占0.00%；经营收入0.00万元，占0.00%；附属单位上缴收入0.00万元，占0.00%；其他收入0.01万元，占0.001%。</w:t>
      </w:r>
    </w:p>
    <w:p>
      <w:pPr>
        <w:spacing w:line="640" w:lineRule="exact"/>
        <w:ind w:firstLine="640"/>
        <w:jc w:val="both"/>
        <w:outlineLvl w:val="2"/>
      </w:pPr>
      <w:r>
        <w:rPr>
          <w:rFonts w:ascii="黑体" w:hAnsi="黑体" w:eastAsia="黑体"/>
          <w:sz w:val="32"/>
        </w:rPr>
        <w:t>三、支出决算情况说明</w:t>
      </w:r>
    </w:p>
    <w:p>
      <w:pPr>
        <w:spacing w:line="580" w:lineRule="exact"/>
        <w:ind w:firstLine="640"/>
        <w:jc w:val="both"/>
      </w:pPr>
      <w:r>
        <w:rPr>
          <w:rFonts w:ascii="仿宋_GB2312" w:hAnsi="仿宋_GB2312" w:eastAsia="仿宋_GB2312"/>
          <w:b/>
          <w:sz w:val="32"/>
        </w:rPr>
        <w:t>本年支出1,041.46万元，</w:t>
      </w:r>
      <w:r>
        <w:rPr>
          <w:rFonts w:ascii="仿宋_GB2312" w:hAnsi="仿宋_GB2312" w:eastAsia="仿宋_GB2312"/>
          <w:b w:val="0"/>
          <w:sz w:val="32"/>
        </w:rPr>
        <w:t>其中：基本支出783.08万元，占75.19%；项目支出258.38万元，占24.81%；上缴上级支出0.00万元，占0.00%；经营支出0.00万元，占0.00%；对附属单位补助支出0.00万元，占0.00%。</w:t>
      </w:r>
    </w:p>
    <w:p>
      <w:pPr>
        <w:spacing w:line="640" w:lineRule="exact"/>
        <w:ind w:firstLine="640"/>
        <w:jc w:val="both"/>
        <w:outlineLvl w:val="2"/>
      </w:pPr>
      <w:r>
        <w:rPr>
          <w:rFonts w:ascii="黑体" w:hAnsi="黑体" w:eastAsia="黑体"/>
          <w:sz w:val="32"/>
        </w:rPr>
        <w:t>四、财政拨款收入支出决算总体情况说明</w:t>
      </w:r>
    </w:p>
    <w:p>
      <w:pPr>
        <w:spacing w:line="580" w:lineRule="exact"/>
        <w:ind w:firstLine="640"/>
        <w:jc w:val="both"/>
      </w:pPr>
      <w:r>
        <w:rPr>
          <w:rFonts w:ascii="仿宋_GB2312" w:hAnsi="仿宋_GB2312" w:eastAsia="仿宋_GB2312"/>
          <w:b/>
          <w:sz w:val="32"/>
        </w:rPr>
        <w:t>2024年度财政拨款收入总计1,023.25万元，</w:t>
      </w:r>
      <w:r>
        <w:rPr>
          <w:rFonts w:ascii="仿宋_GB2312" w:hAnsi="仿宋_GB2312" w:eastAsia="仿宋_GB2312"/>
          <w:b w:val="0"/>
          <w:sz w:val="32"/>
        </w:rPr>
        <w:t>其中：年初财政拨款结转和结余0.00万元，本年财政拨款收入1,023.25万元。</w:t>
      </w:r>
      <w:r>
        <w:rPr>
          <w:rFonts w:ascii="仿宋_GB2312" w:hAnsi="仿宋_GB2312" w:eastAsia="仿宋_GB2312"/>
          <w:b/>
          <w:sz w:val="32"/>
        </w:rPr>
        <w:t>财政拨款支出总计1,023.25万元，</w:t>
      </w:r>
      <w:r>
        <w:rPr>
          <w:rFonts w:ascii="仿宋_GB2312" w:hAnsi="仿宋_GB2312" w:eastAsia="仿宋_GB2312"/>
          <w:b w:val="0"/>
          <w:sz w:val="32"/>
        </w:rPr>
        <w:t>其中：年末财政拨款结转和结余0.00万元，本年财政拨款支出1,023.25万元。</w:t>
      </w:r>
    </w:p>
    <w:p>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增加137.99万元，增长15.59%，主要原因是：本年增加上级转移支付彩票---乌鲁木齐市图书馆（文化馆）数字化阅读平台建设项目、2024年自治区旅游发展专项资金预算（第三批）、  2024年中央补助免费开放资金、  2023年中央文化人才专项经费、  新疆人才发展基金2024年度第一轮支持资金等项目资金，导致经费较上年增加。</w:t>
      </w:r>
      <w:r>
        <w:rPr>
          <w:rFonts w:ascii="仿宋_GB2312" w:hAnsi="仿宋_GB2312" w:eastAsia="仿宋_GB2312"/>
          <w:b/>
          <w:sz w:val="32"/>
        </w:rPr>
        <w:t>与年初预算相比，</w:t>
      </w:r>
      <w:r>
        <w:rPr>
          <w:rFonts w:ascii="仿宋_GB2312" w:hAnsi="仿宋_GB2312" w:eastAsia="仿宋_GB2312"/>
          <w:b w:val="0"/>
          <w:sz w:val="32"/>
        </w:rPr>
        <w:t>年初预算数876.37万元，决算数1,023.25万元，预决算差异率16.76%，主要原因是：年中追加上级转移支付彩票---乌鲁木齐市图书馆（文化馆）数字化阅读平台建设项目、2024年自治区旅游发展专项资金预算（第三批）、2024年中央补助免费开放资金、新疆人才发展基金2024年度第一轮支持资金等项目资金，导致预决算存在差异。</w:t>
      </w:r>
    </w:p>
    <w:p>
      <w:pPr>
        <w:spacing w:line="640" w:lineRule="exact"/>
        <w:ind w:firstLine="640"/>
        <w:jc w:val="both"/>
        <w:outlineLvl w:val="2"/>
      </w:pPr>
      <w:r>
        <w:rPr>
          <w:rFonts w:ascii="黑体" w:hAnsi="黑体" w:eastAsia="黑体"/>
          <w:sz w:val="32"/>
        </w:rPr>
        <w:t>五、一般公共预算财政拨款支出决算情况说明</w:t>
      </w:r>
    </w:p>
    <w:p>
      <w:pPr>
        <w:spacing w:line="640" w:lineRule="exact"/>
        <w:ind w:firstLine="640"/>
        <w:jc w:val="both"/>
        <w:outlineLvl w:val="3"/>
      </w:pPr>
      <w:r>
        <w:rPr>
          <w:rFonts w:ascii="楷体_GB2312" w:hAnsi="楷体_GB2312" w:eastAsia="楷体_GB2312"/>
          <w:b/>
          <w:sz w:val="32"/>
        </w:rPr>
        <w:t>（一）一般公共预算财政拨款支出决算总体情况</w:t>
      </w:r>
    </w:p>
    <w:p>
      <w:pPr>
        <w:spacing w:line="580" w:lineRule="exact"/>
        <w:ind w:firstLine="640"/>
        <w:jc w:val="both"/>
      </w:pPr>
      <w:r>
        <w:rPr>
          <w:rFonts w:ascii="仿宋_GB2312" w:hAnsi="仿宋_GB2312" w:eastAsia="仿宋_GB2312"/>
          <w:b/>
          <w:sz w:val="32"/>
        </w:rPr>
        <w:t>2024年度一般公共预算财政拨款支出949.50万元，</w:t>
      </w:r>
      <w:r>
        <w:rPr>
          <w:rFonts w:ascii="仿宋_GB2312" w:hAnsi="仿宋_GB2312" w:eastAsia="仿宋_GB2312"/>
          <w:b w:val="0"/>
          <w:sz w:val="32"/>
        </w:rPr>
        <w:t>占本年支出合计的91.17%。</w:t>
      </w:r>
      <w:r>
        <w:rPr>
          <w:rFonts w:ascii="仿宋_GB2312" w:hAnsi="仿宋_GB2312" w:eastAsia="仿宋_GB2312"/>
          <w:b/>
          <w:sz w:val="32"/>
        </w:rPr>
        <w:t>与上年相比，</w:t>
      </w:r>
      <w:r>
        <w:rPr>
          <w:rFonts w:ascii="仿宋_GB2312" w:hAnsi="仿宋_GB2312" w:eastAsia="仿宋_GB2312"/>
          <w:b w:val="0"/>
          <w:sz w:val="32"/>
        </w:rPr>
        <w:t>增加68.84万元，增长7.82%，主要原因是：本年增加2024年自治区旅游发展专项资金预算（第三批）、2024年中央补助免费开放资金、2023年中央文化人才专项经费、新疆人才发展基金2024年度第一轮支持资金等项目资金，导致经费较上年增加。</w:t>
      </w:r>
      <w:r>
        <w:rPr>
          <w:rFonts w:ascii="仿宋_GB2312" w:hAnsi="仿宋_GB2312" w:eastAsia="仿宋_GB2312"/>
          <w:b/>
          <w:sz w:val="32"/>
        </w:rPr>
        <w:t>与年初预算相比,</w:t>
      </w:r>
      <w:r>
        <w:rPr>
          <w:rFonts w:ascii="仿宋_GB2312" w:hAnsi="仿宋_GB2312" w:eastAsia="仿宋_GB2312"/>
          <w:b w:val="0"/>
          <w:sz w:val="32"/>
        </w:rPr>
        <w:t>年初预算数876.37万元，决算数949.50万元，预决算差异率8.34%，主要原因是：年中追加2024年自治区旅游发展专项资金预算（第三批）、2024年中央补助免费开放资金、新疆人才发展基金2024年度第一轮支持资金等项目资金，导致预决算存在差异。</w:t>
      </w:r>
    </w:p>
    <w:p>
      <w:pPr>
        <w:spacing w:line="640" w:lineRule="exact"/>
        <w:ind w:firstLine="640"/>
        <w:jc w:val="both"/>
        <w:outlineLvl w:val="3"/>
      </w:pPr>
      <w:r>
        <w:rPr>
          <w:rFonts w:ascii="楷体_GB2312" w:hAnsi="楷体_GB2312" w:eastAsia="楷体_GB2312"/>
          <w:b/>
          <w:sz w:val="32"/>
        </w:rPr>
        <w:t>（二）一般公共预算财政拨款支出决算结构情况</w:t>
      </w:r>
    </w:p>
    <w:p>
      <w:pPr>
        <w:spacing w:line="580" w:lineRule="exact"/>
        <w:ind w:firstLine="640"/>
        <w:jc w:val="both"/>
      </w:pPr>
      <w:r>
        <w:rPr>
          <w:rFonts w:ascii="仿宋_GB2312" w:hAnsi="仿宋_GB2312" w:eastAsia="仿宋_GB2312"/>
          <w:b w:val="0"/>
          <w:sz w:val="32"/>
        </w:rPr>
        <w:t>1.文化旅游体育与传媒支出(类)949.50万元,占100.00%。</w:t>
      </w:r>
    </w:p>
    <w:p>
      <w:pPr>
        <w:spacing w:line="640" w:lineRule="exact"/>
        <w:ind w:firstLine="640"/>
        <w:jc w:val="both"/>
        <w:outlineLvl w:val="3"/>
      </w:pPr>
      <w:r>
        <w:rPr>
          <w:rFonts w:ascii="楷体_GB2312" w:hAnsi="楷体_GB2312" w:eastAsia="楷体_GB2312"/>
          <w:b/>
          <w:sz w:val="32"/>
        </w:rPr>
        <w:t>（三）一般公共预算财政拨款支出决算具体情况</w:t>
      </w:r>
    </w:p>
    <w:p>
      <w:pPr>
        <w:spacing w:line="580" w:lineRule="exact"/>
        <w:ind w:firstLine="640"/>
        <w:jc w:val="both"/>
      </w:pPr>
      <w:r>
        <w:rPr>
          <w:rFonts w:ascii="仿宋_GB2312" w:hAnsi="仿宋_GB2312" w:eastAsia="仿宋_GB2312"/>
          <w:b w:val="0"/>
          <w:sz w:val="32"/>
        </w:rPr>
        <w:t>1.文化旅游体育与传媒支出(类)文化和旅游(款)群众文化(项):支出决算数为833.08万元，比上年决算减少21.28万元，下降2.49%,主要原因是：本年公共场所安保、免费开放项目资金减少。</w:t>
      </w:r>
    </w:p>
    <w:p>
      <w:pPr>
        <w:spacing w:line="580" w:lineRule="exact"/>
        <w:ind w:firstLine="640"/>
        <w:jc w:val="both"/>
      </w:pPr>
      <w:r>
        <w:rPr>
          <w:rFonts w:ascii="仿宋_GB2312" w:hAnsi="仿宋_GB2312" w:eastAsia="仿宋_GB2312"/>
          <w:b w:val="0"/>
          <w:sz w:val="32"/>
        </w:rPr>
        <w:t>2.文化旅游体育与传媒支出(类)文化和旅游(款)文化创作与保护(项):支出决算数为2.00万元，比上年决算减少14.30万元，下降87.73%,主要原因是：本年自治区非遗专项经费（天山南北贺新春非遗年俗展）、国家级非遗传承人补助项目资金减少。</w:t>
      </w:r>
    </w:p>
    <w:p>
      <w:pPr>
        <w:spacing w:line="580" w:lineRule="exact"/>
        <w:ind w:firstLine="640"/>
        <w:jc w:val="both"/>
      </w:pPr>
      <w:r>
        <w:rPr>
          <w:rFonts w:ascii="仿宋_GB2312" w:hAnsi="仿宋_GB2312" w:eastAsia="仿宋_GB2312"/>
          <w:b w:val="0"/>
          <w:sz w:val="32"/>
        </w:rPr>
        <w:t>3.文化旅游体育与传媒支出(类)文化和旅游(款)其他文化和旅游支出(项):支出决算数为114.42万元，比上年决算增加104.42万元，增长1,044.20%,主要原因是：本年增加2024年自治区旅游发展专项资金预算（第三批）、2024年中央补助免费开放资金、 2023年中央文化人才专项经费、新疆人才发展基金2024年度第一轮支持资金等项目资金。</w:t>
      </w:r>
    </w:p>
    <w:p>
      <w:pPr>
        <w:spacing w:line="640" w:lineRule="exact"/>
        <w:ind w:firstLine="640"/>
        <w:jc w:val="both"/>
        <w:outlineLvl w:val="2"/>
      </w:pPr>
      <w:r>
        <w:rPr>
          <w:rFonts w:ascii="黑体" w:hAnsi="黑体" w:eastAsia="黑体"/>
          <w:sz w:val="32"/>
        </w:rPr>
        <w:t>六、一般公共预算财政拨款基本支出决算情况说明</w:t>
      </w:r>
    </w:p>
    <w:p>
      <w:pPr>
        <w:spacing w:line="580" w:lineRule="exact"/>
        <w:ind w:firstLine="640"/>
        <w:jc w:val="both"/>
      </w:pPr>
      <w:r>
        <w:rPr>
          <w:rFonts w:ascii="仿宋_GB2312" w:hAnsi="仿宋_GB2312" w:eastAsia="仿宋_GB2312"/>
          <w:b w:val="0"/>
          <w:sz w:val="32"/>
        </w:rPr>
        <w:t>2024年度一般公共预算财政拨款基本支出783.07万元，其中：</w:t>
      </w:r>
      <w:r>
        <w:rPr>
          <w:rFonts w:ascii="仿宋_GB2312" w:hAnsi="仿宋_GB2312" w:eastAsia="仿宋_GB2312"/>
          <w:b/>
          <w:sz w:val="32"/>
        </w:rPr>
        <w:t>人员经费709.08万元，</w:t>
      </w:r>
      <w:r>
        <w:rPr>
          <w:rFonts w:ascii="仿宋_GB2312" w:hAnsi="仿宋_GB2312" w:eastAsia="仿宋_GB2312"/>
          <w:b w:val="0"/>
          <w:sz w:val="32"/>
        </w:rPr>
        <w:t>包括：基本工资、津贴补贴、奖金、绩效工资、机关事业单位基本养老保险缴费、职业年金缴费、职工基本医疗保险缴费、公务员医疗补助缴费、其他社会保障缴费、住房公积金、退休费。</w:t>
      </w:r>
    </w:p>
    <w:p>
      <w:pPr>
        <w:spacing w:line="580" w:lineRule="exact"/>
        <w:ind w:firstLine="640"/>
        <w:jc w:val="both"/>
      </w:pPr>
      <w:r>
        <w:rPr>
          <w:rFonts w:ascii="仿宋_GB2312" w:hAnsi="仿宋_GB2312" w:eastAsia="仿宋_GB2312"/>
          <w:b/>
          <w:sz w:val="32"/>
        </w:rPr>
        <w:t>公用经费73.99万元，</w:t>
      </w:r>
      <w:r>
        <w:rPr>
          <w:rFonts w:ascii="仿宋_GB2312" w:hAnsi="仿宋_GB2312" w:eastAsia="仿宋_GB2312"/>
          <w:b w:val="0"/>
          <w:sz w:val="32"/>
        </w:rPr>
        <w:t>包括：办公费、印刷费、水费、电费、邮电费、取暖费、差旅费、维修（护）费、劳务费、工会经费、福利费、公务用车运行维护费、其他商品和服务支出。</w:t>
      </w:r>
    </w:p>
    <w:p>
      <w:pPr>
        <w:spacing w:line="640" w:lineRule="exact"/>
        <w:ind w:firstLine="640"/>
        <w:jc w:val="both"/>
        <w:outlineLvl w:val="2"/>
      </w:pPr>
      <w:r>
        <w:rPr>
          <w:rFonts w:ascii="黑体" w:hAnsi="黑体" w:eastAsia="黑体"/>
          <w:sz w:val="32"/>
        </w:rPr>
        <w:t>七、政府性基金预算财政拨款收入支出决算情况说明</w:t>
      </w:r>
    </w:p>
    <w:p>
      <w:pPr>
        <w:spacing w:line="580" w:lineRule="exact"/>
        <w:ind w:firstLine="640"/>
        <w:jc w:val="both"/>
      </w:pPr>
      <w:r>
        <w:rPr>
          <w:rFonts w:ascii="仿宋_GB2312" w:hAnsi="仿宋_GB2312" w:eastAsia="仿宋_GB2312"/>
          <w:b/>
          <w:sz w:val="32"/>
        </w:rPr>
        <w:t>2024年度政府性基金预算财政拨款收入总计73.75万元，</w:t>
      </w:r>
      <w:r>
        <w:rPr>
          <w:rFonts w:ascii="仿宋_GB2312" w:hAnsi="仿宋_GB2312" w:eastAsia="仿宋_GB2312"/>
          <w:b w:val="0"/>
          <w:sz w:val="32"/>
        </w:rPr>
        <w:t>其中：年初结转和结余0.00万元，本年收入73.75万元。</w:t>
      </w:r>
      <w:r>
        <w:rPr>
          <w:rFonts w:ascii="仿宋_GB2312" w:hAnsi="仿宋_GB2312" w:eastAsia="仿宋_GB2312"/>
          <w:b/>
          <w:sz w:val="32"/>
        </w:rPr>
        <w:t>政府性基金预算财政拨款支出总计73.75万元，</w:t>
      </w:r>
      <w:r>
        <w:rPr>
          <w:rFonts w:ascii="仿宋_GB2312" w:hAnsi="仿宋_GB2312" w:eastAsia="仿宋_GB2312"/>
          <w:b w:val="0"/>
          <w:sz w:val="32"/>
        </w:rPr>
        <w:t>其中：年末结转和结余0.00万元，本年支出73.75万元。</w:t>
      </w:r>
    </w:p>
    <w:p>
      <w:pPr>
        <w:spacing w:line="580" w:lineRule="exact"/>
        <w:ind w:firstLine="640"/>
        <w:jc w:val="both"/>
      </w:pPr>
      <w:r>
        <w:rPr>
          <w:rFonts w:ascii="仿宋_GB2312" w:hAnsi="仿宋_GB2312" w:eastAsia="仿宋_GB2312"/>
          <w:b/>
          <w:sz w:val="32"/>
        </w:rPr>
        <w:t>政府性基金预算财政拨款收入支出总体与上年相比，</w:t>
      </w:r>
      <w:r>
        <w:rPr>
          <w:rFonts w:ascii="仿宋_GB2312" w:hAnsi="仿宋_GB2312" w:eastAsia="仿宋_GB2312"/>
          <w:b w:val="0"/>
          <w:sz w:val="32"/>
        </w:rPr>
        <w:t>增加69.15万元，增长1,503.26%，主要原因是：本年增加24上级转移支付彩票---乌鲁木齐市图书馆（文化馆）数字化阅读平台建设项目、乌鲁木齐市文化旅游志愿服务补助项目资金，导致经费较上年增加。</w:t>
      </w:r>
      <w:r>
        <w:rPr>
          <w:rFonts w:ascii="仿宋_GB2312" w:hAnsi="仿宋_GB2312" w:eastAsia="仿宋_GB2312"/>
          <w:b/>
          <w:sz w:val="32"/>
        </w:rPr>
        <w:t>与年初预算相比，</w:t>
      </w:r>
      <w:r>
        <w:rPr>
          <w:rFonts w:ascii="仿宋_GB2312" w:hAnsi="仿宋_GB2312" w:eastAsia="仿宋_GB2312"/>
          <w:b w:val="0"/>
          <w:sz w:val="32"/>
        </w:rPr>
        <w:t>年初预算数0.00万元，决算数73.75万元，预决算差异率100.00%，主要原因是：年中追加24上级转移支付彩票---乌鲁木齐市图书馆（文化馆）数字化阅读平台建设项目、乌鲁木齐市文化旅游志愿服务补助项目资金，导致预决算存在差异。</w:t>
      </w:r>
    </w:p>
    <w:p>
      <w:pPr>
        <w:spacing w:line="580" w:lineRule="exact"/>
        <w:ind w:firstLine="640"/>
        <w:jc w:val="both"/>
      </w:pPr>
      <w:r>
        <w:rPr>
          <w:rFonts w:ascii="仿宋_GB2312" w:hAnsi="仿宋_GB2312" w:eastAsia="仿宋_GB2312"/>
          <w:b w:val="0"/>
          <w:sz w:val="32"/>
        </w:rPr>
        <w:t>政府性基金预算财政拨款支出73.75万元。</w:t>
      </w:r>
    </w:p>
    <w:p>
      <w:pPr>
        <w:spacing w:line="580" w:lineRule="exact"/>
        <w:ind w:firstLine="640"/>
        <w:jc w:val="both"/>
      </w:pPr>
      <w:r>
        <w:rPr>
          <w:rFonts w:ascii="仿宋_GB2312" w:hAnsi="仿宋_GB2312" w:eastAsia="仿宋_GB2312"/>
          <w:b w:val="0"/>
          <w:sz w:val="32"/>
        </w:rPr>
        <w:t>1.其他支出(类)彩票公益金安排的支出(款)用于文化事业的彩票公益金支出(项):支出决算数为73.75万元，比上年决算增加69.15万元，增长1,503.26%,主要原因是：本年增加24上级转移支付彩票---乌鲁木齐市图书馆（文化馆）数字化阅读平台建设项目、乌鲁木齐市文化旅游志愿服务补助项目资金，导致经费较上年增加。</w:t>
      </w:r>
    </w:p>
    <w:p>
      <w:pPr>
        <w:spacing w:line="640" w:lineRule="exact"/>
        <w:ind w:firstLine="640"/>
        <w:jc w:val="both"/>
        <w:outlineLvl w:val="2"/>
      </w:pPr>
      <w:r>
        <w:rPr>
          <w:rFonts w:ascii="黑体" w:hAnsi="黑体" w:eastAsia="黑体"/>
          <w:sz w:val="32"/>
        </w:rPr>
        <w:t>八、国有资本经营预算财政拨款收入支出决算情况说明</w:t>
      </w:r>
    </w:p>
    <w:p>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pPr>
        <w:spacing w:line="640" w:lineRule="exact"/>
        <w:ind w:firstLine="640"/>
        <w:jc w:val="both"/>
        <w:outlineLvl w:val="2"/>
      </w:pPr>
      <w:r>
        <w:rPr>
          <w:rFonts w:ascii="黑体" w:hAnsi="黑体" w:eastAsia="黑体"/>
          <w:sz w:val="32"/>
        </w:rPr>
        <w:t>九、财政拨款“三公”经费支出决算情况说明</w:t>
      </w:r>
    </w:p>
    <w:p>
      <w:pPr>
        <w:spacing w:line="580" w:lineRule="exact"/>
        <w:ind w:firstLine="640"/>
        <w:jc w:val="both"/>
      </w:pPr>
      <w:r>
        <w:rPr>
          <w:rFonts w:ascii="仿宋_GB2312" w:hAnsi="仿宋_GB2312" w:eastAsia="仿宋_GB2312"/>
          <w:b/>
          <w:sz w:val="32"/>
        </w:rPr>
        <w:t>2024年度财政拨款“三公”经费支出3.50万元，</w:t>
      </w:r>
      <w:r>
        <w:rPr>
          <w:rFonts w:ascii="仿宋_GB2312" w:hAnsi="仿宋_GB2312" w:eastAsia="仿宋_GB2312"/>
          <w:b w:val="0"/>
          <w:sz w:val="32"/>
        </w:rPr>
        <w:t>比上年增加0.03万元，增长0.86%，主要原因是：本年车辆维修费增加，导致公务用车运行维护费较上年增加。</w:t>
      </w:r>
      <w:r>
        <w:rPr>
          <w:rFonts w:ascii="仿宋_GB2312" w:hAnsi="仿宋_GB2312" w:eastAsia="仿宋_GB2312"/>
          <w:b w:val="0"/>
          <w:sz w:val="32"/>
        </w:rPr>
        <w:t>其中：因公出国（境）费支出0.00万元，占0.00%，比上年增加0.00万元，增长0.00%，主要原因是：2023年与2024年均未安排因公出国（境）费支出。</w:t>
      </w:r>
      <w:r>
        <w:rPr>
          <w:rFonts w:ascii="仿宋_GB2312" w:hAnsi="仿宋_GB2312" w:eastAsia="仿宋_GB2312"/>
          <w:b w:val="0"/>
          <w:sz w:val="32"/>
        </w:rPr>
        <w:t>公务用车购置及运行维护费支出3.50万元，占100.00%，比上年增加0.03万元，增长0.86%，主要原因是：本年车辆维修费增加，导致公务用车运行维护费较上年增加。</w:t>
      </w:r>
      <w:r>
        <w:rPr>
          <w:rFonts w:ascii="仿宋_GB2312" w:hAnsi="仿宋_GB2312" w:eastAsia="仿宋_GB2312"/>
          <w:b w:val="0"/>
          <w:sz w:val="32"/>
        </w:rPr>
        <w:t>公务接待费支出0.00万元，占0.00%，比上年增加0.00万元，增长0.00%，主要原因是：2023年与2024年均未安排公务接待费支出。</w:t>
      </w:r>
    </w:p>
    <w:p>
      <w:pPr>
        <w:spacing w:line="580" w:lineRule="exact"/>
        <w:ind w:firstLine="640"/>
        <w:jc w:val="both"/>
      </w:pPr>
      <w:r>
        <w:rPr>
          <w:rFonts w:ascii="仿宋_GB2312" w:hAnsi="仿宋_GB2312" w:eastAsia="仿宋_GB2312"/>
          <w:b/>
          <w:sz w:val="32"/>
        </w:rPr>
        <w:t>具体情况如下：</w:t>
      </w:r>
    </w:p>
    <w:p>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pPr>
        <w:spacing w:line="580" w:lineRule="exact"/>
        <w:ind w:firstLine="640"/>
        <w:jc w:val="both"/>
      </w:pPr>
      <w:r>
        <w:rPr>
          <w:rFonts w:ascii="仿宋_GB2312" w:hAnsi="仿宋_GB2312" w:eastAsia="仿宋_GB2312"/>
          <w:b w:val="0"/>
          <w:sz w:val="32"/>
        </w:rPr>
        <w:t>公务用车购置及运行维护费3.50万元，其中：公务用车购置费0.00万元，公务用车运行维护费3.50万元。公务用车运行维护费开支内容包括车辆维修费。公务用车购置数0辆，公务用车保有量2辆。国有资产占用情况中固定资产车辆2辆，与公务用车保有量差异原因是：本单位固定资产车辆与公务用车保有量一致无差异。</w:t>
      </w:r>
    </w:p>
    <w:p>
      <w:pPr>
        <w:spacing w:line="580" w:lineRule="exact"/>
        <w:ind w:firstLine="640"/>
        <w:jc w:val="both"/>
      </w:pPr>
      <w:r>
        <w:rPr>
          <w:rFonts w:ascii="仿宋_GB2312" w:hAnsi="仿宋_GB2312" w:eastAsia="仿宋_GB2312"/>
          <w:b w:val="0"/>
          <w:sz w:val="32"/>
        </w:rPr>
        <w:t>公务接待费0.00万元，开支内容包括本单位无公务接待费。单位全年安排的国内公务接待0批次，0人次。</w:t>
      </w:r>
    </w:p>
    <w:p>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3.78万元，决算数3.50万元，预决算差异率-7.41%，主要原因是：严格落实中央八项规定精神，厉行节约，减少经费支出。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3.78万元，决算数3.50万元，预决算差异率-7.41%，主要原因是：严格落实中央八项规定精神，厉行节约，减少经费支出。公务接待费全年预算数0.00万元，决算数0.00万元，预决算差异率0.00%，主要原因是：本单位无公务接待费。</w:t>
      </w:r>
    </w:p>
    <w:p>
      <w:pPr>
        <w:spacing w:line="640" w:lineRule="exact"/>
        <w:ind w:firstLine="640"/>
        <w:jc w:val="both"/>
        <w:outlineLvl w:val="2"/>
      </w:pPr>
      <w:r>
        <w:rPr>
          <w:rFonts w:ascii="黑体" w:hAnsi="黑体" w:eastAsia="黑体"/>
          <w:sz w:val="32"/>
        </w:rPr>
        <w:t>十、其他重要事项的情况说明</w:t>
      </w:r>
    </w:p>
    <w:p>
      <w:pPr>
        <w:spacing w:line="640" w:lineRule="exact"/>
        <w:ind w:firstLine="640"/>
        <w:jc w:val="both"/>
        <w:outlineLvl w:val="3"/>
      </w:pPr>
      <w:r>
        <w:rPr>
          <w:rFonts w:ascii="楷体_GB2312" w:hAnsi="楷体_GB2312" w:eastAsia="楷体_GB2312"/>
          <w:b/>
          <w:sz w:val="32"/>
        </w:rPr>
        <w:t>（一）机关运行经费及公用经费支出情况</w:t>
      </w:r>
    </w:p>
    <w:p>
      <w:pPr>
        <w:spacing w:line="580" w:lineRule="exact"/>
        <w:ind w:firstLine="640"/>
        <w:jc w:val="both"/>
      </w:pPr>
      <w:r>
        <w:rPr>
          <w:rFonts w:ascii="仿宋_GB2312" w:hAnsi="仿宋_GB2312" w:eastAsia="仿宋_GB2312"/>
          <w:b w:val="0"/>
          <w:sz w:val="32"/>
        </w:rPr>
        <w:t>2024年度乌鲁木齐市文化馆（乌鲁木齐市非物质文化遗产保护中心）（事业单位）公用经费支出73.99万元，比上年增加20.41万元，增长38.09%，主要原因是：本年由于业务量增加，导致办公费、印刷费、水费、电费、邮电费、其他商品和服务支出较上年增加。</w:t>
      </w:r>
    </w:p>
    <w:p>
      <w:pPr>
        <w:spacing w:line="640" w:lineRule="exact"/>
        <w:ind w:firstLine="640"/>
        <w:jc w:val="both"/>
        <w:outlineLvl w:val="3"/>
      </w:pPr>
      <w:r>
        <w:rPr>
          <w:rFonts w:ascii="楷体_GB2312" w:hAnsi="楷体_GB2312" w:eastAsia="楷体_GB2312"/>
          <w:b/>
          <w:sz w:val="32"/>
        </w:rPr>
        <w:t>（二）政府采购情况</w:t>
      </w:r>
    </w:p>
    <w:p>
      <w:pPr>
        <w:spacing w:line="580" w:lineRule="exact"/>
        <w:ind w:firstLine="640"/>
        <w:jc w:val="both"/>
      </w:pPr>
      <w:r>
        <w:rPr>
          <w:rFonts w:ascii="仿宋_GB2312" w:hAnsi="仿宋_GB2312" w:eastAsia="仿宋_GB2312"/>
          <w:b w:val="0"/>
          <w:sz w:val="32"/>
        </w:rPr>
        <w:t>2024年度政府采购支出总额74.32万元，其中：政府采购货物支出60.73万元、政府采购工程支出0.00万元、政府采购服务支出13.59万元。</w:t>
      </w:r>
    </w:p>
    <w:p>
      <w:pPr>
        <w:spacing w:line="580" w:lineRule="exact"/>
        <w:ind w:firstLine="640"/>
        <w:jc w:val="both"/>
      </w:pPr>
      <w:r>
        <w:rPr>
          <w:rFonts w:ascii="仿宋_GB2312" w:hAnsi="仿宋_GB2312" w:eastAsia="仿宋_GB2312"/>
          <w:b w:val="0"/>
          <w:sz w:val="32"/>
        </w:rPr>
        <w:t>授予中小企业合同金额74.32万元，占政府采购支出总额的100.00%，其中：授予小微企业合同金额71.59万元，占政府采购支出总额的96.33%。</w:t>
      </w:r>
    </w:p>
    <w:p>
      <w:pPr>
        <w:spacing w:line="640" w:lineRule="exact"/>
        <w:ind w:firstLine="640"/>
        <w:jc w:val="both"/>
        <w:outlineLvl w:val="3"/>
      </w:pPr>
      <w:r>
        <w:rPr>
          <w:rFonts w:ascii="楷体_GB2312" w:hAnsi="楷体_GB2312" w:eastAsia="楷体_GB2312"/>
          <w:b/>
          <w:sz w:val="32"/>
        </w:rPr>
        <w:t>（三）国有资产占用情况说明</w:t>
      </w:r>
    </w:p>
    <w:p>
      <w:pPr>
        <w:spacing w:line="580" w:lineRule="exact"/>
        <w:ind w:firstLine="640"/>
        <w:jc w:val="both"/>
      </w:pPr>
      <w:r>
        <w:rPr>
          <w:rFonts w:ascii="仿宋_GB2312" w:hAnsi="仿宋_GB2312" w:eastAsia="仿宋_GB2312"/>
          <w:b w:val="0"/>
          <w:sz w:val="32"/>
        </w:rPr>
        <w:t>截至2024年12月31日，房屋80.00平方米，价值7.68万元。车辆2辆，价值30.04万元，其中：副部（省）级及以上领导用车0辆、主要负责人用车0辆、机要通信用车0辆、应急保障用车0辆、执法执勤用车0辆、特种专业技术用车0辆、离退休干部服务用车0辆、其他用车2辆，其他用车主要是：单位公务用车。单价100万元（含）以上设备（不含车辆）0台（套）。</w:t>
      </w:r>
    </w:p>
    <w:p>
      <w:pPr>
        <w:spacing w:line="640" w:lineRule="exact"/>
        <w:ind w:firstLine="640"/>
        <w:jc w:val="both"/>
        <w:outlineLvl w:val="2"/>
      </w:pPr>
      <w:r>
        <w:rPr>
          <w:rFonts w:ascii="黑体" w:hAnsi="黑体" w:eastAsia="黑体"/>
          <w:sz w:val="32"/>
        </w:rPr>
        <w:t>十一、预算绩效的情况说明</w:t>
      </w:r>
    </w:p>
    <w:p>
      <w:pPr>
        <w:spacing w:line="580" w:lineRule="exact"/>
        <w:ind w:firstLine="640"/>
        <w:jc w:val="both"/>
      </w:pPr>
      <w:r>
        <w:rPr>
          <w:rFonts w:ascii="仿宋_GB2312" w:hAnsi="仿宋_GB2312" w:eastAsia="仿宋_GB2312"/>
          <w:b w:val="0"/>
          <w:sz w:val="32"/>
        </w:rPr>
        <w:t>根据预算绩效管理要求，本单位预算绩效评价项目11个，全年预算数180.76万元，全年执行数179.30万元。预算绩效管理取得的成效：一是提高预算管理水平；二是提升了实施效果。三是严格控制资金的流出方向，确保资金的合规性。发现的问题及原因：一是绩效评价方法单一；二是评价的结果难以落实。预算精细化管理还需完善，预算编制管理水平仍有进一步提升的空间。下一步改进措施：一是强化预算工作执行力度；二是内控与绩效有机结合。加强学习。进一步明确如何参照考核体系，科学合理设定绩效目标，充分发挥预算绩效管理工作效用。具体附项目支出绩效自评表。</w:t>
      </w:r>
    </w:p>
    <w:p>
      <w:r>
        <w:br w:type="page"/>
      </w:r>
    </w:p>
    <w:tbl>
      <w:tblPr>
        <w:tblW w:type="auto" w:w="0"/>
        <w:tblLook w:firstColumn="1" w:firstRow="1" w:lastColumn="0" w:lastRow="0" w:noHBand="0" w:noVBand="1" w:val="04A0"/>
      </w:tblPr>
      <w:tblGrid>
        <w:gridCol w:w="983"/>
        <w:gridCol w:w="983"/>
        <w:gridCol w:w="983"/>
        <w:gridCol w:w="983"/>
        <w:gridCol w:w="983"/>
        <w:gridCol w:w="983"/>
        <w:gridCol w:w="983"/>
        <w:gridCol w:w="983"/>
        <w:gridCol w:w="983"/>
      </w:tblGrid>
      <w:tr>
        <w:tc>
          <w:tcPr>
            <w:tcW w:type="dxa" w:w="8847"/>
            <w:gridSpan w:val="9"/>
            <w:vAlign w:val="center"/>
          </w:tcPr>
          <w:p>
            <w:pPr>
              <w:jc w:val="center"/>
            </w:pPr>
            <w:r>
              <w:rPr>
                <w:rFonts w:ascii="宋体" w:hAnsi="宋体" w:eastAsia="宋体"/>
                <w:sz w:val="24"/>
              </w:rPr>
              <w:t>项目支出绩效自评表</w:t>
            </w:r>
          </w:p>
        </w:tc>
      </w:tr>
      <w:tr>
        <w:tc>
          <w:tcPr>
            <w:tcW w:type="dxa" w:w="8847"/>
            <w:gridSpan w:val="9"/>
            <w:vAlign w:val="center"/>
          </w:tcPr>
          <w:p>
            <w:pPr>
              <w:jc w:val="center"/>
            </w:pPr>
            <w:r>
              <w:rPr>
                <w:rFonts w:ascii="宋体" w:hAnsi="宋体" w:eastAsia="宋体"/>
                <w:sz w:val="24"/>
              </w:rPr>
              <w:t>(2024年度)</w:t>
            </w:r>
          </w:p>
        </w:tc>
      </w:tr>
      <w:tr>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项目名称</w:t>
            </w:r>
          </w:p>
        </w:tc>
        <w:tc>
          <w:tcPr>
            <w:tcW w:type="dxa" w:w="7864"/>
            <w:gridSpan w:val="8"/>
            <w:tcBorders>
              <w:start w:sz="10" w:val="single"/>
              <w:top w:sz="10" w:val="single"/>
              <w:end w:sz="10" w:val="single"/>
              <w:bottom w:sz="10" w:val="single"/>
              <w:insideV w:sz="10" w:val="single"/>
            </w:tcBorders>
            <w:vAlign w:val="center"/>
          </w:tcPr>
          <w:p>
            <w:pPr>
              <w:jc w:val="center"/>
            </w:pPr>
            <w:r>
              <w:rPr>
                <w:rFonts w:ascii="宋体" w:hAnsi="宋体" w:eastAsia="宋体"/>
                <w:sz w:val="16"/>
              </w:rPr>
              <w:t>2024年度自治区旅游发展专项（第三批）--“演出+”文旅融合、迎春灯会等系列活动</w:t>
            </w:r>
          </w:p>
        </w:tc>
      </w:tr>
      <w:tr>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主管部门</w:t>
            </w:r>
          </w:p>
        </w:tc>
        <w:tc>
          <w:tcPr>
            <w:tcW w:type="dxa" w:w="2949"/>
            <w:gridSpan w:val="3"/>
            <w:tcBorders>
              <w:start w:sz="10" w:val="single"/>
              <w:top w:sz="10" w:val="single"/>
              <w:end w:sz="10" w:val="single"/>
              <w:bottom w:sz="10" w:val="single"/>
              <w:insideV w:sz="10" w:val="single"/>
            </w:tcBorders>
            <w:vAlign w:val="center"/>
          </w:tcPr>
          <w:p>
            <w:pPr>
              <w:jc w:val="center"/>
            </w:pPr>
            <w:r>
              <w:rPr>
                <w:rFonts w:ascii="宋体" w:hAnsi="宋体" w:eastAsia="宋体"/>
                <w:sz w:val="16"/>
              </w:rPr>
              <w:t>乌鲁木齐市文化和旅游局（乌鲁木齐市文物局）</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实施单位</w:t>
            </w:r>
          </w:p>
        </w:tc>
        <w:tc>
          <w:tcPr>
            <w:tcW w:type="dxa" w:w="3932"/>
            <w:gridSpan w:val="4"/>
            <w:tcBorders>
              <w:start w:sz="10" w:val="single"/>
              <w:top w:sz="10" w:val="single"/>
              <w:end w:sz="10" w:val="single"/>
              <w:bottom w:sz="10" w:val="single"/>
              <w:insideV w:sz="10" w:val="single"/>
            </w:tcBorders>
            <w:vAlign w:val="center"/>
          </w:tcPr>
          <w:p>
            <w:pPr>
              <w:jc w:val="center"/>
            </w:pPr>
            <w:r>
              <w:rPr>
                <w:rFonts w:ascii="宋体" w:hAnsi="宋体" w:eastAsia="宋体"/>
                <w:sz w:val="16"/>
              </w:rPr>
              <w:t>乌鲁木齐市文化馆（乌鲁木齐市非物质文化遗产保护中心）</w:t>
            </w:r>
          </w:p>
        </w:tc>
      </w:tr>
      <w:tr>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项目资金 （万元）</w:t>
            </w: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年度资金总额</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75.00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3.38</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3.38</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10.00分</w:t>
            </w:r>
          </w:p>
        </w:tc>
      </w:tr>
      <w:tr>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其中：当年财政拨款</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75.00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3.38</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3.38</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 xml:space="preserve">  其他资金</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2949"/>
            <w:gridSpan w:val="3"/>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4915"/>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983"/>
            <w:vMerge/>
            <w:tcBorders>
              <w:start w:sz="10" w:val="single"/>
              <w:top w:sz="10" w:val="single"/>
              <w:end w:sz="10" w:val="single"/>
              <w:bottom w:sz="10" w:val="single"/>
              <w:insideV w:sz="10" w:val="single"/>
            </w:tcBorders>
          </w:tcPr>
          <w:p/>
        </w:tc>
        <w:tc>
          <w:tcPr>
            <w:tcW w:type="dxa" w:w="2949"/>
            <w:gridSpan w:val="3"/>
            <w:tcBorders>
              <w:start w:sz="10" w:val="single"/>
              <w:top w:sz="10" w:val="single"/>
              <w:end w:sz="10" w:val="single"/>
              <w:bottom w:sz="10" w:val="single"/>
              <w:insideV w:sz="10" w:val="single"/>
            </w:tcBorders>
            <w:vAlign w:val="center"/>
          </w:tcPr>
          <w:p>
            <w:pPr>
              <w:jc w:val="both"/>
            </w:pPr>
            <w:r>
              <w:rPr>
                <w:rFonts w:ascii="宋体" w:hAnsi="宋体" w:eastAsia="宋体"/>
                <w:sz w:val="16"/>
              </w:rPr>
              <w:t>2024年计划组织实施“演出+”文旅融合项目。内容包括优秀传统文化进景区演出不少于5场次、“高精尖”人才培训不少于1期等系列活动。</w:t>
            </w:r>
          </w:p>
        </w:tc>
        <w:tc>
          <w:tcPr>
            <w:tcW w:type="dxa" w:w="4915"/>
            <w:gridSpan w:val="5"/>
            <w:tcBorders>
              <w:start w:sz="10" w:val="single"/>
              <w:top w:sz="10" w:val="single"/>
              <w:end w:sz="10" w:val="single"/>
              <w:bottom w:sz="10" w:val="single"/>
              <w:insideV w:sz="10" w:val="single"/>
            </w:tcBorders>
            <w:vAlign w:val="center"/>
          </w:tcPr>
          <w:p>
            <w:pPr>
              <w:jc w:val="both"/>
            </w:pPr>
            <w:r>
              <w:rPr>
                <w:rFonts w:ascii="宋体" w:hAnsi="宋体" w:eastAsia="宋体"/>
                <w:sz w:val="16"/>
              </w:rPr>
              <w:t>单位组织组织实施“演出+”文旅融合项目，内容包括优秀传统文化进景区演出5场次、“高精尖”人才培训1期系列活动。</w:t>
            </w:r>
          </w:p>
        </w:tc>
      </w:tr>
      <w:tr>
        <w:tc>
          <w:tcPr>
            <w:tcW w:type="dxa" w:w="983"/>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年度指标值</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实际完成值</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偏差原因分析及改进措施</w:t>
            </w:r>
          </w:p>
        </w:tc>
      </w:tr>
      <w:tr>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年度绩效指标完成情况</w:t>
            </w:r>
          </w:p>
        </w:tc>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产出指标</w:t>
            </w:r>
          </w:p>
        </w:tc>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演出场次</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&gt;=5场次</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=5场次</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人才培训</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&gt;=1期</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=1期</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演出到场率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&gt;=99%</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演出活动参与人数众多，超出预期目标。</w:t>
            </w:r>
          </w:p>
        </w:tc>
      </w:tr>
      <w:tr>
        <w:tc>
          <w:tcPr>
            <w:tcW w:type="dxa" w:w="983"/>
            <w:vMerge/>
            <w:tcBorders>
              <w:start w:sz="10" w:val="single"/>
              <w:top w:sz="10" w:val="single"/>
              <w:end w:sz="10" w:val="single"/>
              <w:bottom w:sz="10" w:val="single"/>
              <w:insideV w:sz="10" w:val="single"/>
            </w:tcBorders>
          </w:tcPr>
          <w:p/>
        </w:tc>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成本指标</w:t>
            </w:r>
          </w:p>
        </w:tc>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经济成本指标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演出租赁服装、音响、车辆、舞台搭建等</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&lt;=3.36万元</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=3.36万元</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培训费</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&lt;=0.02万元</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=0.02万元</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983"/>
            <w:vMerge/>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效益指标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社会效益指标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文旅融合有效提升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有效提升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完全达到预期</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983"/>
            <w:vMerge/>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群众满意度（%）</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&gt;=94%</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=95%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活动内容丰富，群众满意度高。</w:t>
            </w:r>
          </w:p>
        </w:tc>
      </w:tr>
      <w:tr>
        <w:tc>
          <w:tcPr>
            <w:tcW w:type="dxa" w:w="4915"/>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总分</w:t>
            </w:r>
          </w:p>
        </w:tc>
        <w:tc>
          <w:tcPr>
            <w:tcW w:type="dxa" w:w="983"/>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100.00分</w:t>
            </w:r>
          </w:p>
        </w:tc>
        <w:tc>
          <w:tcPr>
            <w:tcW w:type="dxa" w:w="983"/>
            <w:tcBorders>
              <w:start w:sz="10" w:val="single"/>
              <w:top w:sz="10" w:val="single"/>
              <w:end w:sz="10" w:val="single"/>
              <w:bottom w:sz="10" w:val="single"/>
              <w:insideV w:sz="10" w:val="single"/>
            </w:tcBorders>
          </w:tcPr>
          <w:p/>
        </w:tc>
      </w:tr>
    </w:tbl>
    <w:p>
      <w:r>
        <w:br w:type="page"/>
      </w:r>
    </w:p>
    <w:tbl>
      <w:tblPr>
        <w:tblW w:type="auto" w:w="0"/>
        <w:tblLook w:firstColumn="1" w:firstRow="1" w:lastColumn="0" w:lastRow="0" w:noHBand="0" w:noVBand="1" w:val="04A0"/>
      </w:tblPr>
      <w:tblGrid>
        <w:gridCol w:w="983"/>
        <w:gridCol w:w="983"/>
        <w:gridCol w:w="983"/>
        <w:gridCol w:w="983"/>
        <w:gridCol w:w="983"/>
        <w:gridCol w:w="983"/>
        <w:gridCol w:w="983"/>
        <w:gridCol w:w="983"/>
        <w:gridCol w:w="983"/>
      </w:tblGrid>
      <w:tr>
        <w:tc>
          <w:tcPr>
            <w:tcW w:type="dxa" w:w="8847"/>
            <w:gridSpan w:val="9"/>
            <w:vAlign w:val="center"/>
          </w:tcPr>
          <w:p>
            <w:pPr>
              <w:jc w:val="center"/>
            </w:pPr>
            <w:r>
              <w:rPr>
                <w:rFonts w:ascii="宋体" w:hAnsi="宋体" w:eastAsia="宋体"/>
                <w:sz w:val="24"/>
              </w:rPr>
              <w:t>项目支出绩效自评表</w:t>
            </w:r>
          </w:p>
        </w:tc>
      </w:tr>
      <w:tr>
        <w:tc>
          <w:tcPr>
            <w:tcW w:type="dxa" w:w="8847"/>
            <w:gridSpan w:val="9"/>
            <w:vAlign w:val="center"/>
          </w:tcPr>
          <w:p>
            <w:pPr>
              <w:jc w:val="center"/>
            </w:pPr>
            <w:r>
              <w:rPr>
                <w:rFonts w:ascii="宋体" w:hAnsi="宋体" w:eastAsia="宋体"/>
                <w:sz w:val="24"/>
              </w:rPr>
              <w:t>(2024年度)</w:t>
            </w:r>
          </w:p>
        </w:tc>
      </w:tr>
      <w:tr>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项目名称</w:t>
            </w:r>
          </w:p>
        </w:tc>
        <w:tc>
          <w:tcPr>
            <w:tcW w:type="dxa" w:w="7864"/>
            <w:gridSpan w:val="8"/>
            <w:tcBorders>
              <w:start w:sz="10" w:val="single"/>
              <w:top w:sz="10" w:val="single"/>
              <w:end w:sz="10" w:val="single"/>
              <w:bottom w:sz="10" w:val="single"/>
              <w:insideV w:sz="10" w:val="single"/>
            </w:tcBorders>
            <w:vAlign w:val="center"/>
          </w:tcPr>
          <w:p>
            <w:pPr>
              <w:jc w:val="center"/>
            </w:pPr>
            <w:r>
              <w:rPr>
                <w:rFonts w:ascii="宋体" w:hAnsi="宋体" w:eastAsia="宋体"/>
                <w:sz w:val="16"/>
              </w:rPr>
              <w:t>2023年中央文化人才专项（上年结转资金）</w:t>
            </w:r>
          </w:p>
        </w:tc>
      </w:tr>
      <w:tr>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主管部门</w:t>
            </w:r>
          </w:p>
        </w:tc>
        <w:tc>
          <w:tcPr>
            <w:tcW w:type="dxa" w:w="2949"/>
            <w:gridSpan w:val="3"/>
            <w:tcBorders>
              <w:start w:sz="10" w:val="single"/>
              <w:top w:sz="10" w:val="single"/>
              <w:end w:sz="10" w:val="single"/>
              <w:bottom w:sz="10" w:val="single"/>
              <w:insideV w:sz="10" w:val="single"/>
            </w:tcBorders>
            <w:vAlign w:val="center"/>
          </w:tcPr>
          <w:p>
            <w:pPr>
              <w:jc w:val="center"/>
            </w:pPr>
            <w:r>
              <w:rPr>
                <w:rFonts w:ascii="宋体" w:hAnsi="宋体" w:eastAsia="宋体"/>
                <w:sz w:val="16"/>
              </w:rPr>
              <w:t>乌鲁木齐市文化和旅游局（乌鲁木齐市文物局）</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实施单位</w:t>
            </w:r>
          </w:p>
        </w:tc>
        <w:tc>
          <w:tcPr>
            <w:tcW w:type="dxa" w:w="3932"/>
            <w:gridSpan w:val="4"/>
            <w:tcBorders>
              <w:start w:sz="10" w:val="single"/>
              <w:top w:sz="10" w:val="single"/>
              <w:end w:sz="10" w:val="single"/>
              <w:bottom w:sz="10" w:val="single"/>
              <w:insideV w:sz="10" w:val="single"/>
            </w:tcBorders>
            <w:vAlign w:val="center"/>
          </w:tcPr>
          <w:p>
            <w:pPr>
              <w:jc w:val="center"/>
            </w:pPr>
            <w:r>
              <w:rPr>
                <w:rFonts w:ascii="宋体" w:hAnsi="宋体" w:eastAsia="宋体"/>
                <w:sz w:val="16"/>
              </w:rPr>
              <w:t>乌鲁木齐市文化馆（乌鲁木齐市非物质文化遗产保护中心）</w:t>
            </w:r>
          </w:p>
        </w:tc>
      </w:tr>
      <w:tr>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项目资金 （万元）</w:t>
            </w: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年度资金总额</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16.00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11.13</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11.13</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10.00分</w:t>
            </w:r>
          </w:p>
        </w:tc>
      </w:tr>
      <w:tr>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其中：当年财政拨款</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 xml:space="preserve">  其他资金</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16.00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11.13</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11.13</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2949"/>
            <w:gridSpan w:val="3"/>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4915"/>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983"/>
            <w:vMerge/>
            <w:tcBorders>
              <w:start w:sz="10" w:val="single"/>
              <w:top w:sz="10" w:val="single"/>
              <w:end w:sz="10" w:val="single"/>
              <w:bottom w:sz="10" w:val="single"/>
              <w:insideV w:sz="10" w:val="single"/>
            </w:tcBorders>
          </w:tcPr>
          <w:p/>
        </w:tc>
        <w:tc>
          <w:tcPr>
            <w:tcW w:type="dxa" w:w="2949"/>
            <w:gridSpan w:val="3"/>
            <w:tcBorders>
              <w:start w:sz="10" w:val="single"/>
              <w:top w:sz="10" w:val="single"/>
              <w:end w:sz="10" w:val="single"/>
              <w:bottom w:sz="10" w:val="single"/>
              <w:insideV w:sz="10" w:val="single"/>
            </w:tcBorders>
            <w:vAlign w:val="center"/>
          </w:tcPr>
          <w:p>
            <w:pPr>
              <w:jc w:val="both"/>
            </w:pPr>
            <w:r>
              <w:rPr>
                <w:rFonts w:ascii="宋体" w:hAnsi="宋体" w:eastAsia="宋体"/>
                <w:sz w:val="16"/>
              </w:rPr>
              <w:t>坚持文化服务重心下沉，以各族群众喜闻乐见的文化活动形式，选派8名文化旅游工作者组织开展红山文艺轻骑兵宣讲活动8场次，惠及群众500人次；开展群众性文体活动8场次，参与群众500人次。开展基层专业人员业务培训10课时，全区各级公共图书馆、文化馆（站）累计开展各类群众文化活动8场，服务群众500人次。</w:t>
            </w:r>
          </w:p>
        </w:tc>
        <w:tc>
          <w:tcPr>
            <w:tcW w:type="dxa" w:w="4915"/>
            <w:gridSpan w:val="5"/>
            <w:tcBorders>
              <w:start w:sz="10" w:val="single"/>
              <w:top w:sz="10" w:val="single"/>
              <w:end w:sz="10" w:val="single"/>
              <w:bottom w:sz="10" w:val="single"/>
              <w:insideV w:sz="10" w:val="single"/>
            </w:tcBorders>
            <w:vAlign w:val="center"/>
          </w:tcPr>
          <w:p>
            <w:pPr>
              <w:jc w:val="both"/>
            </w:pPr>
            <w:r>
              <w:rPr>
                <w:rFonts w:ascii="宋体" w:hAnsi="宋体" w:eastAsia="宋体"/>
                <w:sz w:val="16"/>
              </w:rPr>
              <w:t>坚持文化服务重心下沉，以各族群众喜闻乐见的文化活动形式，选派8名文化旅游工作者联系七区一县11个文化大院组织开展红山文艺轻骑兵宣讲活动11场次，开展群众性文体活动11场次，参与群众500人次。</w:t>
            </w:r>
          </w:p>
        </w:tc>
      </w:tr>
      <w:tr>
        <w:tc>
          <w:tcPr>
            <w:tcW w:type="dxa" w:w="983"/>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年度指标值</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实际完成值</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偏差原因分析及改进措施</w:t>
            </w:r>
          </w:p>
        </w:tc>
      </w:tr>
      <w:tr>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年度绩效指标完成情况</w:t>
            </w:r>
          </w:p>
        </w:tc>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产出指标</w:t>
            </w:r>
          </w:p>
        </w:tc>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开展宣讲活动</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&gt;=8场次</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=11场次</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开展活动积极性较高，远远超出了计划任务</w:t>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开展群众性文体活动</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&gt;=8场次</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=11场次</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开展活动积极性较高，远远超出了计划任务</w:t>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选派文化旅游工作者服务基层</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=8人</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=8人</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选派人员到岗率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&gt;=95%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选派人员到岗情况非常好</w:t>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活动完成率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&gt;=90%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开展活动完成情况超出预想的好</w:t>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时效指标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项目按时完成及时率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&gt;=90%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983"/>
            <w:vMerge/>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效益指标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社会效益指标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选派文化旅游工作者服务基层对基层文化旅游事业发展的作用</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提升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完全达到预期</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30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30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983"/>
            <w:vMerge/>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群众满意度</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&gt;=90%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=93%</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群众对文化活动的满意度较高</w:t>
            </w:r>
          </w:p>
        </w:tc>
      </w:tr>
      <w:tr>
        <w:tc>
          <w:tcPr>
            <w:tcW w:type="dxa" w:w="4915"/>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总分</w:t>
            </w:r>
          </w:p>
        </w:tc>
        <w:tc>
          <w:tcPr>
            <w:tcW w:type="dxa" w:w="983"/>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100.00分</w:t>
            </w:r>
          </w:p>
        </w:tc>
        <w:tc>
          <w:tcPr>
            <w:tcW w:type="dxa" w:w="983"/>
            <w:tcBorders>
              <w:start w:sz="10" w:val="single"/>
              <w:top w:sz="10" w:val="single"/>
              <w:end w:sz="10" w:val="single"/>
              <w:bottom w:sz="10" w:val="single"/>
              <w:insideV w:sz="10" w:val="single"/>
            </w:tcBorders>
          </w:tcPr>
          <w:p/>
        </w:tc>
      </w:tr>
    </w:tbl>
    <w:p>
      <w:r>
        <w:br w:type="page"/>
      </w:r>
    </w:p>
    <w:tbl>
      <w:tblPr>
        <w:tblW w:type="auto" w:w="0"/>
        <w:tblLook w:firstColumn="1" w:firstRow="1" w:lastColumn="0" w:lastRow="0" w:noHBand="0" w:noVBand="1" w:val="04A0"/>
      </w:tblPr>
      <w:tblGrid>
        <w:gridCol w:w="983"/>
        <w:gridCol w:w="983"/>
        <w:gridCol w:w="983"/>
        <w:gridCol w:w="983"/>
        <w:gridCol w:w="983"/>
        <w:gridCol w:w="983"/>
        <w:gridCol w:w="983"/>
        <w:gridCol w:w="983"/>
        <w:gridCol w:w="983"/>
      </w:tblGrid>
      <w:tr>
        <w:tc>
          <w:tcPr>
            <w:tcW w:type="dxa" w:w="8847"/>
            <w:gridSpan w:val="9"/>
            <w:vAlign w:val="center"/>
          </w:tcPr>
          <w:p>
            <w:pPr>
              <w:jc w:val="center"/>
            </w:pPr>
            <w:r>
              <w:rPr>
                <w:rFonts w:ascii="宋体" w:hAnsi="宋体" w:eastAsia="宋体"/>
                <w:sz w:val="24"/>
              </w:rPr>
              <w:t>项目支出绩效自评表</w:t>
            </w:r>
          </w:p>
        </w:tc>
      </w:tr>
      <w:tr>
        <w:tc>
          <w:tcPr>
            <w:tcW w:type="dxa" w:w="8847"/>
            <w:gridSpan w:val="9"/>
            <w:vAlign w:val="center"/>
          </w:tcPr>
          <w:p>
            <w:pPr>
              <w:jc w:val="center"/>
            </w:pPr>
            <w:r>
              <w:rPr>
                <w:rFonts w:ascii="宋体" w:hAnsi="宋体" w:eastAsia="宋体"/>
                <w:sz w:val="24"/>
              </w:rPr>
              <w:t>(2024年度)</w:t>
            </w:r>
          </w:p>
        </w:tc>
      </w:tr>
      <w:tr>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项目名称</w:t>
            </w:r>
          </w:p>
        </w:tc>
        <w:tc>
          <w:tcPr>
            <w:tcW w:type="dxa" w:w="7864"/>
            <w:gridSpan w:val="8"/>
            <w:tcBorders>
              <w:start w:sz="10" w:val="single"/>
              <w:top w:sz="10" w:val="single"/>
              <w:end w:sz="10" w:val="single"/>
              <w:bottom w:sz="10" w:val="single"/>
              <w:insideV w:sz="10" w:val="single"/>
            </w:tcBorders>
            <w:vAlign w:val="center"/>
          </w:tcPr>
          <w:p>
            <w:pPr>
              <w:jc w:val="center"/>
            </w:pPr>
            <w:r>
              <w:rPr>
                <w:rFonts w:ascii="宋体" w:hAnsi="宋体" w:eastAsia="宋体"/>
                <w:sz w:val="16"/>
              </w:rPr>
              <w:t>提前下达2024年中央补助地方美术馆、公共图书馆、文化馆（站）免费开放补助资金的通知</w:t>
            </w:r>
          </w:p>
        </w:tc>
      </w:tr>
      <w:tr>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主管部门</w:t>
            </w:r>
          </w:p>
        </w:tc>
        <w:tc>
          <w:tcPr>
            <w:tcW w:type="dxa" w:w="2949"/>
            <w:gridSpan w:val="3"/>
            <w:tcBorders>
              <w:start w:sz="10" w:val="single"/>
              <w:top w:sz="10" w:val="single"/>
              <w:end w:sz="10" w:val="single"/>
              <w:bottom w:sz="10" w:val="single"/>
              <w:insideV w:sz="10" w:val="single"/>
            </w:tcBorders>
            <w:vAlign w:val="center"/>
          </w:tcPr>
          <w:p>
            <w:pPr>
              <w:jc w:val="center"/>
            </w:pPr>
            <w:r>
              <w:rPr>
                <w:rFonts w:ascii="宋体" w:hAnsi="宋体" w:eastAsia="宋体"/>
                <w:sz w:val="16"/>
              </w:rPr>
              <w:t>乌鲁木齐市文化和旅游局（乌鲁木齐市文物局）</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实施单位</w:t>
            </w:r>
          </w:p>
        </w:tc>
        <w:tc>
          <w:tcPr>
            <w:tcW w:type="dxa" w:w="3932"/>
            <w:gridSpan w:val="4"/>
            <w:tcBorders>
              <w:start w:sz="10" w:val="single"/>
              <w:top w:sz="10" w:val="single"/>
              <w:end w:sz="10" w:val="single"/>
              <w:bottom w:sz="10" w:val="single"/>
              <w:insideV w:sz="10" w:val="single"/>
            </w:tcBorders>
            <w:vAlign w:val="center"/>
          </w:tcPr>
          <w:p>
            <w:pPr>
              <w:jc w:val="center"/>
            </w:pPr>
            <w:r>
              <w:rPr>
                <w:rFonts w:ascii="宋体" w:hAnsi="宋体" w:eastAsia="宋体"/>
                <w:sz w:val="16"/>
              </w:rPr>
              <w:t>乌鲁木齐市文化馆（乌鲁木齐市非物质文化遗产保护中心）</w:t>
            </w:r>
          </w:p>
        </w:tc>
      </w:tr>
      <w:tr>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项目资金 （万元）</w:t>
            </w: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年度资金总额</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40.00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33.60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33.60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10.00分</w:t>
            </w:r>
          </w:p>
        </w:tc>
      </w:tr>
      <w:tr>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其中：当年财政拨款</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40.00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33.60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33.60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 xml:space="preserve">  其他资金</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2949"/>
            <w:gridSpan w:val="3"/>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4915"/>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983"/>
            <w:vMerge/>
            <w:tcBorders>
              <w:start w:sz="10" w:val="single"/>
              <w:top w:sz="10" w:val="single"/>
              <w:end w:sz="10" w:val="single"/>
              <w:bottom w:sz="10" w:val="single"/>
              <w:insideV w:sz="10" w:val="single"/>
            </w:tcBorders>
          </w:tcPr>
          <w:p/>
        </w:tc>
        <w:tc>
          <w:tcPr>
            <w:tcW w:type="dxa" w:w="2949"/>
            <w:gridSpan w:val="3"/>
            <w:tcBorders>
              <w:start w:sz="10" w:val="single"/>
              <w:top w:sz="10" w:val="single"/>
              <w:end w:sz="10" w:val="single"/>
              <w:bottom w:sz="10" w:val="single"/>
              <w:insideV w:sz="10" w:val="single"/>
            </w:tcBorders>
            <w:vAlign w:val="center"/>
          </w:tcPr>
          <w:p>
            <w:pPr>
              <w:jc w:val="both"/>
            </w:pPr>
            <w:r>
              <w:rPr>
                <w:rFonts w:ascii="宋体" w:hAnsi="宋体" w:eastAsia="宋体"/>
                <w:sz w:val="16"/>
              </w:rPr>
              <w:t>充分发挥“三馆一站”在提高公民鉴赏能力、提高各族群众思想道德和科学文化素质的作用，保障各族群众基本权益，促进社会和谐稳定。项目资金用于举办普及性文化艺术类培训；举办公益性讲座、展览；开展文化宣传活动；组织公益性群众文化活动；民间文化传承活动；基层文化骨干培训6大块内容。</w:t>
            </w:r>
          </w:p>
        </w:tc>
        <w:tc>
          <w:tcPr>
            <w:tcW w:type="dxa" w:w="4915"/>
            <w:gridSpan w:val="5"/>
            <w:tcBorders>
              <w:start w:sz="10" w:val="single"/>
              <w:top w:sz="10" w:val="single"/>
              <w:end w:sz="10" w:val="single"/>
              <w:bottom w:sz="10" w:val="single"/>
              <w:insideV w:sz="10" w:val="single"/>
            </w:tcBorders>
            <w:vAlign w:val="center"/>
          </w:tcPr>
          <w:p>
            <w:pPr>
              <w:jc w:val="both"/>
            </w:pPr>
            <w:r>
              <w:rPr>
                <w:rFonts w:ascii="宋体" w:hAnsi="宋体" w:eastAsia="宋体"/>
                <w:sz w:val="16"/>
              </w:rPr>
              <w:br/>
              <w:t>充分发挥“三馆一站”在提高公民鉴赏能力、提高各族群众思想道德和科学文化素质的作用，保障各族群众基本权益，促进社会和谐稳定。项目资金用于举办普及性文化艺术类培训；举办公益性讲座、展览；开展文化宣传活动；组织公益性群众文化活动；民间文化传承活动；基层文化骨干培训6大块内容</w:t>
            </w:r>
          </w:p>
        </w:tc>
      </w:tr>
      <w:tr>
        <w:tc>
          <w:tcPr>
            <w:tcW w:type="dxa" w:w="983"/>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年度指标值</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实际完成值</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偏差原因分析及改进措施</w:t>
            </w:r>
          </w:p>
        </w:tc>
      </w:tr>
      <w:tr>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年度绩效指标完成情况</w:t>
            </w:r>
          </w:p>
        </w:tc>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产出指标</w:t>
            </w:r>
          </w:p>
        </w:tc>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免费开放文化馆</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=1个</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=1个</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举办系列文化活动</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&gt;=6个</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=9个</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超额完成活动内容</w:t>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各类公益性培训班</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&gt;=25个</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=33个</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根据情况调整增加了课时</w:t>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活动完成率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&gt;=90%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活动超额完成</w:t>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培训计划完成率（%）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&gt;=90%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根据情况调整增加了课时</w:t>
            </w:r>
          </w:p>
        </w:tc>
      </w:tr>
      <w:tr>
        <w:tc>
          <w:tcPr>
            <w:tcW w:type="dxa" w:w="983"/>
            <w:vMerge/>
            <w:tcBorders>
              <w:start w:sz="10" w:val="single"/>
              <w:top w:sz="10" w:val="single"/>
              <w:end w:sz="10" w:val="single"/>
              <w:bottom w:sz="10" w:val="single"/>
              <w:insideV w:sz="10" w:val="single"/>
            </w:tcBorders>
          </w:tcPr>
          <w:p/>
        </w:tc>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成本指标</w:t>
            </w:r>
          </w:p>
        </w:tc>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经济成本指标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老师讲课费</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&lt;=5.16万元</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=5.15万元</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4.99</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节约成本</w:t>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展览装裱及背景等制作费</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&lt;=3万元</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=3万元</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文艺演出大屏租赁及其他所需费用</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&lt;=17.44万元</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=17.44万元</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购置专用材料及小型维修等</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&lt;=8万元</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=8万元</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983"/>
            <w:vMerge/>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效益指标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社会效益指标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保障群众精神文化需求</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有力保障</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完全达到预期</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983"/>
            <w:vMerge/>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社会公众对文化馆公共文化服务满意度</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&gt;=90%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=94%</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群众对文化活动满意度较高</w:t>
            </w:r>
          </w:p>
        </w:tc>
      </w:tr>
      <w:tr>
        <w:tc>
          <w:tcPr>
            <w:tcW w:type="dxa" w:w="4915"/>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总分</w:t>
            </w:r>
          </w:p>
        </w:tc>
        <w:tc>
          <w:tcPr>
            <w:tcW w:type="dxa" w:w="983"/>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99.99分</w:t>
            </w:r>
          </w:p>
        </w:tc>
        <w:tc>
          <w:tcPr>
            <w:tcW w:type="dxa" w:w="983"/>
            <w:tcBorders>
              <w:start w:sz="10" w:val="single"/>
              <w:top w:sz="10" w:val="single"/>
              <w:end w:sz="10" w:val="single"/>
              <w:bottom w:sz="10" w:val="single"/>
              <w:insideV w:sz="10" w:val="single"/>
            </w:tcBorders>
          </w:tcPr>
          <w:p/>
        </w:tc>
      </w:tr>
    </w:tbl>
    <w:p>
      <w:r>
        <w:br w:type="page"/>
      </w:r>
    </w:p>
    <w:tbl>
      <w:tblPr>
        <w:tblW w:type="auto" w:w="0"/>
        <w:tblLook w:firstColumn="1" w:firstRow="1" w:lastColumn="0" w:lastRow="0" w:noHBand="0" w:noVBand="1" w:val="04A0"/>
      </w:tblPr>
      <w:tblGrid>
        <w:gridCol w:w="983"/>
        <w:gridCol w:w="983"/>
        <w:gridCol w:w="983"/>
        <w:gridCol w:w="983"/>
        <w:gridCol w:w="983"/>
        <w:gridCol w:w="983"/>
        <w:gridCol w:w="983"/>
        <w:gridCol w:w="983"/>
        <w:gridCol w:w="983"/>
      </w:tblGrid>
      <w:tr>
        <w:tc>
          <w:tcPr>
            <w:tcW w:type="dxa" w:w="8847"/>
            <w:gridSpan w:val="9"/>
            <w:vAlign w:val="center"/>
          </w:tcPr>
          <w:p>
            <w:pPr>
              <w:jc w:val="center"/>
            </w:pPr>
            <w:r>
              <w:rPr>
                <w:rFonts w:ascii="宋体" w:hAnsi="宋体" w:eastAsia="宋体"/>
                <w:sz w:val="24"/>
              </w:rPr>
              <w:t>项目支出绩效自评表</w:t>
            </w:r>
          </w:p>
        </w:tc>
      </w:tr>
      <w:tr>
        <w:tc>
          <w:tcPr>
            <w:tcW w:type="dxa" w:w="8847"/>
            <w:gridSpan w:val="9"/>
            <w:vAlign w:val="center"/>
          </w:tcPr>
          <w:p>
            <w:pPr>
              <w:jc w:val="center"/>
            </w:pPr>
            <w:r>
              <w:rPr>
                <w:rFonts w:ascii="宋体" w:hAnsi="宋体" w:eastAsia="宋体"/>
                <w:sz w:val="24"/>
              </w:rPr>
              <w:t>(2024年度)</w:t>
            </w:r>
          </w:p>
        </w:tc>
      </w:tr>
      <w:tr>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项目名称</w:t>
            </w:r>
          </w:p>
        </w:tc>
        <w:tc>
          <w:tcPr>
            <w:tcW w:type="dxa" w:w="7864"/>
            <w:gridSpan w:val="8"/>
            <w:tcBorders>
              <w:start w:sz="10" w:val="single"/>
              <w:top w:sz="10" w:val="single"/>
              <w:end w:sz="10" w:val="single"/>
              <w:bottom w:sz="10" w:val="single"/>
              <w:insideV w:sz="10" w:val="single"/>
            </w:tcBorders>
            <w:vAlign w:val="center"/>
          </w:tcPr>
          <w:p>
            <w:pPr>
              <w:jc w:val="center"/>
            </w:pPr>
            <w:r>
              <w:rPr>
                <w:rFonts w:ascii="宋体" w:hAnsi="宋体" w:eastAsia="宋体"/>
                <w:sz w:val="16"/>
              </w:rPr>
              <w:t>文化润疆-非物质文化遗产保护</w:t>
            </w:r>
          </w:p>
        </w:tc>
      </w:tr>
      <w:tr>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主管部门</w:t>
            </w:r>
          </w:p>
        </w:tc>
        <w:tc>
          <w:tcPr>
            <w:tcW w:type="dxa" w:w="2949"/>
            <w:gridSpan w:val="3"/>
            <w:tcBorders>
              <w:start w:sz="10" w:val="single"/>
              <w:top w:sz="10" w:val="single"/>
              <w:end w:sz="10" w:val="single"/>
              <w:bottom w:sz="10" w:val="single"/>
              <w:insideV w:sz="10" w:val="single"/>
            </w:tcBorders>
            <w:vAlign w:val="center"/>
          </w:tcPr>
          <w:p>
            <w:pPr>
              <w:jc w:val="center"/>
            </w:pPr>
            <w:r>
              <w:rPr>
                <w:rFonts w:ascii="宋体" w:hAnsi="宋体" w:eastAsia="宋体"/>
                <w:sz w:val="16"/>
              </w:rPr>
              <w:t>乌鲁木齐市文化和旅游局（乌鲁木齐市文物局）</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实施单位</w:t>
            </w:r>
          </w:p>
        </w:tc>
        <w:tc>
          <w:tcPr>
            <w:tcW w:type="dxa" w:w="3932"/>
            <w:gridSpan w:val="4"/>
            <w:tcBorders>
              <w:start w:sz="10" w:val="single"/>
              <w:top w:sz="10" w:val="single"/>
              <w:end w:sz="10" w:val="single"/>
              <w:bottom w:sz="10" w:val="single"/>
              <w:insideV w:sz="10" w:val="single"/>
            </w:tcBorders>
            <w:vAlign w:val="center"/>
          </w:tcPr>
          <w:p>
            <w:pPr>
              <w:jc w:val="center"/>
            </w:pPr>
            <w:r>
              <w:rPr>
                <w:rFonts w:ascii="宋体" w:hAnsi="宋体" w:eastAsia="宋体"/>
                <w:sz w:val="16"/>
              </w:rPr>
              <w:t>乌鲁木齐市文化馆（乌鲁木齐市非物质文化遗产保护中心）</w:t>
            </w:r>
          </w:p>
        </w:tc>
      </w:tr>
      <w:tr>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项目资金 （万元）</w:t>
            </w: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年度资金总额</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9.00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6.74</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6.74</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10.00分</w:t>
            </w:r>
          </w:p>
        </w:tc>
      </w:tr>
      <w:tr>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其中：当年财政拨款</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9.00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6.74</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6.74</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 xml:space="preserve">  其他资金</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2949"/>
            <w:gridSpan w:val="3"/>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4915"/>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983"/>
            <w:vMerge/>
            <w:tcBorders>
              <w:start w:sz="10" w:val="single"/>
              <w:top w:sz="10" w:val="single"/>
              <w:end w:sz="10" w:val="single"/>
              <w:bottom w:sz="10" w:val="single"/>
              <w:insideV w:sz="10" w:val="single"/>
            </w:tcBorders>
          </w:tcPr>
          <w:p/>
        </w:tc>
        <w:tc>
          <w:tcPr>
            <w:tcW w:type="dxa" w:w="2949"/>
            <w:gridSpan w:val="3"/>
            <w:tcBorders>
              <w:start w:sz="10" w:val="single"/>
              <w:top w:sz="10" w:val="single"/>
              <w:end w:sz="10" w:val="single"/>
              <w:bottom w:sz="10" w:val="single"/>
              <w:insideV w:sz="10" w:val="single"/>
            </w:tcBorders>
            <w:vAlign w:val="center"/>
          </w:tcPr>
          <w:p>
            <w:pPr>
              <w:jc w:val="both"/>
            </w:pPr>
            <w:r>
              <w:rPr>
                <w:rFonts w:ascii="宋体" w:hAnsi="宋体" w:eastAsia="宋体"/>
                <w:sz w:val="16"/>
              </w:rPr>
              <w:t>组织开展非物质文化遗产培训、项目申报，以及春节“天山南北贺新春”活动向群众赠送春联、福字以及灯谜小礼品等弘扬传统文化促进中华民族共同体意识，举办自然和文化遗产日非遗活动，将皮雕、面塑、宝石嵌画、剪纸、葫芦雕刻等优秀民间艺术向全社会进行展示，促进文化旅游市场的繁荣发展。开展非遗进校园、组织非遗项目的体验等，全年开展非遗活动不少于5次</w:t>
            </w:r>
          </w:p>
        </w:tc>
        <w:tc>
          <w:tcPr>
            <w:tcW w:type="dxa" w:w="4915"/>
            <w:gridSpan w:val="5"/>
            <w:tcBorders>
              <w:start w:sz="10" w:val="single"/>
              <w:top w:sz="10" w:val="single"/>
              <w:end w:sz="10" w:val="single"/>
              <w:bottom w:sz="10" w:val="single"/>
              <w:insideV w:sz="10" w:val="single"/>
            </w:tcBorders>
            <w:vAlign w:val="center"/>
          </w:tcPr>
          <w:p>
            <w:pPr>
              <w:jc w:val="both"/>
            </w:pPr>
            <w:r>
              <w:rPr>
                <w:rFonts w:ascii="宋体" w:hAnsi="宋体" w:eastAsia="宋体"/>
                <w:sz w:val="16"/>
              </w:rPr>
              <w:t>完成乌鲁木齐市第七批非物质文化遗产代表性项目评审工作，新评审乌鲁木齐市级代表性项目20项扩展项目8项。春节期间承办的第十一届“新疆是个好地方——天山南北贺新春”乌鲁木齐市系列活动，包括非遗集市、春联送祝福、戏曲过大年、元宵猜灯谜等多项活动。在国际大巴扎、南湖市民广场和海盗与浪美好生活创业园举办第十二届新疆非物质文化遗产展示周活动，赴达坂城雪菊文化节为传统文化搭建展示平台，促进“旅游与非遗”进一步融合发展。极大的丰富了旅游文化市场促进了文化旅游的深度融合。同时积极组织开展非遗进景区商超等展演展示活动。全年举办各类宣传展示专场活动12场次，共有70余位传承传承人参与上述活动，其中参观群众人数过万的大型活动2场，参与群众超10万人次。</w:t>
            </w:r>
          </w:p>
        </w:tc>
      </w:tr>
      <w:tr>
        <w:tc>
          <w:tcPr>
            <w:tcW w:type="dxa" w:w="983"/>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年度指标值</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实际完成值</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偏差原因分析及改进措施</w:t>
            </w:r>
          </w:p>
        </w:tc>
      </w:tr>
      <w:tr>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年度绩效指标完成情况</w:t>
            </w:r>
          </w:p>
        </w:tc>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产出指标</w:t>
            </w:r>
          </w:p>
        </w:tc>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传承人参与活动场次</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&gt;=5场次</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=6场次</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项目执行超出计划</w:t>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举办活动场次</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&gt;=6场次</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=6场次</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项目执行超出计划</w:t>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参加活动每场人次</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&gt;=30人次</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=35人次</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非遗在社会的关注度有所提高，参与人群增加</w:t>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传承人参与活动率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&gt;=90%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传承人参与活动积极性增加</w:t>
            </w:r>
          </w:p>
        </w:tc>
      </w:tr>
      <w:tr>
        <w:tc>
          <w:tcPr>
            <w:tcW w:type="dxa" w:w="983"/>
            <w:vMerge/>
            <w:tcBorders>
              <w:start w:sz="10" w:val="single"/>
              <w:top w:sz="10" w:val="single"/>
              <w:end w:sz="10" w:val="single"/>
              <w:bottom w:sz="10" w:val="single"/>
              <w:insideV w:sz="10" w:val="single"/>
            </w:tcBorders>
          </w:tcPr>
          <w:p/>
        </w:tc>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成本指标</w:t>
            </w:r>
          </w:p>
        </w:tc>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经济成本指标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传承人补助</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&lt;=3.5万元</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=3.5万元</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非遗活动经费</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&lt;=3.24万元</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=3.24万元</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983"/>
            <w:vMerge/>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效益指标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社会效益指标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提升群众参与度</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提升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ab/>
              <w:t>完全达到预期</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983"/>
            <w:vMerge/>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群众参与活动满意率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&gt;=90%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=92%</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群众对非遗活动满意度增加</w:t>
            </w:r>
          </w:p>
        </w:tc>
      </w:tr>
      <w:tr>
        <w:tc>
          <w:tcPr>
            <w:tcW w:type="dxa" w:w="4915"/>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总分</w:t>
            </w:r>
          </w:p>
        </w:tc>
        <w:tc>
          <w:tcPr>
            <w:tcW w:type="dxa" w:w="983"/>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100.00分</w:t>
            </w:r>
          </w:p>
        </w:tc>
        <w:tc>
          <w:tcPr>
            <w:tcW w:type="dxa" w:w="983"/>
            <w:tcBorders>
              <w:start w:sz="10" w:val="single"/>
              <w:top w:sz="10" w:val="single"/>
              <w:end w:sz="10" w:val="single"/>
              <w:bottom w:sz="10" w:val="single"/>
              <w:insideV w:sz="10" w:val="single"/>
            </w:tcBorders>
          </w:tcPr>
          <w:p/>
        </w:tc>
      </w:tr>
    </w:tbl>
    <w:p>
      <w:r>
        <w:br w:type="page"/>
      </w:r>
    </w:p>
    <w:tbl>
      <w:tblPr>
        <w:tblW w:type="auto" w:w="0"/>
        <w:tblLook w:firstColumn="1" w:firstRow="1" w:lastColumn="0" w:lastRow="0" w:noHBand="0" w:noVBand="1" w:val="04A0"/>
      </w:tblPr>
      <w:tblGrid>
        <w:gridCol w:w="983"/>
        <w:gridCol w:w="983"/>
        <w:gridCol w:w="983"/>
        <w:gridCol w:w="983"/>
        <w:gridCol w:w="983"/>
        <w:gridCol w:w="983"/>
        <w:gridCol w:w="983"/>
        <w:gridCol w:w="983"/>
        <w:gridCol w:w="983"/>
      </w:tblGrid>
      <w:tr>
        <w:tc>
          <w:tcPr>
            <w:tcW w:type="dxa" w:w="8847"/>
            <w:gridSpan w:val="9"/>
            <w:vAlign w:val="center"/>
          </w:tcPr>
          <w:p>
            <w:pPr>
              <w:jc w:val="center"/>
            </w:pPr>
            <w:r>
              <w:rPr>
                <w:rFonts w:ascii="宋体" w:hAnsi="宋体" w:eastAsia="宋体"/>
                <w:sz w:val="24"/>
              </w:rPr>
              <w:t>项目支出绩效自评表</w:t>
            </w:r>
          </w:p>
        </w:tc>
      </w:tr>
      <w:tr>
        <w:tc>
          <w:tcPr>
            <w:tcW w:type="dxa" w:w="8847"/>
            <w:gridSpan w:val="9"/>
            <w:vAlign w:val="center"/>
          </w:tcPr>
          <w:p>
            <w:pPr>
              <w:jc w:val="center"/>
            </w:pPr>
            <w:r>
              <w:rPr>
                <w:rFonts w:ascii="宋体" w:hAnsi="宋体" w:eastAsia="宋体"/>
                <w:sz w:val="24"/>
              </w:rPr>
              <w:t>(2024年度)</w:t>
            </w:r>
          </w:p>
        </w:tc>
      </w:tr>
      <w:tr>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项目名称</w:t>
            </w:r>
          </w:p>
        </w:tc>
        <w:tc>
          <w:tcPr>
            <w:tcW w:type="dxa" w:w="7864"/>
            <w:gridSpan w:val="8"/>
            <w:tcBorders>
              <w:start w:sz="10" w:val="single"/>
              <w:top w:sz="10" w:val="single"/>
              <w:end w:sz="10" w:val="single"/>
              <w:bottom w:sz="10" w:val="single"/>
              <w:insideV w:sz="10" w:val="single"/>
            </w:tcBorders>
            <w:vAlign w:val="center"/>
          </w:tcPr>
          <w:p>
            <w:pPr>
              <w:jc w:val="center"/>
            </w:pPr>
            <w:r>
              <w:rPr>
                <w:rFonts w:ascii="宋体" w:hAnsi="宋体" w:eastAsia="宋体"/>
                <w:sz w:val="16"/>
              </w:rPr>
              <w:t>24上级转移支付彩票---乌鲁木齐市图书馆（文化馆）数字化阅读平台建设项目（新财综【2023】45号）</w:t>
            </w:r>
          </w:p>
        </w:tc>
      </w:tr>
      <w:tr>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主管部门</w:t>
            </w:r>
          </w:p>
        </w:tc>
        <w:tc>
          <w:tcPr>
            <w:tcW w:type="dxa" w:w="2949"/>
            <w:gridSpan w:val="3"/>
            <w:tcBorders>
              <w:start w:sz="10" w:val="single"/>
              <w:top w:sz="10" w:val="single"/>
              <w:end w:sz="10" w:val="single"/>
              <w:bottom w:sz="10" w:val="single"/>
              <w:insideV w:sz="10" w:val="single"/>
            </w:tcBorders>
            <w:vAlign w:val="center"/>
          </w:tcPr>
          <w:p>
            <w:pPr>
              <w:jc w:val="center"/>
            </w:pPr>
            <w:r>
              <w:rPr>
                <w:rFonts w:ascii="宋体" w:hAnsi="宋体" w:eastAsia="宋体"/>
                <w:sz w:val="16"/>
              </w:rPr>
              <w:t>乌鲁木齐市文化和旅游局（乌鲁木齐市文物局）</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实施单位</w:t>
            </w:r>
          </w:p>
        </w:tc>
        <w:tc>
          <w:tcPr>
            <w:tcW w:type="dxa" w:w="3932"/>
            <w:gridSpan w:val="4"/>
            <w:tcBorders>
              <w:start w:sz="10" w:val="single"/>
              <w:top w:sz="10" w:val="single"/>
              <w:end w:sz="10" w:val="single"/>
              <w:bottom w:sz="10" w:val="single"/>
              <w:insideV w:sz="10" w:val="single"/>
            </w:tcBorders>
            <w:vAlign w:val="center"/>
          </w:tcPr>
          <w:p>
            <w:pPr>
              <w:jc w:val="center"/>
            </w:pPr>
            <w:r>
              <w:rPr>
                <w:rFonts w:ascii="宋体" w:hAnsi="宋体" w:eastAsia="宋体"/>
                <w:sz w:val="16"/>
              </w:rPr>
              <w:t>乌鲁木齐市文化馆（乌鲁木齐市非物质文化遗产保护中心）</w:t>
            </w:r>
          </w:p>
        </w:tc>
      </w:tr>
      <w:tr>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项目资金 （万元）</w:t>
            </w: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年度资金总额</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70.00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70.00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69.65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99.50%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9.95分</w:t>
            </w:r>
          </w:p>
        </w:tc>
      </w:tr>
      <w:tr>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其中：当年财政拨款</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70.00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70.00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69.65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 xml:space="preserve">  其他资金</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2949"/>
            <w:gridSpan w:val="3"/>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4915"/>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983"/>
            <w:vMerge/>
            <w:tcBorders>
              <w:start w:sz="10" w:val="single"/>
              <w:top w:sz="10" w:val="single"/>
              <w:end w:sz="10" w:val="single"/>
              <w:bottom w:sz="10" w:val="single"/>
              <w:insideV w:sz="10" w:val="single"/>
            </w:tcBorders>
          </w:tcPr>
          <w:p/>
        </w:tc>
        <w:tc>
          <w:tcPr>
            <w:tcW w:type="dxa" w:w="2949"/>
            <w:gridSpan w:val="3"/>
            <w:tcBorders>
              <w:start w:sz="10" w:val="single"/>
              <w:top w:sz="10" w:val="single"/>
              <w:end w:sz="10" w:val="single"/>
              <w:bottom w:sz="10" w:val="single"/>
              <w:insideV w:sz="10" w:val="single"/>
            </w:tcBorders>
            <w:vAlign w:val="center"/>
          </w:tcPr>
          <w:p>
            <w:pPr>
              <w:jc w:val="both"/>
            </w:pPr>
            <w:r>
              <w:rPr>
                <w:rFonts w:ascii="宋体" w:hAnsi="宋体" w:eastAsia="宋体"/>
                <w:sz w:val="16"/>
              </w:rPr>
              <w:t>2024年完成文化馆数字化沉浸体验区建成，运用人机交互、虚拟现实、全息影像等信息技术，加强公共文化“沉浸式”“互动式”体验服务。</w:t>
            </w:r>
          </w:p>
        </w:tc>
        <w:tc>
          <w:tcPr>
            <w:tcW w:type="dxa" w:w="4915"/>
            <w:gridSpan w:val="5"/>
            <w:tcBorders>
              <w:start w:sz="10" w:val="single"/>
              <w:top w:sz="10" w:val="single"/>
              <w:end w:sz="10" w:val="single"/>
              <w:bottom w:sz="10" w:val="single"/>
              <w:insideV w:sz="10" w:val="single"/>
            </w:tcBorders>
            <w:vAlign w:val="center"/>
          </w:tcPr>
          <w:p>
            <w:pPr>
              <w:jc w:val="both"/>
            </w:pPr>
            <w:r>
              <w:rPr>
                <w:rFonts w:ascii="宋体" w:hAnsi="宋体" w:eastAsia="宋体"/>
                <w:sz w:val="16"/>
              </w:rPr>
              <w:t>完成了文化馆数字化沉浸体验区建成，艺术展览：1.线上平台。打造线上3D展览空间进行线上展示，支持电脑端、移动端使用；2.电子画屏。数字化设备提供电子系列主题图片鉴赏，群众扫码可实现跳转至文艺展览线上平台，扫码内容支持带走；3.艺术资源。涵盖国学、文学、教育、历史文明、戏曲、曲艺、书法、摄影、美术等全国或地方通用，广为人知的内容，采用专题片、微视频等多种形式呈现，支持多终端阅读。设备及软件等均已投入使用及展示，硬件费用21.87万元，应用软件费用47.78万元，共计69.65万元。运用人机交互、虚拟现实、全息影像等信息技术，加强公共文化“沉浸式”“互动式”体验服务，更好地为人民群众服务。</w:t>
            </w:r>
          </w:p>
        </w:tc>
      </w:tr>
      <w:tr>
        <w:tc>
          <w:tcPr>
            <w:tcW w:type="dxa" w:w="983"/>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年度指标值</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实际完成值</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偏差原因分析及改进措施</w:t>
            </w:r>
          </w:p>
        </w:tc>
      </w:tr>
      <w:tr>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年度绩效指标完成情况</w:t>
            </w:r>
          </w:p>
        </w:tc>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产出指标</w:t>
            </w:r>
          </w:p>
        </w:tc>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建设数字文化艺术空间</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=1个</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=1个</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建设线上3D展览空间</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=1个</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=1个</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建设电子画屏</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=1个</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=1个</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数字化艺术展览建设完成率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&gt;=98%</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完成情况非常好</w:t>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数字化艺术资源多终端阅读建设完成率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&gt;=98%</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完成情况非常好</w:t>
            </w:r>
          </w:p>
        </w:tc>
      </w:tr>
      <w:tr>
        <w:tc>
          <w:tcPr>
            <w:tcW w:type="dxa" w:w="983"/>
            <w:vMerge/>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效益指标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社会效益指标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沉浸式体验空间免费向市民群众开放</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有效保障</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有效保障</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30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30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983"/>
            <w:vMerge/>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体验群众满意度</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&gt;=90%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=92%</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群众对阅读平台建设满意度较高</w:t>
            </w:r>
          </w:p>
        </w:tc>
      </w:tr>
      <w:tr>
        <w:tc>
          <w:tcPr>
            <w:tcW w:type="dxa" w:w="4915"/>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总分</w:t>
            </w:r>
          </w:p>
        </w:tc>
        <w:tc>
          <w:tcPr>
            <w:tcW w:type="dxa" w:w="983"/>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99.95分</w:t>
            </w:r>
          </w:p>
        </w:tc>
        <w:tc>
          <w:tcPr>
            <w:tcW w:type="dxa" w:w="983"/>
            <w:tcBorders>
              <w:start w:sz="10" w:val="single"/>
              <w:top w:sz="10" w:val="single"/>
              <w:end w:sz="10" w:val="single"/>
              <w:bottom w:sz="10" w:val="single"/>
              <w:insideV w:sz="10" w:val="single"/>
            </w:tcBorders>
          </w:tcPr>
          <w:p/>
        </w:tc>
      </w:tr>
    </w:tbl>
    <w:p>
      <w:r>
        <w:br w:type="page"/>
      </w:r>
    </w:p>
    <w:tbl>
      <w:tblPr>
        <w:tblW w:type="auto" w:w="0"/>
        <w:tblLook w:firstColumn="1" w:firstRow="1" w:lastColumn="0" w:lastRow="0" w:noHBand="0" w:noVBand="1" w:val="04A0"/>
      </w:tblPr>
      <w:tblGrid>
        <w:gridCol w:w="983"/>
        <w:gridCol w:w="983"/>
        <w:gridCol w:w="983"/>
        <w:gridCol w:w="983"/>
        <w:gridCol w:w="983"/>
        <w:gridCol w:w="983"/>
        <w:gridCol w:w="983"/>
        <w:gridCol w:w="983"/>
        <w:gridCol w:w="983"/>
      </w:tblGrid>
      <w:tr>
        <w:tc>
          <w:tcPr>
            <w:tcW w:type="dxa" w:w="8847"/>
            <w:gridSpan w:val="9"/>
            <w:vAlign w:val="center"/>
          </w:tcPr>
          <w:p>
            <w:pPr>
              <w:jc w:val="center"/>
            </w:pPr>
            <w:r>
              <w:rPr>
                <w:rFonts w:ascii="宋体" w:hAnsi="宋体" w:eastAsia="宋体"/>
                <w:sz w:val="24"/>
              </w:rPr>
              <w:t>项目支出绩效自评表</w:t>
            </w:r>
          </w:p>
        </w:tc>
      </w:tr>
      <w:tr>
        <w:tc>
          <w:tcPr>
            <w:tcW w:type="dxa" w:w="8847"/>
            <w:gridSpan w:val="9"/>
            <w:vAlign w:val="center"/>
          </w:tcPr>
          <w:p>
            <w:pPr>
              <w:jc w:val="center"/>
            </w:pPr>
            <w:r>
              <w:rPr>
                <w:rFonts w:ascii="宋体" w:hAnsi="宋体" w:eastAsia="宋体"/>
                <w:sz w:val="24"/>
              </w:rPr>
              <w:t>(2024年度)</w:t>
            </w:r>
          </w:p>
        </w:tc>
      </w:tr>
      <w:tr>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项目名称</w:t>
            </w:r>
          </w:p>
        </w:tc>
        <w:tc>
          <w:tcPr>
            <w:tcW w:type="dxa" w:w="7864"/>
            <w:gridSpan w:val="8"/>
            <w:tcBorders>
              <w:start w:sz="10" w:val="single"/>
              <w:top w:sz="10" w:val="single"/>
              <w:end w:sz="10" w:val="single"/>
              <w:bottom w:sz="10" w:val="single"/>
              <w:insideV w:sz="10" w:val="single"/>
            </w:tcBorders>
            <w:vAlign w:val="center"/>
          </w:tcPr>
          <w:p>
            <w:pPr>
              <w:jc w:val="center"/>
            </w:pPr>
            <w:r>
              <w:rPr>
                <w:rFonts w:ascii="宋体" w:hAnsi="宋体" w:eastAsia="宋体"/>
                <w:sz w:val="16"/>
              </w:rPr>
              <w:t>2024年国家非物质文化遗产保护专项资金</w:t>
            </w:r>
          </w:p>
        </w:tc>
      </w:tr>
      <w:tr>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主管部门</w:t>
            </w:r>
          </w:p>
        </w:tc>
        <w:tc>
          <w:tcPr>
            <w:tcW w:type="dxa" w:w="2949"/>
            <w:gridSpan w:val="3"/>
            <w:tcBorders>
              <w:start w:sz="10" w:val="single"/>
              <w:top w:sz="10" w:val="single"/>
              <w:end w:sz="10" w:val="single"/>
              <w:bottom w:sz="10" w:val="single"/>
              <w:insideV w:sz="10" w:val="single"/>
            </w:tcBorders>
            <w:vAlign w:val="center"/>
          </w:tcPr>
          <w:p>
            <w:pPr>
              <w:jc w:val="center"/>
            </w:pPr>
            <w:r>
              <w:rPr>
                <w:rFonts w:ascii="宋体" w:hAnsi="宋体" w:eastAsia="宋体"/>
                <w:sz w:val="16"/>
              </w:rPr>
              <w:t>乌鲁木齐市文化和旅游局（乌鲁木齐市文物局）</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实施单位</w:t>
            </w:r>
          </w:p>
        </w:tc>
        <w:tc>
          <w:tcPr>
            <w:tcW w:type="dxa" w:w="3932"/>
            <w:gridSpan w:val="4"/>
            <w:tcBorders>
              <w:start w:sz="10" w:val="single"/>
              <w:top w:sz="10" w:val="single"/>
              <w:end w:sz="10" w:val="single"/>
              <w:bottom w:sz="10" w:val="single"/>
              <w:insideV w:sz="10" w:val="single"/>
            </w:tcBorders>
            <w:vAlign w:val="center"/>
          </w:tcPr>
          <w:p>
            <w:pPr>
              <w:jc w:val="center"/>
            </w:pPr>
            <w:r>
              <w:rPr>
                <w:rFonts w:ascii="宋体" w:hAnsi="宋体" w:eastAsia="宋体"/>
                <w:sz w:val="16"/>
              </w:rPr>
              <w:t>乌鲁木齐市文化馆（乌鲁木齐市非物质文化遗产保护中心）</w:t>
            </w:r>
          </w:p>
        </w:tc>
      </w:tr>
      <w:tr>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项目资金 （万元）</w:t>
            </w: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年度资金总额</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10.00分</w:t>
            </w:r>
          </w:p>
        </w:tc>
      </w:tr>
      <w:tr>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其中：当年财政拨款</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 xml:space="preserve">  其他资金</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2949"/>
            <w:gridSpan w:val="3"/>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4915"/>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983"/>
            <w:vMerge/>
            <w:tcBorders>
              <w:start w:sz="10" w:val="single"/>
              <w:top w:sz="10" w:val="single"/>
              <w:end w:sz="10" w:val="single"/>
              <w:bottom w:sz="10" w:val="single"/>
              <w:insideV w:sz="10" w:val="single"/>
            </w:tcBorders>
          </w:tcPr>
          <w:p/>
        </w:tc>
        <w:tc>
          <w:tcPr>
            <w:tcW w:type="dxa" w:w="2949"/>
            <w:gridSpan w:val="3"/>
            <w:tcBorders>
              <w:start w:sz="10" w:val="single"/>
              <w:top w:sz="10" w:val="single"/>
              <w:end w:sz="10" w:val="single"/>
              <w:bottom w:sz="10" w:val="single"/>
              <w:insideV w:sz="10" w:val="single"/>
            </w:tcBorders>
            <w:vAlign w:val="center"/>
          </w:tcPr>
          <w:p>
            <w:pPr>
              <w:jc w:val="both"/>
            </w:pPr>
            <w:r>
              <w:rPr>
                <w:rFonts w:ascii="宋体" w:hAnsi="宋体" w:eastAsia="宋体"/>
                <w:sz w:val="16"/>
              </w:rPr>
              <w:t>发放国家级非遗传承人锡伯族弓箭制作技艺传承人伊春光补助费，加强非物质文化遗产保护、传承工作。</w:t>
            </w:r>
          </w:p>
        </w:tc>
        <w:tc>
          <w:tcPr>
            <w:tcW w:type="dxa" w:w="4915"/>
            <w:gridSpan w:val="5"/>
            <w:tcBorders>
              <w:start w:sz="10" w:val="single"/>
              <w:top w:sz="10" w:val="single"/>
              <w:end w:sz="10" w:val="single"/>
              <w:bottom w:sz="10" w:val="single"/>
              <w:insideV w:sz="10" w:val="single"/>
            </w:tcBorders>
            <w:vAlign w:val="center"/>
          </w:tcPr>
          <w:p>
            <w:pPr>
              <w:jc w:val="both"/>
            </w:pPr>
            <w:r>
              <w:rPr>
                <w:rFonts w:ascii="宋体" w:hAnsi="宋体" w:eastAsia="宋体"/>
                <w:sz w:val="16"/>
              </w:rPr>
              <w:t>已发放国家级非遗传承人锡伯族弓箭制作技艺传承人伊春光补助费，加强非物质文化遗产保护、传承工作。</w:t>
            </w:r>
          </w:p>
        </w:tc>
      </w:tr>
      <w:tr>
        <w:tc>
          <w:tcPr>
            <w:tcW w:type="dxa" w:w="983"/>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年度指标值</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实际完成值</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偏差原因分析及改进措施</w:t>
            </w:r>
          </w:p>
        </w:tc>
      </w:tr>
      <w:tr>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年度绩效指标完成情况</w:t>
            </w:r>
          </w:p>
        </w:tc>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产出指标</w:t>
            </w:r>
          </w:p>
        </w:tc>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国家级代表性传承人传承活动人数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=1人</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=1人</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参与非遗宣传展示活动次数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&gt;=3次</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=4次</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参加非遗的宣传展示活动较好</w:t>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国家级代表性传承人传承活动补助发放到位率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&gt;=95%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资金发放及时到位</w:t>
            </w:r>
          </w:p>
        </w:tc>
      </w:tr>
      <w:tr>
        <w:tc>
          <w:tcPr>
            <w:tcW w:type="dxa" w:w="983"/>
            <w:vMerge/>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成本指标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经济成本指标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发放非遗传人补助资金</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=2万元</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=2万元</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983"/>
            <w:vMerge/>
            <w:tcBorders>
              <w:start w:sz="10" w:val="single"/>
              <w:top w:sz="10" w:val="single"/>
              <w:end w:sz="10" w:val="single"/>
              <w:bottom w:sz="10" w:val="single"/>
              <w:insideV w:sz="10" w:val="single"/>
            </w:tcBorders>
          </w:tcPr>
          <w:p/>
        </w:tc>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效益指标</w:t>
            </w:r>
          </w:p>
        </w:tc>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社会效益指标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社会参与非遗保护度意识</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持续增长</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持续增长</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非遗传承宣传增长率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&gt;=3%</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=3%</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983"/>
            <w:vMerge/>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非遗传承人群满意度</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&gt;=90%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=90%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4915"/>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总分</w:t>
            </w:r>
          </w:p>
        </w:tc>
        <w:tc>
          <w:tcPr>
            <w:tcW w:type="dxa" w:w="983"/>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100.00分</w:t>
            </w:r>
          </w:p>
        </w:tc>
        <w:tc>
          <w:tcPr>
            <w:tcW w:type="dxa" w:w="983"/>
            <w:tcBorders>
              <w:start w:sz="10" w:val="single"/>
              <w:top w:sz="10" w:val="single"/>
              <w:end w:sz="10" w:val="single"/>
              <w:bottom w:sz="10" w:val="single"/>
              <w:insideV w:sz="10" w:val="single"/>
            </w:tcBorders>
          </w:tcPr>
          <w:p/>
        </w:tc>
      </w:tr>
    </w:tbl>
    <w:p>
      <w:r>
        <w:br w:type="page"/>
      </w:r>
    </w:p>
    <w:tbl>
      <w:tblPr>
        <w:tblW w:type="auto" w:w="0"/>
        <w:tblLook w:firstColumn="1" w:firstRow="1" w:lastColumn="0" w:lastRow="0" w:noHBand="0" w:noVBand="1" w:val="04A0"/>
      </w:tblPr>
      <w:tblGrid>
        <w:gridCol w:w="983"/>
        <w:gridCol w:w="983"/>
        <w:gridCol w:w="983"/>
        <w:gridCol w:w="983"/>
        <w:gridCol w:w="983"/>
        <w:gridCol w:w="983"/>
        <w:gridCol w:w="983"/>
        <w:gridCol w:w="983"/>
        <w:gridCol w:w="983"/>
      </w:tblGrid>
      <w:tr>
        <w:tc>
          <w:tcPr>
            <w:tcW w:type="dxa" w:w="8847"/>
            <w:gridSpan w:val="9"/>
            <w:vAlign w:val="center"/>
          </w:tcPr>
          <w:p>
            <w:pPr>
              <w:jc w:val="center"/>
            </w:pPr>
            <w:r>
              <w:rPr>
                <w:rFonts w:ascii="宋体" w:hAnsi="宋体" w:eastAsia="宋体"/>
                <w:sz w:val="24"/>
              </w:rPr>
              <w:t>项目支出绩效自评表</w:t>
            </w:r>
          </w:p>
        </w:tc>
      </w:tr>
      <w:tr>
        <w:tc>
          <w:tcPr>
            <w:tcW w:type="dxa" w:w="8847"/>
            <w:gridSpan w:val="9"/>
            <w:vAlign w:val="center"/>
          </w:tcPr>
          <w:p>
            <w:pPr>
              <w:jc w:val="center"/>
            </w:pPr>
            <w:r>
              <w:rPr>
                <w:rFonts w:ascii="宋体" w:hAnsi="宋体" w:eastAsia="宋体"/>
                <w:sz w:val="24"/>
              </w:rPr>
              <w:t>(2024年度)</w:t>
            </w:r>
          </w:p>
        </w:tc>
      </w:tr>
      <w:tr>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项目名称</w:t>
            </w:r>
          </w:p>
        </w:tc>
        <w:tc>
          <w:tcPr>
            <w:tcW w:type="dxa" w:w="7864"/>
            <w:gridSpan w:val="8"/>
            <w:tcBorders>
              <w:start w:sz="10" w:val="single"/>
              <w:top w:sz="10" w:val="single"/>
              <w:end w:sz="10" w:val="single"/>
              <w:bottom w:sz="10" w:val="single"/>
              <w:insideV w:sz="10" w:val="single"/>
            </w:tcBorders>
            <w:vAlign w:val="center"/>
          </w:tcPr>
          <w:p>
            <w:pPr>
              <w:jc w:val="center"/>
            </w:pPr>
            <w:r>
              <w:rPr>
                <w:rFonts w:ascii="宋体" w:hAnsi="宋体" w:eastAsia="宋体"/>
                <w:sz w:val="16"/>
              </w:rPr>
              <w:t>免费开放市级配套资金</w:t>
            </w:r>
          </w:p>
        </w:tc>
      </w:tr>
      <w:tr>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主管部门</w:t>
            </w:r>
          </w:p>
        </w:tc>
        <w:tc>
          <w:tcPr>
            <w:tcW w:type="dxa" w:w="2949"/>
            <w:gridSpan w:val="3"/>
            <w:tcBorders>
              <w:start w:sz="10" w:val="single"/>
              <w:top w:sz="10" w:val="single"/>
              <w:end w:sz="10" w:val="single"/>
              <w:bottom w:sz="10" w:val="single"/>
              <w:insideV w:sz="10" w:val="single"/>
            </w:tcBorders>
            <w:vAlign w:val="center"/>
          </w:tcPr>
          <w:p>
            <w:pPr>
              <w:jc w:val="center"/>
            </w:pPr>
            <w:r>
              <w:rPr>
                <w:rFonts w:ascii="宋体" w:hAnsi="宋体" w:eastAsia="宋体"/>
                <w:sz w:val="16"/>
              </w:rPr>
              <w:t>乌鲁木齐市文化和旅游局（乌鲁木齐市文物局）</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实施单位</w:t>
            </w:r>
          </w:p>
        </w:tc>
        <w:tc>
          <w:tcPr>
            <w:tcW w:type="dxa" w:w="3932"/>
            <w:gridSpan w:val="4"/>
            <w:tcBorders>
              <w:start w:sz="10" w:val="single"/>
              <w:top w:sz="10" w:val="single"/>
              <w:end w:sz="10" w:val="single"/>
              <w:bottom w:sz="10" w:val="single"/>
              <w:insideV w:sz="10" w:val="single"/>
            </w:tcBorders>
            <w:vAlign w:val="center"/>
          </w:tcPr>
          <w:p>
            <w:pPr>
              <w:jc w:val="center"/>
            </w:pPr>
            <w:r>
              <w:rPr>
                <w:rFonts w:ascii="宋体" w:hAnsi="宋体" w:eastAsia="宋体"/>
                <w:sz w:val="16"/>
              </w:rPr>
              <w:t>乌鲁木齐市文化馆（乌鲁木齐市非物质文化遗产保护中心）</w:t>
            </w:r>
          </w:p>
        </w:tc>
      </w:tr>
      <w:tr>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项目资金 （万元）</w:t>
            </w: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年度资金总额</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9.09</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90.90%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9.09分</w:t>
            </w:r>
          </w:p>
        </w:tc>
      </w:tr>
      <w:tr>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其中：当年财政拨款</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9.09</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 xml:space="preserve">  其他资金</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2949"/>
            <w:gridSpan w:val="3"/>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4915"/>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983"/>
            <w:vMerge/>
            <w:tcBorders>
              <w:start w:sz="10" w:val="single"/>
              <w:top w:sz="10" w:val="single"/>
              <w:end w:sz="10" w:val="single"/>
              <w:bottom w:sz="10" w:val="single"/>
              <w:insideV w:sz="10" w:val="single"/>
            </w:tcBorders>
          </w:tcPr>
          <w:p/>
        </w:tc>
        <w:tc>
          <w:tcPr>
            <w:tcW w:type="dxa" w:w="2949"/>
            <w:gridSpan w:val="3"/>
            <w:tcBorders>
              <w:start w:sz="10" w:val="single"/>
              <w:top w:sz="10" w:val="single"/>
              <w:end w:sz="10" w:val="single"/>
              <w:bottom w:sz="10" w:val="single"/>
              <w:insideV w:sz="10" w:val="single"/>
            </w:tcBorders>
            <w:vAlign w:val="center"/>
          </w:tcPr>
          <w:p>
            <w:pPr>
              <w:jc w:val="both"/>
            </w:pPr>
            <w:r>
              <w:rPr>
                <w:rFonts w:ascii="宋体" w:hAnsi="宋体" w:eastAsia="宋体"/>
                <w:sz w:val="16"/>
              </w:rPr>
              <w:t>2024年全年对市文化馆环境卫生进行打扫，保证区域内地面干净整洁、无灰尘、无垃圾，每天清洁楼内卫生间，保证卫生间内清洁卫生，及时清理垃圾，当天垃圾当天清理，垃圾分类放置到规定地点，使公共开放全域干净整洁.</w:t>
            </w:r>
          </w:p>
        </w:tc>
        <w:tc>
          <w:tcPr>
            <w:tcW w:type="dxa" w:w="4915"/>
            <w:gridSpan w:val="5"/>
            <w:tcBorders>
              <w:start w:sz="10" w:val="single"/>
              <w:top w:sz="10" w:val="single"/>
              <w:end w:sz="10" w:val="single"/>
              <w:bottom w:sz="10" w:val="single"/>
              <w:insideV w:sz="10" w:val="single"/>
            </w:tcBorders>
            <w:vAlign w:val="center"/>
          </w:tcPr>
          <w:p>
            <w:pPr>
              <w:jc w:val="both"/>
            </w:pPr>
            <w:r>
              <w:rPr>
                <w:rFonts w:ascii="宋体" w:hAnsi="宋体" w:eastAsia="宋体"/>
                <w:sz w:val="16"/>
              </w:rPr>
              <w:t>保洁3人负责对我馆环境卫生进行打扫，24小时在岗，8小时轮班制。做到一楼大厅及教室内地面干净整洁、无灰尘、无垃圾；每天清洁楼道内卫生，卫生间内清洁卫生，做到垃圾及时清理，当天垃圾当天清理，垃圾分类放置到规定地点，使公共开放全域干净整洁。</w:t>
            </w:r>
          </w:p>
        </w:tc>
      </w:tr>
      <w:tr>
        <w:tc>
          <w:tcPr>
            <w:tcW w:type="dxa" w:w="983"/>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年度指标值</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实际完成值</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偏差原因分析及改进措施</w:t>
            </w:r>
          </w:p>
        </w:tc>
      </w:tr>
      <w:tr>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年度绩效指标完成情况</w:t>
            </w:r>
          </w:p>
        </w:tc>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产出指标</w:t>
            </w:r>
          </w:p>
        </w:tc>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聘用保洁人数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=3人</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=3人</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每日工作时长</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=8小时</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=8小时</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保洁人员在岗时间</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=24小时</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=24小时</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到馆参加文化活动人数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&gt;=70000人次</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=70900人次</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群众参与文化活动积极性高</w:t>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保洁人员持证上岗率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&gt;=90%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全员参加培训</w:t>
            </w:r>
          </w:p>
        </w:tc>
      </w:tr>
      <w:tr>
        <w:tc>
          <w:tcPr>
            <w:tcW w:type="dxa" w:w="983"/>
            <w:vMerge/>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效益指标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社会效益指标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加强环境卫生</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加强</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完全达到预期</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30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30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983"/>
            <w:vMerge/>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群众对保洁服务满意度</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&gt;=90%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=91%</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保洁服务卫生做的好，群众满意度高</w:t>
            </w:r>
          </w:p>
        </w:tc>
      </w:tr>
      <w:tr>
        <w:tc>
          <w:tcPr>
            <w:tcW w:type="dxa" w:w="4915"/>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总分</w:t>
            </w:r>
          </w:p>
        </w:tc>
        <w:tc>
          <w:tcPr>
            <w:tcW w:type="dxa" w:w="983"/>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99.09分</w:t>
            </w:r>
          </w:p>
        </w:tc>
        <w:tc>
          <w:tcPr>
            <w:tcW w:type="dxa" w:w="983"/>
            <w:tcBorders>
              <w:start w:sz="10" w:val="single"/>
              <w:top w:sz="10" w:val="single"/>
              <w:end w:sz="10" w:val="single"/>
              <w:bottom w:sz="10" w:val="single"/>
              <w:insideV w:sz="10" w:val="single"/>
            </w:tcBorders>
          </w:tcPr>
          <w:p/>
        </w:tc>
      </w:tr>
    </w:tbl>
    <w:p>
      <w:r>
        <w:br w:type="page"/>
      </w:r>
    </w:p>
    <w:tbl>
      <w:tblPr>
        <w:tblW w:type="auto" w:w="0"/>
        <w:tblLook w:firstColumn="1" w:firstRow="1" w:lastColumn="0" w:lastRow="0" w:noHBand="0" w:noVBand="1" w:val="04A0"/>
      </w:tblPr>
      <w:tblGrid>
        <w:gridCol w:w="983"/>
        <w:gridCol w:w="983"/>
        <w:gridCol w:w="983"/>
        <w:gridCol w:w="983"/>
        <w:gridCol w:w="983"/>
        <w:gridCol w:w="983"/>
        <w:gridCol w:w="983"/>
        <w:gridCol w:w="983"/>
        <w:gridCol w:w="983"/>
      </w:tblGrid>
      <w:tr>
        <w:tc>
          <w:tcPr>
            <w:tcW w:type="dxa" w:w="8847"/>
            <w:gridSpan w:val="9"/>
            <w:vAlign w:val="center"/>
          </w:tcPr>
          <w:p>
            <w:pPr>
              <w:jc w:val="center"/>
            </w:pPr>
            <w:r>
              <w:rPr>
                <w:rFonts w:ascii="宋体" w:hAnsi="宋体" w:eastAsia="宋体"/>
                <w:sz w:val="24"/>
              </w:rPr>
              <w:t>项目支出绩效自评表</w:t>
            </w:r>
          </w:p>
        </w:tc>
      </w:tr>
      <w:tr>
        <w:tc>
          <w:tcPr>
            <w:tcW w:type="dxa" w:w="8847"/>
            <w:gridSpan w:val="9"/>
            <w:vAlign w:val="center"/>
          </w:tcPr>
          <w:p>
            <w:pPr>
              <w:jc w:val="center"/>
            </w:pPr>
            <w:r>
              <w:rPr>
                <w:rFonts w:ascii="宋体" w:hAnsi="宋体" w:eastAsia="宋体"/>
                <w:sz w:val="24"/>
              </w:rPr>
              <w:t>(2024年度)</w:t>
            </w:r>
          </w:p>
        </w:tc>
      </w:tr>
      <w:tr>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项目名称</w:t>
            </w:r>
          </w:p>
        </w:tc>
        <w:tc>
          <w:tcPr>
            <w:tcW w:type="dxa" w:w="7864"/>
            <w:gridSpan w:val="8"/>
            <w:tcBorders>
              <w:start w:sz="10" w:val="single"/>
              <w:top w:sz="10" w:val="single"/>
              <w:end w:sz="10" w:val="single"/>
              <w:bottom w:sz="10" w:val="single"/>
              <w:insideV w:sz="10" w:val="single"/>
            </w:tcBorders>
            <w:vAlign w:val="center"/>
          </w:tcPr>
          <w:p>
            <w:pPr>
              <w:jc w:val="center"/>
            </w:pPr>
            <w:r>
              <w:rPr>
                <w:rFonts w:ascii="宋体" w:hAnsi="宋体" w:eastAsia="宋体"/>
                <w:sz w:val="16"/>
              </w:rPr>
              <w:t>文化润疆-社区演出、新农村文化建设、馆站业务培训</w:t>
            </w:r>
          </w:p>
        </w:tc>
      </w:tr>
      <w:tr>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主管部门</w:t>
            </w:r>
          </w:p>
        </w:tc>
        <w:tc>
          <w:tcPr>
            <w:tcW w:type="dxa" w:w="2949"/>
            <w:gridSpan w:val="3"/>
            <w:tcBorders>
              <w:start w:sz="10" w:val="single"/>
              <w:top w:sz="10" w:val="single"/>
              <w:end w:sz="10" w:val="single"/>
              <w:bottom w:sz="10" w:val="single"/>
              <w:insideV w:sz="10" w:val="single"/>
            </w:tcBorders>
            <w:vAlign w:val="center"/>
          </w:tcPr>
          <w:p>
            <w:pPr>
              <w:jc w:val="center"/>
            </w:pPr>
            <w:r>
              <w:rPr>
                <w:rFonts w:ascii="宋体" w:hAnsi="宋体" w:eastAsia="宋体"/>
                <w:sz w:val="16"/>
              </w:rPr>
              <w:t>乌鲁木齐市文化和旅游局（乌鲁木齐市文物局）</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实施单位</w:t>
            </w:r>
          </w:p>
        </w:tc>
        <w:tc>
          <w:tcPr>
            <w:tcW w:type="dxa" w:w="3932"/>
            <w:gridSpan w:val="4"/>
            <w:tcBorders>
              <w:start w:sz="10" w:val="single"/>
              <w:top w:sz="10" w:val="single"/>
              <w:end w:sz="10" w:val="single"/>
              <w:bottom w:sz="10" w:val="single"/>
              <w:insideV w:sz="10" w:val="single"/>
            </w:tcBorders>
            <w:vAlign w:val="center"/>
          </w:tcPr>
          <w:p>
            <w:pPr>
              <w:jc w:val="center"/>
            </w:pPr>
            <w:r>
              <w:rPr>
                <w:rFonts w:ascii="宋体" w:hAnsi="宋体" w:eastAsia="宋体"/>
                <w:sz w:val="16"/>
              </w:rPr>
              <w:t>乌鲁木齐市文化馆（乌鲁木齐市非物质文化遗产保护中心）</w:t>
            </w:r>
          </w:p>
        </w:tc>
      </w:tr>
      <w:tr>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项目资金 （万元）</w:t>
            </w: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年度资金总额</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9.14</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6.51</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6.51</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10.00分</w:t>
            </w:r>
          </w:p>
        </w:tc>
      </w:tr>
      <w:tr>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其中：当年财政拨款</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9.14</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6.51</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6.51</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 xml:space="preserve">  其他资金</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2949"/>
            <w:gridSpan w:val="3"/>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4915"/>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983"/>
            <w:vMerge/>
            <w:tcBorders>
              <w:start w:sz="10" w:val="single"/>
              <w:top w:sz="10" w:val="single"/>
              <w:end w:sz="10" w:val="single"/>
              <w:bottom w:sz="10" w:val="single"/>
              <w:insideV w:sz="10" w:val="single"/>
            </w:tcBorders>
          </w:tcPr>
          <w:p/>
        </w:tc>
        <w:tc>
          <w:tcPr>
            <w:tcW w:type="dxa" w:w="2949"/>
            <w:gridSpan w:val="3"/>
            <w:tcBorders>
              <w:start w:sz="10" w:val="single"/>
              <w:top w:sz="10" w:val="single"/>
              <w:end w:sz="10" w:val="single"/>
              <w:bottom w:sz="10" w:val="single"/>
              <w:insideV w:sz="10" w:val="single"/>
            </w:tcBorders>
            <w:vAlign w:val="center"/>
          </w:tcPr>
          <w:p>
            <w:pPr>
              <w:jc w:val="both"/>
            </w:pPr>
            <w:r>
              <w:rPr>
                <w:rFonts w:ascii="宋体" w:hAnsi="宋体" w:eastAsia="宋体"/>
                <w:sz w:val="16"/>
              </w:rPr>
              <w:t>组织社区演出、馆站业务培训等形式多样的大型群众文化活动，邀请行业内的文艺骨干对基层的文艺爱好者们进行分批次的艺术培训，开展一系列的文艺汇演活动，起到传播、宣传作用，也为人民群众提供了更好的文化需求。开展全年不少于2次全市文化馆站培训，各类辅导老师下基层进行文化骨干培训不少于60次。</w:t>
            </w:r>
          </w:p>
        </w:tc>
        <w:tc>
          <w:tcPr>
            <w:tcW w:type="dxa" w:w="4915"/>
            <w:gridSpan w:val="5"/>
            <w:tcBorders>
              <w:start w:sz="10" w:val="single"/>
              <w:top w:sz="10" w:val="single"/>
              <w:end w:sz="10" w:val="single"/>
              <w:bottom w:sz="10" w:val="single"/>
              <w:insideV w:sz="10" w:val="single"/>
            </w:tcBorders>
            <w:vAlign w:val="center"/>
          </w:tcPr>
          <w:p>
            <w:pPr>
              <w:jc w:val="both"/>
            </w:pPr>
            <w:r>
              <w:rPr>
                <w:rFonts w:ascii="宋体" w:hAnsi="宋体" w:eastAsia="宋体"/>
                <w:sz w:val="16"/>
              </w:rPr>
              <w:t>组织社区演出、馆站业务培训等形式多样的大型群众文化活动，邀请行业内的文艺骨干对基层的文艺爱好者们进行分批次的艺术培训，开展一系列的文艺汇演活动，起到传播、宣传作用，也为人民群众提供了更好的文化需求。全年开展2次全市文化馆站培训，各类辅导老师下基层进行文化骨干培训60次。</w:t>
            </w:r>
          </w:p>
        </w:tc>
      </w:tr>
      <w:tr>
        <w:tc>
          <w:tcPr>
            <w:tcW w:type="dxa" w:w="983"/>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年度指标值</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实际完成值</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偏差原因分析及改进措施</w:t>
            </w:r>
          </w:p>
        </w:tc>
      </w:tr>
      <w:tr>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年度绩效指标完成情况</w:t>
            </w:r>
          </w:p>
        </w:tc>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产出指标</w:t>
            </w:r>
          </w:p>
        </w:tc>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馆站培训次数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&gt;=2次</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=2次</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业务老师辅导次数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&gt;=60次</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=60次</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培训学员</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&gt;=600人次</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=600人次</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培训出勤率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&gt;=90%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=91.66%</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出勤率较高</w:t>
            </w:r>
          </w:p>
        </w:tc>
      </w:tr>
      <w:tr>
        <w:tc>
          <w:tcPr>
            <w:tcW w:type="dxa" w:w="983"/>
            <w:vMerge/>
            <w:tcBorders>
              <w:start w:sz="10" w:val="single"/>
              <w:top w:sz="10" w:val="single"/>
              <w:end w:sz="10" w:val="single"/>
              <w:bottom w:sz="10" w:val="single"/>
              <w:insideV w:sz="10" w:val="single"/>
            </w:tcBorders>
          </w:tcPr>
          <w:p/>
        </w:tc>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成本指标</w:t>
            </w:r>
          </w:p>
        </w:tc>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经济成本指标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老师讲课费</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&lt;=4.92万元</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=4.92万元</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培训期间其他费用</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&lt;=1.59万元</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=1.59万元</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983"/>
            <w:vMerge/>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效益指标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社会效益指标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满足广大群众文化需求</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满足</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完全达到预期</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983"/>
            <w:vMerge/>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学员满意度</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&gt;=90%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=96%</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学员对培训的满意度较高</w:t>
            </w:r>
          </w:p>
        </w:tc>
      </w:tr>
      <w:tr>
        <w:tc>
          <w:tcPr>
            <w:tcW w:type="dxa" w:w="4915"/>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总分</w:t>
            </w:r>
          </w:p>
        </w:tc>
        <w:tc>
          <w:tcPr>
            <w:tcW w:type="dxa" w:w="983"/>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100.00分</w:t>
            </w:r>
          </w:p>
        </w:tc>
        <w:tc>
          <w:tcPr>
            <w:tcW w:type="dxa" w:w="983"/>
            <w:tcBorders>
              <w:start w:sz="10" w:val="single"/>
              <w:top w:sz="10" w:val="single"/>
              <w:end w:sz="10" w:val="single"/>
              <w:bottom w:sz="10" w:val="single"/>
              <w:insideV w:sz="10" w:val="single"/>
            </w:tcBorders>
          </w:tcPr>
          <w:p/>
        </w:tc>
      </w:tr>
    </w:tbl>
    <w:p>
      <w:r>
        <w:br w:type="page"/>
      </w:r>
    </w:p>
    <w:tbl>
      <w:tblPr>
        <w:tblW w:type="auto" w:w="0"/>
        <w:tblLook w:firstColumn="1" w:firstRow="1" w:lastColumn="0" w:lastRow="0" w:noHBand="0" w:noVBand="1" w:val="04A0"/>
      </w:tblPr>
      <w:tblGrid>
        <w:gridCol w:w="983"/>
        <w:gridCol w:w="983"/>
        <w:gridCol w:w="983"/>
        <w:gridCol w:w="983"/>
        <w:gridCol w:w="983"/>
        <w:gridCol w:w="983"/>
        <w:gridCol w:w="983"/>
        <w:gridCol w:w="983"/>
        <w:gridCol w:w="983"/>
      </w:tblGrid>
      <w:tr>
        <w:tc>
          <w:tcPr>
            <w:tcW w:type="dxa" w:w="8847"/>
            <w:gridSpan w:val="9"/>
            <w:vAlign w:val="center"/>
          </w:tcPr>
          <w:p>
            <w:pPr>
              <w:jc w:val="center"/>
            </w:pPr>
            <w:r>
              <w:rPr>
                <w:rFonts w:ascii="宋体" w:hAnsi="宋体" w:eastAsia="宋体"/>
                <w:sz w:val="24"/>
              </w:rPr>
              <w:t>项目支出绩效自评表</w:t>
            </w:r>
          </w:p>
        </w:tc>
      </w:tr>
      <w:tr>
        <w:tc>
          <w:tcPr>
            <w:tcW w:type="dxa" w:w="8847"/>
            <w:gridSpan w:val="9"/>
            <w:vAlign w:val="center"/>
          </w:tcPr>
          <w:p>
            <w:pPr>
              <w:jc w:val="center"/>
            </w:pPr>
            <w:r>
              <w:rPr>
                <w:rFonts w:ascii="宋体" w:hAnsi="宋体" w:eastAsia="宋体"/>
                <w:sz w:val="24"/>
              </w:rPr>
              <w:t>(2024年度)</w:t>
            </w:r>
          </w:p>
        </w:tc>
      </w:tr>
      <w:tr>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项目名称</w:t>
            </w:r>
          </w:p>
        </w:tc>
        <w:tc>
          <w:tcPr>
            <w:tcW w:type="dxa" w:w="7864"/>
            <w:gridSpan w:val="8"/>
            <w:tcBorders>
              <w:start w:sz="10" w:val="single"/>
              <w:top w:sz="10" w:val="single"/>
              <w:end w:sz="10" w:val="single"/>
              <w:bottom w:sz="10" w:val="single"/>
              <w:insideV w:sz="10" w:val="single"/>
            </w:tcBorders>
            <w:vAlign w:val="center"/>
          </w:tcPr>
          <w:p>
            <w:pPr>
              <w:jc w:val="center"/>
            </w:pPr>
            <w:r>
              <w:rPr>
                <w:rFonts w:ascii="宋体" w:hAnsi="宋体" w:eastAsia="宋体"/>
                <w:sz w:val="16"/>
              </w:rPr>
              <w:t>乌鲁木齐市文化旅游志愿服务补助资金</w:t>
            </w:r>
          </w:p>
        </w:tc>
      </w:tr>
      <w:tr>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主管部门</w:t>
            </w:r>
          </w:p>
        </w:tc>
        <w:tc>
          <w:tcPr>
            <w:tcW w:type="dxa" w:w="2949"/>
            <w:gridSpan w:val="3"/>
            <w:tcBorders>
              <w:start w:sz="10" w:val="single"/>
              <w:top w:sz="10" w:val="single"/>
              <w:end w:sz="10" w:val="single"/>
              <w:bottom w:sz="10" w:val="single"/>
              <w:insideV w:sz="10" w:val="single"/>
            </w:tcBorders>
            <w:vAlign w:val="center"/>
          </w:tcPr>
          <w:p>
            <w:pPr>
              <w:jc w:val="center"/>
            </w:pPr>
            <w:r>
              <w:rPr>
                <w:rFonts w:ascii="宋体" w:hAnsi="宋体" w:eastAsia="宋体"/>
                <w:sz w:val="16"/>
              </w:rPr>
              <w:t>乌鲁木齐市文化和旅游局（乌鲁木齐市文物局）</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实施单位</w:t>
            </w:r>
          </w:p>
        </w:tc>
        <w:tc>
          <w:tcPr>
            <w:tcW w:type="dxa" w:w="3932"/>
            <w:gridSpan w:val="4"/>
            <w:tcBorders>
              <w:start w:sz="10" w:val="single"/>
              <w:top w:sz="10" w:val="single"/>
              <w:end w:sz="10" w:val="single"/>
              <w:bottom w:sz="10" w:val="single"/>
              <w:insideV w:sz="10" w:val="single"/>
            </w:tcBorders>
            <w:vAlign w:val="center"/>
          </w:tcPr>
          <w:p>
            <w:pPr>
              <w:jc w:val="center"/>
            </w:pPr>
            <w:r>
              <w:rPr>
                <w:rFonts w:ascii="宋体" w:hAnsi="宋体" w:eastAsia="宋体"/>
                <w:sz w:val="16"/>
              </w:rPr>
              <w:t>乌鲁木齐市文化馆（乌鲁木齐市非物质文化遗产保护中心）</w:t>
            </w:r>
          </w:p>
        </w:tc>
      </w:tr>
      <w:tr>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项目资金 （万元）</w:t>
            </w: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年度资金总额</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4.10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4.10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4.10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10.00分</w:t>
            </w:r>
          </w:p>
        </w:tc>
      </w:tr>
      <w:tr>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其中：当年财政拨款</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4.10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4.10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4.10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 xml:space="preserve">  其他资金</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2949"/>
            <w:gridSpan w:val="3"/>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4915"/>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983"/>
            <w:vMerge/>
            <w:tcBorders>
              <w:start w:sz="10" w:val="single"/>
              <w:top w:sz="10" w:val="single"/>
              <w:end w:sz="10" w:val="single"/>
              <w:bottom w:sz="10" w:val="single"/>
              <w:insideV w:sz="10" w:val="single"/>
            </w:tcBorders>
          </w:tcPr>
          <w:p/>
        </w:tc>
        <w:tc>
          <w:tcPr>
            <w:tcW w:type="dxa" w:w="2949"/>
            <w:gridSpan w:val="3"/>
            <w:tcBorders>
              <w:start w:sz="10" w:val="single"/>
              <w:top w:sz="10" w:val="single"/>
              <w:end w:sz="10" w:val="single"/>
              <w:bottom w:sz="10" w:val="single"/>
              <w:insideV w:sz="10" w:val="single"/>
            </w:tcBorders>
            <w:vAlign w:val="center"/>
          </w:tcPr>
          <w:p>
            <w:pPr>
              <w:jc w:val="both"/>
            </w:pPr>
            <w:r>
              <w:rPr>
                <w:rFonts w:ascii="宋体" w:hAnsi="宋体" w:eastAsia="宋体"/>
                <w:sz w:val="16"/>
              </w:rPr>
              <w:t>市文化馆“永远跟党走”文艺轻骑兵进基层活动，2024年在社区、乡村、军营、工地、商超、景区等地开展文化惠民演出活动，丰富市民的精神文化生活。</w:t>
            </w:r>
          </w:p>
        </w:tc>
        <w:tc>
          <w:tcPr>
            <w:tcW w:type="dxa" w:w="4915"/>
            <w:gridSpan w:val="5"/>
            <w:tcBorders>
              <w:start w:sz="10" w:val="single"/>
              <w:top w:sz="10" w:val="single"/>
              <w:end w:sz="10" w:val="single"/>
              <w:bottom w:sz="10" w:val="single"/>
              <w:insideV w:sz="10" w:val="single"/>
            </w:tcBorders>
            <w:vAlign w:val="center"/>
          </w:tcPr>
          <w:p>
            <w:pPr>
              <w:jc w:val="both"/>
            </w:pPr>
            <w:r>
              <w:rPr>
                <w:rFonts w:ascii="宋体" w:hAnsi="宋体" w:eastAsia="宋体"/>
                <w:sz w:val="16"/>
              </w:rPr>
              <w:t>完成市文化馆“永远跟党走”文艺轻骑兵进基层活动，在社区、乡村、军营、工地、商超、景区等地开展文化惠民演出活动，丰富市民的精神文化生活。</w:t>
            </w:r>
          </w:p>
        </w:tc>
      </w:tr>
      <w:tr>
        <w:tc>
          <w:tcPr>
            <w:tcW w:type="dxa" w:w="983"/>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年度指标值</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实际完成值</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偏差原因分析及改进措施</w:t>
            </w:r>
          </w:p>
        </w:tc>
      </w:tr>
      <w:tr>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年度绩效指标完成情况</w:t>
            </w:r>
          </w:p>
        </w:tc>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产出指标</w:t>
            </w:r>
          </w:p>
        </w:tc>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优秀文化志愿者服务项目</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&gt;=1个</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=1个</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优秀个人</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&gt;=1个</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=1个</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全年演出活动场次</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&gt;=100场次</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=100场次</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志愿服务演员到场率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&gt;=95%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=96%</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演员参与度较高</w:t>
            </w:r>
          </w:p>
        </w:tc>
      </w:tr>
      <w:tr>
        <w:tc>
          <w:tcPr>
            <w:tcW w:type="dxa" w:w="983"/>
            <w:vMerge/>
            <w:tcBorders>
              <w:start w:sz="10" w:val="single"/>
              <w:top w:sz="10" w:val="single"/>
              <w:end w:sz="10" w:val="single"/>
              <w:bottom w:sz="10" w:val="single"/>
              <w:insideV w:sz="10" w:val="single"/>
            </w:tcBorders>
          </w:tcPr>
          <w:p/>
        </w:tc>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成本指标</w:t>
            </w:r>
          </w:p>
        </w:tc>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经济成本指标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个人奖励</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=1000元</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=1000元</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演出、活动经费</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&lt;=40000元</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=40000元</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983"/>
            <w:vMerge/>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效益指标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社会效益指标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公益性文化服务</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有效增强</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ab/>
              <w:t>完全达到预期</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983"/>
            <w:vMerge/>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群众对演出满意度</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&gt;=95%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=95%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4915"/>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总分</w:t>
            </w:r>
          </w:p>
        </w:tc>
        <w:tc>
          <w:tcPr>
            <w:tcW w:type="dxa" w:w="983"/>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100.00分</w:t>
            </w:r>
          </w:p>
        </w:tc>
        <w:tc>
          <w:tcPr>
            <w:tcW w:type="dxa" w:w="983"/>
            <w:tcBorders>
              <w:start w:sz="10" w:val="single"/>
              <w:top w:sz="10" w:val="single"/>
              <w:end w:sz="10" w:val="single"/>
              <w:bottom w:sz="10" w:val="single"/>
              <w:insideV w:sz="10" w:val="single"/>
            </w:tcBorders>
          </w:tcPr>
          <w:p/>
        </w:tc>
      </w:tr>
    </w:tbl>
    <w:p>
      <w:r>
        <w:br w:type="page"/>
      </w:r>
    </w:p>
    <w:tbl>
      <w:tblPr>
        <w:tblW w:type="auto" w:w="0"/>
        <w:tblLook w:firstColumn="1" w:firstRow="1" w:lastColumn="0" w:lastRow="0" w:noHBand="0" w:noVBand="1" w:val="04A0"/>
      </w:tblPr>
      <w:tblGrid>
        <w:gridCol w:w="983"/>
        <w:gridCol w:w="983"/>
        <w:gridCol w:w="983"/>
        <w:gridCol w:w="983"/>
        <w:gridCol w:w="983"/>
        <w:gridCol w:w="983"/>
        <w:gridCol w:w="983"/>
        <w:gridCol w:w="983"/>
        <w:gridCol w:w="983"/>
      </w:tblGrid>
      <w:tr>
        <w:tc>
          <w:tcPr>
            <w:tcW w:type="dxa" w:w="8847"/>
            <w:gridSpan w:val="9"/>
            <w:vAlign w:val="center"/>
          </w:tcPr>
          <w:p>
            <w:pPr>
              <w:jc w:val="center"/>
            </w:pPr>
            <w:r>
              <w:rPr>
                <w:rFonts w:ascii="宋体" w:hAnsi="宋体" w:eastAsia="宋体"/>
                <w:sz w:val="24"/>
              </w:rPr>
              <w:t>项目支出绩效自评表</w:t>
            </w:r>
          </w:p>
        </w:tc>
      </w:tr>
      <w:tr>
        <w:tc>
          <w:tcPr>
            <w:tcW w:type="dxa" w:w="8847"/>
            <w:gridSpan w:val="9"/>
            <w:vAlign w:val="center"/>
          </w:tcPr>
          <w:p>
            <w:pPr>
              <w:jc w:val="center"/>
            </w:pPr>
            <w:r>
              <w:rPr>
                <w:rFonts w:ascii="宋体" w:hAnsi="宋体" w:eastAsia="宋体"/>
                <w:sz w:val="24"/>
              </w:rPr>
              <w:t>(2024年度)</w:t>
            </w:r>
          </w:p>
        </w:tc>
      </w:tr>
      <w:tr>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项目名称</w:t>
            </w:r>
          </w:p>
        </w:tc>
        <w:tc>
          <w:tcPr>
            <w:tcW w:type="dxa" w:w="7864"/>
            <w:gridSpan w:val="8"/>
            <w:tcBorders>
              <w:start w:sz="10" w:val="single"/>
              <w:top w:sz="10" w:val="single"/>
              <w:end w:sz="10" w:val="single"/>
              <w:bottom w:sz="10" w:val="single"/>
              <w:insideV w:sz="10" w:val="single"/>
            </w:tcBorders>
            <w:vAlign w:val="center"/>
          </w:tcPr>
          <w:p>
            <w:pPr>
              <w:jc w:val="center"/>
            </w:pPr>
            <w:r>
              <w:rPr>
                <w:rFonts w:ascii="宋体" w:hAnsi="宋体" w:eastAsia="宋体"/>
                <w:sz w:val="16"/>
              </w:rPr>
              <w:t>新疆人才发展基金2024年度第一轮支持资金</w:t>
            </w:r>
          </w:p>
        </w:tc>
      </w:tr>
      <w:tr>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主管部门</w:t>
            </w:r>
          </w:p>
        </w:tc>
        <w:tc>
          <w:tcPr>
            <w:tcW w:type="dxa" w:w="2949"/>
            <w:gridSpan w:val="3"/>
            <w:tcBorders>
              <w:start w:sz="10" w:val="single"/>
              <w:top w:sz="10" w:val="single"/>
              <w:end w:sz="10" w:val="single"/>
              <w:bottom w:sz="10" w:val="single"/>
              <w:insideV w:sz="10" w:val="single"/>
            </w:tcBorders>
            <w:vAlign w:val="center"/>
          </w:tcPr>
          <w:p>
            <w:pPr>
              <w:jc w:val="center"/>
            </w:pPr>
            <w:r>
              <w:rPr>
                <w:rFonts w:ascii="宋体" w:hAnsi="宋体" w:eastAsia="宋体"/>
                <w:sz w:val="16"/>
              </w:rPr>
              <w:t>乌鲁木齐市文化和旅游局（乌鲁木齐市文物局）</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实施单位</w:t>
            </w:r>
          </w:p>
        </w:tc>
        <w:tc>
          <w:tcPr>
            <w:tcW w:type="dxa" w:w="3932"/>
            <w:gridSpan w:val="4"/>
            <w:tcBorders>
              <w:start w:sz="10" w:val="single"/>
              <w:top w:sz="10" w:val="single"/>
              <w:end w:sz="10" w:val="single"/>
              <w:bottom w:sz="10" w:val="single"/>
              <w:insideV w:sz="10" w:val="single"/>
            </w:tcBorders>
            <w:vAlign w:val="center"/>
          </w:tcPr>
          <w:p>
            <w:pPr>
              <w:jc w:val="center"/>
            </w:pPr>
            <w:r>
              <w:rPr>
                <w:rFonts w:ascii="宋体" w:hAnsi="宋体" w:eastAsia="宋体"/>
                <w:sz w:val="16"/>
              </w:rPr>
              <w:t>乌鲁木齐市文化馆（乌鲁木齐市非物质文化遗产保护中心）</w:t>
            </w:r>
          </w:p>
        </w:tc>
      </w:tr>
      <w:tr>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项目资金 （万元）</w:t>
            </w: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年度资金总额</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17.00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17.00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16.81</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98.88%</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9.89分</w:t>
            </w:r>
          </w:p>
        </w:tc>
      </w:tr>
      <w:tr>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其中：当年财政拨款</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17.00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17.00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16.81</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 xml:space="preserve">  其他资金</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2949"/>
            <w:gridSpan w:val="3"/>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4915"/>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983"/>
            <w:vMerge/>
            <w:tcBorders>
              <w:start w:sz="10" w:val="single"/>
              <w:top w:sz="10" w:val="single"/>
              <w:end w:sz="10" w:val="single"/>
              <w:bottom w:sz="10" w:val="single"/>
              <w:insideV w:sz="10" w:val="single"/>
            </w:tcBorders>
          </w:tcPr>
          <w:p/>
        </w:tc>
        <w:tc>
          <w:tcPr>
            <w:tcW w:type="dxa" w:w="2949"/>
            <w:gridSpan w:val="3"/>
            <w:tcBorders>
              <w:start w:sz="10" w:val="single"/>
              <w:top w:sz="10" w:val="single"/>
              <w:end w:sz="10" w:val="single"/>
              <w:bottom w:sz="10" w:val="single"/>
              <w:insideV w:sz="10" w:val="single"/>
            </w:tcBorders>
            <w:vAlign w:val="center"/>
          </w:tcPr>
          <w:p>
            <w:pPr>
              <w:jc w:val="both"/>
            </w:pPr>
            <w:r>
              <w:rPr>
                <w:rFonts w:ascii="宋体" w:hAnsi="宋体" w:eastAsia="宋体"/>
                <w:sz w:val="16"/>
              </w:rPr>
              <w:t>新疆文化名家暨“四个一批”人才宣传思想文化青年英才本年主要制作系列场景软陶泥彩塑《玛纳斯》，到柯尔克孜族聚集的村庄进行素材搜集，制定出多张草图，并做好笔记深入民间采风创作。“天山英才”培养计划——哲学社会科学人才和新疆文化名家项目主要完成以当地游牧民族传统牛皮雕刻技艺为依托通过设计、创新、符合当地的文旅产品，带动当地农牧民以“家”为单位的手工艺品制作、展示、销售，的产品打烊设计，及皮雕培训。</w:t>
            </w:r>
          </w:p>
        </w:tc>
        <w:tc>
          <w:tcPr>
            <w:tcW w:type="dxa" w:w="4915"/>
            <w:gridSpan w:val="5"/>
            <w:tcBorders>
              <w:start w:sz="10" w:val="single"/>
              <w:top w:sz="10" w:val="single"/>
              <w:end w:sz="10" w:val="single"/>
              <w:bottom w:sz="10" w:val="single"/>
              <w:insideV w:sz="10" w:val="single"/>
            </w:tcBorders>
            <w:vAlign w:val="center"/>
          </w:tcPr>
          <w:p>
            <w:pPr>
              <w:jc w:val="both"/>
            </w:pPr>
            <w:r>
              <w:rPr>
                <w:rFonts w:ascii="宋体" w:hAnsi="宋体" w:eastAsia="宋体"/>
                <w:sz w:val="16"/>
              </w:rPr>
              <w:t>完成新疆文化名家暨“四个一批”人才宣传思想文化青年英才本年主要制作系列场景软陶泥彩塑《玛纳斯》，到柯尔克孜族聚集的村庄进行素材搜集，制定出多张草图，并做好笔记深入民间采风创作。“天山英才”培养计划——哲学社会科学人才和新疆文化名家项目主要完成以当地游牧民族传统牛皮雕刻技艺为依托通过设计、创新、符合当地的文旅产品，带动当地农牧民以“家”为单位的手工艺品制作、展示、销售，的产品打烊设计，及皮雕培训。</w:t>
            </w:r>
          </w:p>
        </w:tc>
      </w:tr>
      <w:tr>
        <w:tc>
          <w:tcPr>
            <w:tcW w:type="dxa" w:w="983"/>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年度指标值</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实际完成值</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偏差原因分析及改进措施</w:t>
            </w:r>
          </w:p>
        </w:tc>
      </w:tr>
      <w:tr>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年度绩效指标完成情况</w:t>
            </w:r>
          </w:p>
        </w:tc>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产出指标</w:t>
            </w:r>
          </w:p>
        </w:tc>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采风人数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&gt;=3人</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=5人</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7</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7</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项目组共计8人，此次因为时间安排参与采风人员5人</w:t>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资料收集拍摄公司</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=1个</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=1个</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培训人数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&gt;=30人</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=30人</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培训时长</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&gt;=60天</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=60天</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皮具成品数量</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&gt;=300个</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=600个</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7</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7</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参与皮具制作的学员积极性高，超额完成目标任务</w:t>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培训合格率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&gt;=95%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=96%</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3</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3</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传承人授课专业认真，学员学习积极性高超出培训预期效果</w:t>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采风参与率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&gt;=98%</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=62.5%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3</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1.91</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项目组共计8人，此次参与采风人员为5人，参与率62.5%</w:t>
            </w:r>
          </w:p>
        </w:tc>
      </w:tr>
      <w:tr>
        <w:tc>
          <w:tcPr>
            <w:tcW w:type="dxa" w:w="983"/>
            <w:vMerge/>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效益指标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社会效益指标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收集采风资料</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有效</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完全达到预期</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40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40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4915"/>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总分</w:t>
            </w:r>
          </w:p>
        </w:tc>
        <w:tc>
          <w:tcPr>
            <w:tcW w:type="dxa" w:w="983"/>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98.80分</w:t>
            </w:r>
          </w:p>
        </w:tc>
        <w:tc>
          <w:tcPr>
            <w:tcW w:type="dxa" w:w="983"/>
            <w:tcBorders>
              <w:start w:sz="10" w:val="single"/>
              <w:top w:sz="10" w:val="single"/>
              <w:end w:sz="10" w:val="single"/>
              <w:bottom w:sz="10" w:val="single"/>
              <w:insideV w:sz="10" w:val="single"/>
            </w:tcBorders>
          </w:tcPr>
          <w:p/>
        </w:tc>
      </w:tr>
    </w:tbl>
    <w:p>
      <w:r>
        <w:br w:type="page"/>
      </w:r>
    </w:p>
    <w:tbl>
      <w:tblPr>
        <w:tblW w:type="auto" w:w="0"/>
        <w:tblLook w:firstColumn="1" w:firstRow="1" w:lastColumn="0" w:lastRow="0" w:noHBand="0" w:noVBand="1" w:val="04A0"/>
      </w:tblPr>
      <w:tblGrid>
        <w:gridCol w:w="983"/>
        <w:gridCol w:w="983"/>
        <w:gridCol w:w="983"/>
        <w:gridCol w:w="983"/>
        <w:gridCol w:w="983"/>
        <w:gridCol w:w="983"/>
        <w:gridCol w:w="983"/>
        <w:gridCol w:w="983"/>
        <w:gridCol w:w="983"/>
      </w:tblGrid>
      <w:tr>
        <w:tc>
          <w:tcPr>
            <w:tcW w:type="dxa" w:w="8847"/>
            <w:gridSpan w:val="9"/>
            <w:vAlign w:val="center"/>
          </w:tcPr>
          <w:p>
            <w:pPr>
              <w:jc w:val="center"/>
            </w:pPr>
            <w:r>
              <w:rPr>
                <w:rFonts w:ascii="宋体" w:hAnsi="宋体" w:eastAsia="宋体"/>
                <w:sz w:val="24"/>
              </w:rPr>
              <w:t>项目支出绩效自评表</w:t>
            </w:r>
          </w:p>
        </w:tc>
      </w:tr>
      <w:tr>
        <w:tc>
          <w:tcPr>
            <w:tcW w:type="dxa" w:w="8847"/>
            <w:gridSpan w:val="9"/>
            <w:vAlign w:val="center"/>
          </w:tcPr>
          <w:p>
            <w:pPr>
              <w:jc w:val="center"/>
            </w:pPr>
            <w:r>
              <w:rPr>
                <w:rFonts w:ascii="宋体" w:hAnsi="宋体" w:eastAsia="宋体"/>
                <w:sz w:val="24"/>
              </w:rPr>
              <w:t>(2024年度)</w:t>
            </w:r>
          </w:p>
        </w:tc>
      </w:tr>
      <w:tr>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项目名称</w:t>
            </w:r>
          </w:p>
        </w:tc>
        <w:tc>
          <w:tcPr>
            <w:tcW w:type="dxa" w:w="7864"/>
            <w:gridSpan w:val="8"/>
            <w:tcBorders>
              <w:start w:sz="10" w:val="single"/>
              <w:top w:sz="10" w:val="single"/>
              <w:end w:sz="10" w:val="single"/>
              <w:bottom w:sz="10" w:val="single"/>
              <w:insideV w:sz="10" w:val="single"/>
            </w:tcBorders>
            <w:vAlign w:val="center"/>
          </w:tcPr>
          <w:p>
            <w:pPr>
              <w:jc w:val="center"/>
            </w:pPr>
            <w:r>
              <w:rPr>
                <w:rFonts w:ascii="宋体" w:hAnsi="宋体" w:eastAsia="宋体"/>
                <w:sz w:val="16"/>
              </w:rPr>
              <w:t>公共场所安保经费</w:t>
            </w:r>
          </w:p>
        </w:tc>
      </w:tr>
      <w:tr>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主管部门</w:t>
            </w:r>
          </w:p>
        </w:tc>
        <w:tc>
          <w:tcPr>
            <w:tcW w:type="dxa" w:w="2949"/>
            <w:gridSpan w:val="3"/>
            <w:tcBorders>
              <w:start w:sz="10" w:val="single"/>
              <w:top w:sz="10" w:val="single"/>
              <w:end w:sz="10" w:val="single"/>
              <w:bottom w:sz="10" w:val="single"/>
              <w:insideV w:sz="10" w:val="single"/>
            </w:tcBorders>
            <w:vAlign w:val="center"/>
          </w:tcPr>
          <w:p>
            <w:pPr>
              <w:jc w:val="center"/>
            </w:pPr>
            <w:r>
              <w:rPr>
                <w:rFonts w:ascii="宋体" w:hAnsi="宋体" w:eastAsia="宋体"/>
                <w:sz w:val="16"/>
              </w:rPr>
              <w:t>乌鲁木齐市文化和旅游局（乌鲁木齐市文物局）</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实施单位</w:t>
            </w:r>
          </w:p>
        </w:tc>
        <w:tc>
          <w:tcPr>
            <w:tcW w:type="dxa" w:w="3932"/>
            <w:gridSpan w:val="4"/>
            <w:tcBorders>
              <w:start w:sz="10" w:val="single"/>
              <w:top w:sz="10" w:val="single"/>
              <w:end w:sz="10" w:val="single"/>
              <w:bottom w:sz="10" w:val="single"/>
              <w:insideV w:sz="10" w:val="single"/>
            </w:tcBorders>
            <w:vAlign w:val="center"/>
          </w:tcPr>
          <w:p>
            <w:pPr>
              <w:jc w:val="center"/>
            </w:pPr>
            <w:r>
              <w:rPr>
                <w:rFonts w:ascii="宋体" w:hAnsi="宋体" w:eastAsia="宋体"/>
                <w:sz w:val="16"/>
              </w:rPr>
              <w:t>乌鲁木齐市文化馆（乌鲁木齐市非物质文化遗产保护中心）</w:t>
            </w:r>
          </w:p>
        </w:tc>
      </w:tr>
      <w:tr>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项目资金 （万元）</w:t>
            </w: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年度资金总额</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16.30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16.30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16.29</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99.94%</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9.99分</w:t>
            </w:r>
          </w:p>
        </w:tc>
      </w:tr>
      <w:tr>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其中：当年财政拨款</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16.30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16.30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16.29</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 xml:space="preserve">  其他资金</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2949"/>
            <w:gridSpan w:val="3"/>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4915"/>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983"/>
            <w:vMerge/>
            <w:tcBorders>
              <w:start w:sz="10" w:val="single"/>
              <w:top w:sz="10" w:val="single"/>
              <w:end w:sz="10" w:val="single"/>
              <w:bottom w:sz="10" w:val="single"/>
              <w:insideV w:sz="10" w:val="single"/>
            </w:tcBorders>
          </w:tcPr>
          <w:p/>
        </w:tc>
        <w:tc>
          <w:tcPr>
            <w:tcW w:type="dxa" w:w="2949"/>
            <w:gridSpan w:val="3"/>
            <w:tcBorders>
              <w:start w:sz="10" w:val="single"/>
              <w:top w:sz="10" w:val="single"/>
              <w:end w:sz="10" w:val="single"/>
              <w:bottom w:sz="10" w:val="single"/>
              <w:insideV w:sz="10" w:val="single"/>
            </w:tcBorders>
            <w:vAlign w:val="center"/>
          </w:tcPr>
          <w:p>
            <w:pPr>
              <w:jc w:val="both"/>
            </w:pPr>
            <w:r>
              <w:rPr>
                <w:rFonts w:ascii="宋体" w:hAnsi="宋体" w:eastAsia="宋体"/>
                <w:sz w:val="16"/>
              </w:rPr>
              <w:t>保安开展群众出入安检、询问、登记等工作。负责文化馆大楼的巡查检查，做好检查登记等工作。全年完成工作时间365天，安保人员持证上岗率100%，安全事故发生数0起。</w:t>
            </w:r>
          </w:p>
        </w:tc>
        <w:tc>
          <w:tcPr>
            <w:tcW w:type="dxa" w:w="4915"/>
            <w:gridSpan w:val="5"/>
            <w:tcBorders>
              <w:start w:sz="10" w:val="single"/>
              <w:top w:sz="10" w:val="single"/>
              <w:end w:sz="10" w:val="single"/>
              <w:bottom w:sz="10" w:val="single"/>
              <w:insideV w:sz="10" w:val="single"/>
            </w:tcBorders>
            <w:vAlign w:val="center"/>
          </w:tcPr>
          <w:p>
            <w:pPr>
              <w:jc w:val="both"/>
            </w:pPr>
            <w:r>
              <w:rPr>
                <w:rFonts w:ascii="宋体" w:hAnsi="宋体" w:eastAsia="宋体"/>
                <w:sz w:val="16"/>
              </w:rPr>
              <w:t>着装整齐、仪表端正、文明执勤、坚守岗位、工作认真。全年完成工作时间365天，安保人员持证上岗率100%，安全事故发生数0起。</w:t>
            </w:r>
          </w:p>
        </w:tc>
      </w:tr>
      <w:tr>
        <w:tc>
          <w:tcPr>
            <w:tcW w:type="dxa" w:w="983"/>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年度指标值</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实际完成值</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偏差原因分析及改进措施</w:t>
            </w:r>
          </w:p>
        </w:tc>
      </w:tr>
      <w:tr>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年度绩效指标完成情况</w:t>
            </w:r>
          </w:p>
        </w:tc>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产出指标</w:t>
            </w:r>
          </w:p>
        </w:tc>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聘用保安人数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=5人</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=5人</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参加文化活动人数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&gt;=70000人次</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=70900人次</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文化活动参与人群热情较高</w:t>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安保人员持证上岗率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时效指标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每日工作时长</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=6小时</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=6小时</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保安在岗时间</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=24小时</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=24小时</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983"/>
            <w:vMerge/>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效益指标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社会效益指标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有效加强社会稳定</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有效加强</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完全达到预期</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30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30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983"/>
            <w:vMerge/>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群众对安保服务满意度</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&gt;=90%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=92%</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保安人员服务态度好，群众满意度高</w:t>
            </w:r>
          </w:p>
        </w:tc>
      </w:tr>
      <w:tr>
        <w:tc>
          <w:tcPr>
            <w:tcW w:type="dxa" w:w="4915"/>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总分</w:t>
            </w:r>
          </w:p>
        </w:tc>
        <w:tc>
          <w:tcPr>
            <w:tcW w:type="dxa" w:w="983"/>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99.99分</w:t>
            </w:r>
          </w:p>
        </w:tc>
        <w:tc>
          <w:tcPr>
            <w:tcW w:type="dxa" w:w="983"/>
            <w:tcBorders>
              <w:start w:sz="10" w:val="single"/>
              <w:top w:sz="10" w:val="single"/>
              <w:end w:sz="10" w:val="single"/>
              <w:bottom w:sz="10" w:val="single"/>
              <w:insideV w:sz="10" w:val="single"/>
            </w:tcBorders>
          </w:tcPr>
          <w:p/>
        </w:tc>
      </w:tr>
    </w:tbl>
    <w:p>
      <w:r>
        <w:br w:type="page"/>
      </w:r>
    </w:p>
    <w:p>
      <w:pPr>
        <w:spacing w:line="640" w:lineRule="exact"/>
        <w:ind w:firstLine="640"/>
        <w:jc w:val="both"/>
        <w:outlineLvl w:val="2"/>
      </w:pPr>
      <w:r>
        <w:rPr>
          <w:rFonts w:ascii="黑体" w:hAnsi="黑体" w:eastAsia="黑体"/>
          <w:sz w:val="32"/>
        </w:rPr>
        <w:t>十二、其他需说明的事项</w:t>
      </w:r>
    </w:p>
    <w:p>
      <w:pPr>
        <w:spacing w:line="580" w:lineRule="exact"/>
        <w:ind w:firstLine="640"/>
        <w:jc w:val="both"/>
      </w:pPr>
      <w:r>
        <w:rPr>
          <w:rFonts w:ascii="仿宋_GB2312" w:hAnsi="仿宋_GB2312" w:eastAsia="仿宋_GB2312"/>
          <w:b w:val="0"/>
          <w:sz w:val="32"/>
        </w:rPr>
        <w:t>本年本单位SM项目1个，全年预算数50万元，全年执行数49.5万元。</w:t>
      </w:r>
    </w:p>
    <w:p>
      <w:r>
        <w:br w:type="page"/>
      </w:r>
    </w:p>
    <w:p>
      <w:pPr>
        <w:spacing w:line="240" w:lineRule="auto"/>
        <w:jc w:val="center"/>
        <w:outlineLvl w:val="1"/>
      </w:pPr>
      <w:r>
        <w:rPr>
          <w:rFonts w:ascii="黑体" w:hAnsi="黑体" w:eastAsia="黑体"/>
          <w:sz w:val="32"/>
        </w:rPr>
        <w:t>第三部分 专业名词解释</w:t>
      </w:r>
    </w:p>
    <w:p>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r>
        <w:br w:type="page"/>
      </w:r>
    </w:p>
    <w:p>
      <w:pPr>
        <w:spacing w:line="240" w:lineRule="auto"/>
        <w:jc w:val="center"/>
        <w:outlineLvl w:val="1"/>
      </w:pPr>
      <w:r>
        <w:rPr>
          <w:rFonts w:ascii="黑体" w:hAnsi="黑体" w:eastAsia="黑体"/>
          <w:sz w:val="32"/>
        </w:rPr>
        <w:t>第四部分 部门决算报表（见附表）</w:t>
      </w:r>
    </w:p>
    <w:p>
      <w:pPr>
        <w:spacing w:line="240" w:lineRule="auto"/>
        <w:ind w:firstLine="640"/>
        <w:jc w:val="both"/>
      </w:pPr>
      <w:r>
        <w:rPr>
          <w:rFonts w:ascii="仿宋_GB2312" w:hAnsi="仿宋_GB2312" w:eastAsia="仿宋_GB2312"/>
          <w:b w:val="0"/>
          <w:sz w:val="32"/>
        </w:rPr>
        <w:t>一、《收入支出决算总表》</w:t>
      </w:r>
    </w:p>
    <w:p>
      <w:pPr>
        <w:spacing w:line="240" w:lineRule="auto"/>
        <w:ind w:firstLine="640"/>
        <w:jc w:val="both"/>
      </w:pPr>
      <w:r>
        <w:rPr>
          <w:rFonts w:ascii="仿宋_GB2312" w:hAnsi="仿宋_GB2312" w:eastAsia="仿宋_GB2312"/>
          <w:b w:val="0"/>
          <w:sz w:val="32"/>
        </w:rPr>
        <w:t>二、《收入决算表》</w:t>
      </w:r>
    </w:p>
    <w:p>
      <w:pPr>
        <w:spacing w:line="240" w:lineRule="auto"/>
        <w:ind w:firstLine="640"/>
        <w:jc w:val="both"/>
      </w:pPr>
      <w:r>
        <w:rPr>
          <w:rFonts w:ascii="仿宋_GB2312" w:hAnsi="仿宋_GB2312" w:eastAsia="仿宋_GB2312"/>
          <w:b w:val="0"/>
          <w:sz w:val="32"/>
        </w:rPr>
        <w:t>三、《支出决算表》</w:t>
      </w:r>
    </w:p>
    <w:p>
      <w:pPr>
        <w:spacing w:line="240" w:lineRule="auto"/>
        <w:ind w:firstLine="640"/>
        <w:jc w:val="both"/>
      </w:pPr>
      <w:r>
        <w:rPr>
          <w:rFonts w:ascii="仿宋_GB2312" w:hAnsi="仿宋_GB2312" w:eastAsia="仿宋_GB2312"/>
          <w:b w:val="0"/>
          <w:sz w:val="32"/>
        </w:rPr>
        <w:t>四、《财政拨款收入支出决算总表》</w:t>
      </w:r>
    </w:p>
    <w:p>
      <w:pPr>
        <w:spacing w:line="240" w:lineRule="auto"/>
        <w:ind w:firstLine="640"/>
        <w:jc w:val="both"/>
      </w:pPr>
      <w:r>
        <w:rPr>
          <w:rFonts w:ascii="仿宋_GB2312" w:hAnsi="仿宋_GB2312" w:eastAsia="仿宋_GB2312"/>
          <w:b w:val="0"/>
          <w:sz w:val="32"/>
        </w:rPr>
        <w:t>五、《一般公共预算财政拨款支出决算表》</w:t>
      </w:r>
    </w:p>
    <w:p>
      <w:pPr>
        <w:spacing w:line="240" w:lineRule="auto"/>
        <w:ind w:firstLine="640"/>
        <w:jc w:val="both"/>
      </w:pPr>
      <w:r>
        <w:rPr>
          <w:rFonts w:ascii="仿宋_GB2312" w:hAnsi="仿宋_GB2312" w:eastAsia="仿宋_GB2312"/>
          <w:b w:val="0"/>
          <w:sz w:val="32"/>
        </w:rPr>
        <w:t>六、《一般公共预算财政拨款基本支出决算表》</w:t>
      </w:r>
    </w:p>
    <w:p>
      <w:pPr>
        <w:spacing w:line="240" w:lineRule="auto"/>
        <w:ind w:firstLine="640"/>
        <w:jc w:val="both"/>
      </w:pPr>
      <w:r>
        <w:rPr>
          <w:rFonts w:ascii="仿宋_GB2312" w:hAnsi="仿宋_GB2312" w:eastAsia="仿宋_GB2312"/>
          <w:b w:val="0"/>
          <w:sz w:val="32"/>
        </w:rPr>
        <w:t>七、《政府性基金预算财政拨款收入支出决算表》</w:t>
      </w:r>
    </w:p>
    <w:p>
      <w:pPr>
        <w:spacing w:line="240" w:lineRule="auto"/>
        <w:ind w:firstLine="640"/>
        <w:jc w:val="both"/>
      </w:pPr>
      <w:r>
        <w:rPr>
          <w:rFonts w:ascii="仿宋_GB2312" w:hAnsi="仿宋_GB2312" w:eastAsia="仿宋_GB2312"/>
          <w:b w:val="0"/>
          <w:sz w:val="32"/>
        </w:rPr>
        <w:t>八、《国有资本经营预算财政拨款收入支出决算表》</w:t>
      </w:r>
    </w:p>
    <w:p>
      <w:pPr>
        <w:spacing w:line="240" w:lineRule="auto"/>
        <w:ind w:firstLine="640"/>
        <w:jc w:val="both"/>
      </w:pPr>
      <w:r>
        <w:rPr>
          <w:rFonts w:ascii="仿宋_GB2312" w:hAnsi="仿宋_GB2312" w:eastAsia="仿宋_GB2312"/>
          <w:b w:val="0"/>
          <w:sz w:val="32"/>
        </w:rPr>
        <w:t>九、《财政拨款“三公”经费支出决算表》</w:t>
      </w:r>
    </w:p>
    <w:p>
      <w:pPr>
        <w:spacing w:line="240" w:lineRule="auto"/>
        <w:ind w:firstLine="640"/>
        <w:jc w:val="both"/>
      </w:pPr>
    </w:p>
    <w:p>
      <w:pPr>
        <w:spacing w:line="240" w:lineRule="auto"/>
        <w:ind w:firstLine="640"/>
        <w:jc w:val="both"/>
      </w:pPr>
    </w:p>
    <w:p>
      <w:pPr>
        <w:spacing w:line="240" w:lineRule="auto"/>
        <w:ind w:firstLine="640"/>
        <w:jc w:val="both"/>
      </w:pPr>
    </w:p>
    <w:p>
      <w:pPr>
        <w:spacing w:line="240" w:lineRule="auto"/>
        <w:ind w:firstLine="640"/>
        <w:jc w:val="both"/>
      </w:pPr>
    </w:p>
    <w:p>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script"/>
    <w:pitch w:val="default"/>
    <w:sig w:usb0="00000000" w:usb1="00000000"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523</Words>
  <Characters>541</Characters>
  <Lines>0</Lines>
  <Paragraphs>0</Paragraphs>
  <TotalTime>0</TotalTime>
  <ScaleCrop>false</ScaleCrop>
  <LinksUpToDate>false</LinksUpToDate>
  <CharactersWithSpaces>547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郭子歪</cp:lastModifiedBy>
  <cp:lastPrinted>2024-07-22T11:58:00Z</cp:lastPrinted>
  <dcterms:modified xsi:type="dcterms:W3CDTF">2025-08-08T11:56:24Z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B858A68E913346F885B5BC17D4DBEB06_13</vt:lpwstr>
  </property>
  <property fmtid="{D5CDD505-2E9C-101B-9397-08002B2CF9AE}" pid="4" name="KSOTemplateDocerSaveRecord">
    <vt:lpwstr>eyJoZGlkIjoiODY5ZWEwNzk5MThkZjUwOTQxNjE1MDdiYWJiNGU5YzAiLCJ1c2VySWQiOiI0Nzg3NDM5MjgifQ==</vt:lpwstr>
  </property>
</Properties>
</file>