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乌鲁木齐市艺术创作研究中心2024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本中心的业务范围是艺术类专题理论研究、艺术创作和学术交流，旨在大力开展艺术创作，促进我市艺术繁荣。</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乌鲁木齐市艺术创作研究中心2024年度，实有人数17人，其中：在职人员9人，减少1人；离休人员0人，增加0人；退休人员8人,增加0人。</w:t>
      </w:r>
    </w:p>
    <w:p>
      <w:pPr>
        <w:spacing w:line="580" w:lineRule="exact"/>
        <w:ind w:firstLine="640"/>
        <w:jc w:val="both"/>
      </w:pPr>
      <w:r>
        <w:rPr>
          <w:rFonts w:ascii="仿宋_GB2312" w:hAnsi="仿宋_GB2312" w:eastAsia="仿宋_GB2312"/>
          <w:sz w:val="32"/>
        </w:rPr>
        <w:t>乌鲁木齐市艺术创作研究中心无下属预算单位，下设2个科室，分别是：办公室、业务室。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2024年度收入总计218.50万元，</w:t>
      </w:r>
      <w:r>
        <w:rPr>
          <w:rFonts w:ascii="仿宋_GB2312" w:hAnsi="仿宋_GB2312" w:eastAsia="仿宋_GB2312"/>
          <w:b w:val="0"/>
          <w:sz w:val="32"/>
        </w:rPr>
        <w:t>其中：本年收入合计216.81万元，使用非财政拨款结余（含专用结余）0.00万元，年初结转和结余1.69万元。</w:t>
      </w:r>
    </w:p>
    <w:p>
      <w:pPr>
        <w:spacing w:line="580" w:lineRule="exact"/>
        <w:ind w:firstLine="640"/>
        <w:jc w:val="both"/>
      </w:pPr>
      <w:r>
        <w:rPr>
          <w:rFonts w:ascii="仿宋_GB2312" w:hAnsi="仿宋_GB2312" w:eastAsia="仿宋_GB2312"/>
          <w:b/>
          <w:sz w:val="32"/>
        </w:rPr>
        <w:t>2024年度支出总计218.50万元，</w:t>
      </w:r>
      <w:r>
        <w:rPr>
          <w:rFonts w:ascii="仿宋_GB2312" w:hAnsi="仿宋_GB2312" w:eastAsia="仿宋_GB2312"/>
          <w:b w:val="0"/>
          <w:sz w:val="32"/>
        </w:rPr>
        <w:t>其中：本年支出合计217.66万元，结余分配0.00万元，年末结转和结余0.85万元。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增加15.98万元，增长7.89%，主要原因是：本年在职人员工资调增，社保、公积金基数调增，人员经费增加。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本年收入216.81万元，</w:t>
      </w:r>
      <w:r>
        <w:rPr>
          <w:rFonts w:ascii="仿宋_GB2312" w:hAnsi="仿宋_GB2312" w:eastAsia="仿宋_GB2312"/>
          <w:b w:val="0"/>
          <w:sz w:val="32"/>
        </w:rPr>
        <w:t>其中：财政拨款收入216.81万元，占100.00%；上级补助收入0.00万元，占0.00%；事业收入0.00万元，占0.00%；经营收入0.00万元，占0.00%；附属单位上缴收入0.00万元，占0.00%；其他收入0.00万元，占0.00%。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本年支出217.66万元，</w:t>
      </w:r>
      <w:r>
        <w:rPr>
          <w:rFonts w:ascii="仿宋_GB2312" w:hAnsi="仿宋_GB2312" w:eastAsia="仿宋_GB2312"/>
          <w:b w:val="0"/>
          <w:sz w:val="32"/>
        </w:rPr>
        <w:t>其中：基本支出212.17万元，占97.48%；项目支出5.49万元，占2.52%；上缴上级支出0.00万元，占0.00%；经营支出0.00万元，占0.00%；对附属单位补助支出0.00万元，占0.00%。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2024年度财政拨款收入总计218.50万元，</w:t>
      </w:r>
      <w:r>
        <w:rPr>
          <w:rFonts w:ascii="仿宋_GB2312" w:hAnsi="仿宋_GB2312" w:eastAsia="仿宋_GB2312"/>
          <w:b w:val="0"/>
          <w:sz w:val="32"/>
        </w:rPr>
        <w:t>其中：年初财政拨款结转和结余1.69万元，本年财政拨款收入216.81万元。</w:t>
      </w:r>
      <w:r>
        <w:rPr>
          <w:rFonts w:ascii="仿宋_GB2312" w:hAnsi="仿宋_GB2312" w:eastAsia="仿宋_GB2312"/>
          <w:b/>
          <w:sz w:val="32"/>
        </w:rPr>
        <w:t>财政拨款支出总计218.50万元，</w:t>
      </w:r>
      <w:r>
        <w:rPr>
          <w:rFonts w:ascii="仿宋_GB2312" w:hAnsi="仿宋_GB2312" w:eastAsia="仿宋_GB2312"/>
          <w:b w:val="0"/>
          <w:sz w:val="32"/>
        </w:rPr>
        <w:t>其中：年末财政拨款结转和结余0.85万元，本年财政拨款支出217.66万元。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增加16.02万元，增长7.91%，主要原因是：本年在职人员工资调增，社保、公积金基数调增，人员经费增加。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年初预算数208.95万元，决算数218.50万元，预决算差异率4.57%，主要原因是：年中追加人员工资、社保、公积金基数调增部分资金，导致预决算存在差异。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2024年度一般公共预算财政拨款支出217.66万元，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增加16.87万元，增长8.40%，主要原因是：本年在职人员工资调增，社保、公积金基数调增，人员经费增加。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年初预算数208.95万元，决算数217.66万元，预决算差异率4.17%，主要原因是：年中追加人员工资、社保、公积金基数调增部分资金，导致预决算存在差异。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1.文化旅游体育与传媒支出(类)217.66万元,占100.00%。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1.文化旅游体育与传媒支出(类)文化和旅游(款)文化创作与保护(项):支出决算数为217.66万元，比上年决算增加16.87万元，增长8.40%,主要原因是：本年在职人员工资调增，社保、公积金基数调增，人员经费增加。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2024年度一般公共预算财政拨款基本支出212.17万元，其中：</w:t>
      </w:r>
      <w:r>
        <w:rPr>
          <w:rFonts w:ascii="仿宋_GB2312" w:hAnsi="仿宋_GB2312" w:eastAsia="仿宋_GB2312"/>
          <w:b/>
          <w:sz w:val="32"/>
        </w:rPr>
        <w:t>人员经费202.74万元，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包括：基本工资、津贴补贴、奖金、绩效工资、机关事业单位基本养老保险缴费、职工基本医疗保险缴费、公务员医疗补助缴费、其他社会保障缴费、住房公积金、退休费、奖励金。</w:t>
      </w:r>
    </w:p>
    <w:p>
      <w:pPr>
        <w:spacing w:line="580" w:lineRule="exact"/>
        <w:ind w:firstLine="640"/>
        <w:jc w:val="both"/>
      </w:pPr>
      <w:r>
        <w:rPr>
          <w:rFonts w:ascii="仿宋_GB2312" w:hAnsi="仿宋_GB2312" w:eastAsia="仿宋_GB2312"/>
          <w:b/>
          <w:sz w:val="32"/>
        </w:rPr>
        <w:t>公用经费9.42万元，</w:t>
      </w:r>
      <w:r>
        <w:rPr>
          <w:rFonts w:ascii="仿宋_GB2312" w:hAnsi="仿宋_GB2312" w:eastAsia="仿宋_GB2312"/>
          <w:b w:val="0"/>
          <w:sz w:val="32"/>
        </w:rPr>
        <w:t>包括：办公费、邮电费、培训费、工会经费、福利费、其他商品和服务支出。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2024年度乌鲁木齐市艺术创作研究中心（事业单位）公用经费支出9.42万元，比上年增加2.82万元，增长42.73%，主要原因是：2024年本单位更换办公室，办公用品购置增加，导致2024年度公用经费支出较上年增加。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预算绩效评价项目1个，全年预算数5.49万元，全年执行数5.49万元。预算绩效管理取得的成效：一是提高了预算管理水平；二是提高了实施效果。发现的问题及原因：项目绩效考核工作实施滞后，原因为绩效考核指标不清晰，各部门绩效考核职能不够明确，绩效考核制度不够完善。下一步改进措施：我单位要提高业务人员对项目绩效评价工作的重视程度，设定明晰的考核指标，完善绩效考核制度，认真分析评价结果，作为项目决策调整的重要参考。具体附项目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文化润疆-文艺作品组织创作及宣传推广</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乌鲁木齐市艺术创作研究中心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本年度我中心需完成组织创作不少于3个各种形式的文艺作品，组织评审，通过审读后，2024年10月前，由我局各院团进行演出，演出场次不少于2场。推动创作优秀文艺作品，提供优秀文化产品和优质旅游产品.</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本年度我中心已完成组织创作4个文艺作品，组织评审，通过审读后，于2024年10月前，已由我局各院团进行演出，演出场次共4场。有效推动了优秀文艺作品创作，持续提供优秀文化产品和优质旅游产品.</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创作剧（节）目数量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根据实际情况按计划创作3-5个剧（节目），已完成4个</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艺术作品演出场次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根据具体情况按计划演出2-5场演出，实际完成4场</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专家审读合格率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4部作品均评审合格，通过评审</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剧（节）目创作计划调整率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剧（节）目演出时间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&lt;=10个月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=10个月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提升院团创作能力</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持续提供优秀文艺作品</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持续提供</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本单位2024年度无政府采购支出，授予中小企业合同金额0.00万元。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