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乌鲁木齐广播电视公共服务管理中心2024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43061E8">
      <w:r>
        <w:br w:type="page"/>
      </w:r>
    </w:p>
    <w:p w14:paraId="3E24D3F0">
      <w:pPr>
        <w:spacing w:line="640" w:lineRule="exact"/>
        <w:jc w:val="center"/>
        <w:outlineLvl w:val="1"/>
      </w:pPr>
      <w:r>
        <w:rPr>
          <w:rFonts w:ascii="黑体" w:hAnsi="黑体" w:eastAsia="黑体"/>
          <w:sz w:val="32"/>
        </w:rPr>
        <w:t>第一部分 单位概况</w:t>
      </w:r>
    </w:p>
    <w:p w14:paraId="0C5F82F0">
      <w:pPr>
        <w:spacing w:line="640" w:lineRule="exact"/>
        <w:ind w:firstLine="640"/>
        <w:jc w:val="both"/>
        <w:outlineLvl w:val="2"/>
      </w:pPr>
      <w:r>
        <w:rPr>
          <w:rFonts w:ascii="黑体" w:hAnsi="黑体" w:eastAsia="黑体"/>
          <w:sz w:val="32"/>
        </w:rPr>
        <w:t>一、主要职能</w:t>
      </w:r>
    </w:p>
    <w:p w14:paraId="296CC6B4">
      <w:pPr>
        <w:spacing w:line="580" w:lineRule="exact"/>
        <w:ind w:firstLine="640"/>
        <w:jc w:val="both"/>
      </w:pPr>
      <w:r>
        <w:rPr>
          <w:rFonts w:ascii="仿宋_GB2312" w:hAnsi="仿宋_GB2312" w:eastAsia="仿宋_GB2312"/>
          <w:sz w:val="32"/>
        </w:rPr>
        <w:t>（一）承担广播电视“村村通”“户户通”覆盖、维护、保障工作，组织开展农牧区广播电视技术人员培训工作。</w:t>
      </w:r>
    </w:p>
    <w:p w14:paraId="57E3A1F9">
      <w:pPr>
        <w:spacing w:line="580" w:lineRule="exact"/>
        <w:ind w:firstLine="640"/>
        <w:jc w:val="both"/>
      </w:pPr>
      <w:r>
        <w:rPr>
          <w:rFonts w:ascii="仿宋_GB2312" w:hAnsi="仿宋_GB2312" w:eastAsia="仿宋_GB2312"/>
          <w:sz w:val="32"/>
        </w:rPr>
        <w:t>（二）承担“村村通”“户户通”技术规范的制定、方案审核及工程建设等工作。</w:t>
      </w:r>
    </w:p>
    <w:p w14:paraId="20115CC4">
      <w:pPr>
        <w:spacing w:line="580" w:lineRule="exact"/>
        <w:ind w:firstLine="640"/>
        <w:jc w:val="both"/>
      </w:pPr>
      <w:r>
        <w:rPr>
          <w:rFonts w:ascii="仿宋_GB2312" w:hAnsi="仿宋_GB2312" w:eastAsia="仿宋_GB2312"/>
          <w:sz w:val="32"/>
        </w:rPr>
        <w:t>（三）承担应急广播体系的建设及运行保障工作。机构情况，包括当年变动情况及原因。</w:t>
      </w:r>
    </w:p>
    <w:p w14:paraId="16486548">
      <w:pPr>
        <w:spacing w:line="640" w:lineRule="exact"/>
        <w:ind w:firstLine="640"/>
        <w:jc w:val="both"/>
        <w:outlineLvl w:val="2"/>
      </w:pPr>
      <w:r>
        <w:rPr>
          <w:rFonts w:ascii="黑体" w:hAnsi="黑体" w:eastAsia="黑体"/>
          <w:sz w:val="32"/>
        </w:rPr>
        <w:t>二、机构设置及人员情况</w:t>
      </w:r>
    </w:p>
    <w:p w14:paraId="0DC7FBFF">
      <w:pPr>
        <w:spacing w:line="580" w:lineRule="exact"/>
        <w:ind w:firstLine="640"/>
        <w:jc w:val="both"/>
      </w:pPr>
      <w:r>
        <w:rPr>
          <w:rFonts w:ascii="仿宋_GB2312" w:hAnsi="仿宋_GB2312" w:eastAsia="仿宋_GB2312"/>
          <w:sz w:val="32"/>
        </w:rPr>
        <w:t>乌鲁木齐广播电视公共服务管理中心2024年度，实有人数6人，其中：在职人员6人，增加0人；离休人员0人，增加0人；退休人员0人,增加0人。</w:t>
      </w:r>
    </w:p>
    <w:p w14:paraId="32D531CD">
      <w:pPr>
        <w:spacing w:line="580" w:lineRule="exact"/>
        <w:ind w:firstLine="640"/>
        <w:jc w:val="both"/>
      </w:pPr>
      <w:r>
        <w:rPr>
          <w:rFonts w:ascii="仿宋_GB2312" w:hAnsi="仿宋_GB2312" w:eastAsia="仿宋_GB2312"/>
          <w:sz w:val="32"/>
        </w:rPr>
        <w:t>乌鲁木齐广播电视公共服务管理中心无下属预算单位，下设1个科室，分别是：综合办公室。</w:t>
      </w:r>
    </w:p>
    <w:p w14:paraId="112B0E28">
      <w:r>
        <w:br w:type="page"/>
      </w:r>
    </w:p>
    <w:p w14:paraId="7E88F299">
      <w:pPr>
        <w:spacing w:line="240" w:lineRule="auto"/>
        <w:jc w:val="center"/>
        <w:outlineLvl w:val="1"/>
      </w:pPr>
      <w:r>
        <w:rPr>
          <w:rFonts w:ascii="黑体" w:hAnsi="黑体" w:eastAsia="黑体"/>
          <w:sz w:val="32"/>
        </w:rPr>
        <w:t>第二部分 部门决算情况说明</w:t>
      </w:r>
    </w:p>
    <w:p w14:paraId="42A624FD">
      <w:pPr>
        <w:spacing w:line="640" w:lineRule="exact"/>
        <w:ind w:firstLine="640"/>
        <w:jc w:val="both"/>
        <w:outlineLvl w:val="2"/>
      </w:pPr>
      <w:r>
        <w:rPr>
          <w:rFonts w:ascii="黑体" w:hAnsi="黑体" w:eastAsia="黑体"/>
          <w:sz w:val="32"/>
        </w:rPr>
        <w:t>一、收入支出决算总体情况说明</w:t>
      </w:r>
    </w:p>
    <w:p w14:paraId="5B10C06C">
      <w:pPr>
        <w:spacing w:line="580" w:lineRule="exact"/>
        <w:ind w:firstLine="640"/>
        <w:jc w:val="both"/>
      </w:pPr>
      <w:r>
        <w:rPr>
          <w:rFonts w:ascii="仿宋_GB2312" w:hAnsi="仿宋_GB2312" w:eastAsia="仿宋_GB2312"/>
          <w:b/>
          <w:sz w:val="32"/>
        </w:rPr>
        <w:t>2024年度收入总计148.55万元，</w:t>
      </w:r>
      <w:r>
        <w:rPr>
          <w:rFonts w:ascii="仿宋_GB2312" w:hAnsi="仿宋_GB2312" w:eastAsia="仿宋_GB2312"/>
          <w:b w:val="0"/>
          <w:sz w:val="32"/>
        </w:rPr>
        <w:t>其中：本年收入合计148.55万元，使用非财政拨款结余（含专用结余）0.00万元，年初结转和结余0.01万元。</w:t>
      </w:r>
    </w:p>
    <w:p w14:paraId="454A0ED2">
      <w:pPr>
        <w:spacing w:line="580" w:lineRule="exact"/>
        <w:ind w:firstLine="640"/>
        <w:jc w:val="both"/>
      </w:pPr>
      <w:r>
        <w:rPr>
          <w:rFonts w:ascii="仿宋_GB2312" w:hAnsi="仿宋_GB2312" w:eastAsia="仿宋_GB2312"/>
          <w:b/>
          <w:sz w:val="32"/>
        </w:rPr>
        <w:t>2024年度支出总计148.55万元，</w:t>
      </w:r>
      <w:r>
        <w:rPr>
          <w:rFonts w:ascii="仿宋_GB2312" w:hAnsi="仿宋_GB2312" w:eastAsia="仿宋_GB2312"/>
          <w:b w:val="0"/>
          <w:sz w:val="32"/>
        </w:rPr>
        <w:t>其中：本年支出合计148.54万元，结余分配0.00万元，年末结转和结余0.01万元。</w:t>
      </w:r>
    </w:p>
    <w:p w14:paraId="32C0AEAE">
      <w:pPr>
        <w:spacing w:line="580" w:lineRule="exact"/>
        <w:ind w:firstLine="640"/>
        <w:jc w:val="both"/>
      </w:pPr>
      <w:r>
        <w:rPr>
          <w:rFonts w:ascii="仿宋_GB2312" w:hAnsi="仿宋_GB2312" w:eastAsia="仿宋_GB2312"/>
          <w:b w:val="0"/>
          <w:sz w:val="32"/>
        </w:rPr>
        <w:t>收入支出总体与上年相比，减少130.59万元，下降46.78%，主要原因是：本年村村通户户通专项经费较上年减少。</w:t>
      </w:r>
    </w:p>
    <w:p w14:paraId="44E0ECED">
      <w:pPr>
        <w:spacing w:line="640" w:lineRule="exact"/>
        <w:ind w:firstLine="640"/>
        <w:jc w:val="both"/>
        <w:outlineLvl w:val="2"/>
      </w:pPr>
      <w:r>
        <w:rPr>
          <w:rFonts w:ascii="黑体" w:hAnsi="黑体" w:eastAsia="黑体"/>
          <w:sz w:val="32"/>
        </w:rPr>
        <w:t>二、收入决算情况说明</w:t>
      </w:r>
    </w:p>
    <w:p w14:paraId="746CB340">
      <w:pPr>
        <w:spacing w:line="580" w:lineRule="exact"/>
        <w:ind w:firstLine="640"/>
        <w:jc w:val="both"/>
      </w:pPr>
      <w:r>
        <w:rPr>
          <w:rFonts w:ascii="仿宋_GB2312" w:hAnsi="仿宋_GB2312" w:eastAsia="仿宋_GB2312"/>
          <w:b/>
          <w:sz w:val="32"/>
        </w:rPr>
        <w:t>本年收入148.55万元，</w:t>
      </w:r>
      <w:r>
        <w:rPr>
          <w:rFonts w:ascii="仿宋_GB2312" w:hAnsi="仿宋_GB2312" w:eastAsia="仿宋_GB2312"/>
          <w:b w:val="0"/>
          <w:sz w:val="32"/>
        </w:rPr>
        <w:t>其中：财政拨款收入148.54万元，占99.99%；上级补助收入0.00万元，占0.00%；事业收入0.00万元，占0.00%；经营收入0.00万元，占0.00%；附属单位上缴收入0.00万元，占0.00%；其他收入0.01万元，占0.007%。</w:t>
      </w:r>
    </w:p>
    <w:p w14:paraId="4235D2FD">
      <w:pPr>
        <w:spacing w:line="640" w:lineRule="exact"/>
        <w:ind w:firstLine="640"/>
        <w:jc w:val="both"/>
        <w:outlineLvl w:val="2"/>
      </w:pPr>
      <w:r>
        <w:rPr>
          <w:rFonts w:ascii="黑体" w:hAnsi="黑体" w:eastAsia="黑体"/>
          <w:sz w:val="32"/>
        </w:rPr>
        <w:t>三、支出决算情况说明</w:t>
      </w:r>
    </w:p>
    <w:p w14:paraId="45BB2934">
      <w:pPr>
        <w:spacing w:line="580" w:lineRule="exact"/>
        <w:ind w:firstLine="640"/>
        <w:jc w:val="both"/>
      </w:pPr>
      <w:r>
        <w:rPr>
          <w:rFonts w:ascii="仿宋_GB2312" w:hAnsi="仿宋_GB2312" w:eastAsia="仿宋_GB2312"/>
          <w:b/>
          <w:sz w:val="32"/>
        </w:rPr>
        <w:t>本年支出148.54万元，</w:t>
      </w:r>
      <w:r>
        <w:rPr>
          <w:rFonts w:ascii="仿宋_GB2312" w:hAnsi="仿宋_GB2312" w:eastAsia="仿宋_GB2312"/>
          <w:b w:val="0"/>
          <w:sz w:val="32"/>
        </w:rPr>
        <w:t>其中：基本支出103.80万元，占69.88%；项目支出44.74万元，占30.12%；上缴上级支出0.00万元，占0.00%；经营支出0.00万元，占0.00%；对附属单位补助支出0.00万元，占0.00%。</w:t>
      </w:r>
    </w:p>
    <w:p w14:paraId="3129244C">
      <w:pPr>
        <w:spacing w:line="640" w:lineRule="exact"/>
        <w:ind w:firstLine="640"/>
        <w:jc w:val="both"/>
        <w:outlineLvl w:val="2"/>
      </w:pPr>
      <w:r>
        <w:rPr>
          <w:rFonts w:ascii="黑体" w:hAnsi="黑体" w:eastAsia="黑体"/>
          <w:sz w:val="32"/>
        </w:rPr>
        <w:t>四、财政拨款收入支出决算总体情况说明</w:t>
      </w:r>
    </w:p>
    <w:p w14:paraId="5D703C01">
      <w:pPr>
        <w:spacing w:line="580" w:lineRule="exact"/>
        <w:ind w:firstLine="640"/>
        <w:jc w:val="both"/>
      </w:pPr>
      <w:r>
        <w:rPr>
          <w:rFonts w:ascii="仿宋_GB2312" w:hAnsi="仿宋_GB2312" w:eastAsia="仿宋_GB2312"/>
          <w:b/>
          <w:sz w:val="32"/>
        </w:rPr>
        <w:t>2024年度财政拨款收入总计148.54万元，</w:t>
      </w:r>
      <w:r>
        <w:rPr>
          <w:rFonts w:ascii="仿宋_GB2312" w:hAnsi="仿宋_GB2312" w:eastAsia="仿宋_GB2312"/>
          <w:b w:val="0"/>
          <w:sz w:val="32"/>
        </w:rPr>
        <w:t>其中：年初财政拨款结转和结余0.00万元，本年财政拨款收入148.54万元。</w:t>
      </w:r>
      <w:r>
        <w:rPr>
          <w:rFonts w:ascii="仿宋_GB2312" w:hAnsi="仿宋_GB2312" w:eastAsia="仿宋_GB2312"/>
          <w:b/>
          <w:sz w:val="32"/>
        </w:rPr>
        <w:t>财政拨款支出总计148.54万元，</w:t>
      </w:r>
      <w:r>
        <w:rPr>
          <w:rFonts w:ascii="仿宋_GB2312" w:hAnsi="仿宋_GB2312" w:eastAsia="仿宋_GB2312"/>
          <w:b w:val="0"/>
          <w:sz w:val="32"/>
        </w:rPr>
        <w:t>其中：年末财政拨款结转和结余0.00万元，本年财政拨款支出148.54万元。</w:t>
      </w:r>
    </w:p>
    <w:p w14:paraId="529B068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减少130.59万元，下降46.78%，主要原因是：本年村村通户户通专项经费较上年减少。</w:t>
      </w:r>
      <w:r>
        <w:rPr>
          <w:rFonts w:ascii="仿宋_GB2312" w:hAnsi="仿宋_GB2312" w:eastAsia="仿宋_GB2312"/>
          <w:b/>
          <w:sz w:val="32"/>
        </w:rPr>
        <w:t>与年初预算相比，</w:t>
      </w:r>
      <w:r>
        <w:rPr>
          <w:rFonts w:ascii="仿宋_GB2312" w:hAnsi="仿宋_GB2312" w:eastAsia="仿宋_GB2312"/>
          <w:b w:val="0"/>
          <w:sz w:val="32"/>
        </w:rPr>
        <w:t>年初预算数142.33万元，决算数148.54万元，预决算差异率4.36%，主要原因是：年中追加人员工资、社保、公积金基数调增部分资金，导致预决算存在差异。</w:t>
      </w:r>
    </w:p>
    <w:p w14:paraId="3D2020C0">
      <w:pPr>
        <w:spacing w:line="640" w:lineRule="exact"/>
        <w:ind w:firstLine="640"/>
        <w:jc w:val="both"/>
        <w:outlineLvl w:val="2"/>
      </w:pPr>
      <w:r>
        <w:rPr>
          <w:rFonts w:ascii="黑体" w:hAnsi="黑体" w:eastAsia="黑体"/>
          <w:sz w:val="32"/>
        </w:rPr>
        <w:t>五、一般公共预算财政拨款支出决算情况说明</w:t>
      </w:r>
    </w:p>
    <w:p w14:paraId="19018876">
      <w:pPr>
        <w:spacing w:line="640" w:lineRule="exact"/>
        <w:ind w:firstLine="640"/>
        <w:jc w:val="both"/>
        <w:outlineLvl w:val="3"/>
      </w:pPr>
      <w:r>
        <w:rPr>
          <w:rFonts w:ascii="楷体_GB2312" w:hAnsi="楷体_GB2312" w:eastAsia="楷体_GB2312"/>
          <w:b/>
          <w:sz w:val="32"/>
        </w:rPr>
        <w:t>（一）一般公共预算财政拨款支出决算总体情况</w:t>
      </w:r>
    </w:p>
    <w:p w14:paraId="2E80EE2B">
      <w:pPr>
        <w:spacing w:line="580" w:lineRule="exact"/>
        <w:ind w:firstLine="640"/>
        <w:jc w:val="both"/>
      </w:pPr>
      <w:r>
        <w:rPr>
          <w:rFonts w:ascii="仿宋_GB2312" w:hAnsi="仿宋_GB2312" w:eastAsia="仿宋_GB2312"/>
          <w:b/>
          <w:sz w:val="32"/>
        </w:rPr>
        <w:t>2024年度一般公共预算财政拨款支出148.54万元，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减少130.59万元，下降46.78%，主要原因是：本年村村通户户通专项经费较上年减少。</w:t>
      </w:r>
      <w:r>
        <w:rPr>
          <w:rFonts w:ascii="仿宋_GB2312" w:hAnsi="仿宋_GB2312" w:eastAsia="仿宋_GB2312"/>
          <w:b/>
          <w:sz w:val="32"/>
        </w:rPr>
        <w:t>与年初预算相比,</w:t>
      </w:r>
      <w:r>
        <w:rPr>
          <w:rFonts w:ascii="仿宋_GB2312" w:hAnsi="仿宋_GB2312" w:eastAsia="仿宋_GB2312"/>
          <w:b w:val="0"/>
          <w:sz w:val="32"/>
        </w:rPr>
        <w:t>年初预算数142.33万元，决算数148.54万元，预决算差异率4.36%，主要原因是：年中追加人员工资、社保、公积金基数调增部分资金，导致预决算存在差异。</w:t>
      </w:r>
    </w:p>
    <w:p w14:paraId="6DEE3939">
      <w:pPr>
        <w:spacing w:line="640" w:lineRule="exact"/>
        <w:ind w:firstLine="640"/>
        <w:jc w:val="both"/>
        <w:outlineLvl w:val="3"/>
      </w:pPr>
      <w:r>
        <w:rPr>
          <w:rFonts w:ascii="楷体_GB2312" w:hAnsi="楷体_GB2312" w:eastAsia="楷体_GB2312"/>
          <w:b/>
          <w:sz w:val="32"/>
        </w:rPr>
        <w:t>（二）一般公共预算财政拨款支出决算结构情况</w:t>
      </w:r>
    </w:p>
    <w:p w14:paraId="47F374D4">
      <w:pPr>
        <w:spacing w:line="580" w:lineRule="exact"/>
        <w:ind w:firstLine="640"/>
        <w:jc w:val="both"/>
      </w:pPr>
      <w:r>
        <w:rPr>
          <w:rFonts w:ascii="仿宋_GB2312" w:hAnsi="仿宋_GB2312" w:eastAsia="仿宋_GB2312"/>
          <w:b w:val="0"/>
          <w:sz w:val="32"/>
        </w:rPr>
        <w:t>1.文化旅游体育与传媒支出(类)148.54万元,占100.00%。</w:t>
      </w:r>
    </w:p>
    <w:p w14:paraId="7AB496DE">
      <w:pPr>
        <w:spacing w:line="640" w:lineRule="exact"/>
        <w:ind w:firstLine="640"/>
        <w:jc w:val="both"/>
        <w:outlineLvl w:val="3"/>
      </w:pPr>
      <w:r>
        <w:rPr>
          <w:rFonts w:ascii="楷体_GB2312" w:hAnsi="楷体_GB2312" w:eastAsia="楷体_GB2312"/>
          <w:b/>
          <w:sz w:val="32"/>
        </w:rPr>
        <w:t>（三）一般公共预算财政拨款支出决算具体情况</w:t>
      </w:r>
    </w:p>
    <w:p w14:paraId="3AFD9235">
      <w:pPr>
        <w:spacing w:line="580" w:lineRule="exact"/>
        <w:ind w:firstLine="640"/>
        <w:jc w:val="both"/>
      </w:pPr>
      <w:r>
        <w:rPr>
          <w:rFonts w:ascii="仿宋_GB2312" w:hAnsi="仿宋_GB2312" w:eastAsia="仿宋_GB2312"/>
          <w:b w:val="0"/>
          <w:sz w:val="32"/>
        </w:rPr>
        <w:t>1.文化旅游体育与传媒支出(类)文化和旅游(款)其他文化和旅游支出(项):支出决算数为9.36万元，比上年决算增加9.36万元，增长100.00%,主要原因是：本年增加专项文化补助资金。</w:t>
      </w:r>
    </w:p>
    <w:p w14:paraId="2BF6A9D4">
      <w:pPr>
        <w:spacing w:line="580" w:lineRule="exact"/>
        <w:ind w:firstLine="640"/>
        <w:jc w:val="both"/>
      </w:pPr>
      <w:r>
        <w:rPr>
          <w:rFonts w:ascii="仿宋_GB2312" w:hAnsi="仿宋_GB2312" w:eastAsia="仿宋_GB2312"/>
          <w:b w:val="0"/>
          <w:sz w:val="32"/>
        </w:rPr>
        <w:t>2.文化旅游体育与传媒支出(类)广播电视(款)其他广播电视支出(项):支出决算数为139.18万元，比上年决算减少139.95万元，下降50.14%,主要原因是：本年村村通户户通专项经费较上年减少。</w:t>
      </w:r>
    </w:p>
    <w:p w14:paraId="1B75D078">
      <w:pPr>
        <w:spacing w:line="640" w:lineRule="exact"/>
        <w:ind w:firstLine="640"/>
        <w:jc w:val="both"/>
        <w:outlineLvl w:val="2"/>
      </w:pPr>
      <w:r>
        <w:rPr>
          <w:rFonts w:ascii="黑体" w:hAnsi="黑体" w:eastAsia="黑体"/>
          <w:sz w:val="32"/>
        </w:rPr>
        <w:t>六、一般公共预算财政拨款基本支出决算情况说明</w:t>
      </w:r>
    </w:p>
    <w:p w14:paraId="0859F630">
      <w:pPr>
        <w:spacing w:line="580" w:lineRule="exact"/>
        <w:ind w:firstLine="640"/>
        <w:jc w:val="both"/>
      </w:pPr>
      <w:r>
        <w:rPr>
          <w:rFonts w:ascii="仿宋_GB2312" w:hAnsi="仿宋_GB2312" w:eastAsia="仿宋_GB2312"/>
          <w:b w:val="0"/>
          <w:sz w:val="32"/>
        </w:rPr>
        <w:t>2024年度一般公共预算财政拨款基本支出103.80万元，其中：</w:t>
      </w:r>
      <w:r>
        <w:rPr>
          <w:rFonts w:ascii="仿宋_GB2312" w:hAnsi="仿宋_GB2312" w:eastAsia="仿宋_GB2312"/>
          <w:b/>
          <w:sz w:val="32"/>
        </w:rPr>
        <w:t>人员经费96.30万元，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3FCC6539">
      <w:pPr>
        <w:spacing w:line="580" w:lineRule="exact"/>
        <w:ind w:firstLine="640"/>
        <w:jc w:val="both"/>
      </w:pPr>
      <w:r>
        <w:rPr>
          <w:rFonts w:ascii="仿宋_GB2312" w:hAnsi="仿宋_GB2312" w:eastAsia="仿宋_GB2312"/>
          <w:b/>
          <w:sz w:val="32"/>
        </w:rPr>
        <w:t>公用经费7.50万元，</w:t>
      </w:r>
      <w:r>
        <w:rPr>
          <w:rFonts w:ascii="仿宋_GB2312" w:hAnsi="仿宋_GB2312" w:eastAsia="仿宋_GB2312"/>
          <w:b w:val="0"/>
          <w:sz w:val="32"/>
        </w:rPr>
        <w:t>包括：办公费、工会经费、福利费。</w:t>
      </w:r>
    </w:p>
    <w:p w14:paraId="3E388BB0">
      <w:pPr>
        <w:spacing w:line="640" w:lineRule="exact"/>
        <w:ind w:firstLine="640"/>
        <w:jc w:val="both"/>
        <w:outlineLvl w:val="2"/>
      </w:pPr>
      <w:r>
        <w:rPr>
          <w:rFonts w:ascii="黑体" w:hAnsi="黑体" w:eastAsia="黑体"/>
          <w:sz w:val="32"/>
        </w:rPr>
        <w:t>七、政府性基金预算财政拨款收入支出决算情况说明</w:t>
      </w:r>
    </w:p>
    <w:p w14:paraId="6D70E06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67DE9E0">
      <w:pPr>
        <w:spacing w:line="640" w:lineRule="exact"/>
        <w:ind w:firstLine="640"/>
        <w:jc w:val="both"/>
        <w:outlineLvl w:val="2"/>
      </w:pPr>
      <w:r>
        <w:rPr>
          <w:rFonts w:ascii="黑体" w:hAnsi="黑体" w:eastAsia="黑体"/>
          <w:sz w:val="32"/>
        </w:rPr>
        <w:t>八、国有资本经营预算财政拨款收入支出决算情况说明</w:t>
      </w:r>
    </w:p>
    <w:p w14:paraId="7C71B55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622C78">
      <w:pPr>
        <w:spacing w:line="640" w:lineRule="exact"/>
        <w:ind w:firstLine="640"/>
        <w:jc w:val="both"/>
        <w:outlineLvl w:val="2"/>
      </w:pPr>
      <w:r>
        <w:rPr>
          <w:rFonts w:ascii="黑体" w:hAnsi="黑体" w:eastAsia="黑体"/>
          <w:sz w:val="32"/>
        </w:rPr>
        <w:t>九、财政拨款“三公”经费支出决算情况说明</w:t>
      </w:r>
    </w:p>
    <w:p w14:paraId="300E4951">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8A50782">
      <w:pPr>
        <w:spacing w:line="580" w:lineRule="exact"/>
        <w:ind w:firstLine="640"/>
        <w:jc w:val="both"/>
      </w:pPr>
      <w:r>
        <w:rPr>
          <w:rFonts w:ascii="仿宋_GB2312" w:hAnsi="仿宋_GB2312" w:eastAsia="仿宋_GB2312"/>
          <w:b/>
          <w:sz w:val="32"/>
        </w:rPr>
        <w:t>具体情况如下：</w:t>
      </w:r>
    </w:p>
    <w:p w14:paraId="2B06D5D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E7A7B9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56EC7CA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96DCF9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83F8D72">
      <w:pPr>
        <w:spacing w:line="640" w:lineRule="exact"/>
        <w:ind w:firstLine="640"/>
        <w:jc w:val="both"/>
        <w:outlineLvl w:val="2"/>
      </w:pPr>
      <w:r>
        <w:rPr>
          <w:rFonts w:ascii="黑体" w:hAnsi="黑体" w:eastAsia="黑体"/>
          <w:sz w:val="32"/>
        </w:rPr>
        <w:t>十、其他重要事项的情况说明</w:t>
      </w:r>
    </w:p>
    <w:p w14:paraId="372FF057">
      <w:pPr>
        <w:spacing w:line="640" w:lineRule="exact"/>
        <w:ind w:firstLine="640"/>
        <w:jc w:val="both"/>
        <w:outlineLvl w:val="3"/>
      </w:pPr>
      <w:r>
        <w:rPr>
          <w:rFonts w:ascii="楷体_GB2312" w:hAnsi="楷体_GB2312" w:eastAsia="楷体_GB2312"/>
          <w:b/>
          <w:sz w:val="32"/>
        </w:rPr>
        <w:t>（一）机关运行经费及公用经费支出情况</w:t>
      </w:r>
    </w:p>
    <w:p w14:paraId="2BC6230F">
      <w:pPr>
        <w:spacing w:line="580" w:lineRule="exact"/>
        <w:ind w:firstLine="640"/>
        <w:jc w:val="both"/>
      </w:pPr>
      <w:r>
        <w:rPr>
          <w:rFonts w:ascii="仿宋_GB2312" w:hAnsi="仿宋_GB2312" w:eastAsia="仿宋_GB2312"/>
          <w:b w:val="0"/>
          <w:sz w:val="32"/>
        </w:rPr>
        <w:t>2024年度乌鲁木齐广播电视公共服务管理中心（事业单位）公用经费支出7.50万元，比上年增加0.00万元，增长0.00%，主要原因是：本年公用经费与上年一致，无变化。</w:t>
      </w:r>
    </w:p>
    <w:p w14:paraId="5DEE7607">
      <w:pPr>
        <w:spacing w:line="640" w:lineRule="exact"/>
        <w:ind w:firstLine="640"/>
        <w:jc w:val="both"/>
        <w:outlineLvl w:val="3"/>
      </w:pPr>
      <w:r>
        <w:rPr>
          <w:rFonts w:ascii="楷体_GB2312" w:hAnsi="楷体_GB2312" w:eastAsia="楷体_GB2312"/>
          <w:b/>
          <w:sz w:val="32"/>
        </w:rPr>
        <w:t>（二）政府采购情况</w:t>
      </w:r>
    </w:p>
    <w:p w14:paraId="7119AF56">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4223244F">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085387BA">
      <w:pPr>
        <w:spacing w:line="640" w:lineRule="exact"/>
        <w:ind w:firstLine="640"/>
        <w:jc w:val="both"/>
        <w:outlineLvl w:val="3"/>
      </w:pPr>
      <w:r>
        <w:rPr>
          <w:rFonts w:ascii="楷体_GB2312" w:hAnsi="楷体_GB2312" w:eastAsia="楷体_GB2312"/>
          <w:b/>
          <w:sz w:val="32"/>
        </w:rPr>
        <w:t>（三）国有资产占用情况说明</w:t>
      </w:r>
    </w:p>
    <w:p w14:paraId="30E6C07F">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5F54DED9">
      <w:pPr>
        <w:spacing w:line="640" w:lineRule="exact"/>
        <w:ind w:firstLine="640"/>
        <w:jc w:val="both"/>
        <w:outlineLvl w:val="2"/>
      </w:pPr>
      <w:r>
        <w:rPr>
          <w:rFonts w:ascii="黑体" w:hAnsi="黑体" w:eastAsia="黑体"/>
          <w:sz w:val="32"/>
        </w:rPr>
        <w:t>十一、预算绩效的情况说明</w:t>
      </w:r>
    </w:p>
    <w:p w14:paraId="52EE384E">
      <w:pPr>
        <w:spacing w:line="580" w:lineRule="exact"/>
        <w:ind w:firstLine="640"/>
        <w:jc w:val="both"/>
      </w:pPr>
      <w:r>
        <w:rPr>
          <w:rFonts w:ascii="仿宋_GB2312" w:hAnsi="仿宋_GB2312" w:eastAsia="仿宋_GB2312"/>
          <w:b w:val="0"/>
          <w:sz w:val="32"/>
        </w:rPr>
        <w:t>根据预算绩效管理要求，本单位预算绩效评价项目</w:t>
      </w:r>
      <w:r>
        <w:rPr>
          <w:rFonts w:hint="eastAsia" w:ascii="仿宋_GB2312" w:hAnsi="仿宋_GB2312" w:eastAsia="仿宋_GB2312"/>
          <w:b w:val="0"/>
          <w:sz w:val="32"/>
          <w:lang w:val="en-US" w:eastAsia="zh-CN"/>
        </w:rPr>
        <w:t>2</w:t>
      </w:r>
      <w:r>
        <w:rPr>
          <w:rFonts w:ascii="仿宋_GB2312" w:hAnsi="仿宋_GB2312" w:eastAsia="仿宋_GB2312"/>
          <w:b w:val="0"/>
          <w:sz w:val="32"/>
        </w:rPr>
        <w:t>个，全年预算数</w:t>
      </w:r>
      <w:r>
        <w:rPr>
          <w:rFonts w:hint="eastAsia" w:ascii="仿宋_GB2312" w:hAnsi="仿宋_GB2312" w:eastAsia="仿宋_GB2312"/>
          <w:b w:val="0"/>
          <w:sz w:val="32"/>
          <w:lang w:val="en-US" w:eastAsia="zh-CN"/>
        </w:rPr>
        <w:t>44.74</w:t>
      </w:r>
      <w:r>
        <w:rPr>
          <w:rFonts w:ascii="仿宋_GB2312" w:hAnsi="仿宋_GB2312" w:eastAsia="仿宋_GB2312"/>
          <w:b w:val="0"/>
          <w:sz w:val="32"/>
        </w:rPr>
        <w:t>万元，全年执行数</w:t>
      </w:r>
      <w:r>
        <w:rPr>
          <w:rFonts w:hint="eastAsia" w:ascii="仿宋_GB2312" w:hAnsi="仿宋_GB2312" w:eastAsia="仿宋_GB2312"/>
          <w:b w:val="0"/>
          <w:sz w:val="32"/>
          <w:lang w:val="en-US" w:eastAsia="zh-CN"/>
        </w:rPr>
        <w:t>44.74</w:t>
      </w:r>
      <w:r>
        <w:rPr>
          <w:rFonts w:ascii="仿宋_GB2312" w:hAnsi="仿宋_GB2312" w:eastAsia="仿宋_GB2312"/>
          <w:b w:val="0"/>
          <w:sz w:val="32"/>
        </w:rPr>
        <w:t>万元。预算绩效管理取得的成效：一是提高资源配置效率；二是强化责任意识；三是促进决策科学化；四是提升公共服务质量。发现的问题及原因：一是管理理念问题，需站在全局高度考虑是否达到了效益最大化；二是需加强管理理念培训，明确预算绩效管理的重要性和必要性。下一步改进措施：一是进一步提升预算绩效管理的质量和效率，优化资源配置，提高资金使用效益；二是通过公开透明的方式接受社会监督，增强预算管理的公信力和有效性。具体附项目支出绩效自评表。</w:t>
      </w:r>
    </w:p>
    <w:p w14:paraId="6E91892F">
      <w:r>
        <w:br w:type="page"/>
      </w:r>
      <w:bookmarkStart w:id="0" w:name="_GoBack"/>
      <w:bookmarkEnd w:id="0"/>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89A96EE">
        <w:tblPrEx>
          <w:tblCellMar>
            <w:top w:w="0" w:type="dxa"/>
            <w:left w:w="108" w:type="dxa"/>
            <w:bottom w:w="0" w:type="dxa"/>
            <w:right w:w="108" w:type="dxa"/>
          </w:tblCellMar>
        </w:tblPrEx>
        <w:tc>
          <w:tcPr>
            <w:tcW w:w="8847" w:type="dxa"/>
            <w:gridSpan w:val="9"/>
            <w:vAlign w:val="center"/>
          </w:tcPr>
          <w:p w14:paraId="1C59E946">
            <w:pPr>
              <w:jc w:val="center"/>
            </w:pPr>
            <w:r>
              <w:rPr>
                <w:rFonts w:ascii="宋体" w:hAnsi="宋体" w:eastAsia="宋体"/>
                <w:sz w:val="24"/>
              </w:rPr>
              <w:t>项目支出绩效自评表</w:t>
            </w:r>
          </w:p>
        </w:tc>
      </w:tr>
      <w:tr w14:paraId="3C29D774">
        <w:tblPrEx>
          <w:tblCellMar>
            <w:top w:w="0" w:type="dxa"/>
            <w:left w:w="108" w:type="dxa"/>
            <w:bottom w:w="0" w:type="dxa"/>
            <w:right w:w="108" w:type="dxa"/>
          </w:tblCellMar>
        </w:tblPrEx>
        <w:tc>
          <w:tcPr>
            <w:tcW w:w="8847" w:type="dxa"/>
            <w:gridSpan w:val="9"/>
            <w:vAlign w:val="center"/>
          </w:tcPr>
          <w:p w14:paraId="5EF9F1B6">
            <w:pPr>
              <w:jc w:val="center"/>
            </w:pPr>
            <w:r>
              <w:rPr>
                <w:rFonts w:ascii="宋体" w:hAnsi="宋体" w:eastAsia="宋体"/>
                <w:sz w:val="24"/>
              </w:rPr>
              <w:t>(2024年度)</w:t>
            </w:r>
          </w:p>
        </w:tc>
      </w:tr>
      <w:tr w14:paraId="23601E9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F609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CB39324">
            <w:pPr>
              <w:jc w:val="center"/>
            </w:pPr>
            <w:r>
              <w:rPr>
                <w:rFonts w:ascii="宋体" w:hAnsi="宋体" w:eastAsia="宋体"/>
                <w:sz w:val="16"/>
              </w:rPr>
              <w:t>村村通户户通专项</w:t>
            </w:r>
          </w:p>
        </w:tc>
      </w:tr>
      <w:tr w14:paraId="30E037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4DF6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91F036">
            <w:pPr>
              <w:jc w:val="center"/>
            </w:pPr>
            <w:r>
              <w:rPr>
                <w:rFonts w:ascii="宋体" w:hAnsi="宋体" w:eastAsia="宋体"/>
                <w:sz w:val="16"/>
              </w:rPr>
              <w:t>乌鲁木齐市文化广播电视和旅游局（市文物局）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C958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72D612">
            <w:pPr>
              <w:jc w:val="center"/>
            </w:pPr>
            <w:r>
              <w:rPr>
                <w:rFonts w:ascii="宋体" w:hAnsi="宋体" w:eastAsia="宋体"/>
                <w:sz w:val="16"/>
              </w:rPr>
              <w:t>乌鲁木齐广播电视公共服务管理中心</w:t>
            </w:r>
          </w:p>
        </w:tc>
      </w:tr>
      <w:tr w14:paraId="2397EB9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0E01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E093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429E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24C1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0919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3760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0B06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E6EEB">
            <w:pPr>
              <w:jc w:val="center"/>
            </w:pPr>
            <w:r>
              <w:rPr>
                <w:rFonts w:ascii="宋体" w:hAnsi="宋体" w:eastAsia="宋体"/>
                <w:sz w:val="16"/>
              </w:rPr>
              <w:t>得分</w:t>
            </w:r>
          </w:p>
        </w:tc>
      </w:tr>
      <w:tr w14:paraId="4E6EF8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56B2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5687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E35F9">
            <w:pPr>
              <w:jc w:val="center"/>
            </w:pPr>
            <w:r>
              <w:rPr>
                <w:rFonts w:ascii="宋体" w:hAnsi="宋体" w:eastAsia="宋体"/>
                <w:sz w:val="16"/>
              </w:rPr>
              <w:t>46.05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C4163">
            <w:pPr>
              <w:jc w:val="center"/>
            </w:pPr>
            <w:r>
              <w:rPr>
                <w:rFonts w:ascii="宋体" w:hAnsi="宋体" w:eastAsia="宋体"/>
                <w:sz w:val="16"/>
              </w:rPr>
              <w:t>35.38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65A2E">
            <w:pPr>
              <w:jc w:val="center"/>
            </w:pPr>
            <w:r>
              <w:rPr>
                <w:rFonts w:ascii="宋体" w:hAnsi="宋体" w:eastAsia="宋体"/>
                <w:sz w:val="16"/>
              </w:rPr>
              <w:t>35.38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2CD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0867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83CDE">
            <w:pPr>
              <w:jc w:val="center"/>
            </w:pPr>
            <w:r>
              <w:rPr>
                <w:rFonts w:ascii="宋体" w:hAnsi="宋体" w:eastAsia="宋体"/>
                <w:sz w:val="16"/>
              </w:rPr>
              <w:t>10.00分</w:t>
            </w:r>
          </w:p>
        </w:tc>
      </w:tr>
      <w:tr w14:paraId="6C0032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2CFC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83D4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2115C">
            <w:pPr>
              <w:jc w:val="center"/>
            </w:pPr>
            <w:r>
              <w:rPr>
                <w:rFonts w:ascii="宋体" w:hAnsi="宋体" w:eastAsia="宋体"/>
                <w:sz w:val="16"/>
              </w:rPr>
              <w:t>46.05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7AE9A">
            <w:pPr>
              <w:jc w:val="center"/>
            </w:pPr>
            <w:r>
              <w:rPr>
                <w:rFonts w:ascii="宋体" w:hAnsi="宋体" w:eastAsia="宋体"/>
                <w:sz w:val="16"/>
              </w:rPr>
              <w:t>35.38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95B9A">
            <w:pPr>
              <w:jc w:val="center"/>
            </w:pPr>
            <w:r>
              <w:rPr>
                <w:rFonts w:ascii="宋体" w:hAnsi="宋体" w:eastAsia="宋体"/>
                <w:sz w:val="16"/>
              </w:rPr>
              <w:t>35.38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D36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7B9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EC90F">
            <w:pPr>
              <w:jc w:val="center"/>
            </w:pPr>
            <w:r>
              <w:rPr>
                <w:rFonts w:ascii="宋体" w:hAnsi="宋体" w:eastAsia="宋体"/>
                <w:sz w:val="16"/>
              </w:rPr>
              <w:t>—</w:t>
            </w:r>
          </w:p>
        </w:tc>
      </w:tr>
      <w:tr w14:paraId="5AD9CD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0EB6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A95A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B8F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DB2C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34B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321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271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B238E">
            <w:pPr>
              <w:jc w:val="center"/>
            </w:pPr>
            <w:r>
              <w:rPr>
                <w:rFonts w:ascii="宋体" w:hAnsi="宋体" w:eastAsia="宋体"/>
                <w:sz w:val="16"/>
              </w:rPr>
              <w:t>—</w:t>
            </w:r>
          </w:p>
        </w:tc>
      </w:tr>
      <w:tr w14:paraId="027C86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A98A0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0AE63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ED03FB">
            <w:pPr>
              <w:jc w:val="center"/>
            </w:pPr>
            <w:r>
              <w:rPr>
                <w:rFonts w:ascii="宋体" w:hAnsi="宋体" w:eastAsia="宋体"/>
                <w:sz w:val="16"/>
              </w:rPr>
              <w:t>实际完成情况</w:t>
            </w:r>
          </w:p>
        </w:tc>
      </w:tr>
      <w:tr w14:paraId="6A2727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BFA8F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D38B23">
            <w:pPr>
              <w:jc w:val="both"/>
            </w:pPr>
            <w:r>
              <w:rPr>
                <w:rFonts w:ascii="宋体" w:hAnsi="宋体" w:eastAsia="宋体"/>
                <w:sz w:val="16"/>
              </w:rPr>
              <w:t>根据《新疆新闻出版广播电视农村公共服务量化考核工作实施方案》，开展区县设备使用情况巡查检查，购置一批村村通户户通备机，对全市广播电视设备运行情况摸底，形成建档立卡数据。加强设备保护力度，提高区县广电运维人员政策水平和业务能力，提高维修维护保障能力，对区县设备运行情况统计摸底，降低区县农牧民因设备损坏造成无法收听收看广播电视的情况。根据业务需要，需租用新能源车辆1台6万元，聘用2名工作人员12万元，开展2次广播电视从业人员业务培训1万元，村村通户户通设备维修维护、广播电视技术推广共计17.38万元。合计35.38万元。财政收回资金10.7万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37A7E6">
            <w:pPr>
              <w:jc w:val="both"/>
            </w:pPr>
            <w:r>
              <w:rPr>
                <w:rFonts w:ascii="宋体" w:hAnsi="宋体" w:eastAsia="宋体"/>
                <w:sz w:val="16"/>
              </w:rPr>
              <w:t>根据业务需要，租用新能源车辆1台6万元，聘用2名工作人员12万元，开展2次广播电视从业人员业务培训1万元，村村通户户通设备维修维护、广播电视技术推广共计16.38万元。合计35.38万元</w:t>
            </w:r>
          </w:p>
        </w:tc>
      </w:tr>
      <w:tr w14:paraId="4EBBBBA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A2AEF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F9AB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D25F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2246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F043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F86A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8AFE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B26D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9F50F">
            <w:pPr>
              <w:jc w:val="center"/>
            </w:pPr>
            <w:r>
              <w:rPr>
                <w:rFonts w:ascii="宋体" w:hAnsi="宋体" w:eastAsia="宋体"/>
                <w:sz w:val="16"/>
              </w:rPr>
              <w:t>偏差原因分析及改进措施</w:t>
            </w:r>
          </w:p>
        </w:tc>
      </w:tr>
      <w:tr w14:paraId="613D359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7A6DB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7BE9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800C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C4383">
            <w:pPr>
              <w:jc w:val="center"/>
            </w:pPr>
            <w:r>
              <w:rPr>
                <w:rFonts w:ascii="宋体" w:hAnsi="宋体" w:eastAsia="宋体"/>
                <w:sz w:val="16"/>
              </w:rPr>
              <w:t>日常巡查区县数量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E3676">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CD1C4">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1CF1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AE5B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D6416">
            <w:pPr>
              <w:jc w:val="center"/>
            </w:pPr>
          </w:p>
        </w:tc>
      </w:tr>
      <w:tr w14:paraId="03E49E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584D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4C9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6C9E4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CB6E3">
            <w:pPr>
              <w:jc w:val="center"/>
            </w:pPr>
            <w:r>
              <w:rPr>
                <w:rFonts w:ascii="宋体" w:hAnsi="宋体" w:eastAsia="宋体"/>
                <w:sz w:val="16"/>
              </w:rPr>
              <w:t>每季度巡查各区县次数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09C4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B623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2AB5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F113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ABA16">
            <w:pPr>
              <w:jc w:val="center"/>
            </w:pPr>
          </w:p>
        </w:tc>
      </w:tr>
      <w:tr w14:paraId="40BB42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0E8B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F8C3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30F2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5EF91">
            <w:pPr>
              <w:jc w:val="center"/>
            </w:pPr>
            <w:r>
              <w:rPr>
                <w:rFonts w:ascii="宋体" w:hAnsi="宋体" w:eastAsia="宋体"/>
                <w:sz w:val="16"/>
              </w:rPr>
              <w:t>聘用人员数量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BA10F">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07E4F">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1A58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AE93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C32C1">
            <w:pPr>
              <w:jc w:val="center"/>
            </w:pPr>
          </w:p>
        </w:tc>
      </w:tr>
      <w:tr w14:paraId="499A21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CF6B2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913B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66B1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D1FF5">
            <w:pPr>
              <w:jc w:val="center"/>
            </w:pPr>
            <w:r>
              <w:rPr>
                <w:rFonts w:ascii="宋体" w:hAnsi="宋体" w:eastAsia="宋体"/>
                <w:sz w:val="16"/>
              </w:rPr>
              <w:t>新能源车辆租用数量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B859A">
            <w:pPr>
              <w:jc w:val="center"/>
            </w:pPr>
            <w:r>
              <w:rPr>
                <w:rFonts w:ascii="宋体" w:hAnsi="宋体" w:eastAsia="宋体"/>
                <w:sz w:val="16"/>
              </w:rPr>
              <w: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76681">
            <w:pPr>
              <w:jc w:val="center"/>
            </w:pPr>
            <w:r>
              <w:rPr>
                <w:rFonts w:ascii="宋体" w:hAnsi="宋体" w:eastAsia="宋体"/>
                <w:sz w:val="16"/>
              </w:rPr>
              <w: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3AC3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8B75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15C9D">
            <w:pPr>
              <w:jc w:val="center"/>
            </w:pPr>
          </w:p>
        </w:tc>
      </w:tr>
      <w:tr w14:paraId="0C307A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AA15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1E3B2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0DF3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2252A">
            <w:pPr>
              <w:jc w:val="center"/>
            </w:pPr>
            <w:r>
              <w:rPr>
                <w:rFonts w:ascii="宋体" w:hAnsi="宋体" w:eastAsia="宋体"/>
                <w:sz w:val="16"/>
              </w:rPr>
              <w:t>巡查时发现问题整改比例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3ABA7">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FEDD1">
            <w:pPr>
              <w:jc w:val="center"/>
            </w:pPr>
            <w:r>
              <w:rPr>
                <w:rFonts w:ascii="宋体" w:hAnsi="宋体" w:eastAsia="宋体"/>
                <w:sz w:val="16"/>
              </w:rPr>
              <w: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A00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934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4EF1A">
            <w:pPr>
              <w:jc w:val="center"/>
            </w:pPr>
          </w:p>
        </w:tc>
      </w:tr>
      <w:tr w14:paraId="4BC639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4192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39B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8790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06631">
            <w:pPr>
              <w:jc w:val="center"/>
            </w:pPr>
            <w:r>
              <w:rPr>
                <w:rFonts w:ascii="宋体" w:hAnsi="宋体" w:eastAsia="宋体"/>
                <w:sz w:val="16"/>
              </w:rPr>
              <w:t>发现故障设备告知区县时间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5D5FA">
            <w:pPr>
              <w:jc w:val="center"/>
            </w:pPr>
            <w:r>
              <w:rPr>
                <w:rFonts w:ascii="宋体" w:hAnsi="宋体" w:eastAsia="宋体"/>
                <w:sz w:val="16"/>
              </w:rPr>
              <w:t>&lt;=7天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6AD87">
            <w:pPr>
              <w:jc w:val="center"/>
            </w:pPr>
            <w:r>
              <w:rPr>
                <w:rFonts w:ascii="宋体" w:hAnsi="宋体" w:eastAsia="宋体"/>
                <w:sz w:val="16"/>
              </w:rPr>
              <w:t>=7天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A4E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DA9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7DA2F">
            <w:pPr>
              <w:jc w:val="center"/>
            </w:pPr>
          </w:p>
        </w:tc>
      </w:tr>
      <w:tr w14:paraId="732883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5DD73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09A1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C5524">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6E311">
            <w:pPr>
              <w:jc w:val="center"/>
            </w:pPr>
            <w:r>
              <w:rPr>
                <w:rFonts w:ascii="宋体" w:hAnsi="宋体" w:eastAsia="宋体"/>
                <w:sz w:val="16"/>
              </w:rPr>
              <w:t>村村通户户通聘用人员工资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8FC6F">
            <w:pPr>
              <w:jc w:val="center"/>
            </w:pPr>
            <w:r>
              <w:rPr>
                <w:rFonts w:ascii="宋体" w:hAnsi="宋体" w:eastAsia="宋体"/>
                <w:sz w:val="16"/>
              </w:rPr>
              <w:t>&lt;=5000元/人/月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7EFA5">
            <w:pPr>
              <w:jc w:val="center"/>
            </w:pPr>
            <w:r>
              <w:rPr>
                <w:rFonts w:ascii="宋体" w:hAnsi="宋体" w:eastAsia="宋体"/>
                <w:sz w:val="16"/>
              </w:rPr>
              <w:t>=5000元/人/月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C99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5F1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73CEE">
            <w:pPr>
              <w:jc w:val="center"/>
            </w:pPr>
          </w:p>
        </w:tc>
      </w:tr>
      <w:tr w14:paraId="73517E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1129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D93D3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A98DD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25CFE">
            <w:pPr>
              <w:jc w:val="center"/>
            </w:pPr>
            <w:r>
              <w:rPr>
                <w:rFonts w:ascii="宋体" w:hAnsi="宋体" w:eastAsia="宋体"/>
                <w:sz w:val="16"/>
              </w:rPr>
              <w:t>新能源车辆租赁费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9667B">
            <w:pPr>
              <w:jc w:val="center"/>
            </w:pPr>
            <w:r>
              <w:rPr>
                <w:rFonts w:ascii="宋体" w:hAnsi="宋体" w:eastAsia="宋体"/>
                <w:sz w:val="16"/>
              </w:rPr>
              <w:t>&lt;=6万元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BBE52">
            <w:pPr>
              <w:jc w:val="center"/>
            </w:pPr>
            <w:r>
              <w:rPr>
                <w:rFonts w:ascii="宋体" w:hAnsi="宋体" w:eastAsia="宋体"/>
                <w:sz w:val="16"/>
              </w:rPr>
              <w: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B8D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9B7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737DE">
            <w:pPr>
              <w:jc w:val="center"/>
            </w:pPr>
          </w:p>
        </w:tc>
      </w:tr>
      <w:tr w14:paraId="74C3C5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85478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011B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B1BA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E7E07">
            <w:pPr>
              <w:jc w:val="center"/>
            </w:pPr>
            <w:r>
              <w:rPr>
                <w:rFonts w:ascii="宋体" w:hAnsi="宋体" w:eastAsia="宋体"/>
                <w:sz w:val="16"/>
              </w:rPr>
              <w:t>提高全市村村通户户通设备使用率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0F225">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4E03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D4F5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287B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B6F72">
            <w:pPr>
              <w:jc w:val="center"/>
            </w:pPr>
          </w:p>
        </w:tc>
      </w:tr>
      <w:tr w14:paraId="3B3B86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6B9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64AC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7152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BDB85">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A1A4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D1C52">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A0E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DB9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D49A7">
            <w:pPr>
              <w:jc w:val="center"/>
            </w:pPr>
          </w:p>
        </w:tc>
      </w:tr>
      <w:tr w14:paraId="004568F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739C2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FCA9F6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4EAA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0D60E">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8294095"/>
        </w:tc>
      </w:tr>
    </w:tbl>
    <w:p w14:paraId="15574F27">
      <w:r>
        <w:br w:type="page"/>
      </w:r>
    </w:p>
    <w:p w14:paraId="69BC45AA">
      <w:pPr>
        <w:spacing w:line="640" w:lineRule="exact"/>
        <w:ind w:firstLine="640"/>
        <w:jc w:val="both"/>
        <w:outlineLvl w:val="2"/>
      </w:pPr>
      <w:r>
        <w:rPr>
          <w:rFonts w:ascii="黑体" w:hAnsi="黑体" w:eastAsia="黑体"/>
          <w:sz w:val="32"/>
        </w:rPr>
        <w:t>十二、其他需说明的事项</w:t>
      </w:r>
    </w:p>
    <w:p w14:paraId="0AC01683">
      <w:pPr>
        <w:spacing w:line="580" w:lineRule="exact"/>
        <w:ind w:firstLine="640"/>
        <w:jc w:val="both"/>
      </w:pPr>
      <w:r>
        <w:rPr>
          <w:rFonts w:ascii="仿宋_GB2312" w:hAnsi="仿宋_GB2312" w:eastAsia="仿宋_GB2312"/>
          <w:b w:val="0"/>
          <w:sz w:val="32"/>
        </w:rPr>
        <w:t>本单位2024年度无政府采购支出，授予中小企业合同金额0.00万元；本年本单位SM项目1个，全年预算数15元，全年执行数9.36万元。</w:t>
      </w:r>
    </w:p>
    <w:p w14:paraId="1D7CFE30">
      <w:r>
        <w:br w:type="page"/>
      </w:r>
    </w:p>
    <w:p w14:paraId="6FE10983">
      <w:pPr>
        <w:spacing w:line="240" w:lineRule="auto"/>
        <w:jc w:val="center"/>
        <w:outlineLvl w:val="1"/>
      </w:pPr>
      <w:r>
        <w:rPr>
          <w:rFonts w:ascii="黑体" w:hAnsi="黑体" w:eastAsia="黑体"/>
          <w:sz w:val="32"/>
        </w:rPr>
        <w:t>第三部分 专业名词解释</w:t>
      </w:r>
    </w:p>
    <w:p w14:paraId="501257A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8C019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8630E3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B87540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EBAB74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02BB9F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D1A589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8B48CE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692125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90F35B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1D4DAC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0A4CD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FCDBAE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C5861B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DFA5536">
      <w:r>
        <w:br w:type="page"/>
      </w:r>
    </w:p>
    <w:p w14:paraId="0F740832">
      <w:pPr>
        <w:spacing w:line="240" w:lineRule="auto"/>
        <w:jc w:val="center"/>
        <w:outlineLvl w:val="1"/>
      </w:pPr>
      <w:r>
        <w:rPr>
          <w:rFonts w:ascii="黑体" w:hAnsi="黑体" w:eastAsia="黑体"/>
          <w:sz w:val="32"/>
        </w:rPr>
        <w:t>第四部分 部门决算报表（见附表）</w:t>
      </w:r>
    </w:p>
    <w:p w14:paraId="283E4211">
      <w:pPr>
        <w:spacing w:line="240" w:lineRule="auto"/>
        <w:ind w:firstLine="640"/>
        <w:jc w:val="both"/>
      </w:pPr>
      <w:r>
        <w:rPr>
          <w:rFonts w:ascii="仿宋_GB2312" w:hAnsi="仿宋_GB2312" w:eastAsia="仿宋_GB2312"/>
          <w:b w:val="0"/>
          <w:sz w:val="32"/>
        </w:rPr>
        <w:t>一、《收入支出决算总表》</w:t>
      </w:r>
    </w:p>
    <w:p w14:paraId="65E641E8">
      <w:pPr>
        <w:spacing w:line="240" w:lineRule="auto"/>
        <w:ind w:firstLine="640"/>
        <w:jc w:val="both"/>
      </w:pPr>
      <w:r>
        <w:rPr>
          <w:rFonts w:ascii="仿宋_GB2312" w:hAnsi="仿宋_GB2312" w:eastAsia="仿宋_GB2312"/>
          <w:b w:val="0"/>
          <w:sz w:val="32"/>
        </w:rPr>
        <w:t>二、《收入决算表》</w:t>
      </w:r>
    </w:p>
    <w:p w14:paraId="56DE537C">
      <w:pPr>
        <w:spacing w:line="240" w:lineRule="auto"/>
        <w:ind w:firstLine="640"/>
        <w:jc w:val="both"/>
      </w:pPr>
      <w:r>
        <w:rPr>
          <w:rFonts w:ascii="仿宋_GB2312" w:hAnsi="仿宋_GB2312" w:eastAsia="仿宋_GB2312"/>
          <w:b w:val="0"/>
          <w:sz w:val="32"/>
        </w:rPr>
        <w:t>三、《支出决算表》</w:t>
      </w:r>
    </w:p>
    <w:p w14:paraId="3DF1D328">
      <w:pPr>
        <w:spacing w:line="240" w:lineRule="auto"/>
        <w:ind w:firstLine="640"/>
        <w:jc w:val="both"/>
      </w:pPr>
      <w:r>
        <w:rPr>
          <w:rFonts w:ascii="仿宋_GB2312" w:hAnsi="仿宋_GB2312" w:eastAsia="仿宋_GB2312"/>
          <w:b w:val="0"/>
          <w:sz w:val="32"/>
        </w:rPr>
        <w:t>四、《财政拨款收入支出决算总表》</w:t>
      </w:r>
    </w:p>
    <w:p w14:paraId="641917AB">
      <w:pPr>
        <w:spacing w:line="240" w:lineRule="auto"/>
        <w:ind w:firstLine="640"/>
        <w:jc w:val="both"/>
      </w:pPr>
      <w:r>
        <w:rPr>
          <w:rFonts w:ascii="仿宋_GB2312" w:hAnsi="仿宋_GB2312" w:eastAsia="仿宋_GB2312"/>
          <w:b w:val="0"/>
          <w:sz w:val="32"/>
        </w:rPr>
        <w:t>五、《一般公共预算财政拨款支出决算表》</w:t>
      </w:r>
    </w:p>
    <w:p w14:paraId="0848A0C8">
      <w:pPr>
        <w:spacing w:line="240" w:lineRule="auto"/>
        <w:ind w:firstLine="640"/>
        <w:jc w:val="both"/>
      </w:pPr>
      <w:r>
        <w:rPr>
          <w:rFonts w:ascii="仿宋_GB2312" w:hAnsi="仿宋_GB2312" w:eastAsia="仿宋_GB2312"/>
          <w:b w:val="0"/>
          <w:sz w:val="32"/>
        </w:rPr>
        <w:t>六、《一般公共预算财政拨款基本支出决算表》</w:t>
      </w:r>
    </w:p>
    <w:p w14:paraId="63E74523">
      <w:pPr>
        <w:spacing w:line="240" w:lineRule="auto"/>
        <w:ind w:firstLine="640"/>
        <w:jc w:val="both"/>
      </w:pPr>
      <w:r>
        <w:rPr>
          <w:rFonts w:ascii="仿宋_GB2312" w:hAnsi="仿宋_GB2312" w:eastAsia="仿宋_GB2312"/>
          <w:b w:val="0"/>
          <w:sz w:val="32"/>
        </w:rPr>
        <w:t>七、《政府性基金预算财政拨款收入支出决算表》</w:t>
      </w:r>
    </w:p>
    <w:p w14:paraId="23C1BBF9">
      <w:pPr>
        <w:spacing w:line="240" w:lineRule="auto"/>
        <w:ind w:firstLine="640"/>
        <w:jc w:val="both"/>
      </w:pPr>
      <w:r>
        <w:rPr>
          <w:rFonts w:ascii="仿宋_GB2312" w:hAnsi="仿宋_GB2312" w:eastAsia="仿宋_GB2312"/>
          <w:b w:val="0"/>
          <w:sz w:val="32"/>
        </w:rPr>
        <w:t>八、《国有资本经营预算财政拨款收入支出决算表》</w:t>
      </w:r>
    </w:p>
    <w:p w14:paraId="332180A3">
      <w:pPr>
        <w:spacing w:line="240" w:lineRule="auto"/>
        <w:ind w:firstLine="640"/>
        <w:jc w:val="both"/>
      </w:pPr>
      <w:r>
        <w:rPr>
          <w:rFonts w:ascii="仿宋_GB2312" w:hAnsi="仿宋_GB2312" w:eastAsia="仿宋_GB2312"/>
          <w:b w:val="0"/>
          <w:sz w:val="32"/>
        </w:rPr>
        <w:t>九、《财政拨款“三公”经费支出决算表》</w:t>
      </w:r>
    </w:p>
    <w:p w14:paraId="3E776B23">
      <w:pPr>
        <w:spacing w:line="240" w:lineRule="auto"/>
        <w:ind w:firstLine="640"/>
        <w:jc w:val="both"/>
      </w:pPr>
    </w:p>
    <w:p w14:paraId="59ED75F8">
      <w:pPr>
        <w:spacing w:line="240" w:lineRule="auto"/>
        <w:ind w:firstLine="640"/>
        <w:jc w:val="both"/>
      </w:pPr>
    </w:p>
    <w:p w14:paraId="15E2A539">
      <w:pPr>
        <w:spacing w:line="240" w:lineRule="auto"/>
        <w:ind w:firstLine="640"/>
        <w:jc w:val="both"/>
      </w:pPr>
    </w:p>
    <w:p w14:paraId="4B825384">
      <w:pPr>
        <w:spacing w:line="240" w:lineRule="auto"/>
        <w:ind w:firstLine="640"/>
        <w:jc w:val="both"/>
      </w:pPr>
    </w:p>
    <w:p w14:paraId="43945E3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181510"/>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523</Words>
  <Characters>541</Characters>
  <Lines>0</Lines>
  <Paragraphs>0</Paragraphs>
  <TotalTime>4</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Administrator</cp:lastModifiedBy>
  <cp:lastPrinted>2024-07-22T11:58:00Z</cp:lastPrinted>
  <dcterms:modified xsi:type="dcterms:W3CDTF">2025-09-17T08:36:18Z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