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乌鲁木齐市文化和旅游信息服务中心2024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（一）组织实施文化和旅游信息化发展规划。</w:t>
      </w:r>
    </w:p>
    <w:p>
      <w:pPr>
        <w:spacing w:line="580" w:lineRule="exact"/>
        <w:ind w:firstLine="640"/>
        <w:jc w:val="both"/>
      </w:pPr>
      <w:r>
        <w:rPr>
          <w:rFonts w:ascii="仿宋_GB2312" w:hAnsi="仿宋_GB2312" w:eastAsia="仿宋_GB2312"/>
          <w:sz w:val="32"/>
        </w:rPr>
        <w:t>（二）承担文化和旅游公共服务信息的收集、统计、分析及相关信息系统的建设、管理和维护工作。</w:t>
      </w:r>
    </w:p>
    <w:p>
      <w:pPr>
        <w:spacing w:line="580" w:lineRule="exact"/>
        <w:ind w:firstLine="640"/>
        <w:jc w:val="both"/>
      </w:pPr>
      <w:r>
        <w:rPr>
          <w:rFonts w:ascii="仿宋_GB2312" w:hAnsi="仿宋_GB2312" w:eastAsia="仿宋_GB2312"/>
          <w:sz w:val="32"/>
        </w:rPr>
        <w:t>（三）发布文化和旅游公共服务信息，并提供相关信息咨询服务。</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乌鲁木齐市文化和旅游信息服务中心2024年度，实有人数5人，其中：在职人员5人，增加0人；离休人员0人，增加0人；退休人员0人,增加0人。</w:t>
      </w:r>
    </w:p>
    <w:p>
      <w:pPr>
        <w:spacing w:line="580" w:lineRule="exact"/>
        <w:ind w:firstLine="640"/>
        <w:jc w:val="both"/>
      </w:pPr>
      <w:r>
        <w:rPr>
          <w:rFonts w:ascii="仿宋_GB2312" w:hAnsi="仿宋_GB2312" w:eastAsia="仿宋_GB2312"/>
          <w:sz w:val="32"/>
        </w:rPr>
        <w:t>乌鲁木齐市文化和旅游信息服务中心无下属预算单位，下设1个科室，分别是：信息中心办公室。</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2024年度收入总计85.77万元，</w:t>
      </w:r>
      <w:r>
        <w:rPr>
          <w:rFonts w:ascii="仿宋_GB2312" w:hAnsi="仿宋_GB2312" w:eastAsia="仿宋_GB2312"/>
          <w:b w:val="0"/>
          <w:sz w:val="32"/>
        </w:rPr>
        <w:t>其中：本年收入合计85.77万元，使用非财政拨款结余（含专用结余）0.00万元，年初结转和结余0.00万元。</w:t>
      </w:r>
    </w:p>
    <w:p>
      <w:pPr>
        <w:spacing w:line="580" w:lineRule="exact"/>
        <w:ind w:firstLine="640"/>
        <w:jc w:val="both"/>
      </w:pPr>
      <w:r>
        <w:rPr>
          <w:rFonts w:ascii="仿宋_GB2312" w:hAnsi="仿宋_GB2312" w:eastAsia="仿宋_GB2312"/>
          <w:b/>
          <w:sz w:val="32"/>
        </w:rPr>
        <w:t>2024年度支出总计85.77万元，</w:t>
      </w:r>
      <w:r>
        <w:rPr>
          <w:rFonts w:ascii="仿宋_GB2312" w:hAnsi="仿宋_GB2312" w:eastAsia="仿宋_GB2312"/>
          <w:b w:val="0"/>
          <w:sz w:val="32"/>
        </w:rPr>
        <w:t>其中：本年支出合计85.77万元，结余分配0.00万元，年末结转和结余0.00万元。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增加20.80万元，增长32.01%，主要原因是：本年在职人员工资调增，社保、公积金基数调增，人员经费增加。</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本年收入85.77万元，</w:t>
      </w:r>
      <w:r>
        <w:rPr>
          <w:rFonts w:ascii="仿宋_GB2312" w:hAnsi="仿宋_GB2312" w:eastAsia="仿宋_GB2312"/>
          <w:b w:val="0"/>
          <w:sz w:val="32"/>
        </w:rPr>
        <w:t>其中：财政拨款收入85.77万元，占100.00%；上级补助收入0.00万元，占0.00%；事业收入0.00万元，占0.00%；经营收入0.00万元，占0.00%；附属单位上缴收入0.00万元，占0.00%；其他收入0.00万元，占0.00%。</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本年支出85.77万元，</w:t>
      </w:r>
      <w:r>
        <w:rPr>
          <w:rFonts w:ascii="仿宋_GB2312" w:hAnsi="仿宋_GB2312" w:eastAsia="仿宋_GB2312"/>
          <w:b w:val="0"/>
          <w:sz w:val="32"/>
        </w:rPr>
        <w:t>其中：基本支出85.77万元，占100.00%；项目支出0.00万元，占0.00%；上缴上级支出0.00万元，占0.00%；经营支出0.00万元，占0.00%；对附属单位补助支出0.00万元，占0.00%。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2024年度财政拨款收入总计85.77万元，</w:t>
      </w:r>
      <w:r>
        <w:rPr>
          <w:rFonts w:ascii="仿宋_GB2312" w:hAnsi="仿宋_GB2312" w:eastAsia="仿宋_GB2312"/>
          <w:b w:val="0"/>
          <w:sz w:val="32"/>
        </w:rPr>
        <w:t>其中：年初财政拨款结转和结余0.00万元，本年财政拨款收入85.77万元。</w:t>
      </w:r>
      <w:r>
        <w:rPr>
          <w:rFonts w:ascii="仿宋_GB2312" w:hAnsi="仿宋_GB2312" w:eastAsia="仿宋_GB2312"/>
          <w:b/>
          <w:sz w:val="32"/>
        </w:rPr>
        <w:t>财政拨款支出总计85.77万元，</w:t>
      </w:r>
      <w:r>
        <w:rPr>
          <w:rFonts w:ascii="仿宋_GB2312" w:hAnsi="仿宋_GB2312" w:eastAsia="仿宋_GB2312"/>
          <w:b w:val="0"/>
          <w:sz w:val="32"/>
        </w:rPr>
        <w:t>其中：年末财政拨款结转和结余0.00万元，本年财政拨款支出85.77万元。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增加20.80万元，增长32.01%，主要原因是：本年在职人员工资调增，社保、公积金基数调增，人员经费增加。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年初预算数75.78万元，决算数85.77万元，预决算差异率13.18%，主要原因是：年中追加人员工资、社保、公积金基数调增部分资金，导致预决算存在差异。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2024年度一般公共预算财政拨款支出85.77万元，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增加20.80万元，增长32.01%，主要原因是：本年在职人员工资调增，社保、公积金基数调增，人员经费增加。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年初预算数75.78万元，决算数85.77万元，预决算差异率13.18%，主要原因是：年中追加人员工资、社保、公积金基数调增部分资金，导致预决算存在差异。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1.文化旅游体育与传媒支出(类)85.77万元,占100.00%。</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1.文化旅游体育与传媒支出(类)文化和旅游(款)机关服务(项):支出决算数为85.77万元，比上年决算增加20.80万元，增长32.01%,主要原因是：本年在职人员工资调增，社保、公积金基数调增，人员经费增加。</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2024年度一般公共预算财政拨款基本支出85.77万元，其中：</w:t>
      </w:r>
      <w:r>
        <w:rPr>
          <w:rFonts w:ascii="仿宋_GB2312" w:hAnsi="仿宋_GB2312" w:eastAsia="仿宋_GB2312"/>
          <w:b/>
          <w:sz w:val="32"/>
        </w:rPr>
        <w:t>人员经费79.92万元，</w:t>
      </w:r>
      <w:r>
        <w:rPr>
          <w:rFonts w:ascii="仿宋_GB2312" w:hAnsi="仿宋_GB2312" w:eastAsia="仿宋_GB2312"/>
          <w:b w:val="0"/>
          <w:sz w:val="32"/>
        </w:rPr>
        <w:t>包括：基本工资、津贴补贴、奖金、绩效工资、机关事业单位基本养老保险缴费、职工基本医疗保险缴费、公务员医疗补助缴费、其他社会保障缴费、住房公积金。</w:t>
      </w:r>
    </w:p>
    <w:p>
      <w:pPr>
        <w:spacing w:line="580" w:lineRule="exact"/>
        <w:ind w:firstLine="640"/>
        <w:jc w:val="both"/>
      </w:pPr>
      <w:r>
        <w:rPr>
          <w:rFonts w:ascii="仿宋_GB2312" w:hAnsi="仿宋_GB2312" w:eastAsia="仿宋_GB2312"/>
          <w:b/>
          <w:sz w:val="32"/>
        </w:rPr>
        <w:t>公用经费5.85万元，</w:t>
      </w:r>
      <w:r>
        <w:rPr>
          <w:rFonts w:ascii="仿宋_GB2312" w:hAnsi="仿宋_GB2312" w:eastAsia="仿宋_GB2312"/>
          <w:b w:val="0"/>
          <w:sz w:val="32"/>
        </w:rPr>
        <w:t>包括：办公费、工会经费、福利费。</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公务用车购置及运行维护费支出0.00万元，占0.00%，比上年增加0.00万元，增长0.00%，主要原因是：2023年与2024年均未安排公务用车购置及运行维护费支出。</w:t>
      </w:r>
      <w:r>
        <w:rPr>
          <w:rFonts w:ascii="仿宋_GB2312" w:hAnsi="仿宋_GB2312" w:eastAsia="仿宋_GB2312"/>
          <w:b w:val="0"/>
          <w:sz w:val="32"/>
        </w:rPr>
        <w:t>公务接待费支出0.00万元，占0.00%，比上年增加0.00万元，增长0.00%，主要原因是：2023年与2024年均未安排公务接待费支出。</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2024年度乌鲁木齐市文化和旅游信息服务中心（事业单位）公用经费支出5.85万元，比上年增加0.87万元，增长17.47%，主要原因是：本年更新、维护补充办公用品，导致公用经费较上年增加。</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2024年度政府采购支出总额0.00万元，其中：政府采购货物支出0.00万元、政府采购工程支出0.00万元、政府采购服务支出0.00万元。</w:t>
      </w:r>
    </w:p>
    <w:p>
      <w:pPr>
        <w:spacing w:line="580" w:lineRule="exact"/>
        <w:ind w:firstLine="640"/>
        <w:jc w:val="both"/>
      </w:pPr>
      <w:r>
        <w:rPr>
          <w:rFonts w:ascii="仿宋_GB2312" w:hAnsi="仿宋_GB2312" w:eastAsia="仿宋_GB2312"/>
          <w:b w:val="0"/>
          <w:sz w:val="32"/>
        </w:rPr>
        <w:t>授予中小企业合同金额0.00万元，占政府采购支出总额的0.00%，其中：授予小微企业合同金额0.00万元，占政府采购支出总额的0.00%。</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单位无固定资产车辆。单价100万元（含）以上设备（不含车辆）1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我单位无预算绩效管理项目。发现的问题及原因：我单位无预算绩效管理项目。下一步改进措施：我单位无预算绩效管理项目。</w:t>
      </w:r>
    </w:p>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本单位2024年度无政府采购支出，授予中小企业合同金额0.00万元。</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