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乌鲁木齐市博物馆（乌鲁木齐市革命历史纪念地管理中心）2024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乌鲁木齐市博物馆（乌鲁木齐市革命历史纪念地管理中心）位于胜利路392号，是隶属于乌鲁木齐市文化和旅游局（乌鲁木齐市文物局）管理的事业单位。2010年5月由市博物馆与市革命历史纪念地管理中心合并，实行一个机构两块牌子。主要职能为：负责文物的征集、整理、陈列、展览、科学研究以及革命历史纪念地的管理、维护工作，开展历史文化、爱国主义和革命传统教育。目前，管理和保护八路军驻新疆办事处纪念馆、中国工农红军西路军总支队纪念馆、毛泽民故居、乌鲁木齐市博物馆、文庙、文昌阁等革命遗址场馆。</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乌鲁木齐市博物馆（乌鲁木齐市革命历史纪念地管理中心）2024年度，实有人数40人，其中：在职人员19人，增加1人；离休人员1人，增加0人；退休人员20人,增加0人。</w:t>
      </w:r>
    </w:p>
    <w:p>
      <w:pPr>
        <w:spacing w:line="580" w:lineRule="exact"/>
        <w:ind w:firstLine="640"/>
        <w:jc w:val="both"/>
      </w:pPr>
      <w:r>
        <w:rPr>
          <w:rFonts w:ascii="仿宋_GB2312" w:hAnsi="仿宋_GB2312" w:eastAsia="仿宋_GB2312"/>
          <w:sz w:val="32"/>
        </w:rPr>
        <w:t>乌鲁木齐市博物馆（乌鲁木齐市革命历史纪念地管理中心）无下属预算单位，下设5个科室，分别是：综合部、毛泽民故居管理部、西路军纪念馆管理部、八路军纪念馆管理部、博物馆管理部。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2024年度收入总计1,862.50万元，</w:t>
      </w:r>
      <w:r>
        <w:rPr>
          <w:rFonts w:ascii="仿宋_GB2312" w:hAnsi="仿宋_GB2312" w:eastAsia="仿宋_GB2312"/>
          <w:b w:val="0"/>
          <w:sz w:val="32"/>
        </w:rPr>
        <w:t>其中：本年收入合计1,862.50万元，使用非财政拨款结余（含专用结余）0.00万元，年初结转和结余0.00万元。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2024年度支出总计1,862.50万元，</w:t>
      </w:r>
      <w:r>
        <w:rPr>
          <w:rFonts w:ascii="仿宋_GB2312" w:hAnsi="仿宋_GB2312" w:eastAsia="仿宋_GB2312"/>
          <w:b w:val="0"/>
          <w:sz w:val="32"/>
        </w:rPr>
        <w:t>其中：本年支出合计1,852.49万元，结余分配0.00万元，年末结转和结余10.01万元。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412.94万元，增长28.49%，主要原因是：本年在职人员工资调增，社保、公积金基数调增，人员经费增加；增加2024年国家文物保护-乌鲁木齐市博物馆馆藏文物预防性保护项目，增加乌鲁木齐博物馆陈列展览提升项目，增加2024年自治区文物保护-中国工农红军总支队旧址安防工程项目。</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本年收入1,862.50万元，</w:t>
      </w:r>
      <w:r>
        <w:rPr>
          <w:rFonts w:ascii="仿宋_GB2312" w:hAnsi="仿宋_GB2312" w:eastAsia="仿宋_GB2312"/>
          <w:b w:val="0"/>
          <w:sz w:val="32"/>
        </w:rPr>
        <w:t>其中：财政拨款收入1,842.48万元，占98.93%；上级补助收入0.00万元，占0.00%；事业收入0.00万元，占0.00%；经营收入0.00万元，占0.00%；附属单位上缴收入0.00万元，占0.00%；其他收入20.02万元，占1.07%。</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本年支出1,852.49万元，</w:t>
      </w:r>
      <w:r>
        <w:rPr>
          <w:rFonts w:ascii="仿宋_GB2312" w:hAnsi="仿宋_GB2312" w:eastAsia="仿宋_GB2312"/>
          <w:b w:val="0"/>
          <w:sz w:val="32"/>
        </w:rPr>
        <w:t>其中：基本支出442.48万元，占23.89%；项目支出1,410.01万元，占76.11%；上缴上级支出0.00万元，占0.00%；经营支出0.00万元，占0.00%；对附属单位补助支出0.00万元，占0.00%。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2024年度财政拨款收入总计1,842.48万元，</w:t>
      </w:r>
      <w:r>
        <w:rPr>
          <w:rFonts w:ascii="仿宋_GB2312" w:hAnsi="仿宋_GB2312" w:eastAsia="仿宋_GB2312"/>
          <w:b w:val="0"/>
          <w:sz w:val="32"/>
        </w:rPr>
        <w:t>其中：年初财政拨款结转和结余0.00万元，本年财政拨款收入1,842.48万元。</w:t>
      </w:r>
      <w:r>
        <w:rPr>
          <w:rFonts w:ascii="仿宋_GB2312" w:hAnsi="仿宋_GB2312" w:eastAsia="仿宋_GB2312"/>
          <w:b/>
          <w:sz w:val="32"/>
        </w:rPr>
        <w:t>财政拨款支出总计1,842.48万元，</w:t>
      </w:r>
      <w:r>
        <w:rPr>
          <w:rFonts w:ascii="仿宋_GB2312" w:hAnsi="仿宋_GB2312" w:eastAsia="仿宋_GB2312"/>
          <w:b w:val="0"/>
          <w:sz w:val="32"/>
        </w:rPr>
        <w:t>其中：年末财政拨款结转和结余9.99万元，本年财政拨款支出1,832.49万元。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424.81万元，增长29.97%，主要原因是：本年在职人员工资调增，社保、公积金基数调增，人员经费增加；增加2024年国家文物保护-乌鲁木齐市博物馆馆藏文物预防性保护项目，增加乌鲁木齐博物馆陈列展览提升项目，增加2024年自治区文物保护-中国工农红军总支队旧址安防工程项目。</w:t>
      </w:r>
      <w:r>
        <w:rPr>
          <w:rFonts w:ascii="仿宋_GB2312" w:hAnsi="仿宋_GB2312" w:eastAsia="仿宋_GB2312"/>
          <w:b/>
          <w:sz w:val="32"/>
        </w:rPr>
        <w:t>与年初预算相比，</w:t>
      </w:r>
      <w:r>
        <w:rPr>
          <w:rFonts w:ascii="仿宋_GB2312" w:hAnsi="仿宋_GB2312" w:eastAsia="仿宋_GB2312"/>
          <w:b w:val="0"/>
          <w:sz w:val="32"/>
        </w:rPr>
        <w:t>年初预算数1,745.92万元，决算数1,842.48万元，预决算差异率5.53%，主要原因是：本年在职人员增加，年中追加人员经费及人员工资、社保、公积金基数调增部分资金，导致预决算存在差异。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2024年度一般公共预算财政拨款支出1,799.53万元，</w:t>
      </w:r>
      <w:r>
        <w:rPr>
          <w:rFonts w:ascii="仿宋_GB2312" w:hAnsi="仿宋_GB2312" w:eastAsia="仿宋_GB2312"/>
          <w:b w:val="0"/>
          <w:sz w:val="32"/>
        </w:rPr>
        <w:t>占本年支出合计的97.14%。</w:t>
      </w:r>
      <w:r>
        <w:rPr>
          <w:rFonts w:ascii="仿宋_GB2312" w:hAnsi="仿宋_GB2312" w:eastAsia="仿宋_GB2312"/>
          <w:b/>
          <w:sz w:val="32"/>
        </w:rPr>
        <w:t>与上年相比，</w:t>
      </w:r>
      <w:r>
        <w:rPr>
          <w:rFonts w:ascii="仿宋_GB2312" w:hAnsi="仿宋_GB2312" w:eastAsia="仿宋_GB2312"/>
          <w:b w:val="0"/>
          <w:sz w:val="32"/>
        </w:rPr>
        <w:t>增加398.68万元，增长28.46%，主要原因是：本年在职人员工资调增，社保、公积金基数调增，人员经费增加；增加2024年国家文物保护-乌鲁木齐市博物馆馆藏文物预防性保护项目，增加乌鲁木齐博物馆陈列展览提升项目，增加2024年自治区文物保护-中国工农红军总支队旧址安防工程项目。</w:t>
      </w:r>
      <w:r>
        <w:rPr>
          <w:rFonts w:ascii="仿宋_GB2312" w:hAnsi="仿宋_GB2312" w:eastAsia="仿宋_GB2312"/>
          <w:b/>
          <w:sz w:val="32"/>
        </w:rPr>
        <w:t>与年初预算相比,</w:t>
      </w:r>
      <w:r>
        <w:rPr>
          <w:rFonts w:ascii="仿宋_GB2312" w:hAnsi="仿宋_GB2312" w:eastAsia="仿宋_GB2312"/>
          <w:b w:val="0"/>
          <w:sz w:val="32"/>
        </w:rPr>
        <w:t>年初预算数1,745.92万元，决算数1,799.53万元，预决算差异率3.07%，主要原因是：本年在职人员增加，年中追加人员经费及人员工资、社保、公积金基数调增部分资金，导致预决算存在差异。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1.文化旅游体育与传媒支出(类)1,799.53万元,占100.00%。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文化旅游体育与传媒支出(类)文物(款)博物馆(项):支出决算数为1,799.53万元，比上年决算增加398.79万元，增长28.47%,主要原因是：本年在职人员工资调增，社保、公积金基数调增，人员经费增加；增加2024年国家文物保护-乌鲁木齐市博物馆馆藏文物预防性保护项目，增加乌鲁木齐博物馆陈列展览提升项目，增加2024年自治区文物保护-中国工农红军总支队旧址安防工程项目。</w:t>
      </w:r>
    </w:p>
    <w:p>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0.00万元，比上年决算减少0.11万元，下降100.00%,主要原因是：本年功能科目调整，事业单位离退休上年度单独列支，本年调整至主科目列支，导致经费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2024年度一般公共预算财政拨款基本支出442.48万元，其中：</w:t>
      </w:r>
      <w:r>
        <w:rPr>
          <w:rFonts w:ascii="仿宋_GB2312" w:hAnsi="仿宋_GB2312" w:eastAsia="仿宋_GB2312"/>
          <w:b/>
          <w:sz w:val="32"/>
        </w:rPr>
        <w:t>人员经费366.89万元，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包括：基本工资、津贴补贴、奖金、绩效工资、机关事业单位基本养老保险缴费、职工基本医疗保险缴费、公务员医疗补助缴费、其他社会保障缴费、住房公积金、离休费、退休费、医疗费补助。</w:t>
      </w:r>
    </w:p>
    <w:p>
      <w:pPr>
        <w:spacing w:line="580" w:lineRule="exact"/>
        <w:ind w:firstLine="640"/>
        <w:jc w:val="both"/>
      </w:pPr>
      <w:r>
        <w:rPr>
          <w:rFonts w:ascii="仿宋_GB2312" w:hAnsi="仿宋_GB2312" w:eastAsia="仿宋_GB2312"/>
          <w:b/>
          <w:sz w:val="32"/>
        </w:rPr>
        <w:t>公用经费75.59万元，</w:t>
      </w:r>
      <w:r>
        <w:rPr>
          <w:rFonts w:ascii="仿宋_GB2312" w:hAnsi="仿宋_GB2312" w:eastAsia="仿宋_GB2312"/>
          <w:b w:val="0"/>
          <w:sz w:val="32"/>
        </w:rPr>
        <w:t>包括：办公费、水费、电费、邮电费、取暖费、差旅费、工会经费、福利费、公务用车运行维护费、其他商品和服务支出。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sz w:val="32"/>
        </w:rPr>
        <w:t>2024年度政府性基金预算财政拨款收入总计32.97万元，</w:t>
      </w:r>
      <w:r>
        <w:rPr>
          <w:rFonts w:ascii="仿宋_GB2312" w:hAnsi="仿宋_GB2312" w:eastAsia="仿宋_GB2312"/>
          <w:b w:val="0"/>
          <w:sz w:val="32"/>
        </w:rPr>
        <w:t>其中：年初结转和结余0.00万元，本年收入32.97万元。</w:t>
      </w:r>
      <w:r>
        <w:rPr>
          <w:rFonts w:ascii="仿宋_GB2312" w:hAnsi="仿宋_GB2312" w:eastAsia="仿宋_GB2312"/>
          <w:b/>
          <w:sz w:val="32"/>
        </w:rPr>
        <w:t>政府性基金预算财政拨款支出总计32.97万元，</w:t>
      </w:r>
      <w:r>
        <w:rPr>
          <w:rFonts w:ascii="仿宋_GB2312" w:hAnsi="仿宋_GB2312" w:eastAsia="仿宋_GB2312"/>
          <w:b w:val="0"/>
          <w:sz w:val="32"/>
        </w:rPr>
        <w:t>其中：年末结转和结余0.00万元，本年支出32.97万元。</w:t>
      </w:r>
    </w:p>
    <w:p>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增加32.97万元，增长100.00%，主要原因是：本年增加乌鲁木齐文庙、文昌阁重新开放保养维护项目。</w:t>
      </w:r>
      <w:r>
        <w:rPr>
          <w:rFonts w:ascii="仿宋_GB2312" w:hAnsi="仿宋_GB2312" w:eastAsia="仿宋_GB2312"/>
          <w:b/>
          <w:sz w:val="32"/>
        </w:rPr>
        <w:t>与年初预算相比，</w:t>
      </w:r>
      <w:r>
        <w:rPr>
          <w:rFonts w:ascii="仿宋_GB2312" w:hAnsi="仿宋_GB2312" w:eastAsia="仿宋_GB2312"/>
          <w:b w:val="0"/>
          <w:sz w:val="32"/>
        </w:rPr>
        <w:t>年初预算数0.00万元，决算数32.97万元，预决算差异率100.00%，主要原因是：年中追加乌鲁木齐文庙、文昌阁重新开放保养维护项目，导致预决算存在差异。</w:t>
      </w:r>
    </w:p>
    <w:p>
      <w:pPr>
        <w:spacing w:line="580" w:lineRule="exact"/>
        <w:ind w:firstLine="640"/>
        <w:jc w:val="both"/>
      </w:pPr>
      <w:r>
        <w:rPr>
          <w:rFonts w:ascii="仿宋_GB2312" w:hAnsi="仿宋_GB2312" w:eastAsia="仿宋_GB2312"/>
          <w:b w:val="0"/>
          <w:sz w:val="32"/>
        </w:rPr>
        <w:t>政府性基金预算财政拨款支出32.97万元。</w:t>
      </w:r>
    </w:p>
    <w:p>
      <w:pPr>
        <w:spacing w:line="580" w:lineRule="exact"/>
        <w:ind w:firstLine="640"/>
        <w:jc w:val="both"/>
      </w:pPr>
      <w:r>
        <w:rPr>
          <w:rFonts w:ascii="仿宋_GB2312" w:hAnsi="仿宋_GB2312" w:eastAsia="仿宋_GB2312"/>
          <w:b w:val="0"/>
          <w:sz w:val="32"/>
        </w:rPr>
        <w:t>1.其他支出(类)彩票公益金安排的支出(款)用于文化事业的彩票公益金支出(项):支出决算数为32.97万元，比上年决算增加32.97万元，增长100.00%,主要原因是：本年增加乌鲁木齐文庙、文昌阁重新开放保养维护项目。</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2024年度财政拨款“三公”经费支出1.03万元，</w:t>
      </w:r>
      <w:r>
        <w:rPr>
          <w:rFonts w:ascii="仿宋_GB2312" w:hAnsi="仿宋_GB2312" w:eastAsia="仿宋_GB2312"/>
          <w:b w:val="0"/>
          <w:sz w:val="32"/>
        </w:rPr>
        <w:t>比上年增加1.03万元，增长100.00%，主要原因是：本年将车辆纳入公务用车管理，增加车辆运行经费。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公务用车购置及运行维护费支出1.03万元，占100.00%，比上年增加1.03万元，增长100.00%，主要原因是：本年将车辆纳入公务用车管理，增加车辆运行经费。</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1.03万元，其中：公务用车购置费0.00万元，公务用车运行维护费1.03万元。公务用车运行维护费开支内容包括车辆加油费、维修费、保险费。公务用车购置数0辆，公务用车保有量1辆。国有资产占用情况中固定资产车辆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1.05万元，决算数1.03万元，预决算差异率-1.90%，主要原因是：严格落实中央八项规定精神，厉行节约，减少公务用车使用频次，燃油费减少。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1.05万元，决算数1.03万元，预决算差异率-1.90%，主要原因是：严格落实中央八项规定精神，厉行节约，减少公务用车使用频次，燃油费减少。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2024年度乌鲁木齐市博物馆（乌鲁木齐市革命历史纪念地管理中心）（事业单位）公用经费支出75.59万元，比上年减少6.83万元，下降8.29%，主要原因是：严控经费支出，厉行节约，减少经费支出。</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2024年度政府采购支出总额458.74万元，其中：政府采购货物支出233.45万元、政府采购工程支出0.00万元、政府采购服务支出225.29万元。</w:t>
      </w:r>
    </w:p>
    <w:p>
      <w:pPr>
        <w:spacing w:line="580" w:lineRule="exact"/>
        <w:ind w:firstLine="640"/>
        <w:jc w:val="both"/>
      </w:pPr>
      <w:r>
        <w:rPr>
          <w:rFonts w:ascii="仿宋_GB2312" w:hAnsi="仿宋_GB2312" w:eastAsia="仿宋_GB2312"/>
          <w:b w:val="0"/>
          <w:sz w:val="32"/>
        </w:rPr>
        <w:t>授予中小企业合同金额456.32万元，占政府采购支出总额的99.47%，其中：授予小微企业合同金额456.32万元，占政府采购支出总额的99.47%。</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1,204.84平方米，价值38.08万元。车辆1辆，价值13.85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预算绩效评价项目11个，全年预算数1,252.57万元，全年执行数1,248.67万元。预算绩效管理取得的成效：一是预算绩效管理实施以来，加强了预算制定过程的科学性管理，提升预算方案的质量；二是加强了对项目实施过程的监管意识，建立重点项目实施过程的绩效反馈机制。发现的问题及原因：一是场馆分散编制少，专业人员不足；二是展览陈旧提升不够。下一步改进措施：一是强化预算工作执行力度；二是内控与绩效有机结合；三是落实主体责任，明确预算单位各部门是绩效运行监控的主体，定期对绩效监控信息进行收集、汇总、分析等；四是加强学习培训，对全体成员进行绩效相关培训，加强对绩效工作的了解。具体附项目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毛泽民故居红色基因库建设项目</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32件纸质类和12件器物类的可移动革命文物数字化采集；对精品文物进行数字化采集，对藏品数据进行永久性保存。2、对1项不可移动文物-全国重点文物保护单位毛泽民办公室及宿舍旧址、展厅、雕塑的三维数字化采集并制作虚拟讲解视频；对不可移动文物及展厅数据进行永久性保存。3、对1项毛泽民故居数字流动博物馆微课堂信息采集及5个VR的数据输入及应用；对毛泽民故居纪念馆进行微缩化、数字化处理，立足贴近实际、贴近公众、贴近现实，让更多的群众享受纪念馆的文化服务。4、通过此项目有效丰富人民群众精神文化生活，有效发挥教育基地的宣传效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1、32件纸质类和12件器物类的可移动革命文物数字化采集；对精品文物进行数字化采集，对藏品数据进行永久性保存。2、对1项不可移动文物-全国重点文物保护单位毛泽民办公室及宿舍旧址、展厅、雕塑的三维数字化采集并制作虚拟讲解视频；对不可移动文物及展厅数据进行永久性保存。3、对1项毛泽民故居数字流动博物馆微课堂信息采集及5个VR的数据输入及应用；对毛泽民故居纪念馆进行微缩化、数字化处理，立足贴近实际、贴近公众、贴近现实，让更多的群众享受纪念馆的文化服务。4、通过此项目有效丰富人民群众精神文化生活，有效发挥教育基地的宣传效果。</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可移动数字化采集量-纸质类</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&gt;=32件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可移动数字化采集量-器物类</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&gt;=12件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毛泽民故居不可移动文物及展厅三维数据及虚拟讲解视频制作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流动博物馆系统数量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数字流动博物馆VR眼镜配备数量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已完成，项目验收合格。</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丰富人民群众精神文化生活</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有效丰富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发挥教育基地的宣传效果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有效发挥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免费开放市级配套资金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87.50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聘用讲解员着装整齐，仪表端正，讲解礼仪规范，具备较强的责任心，工作认真，工作时间及休息休假按照《中华人民共和国劳动法》的规定严格执行，每年培训1次，场馆正常开放时间大于300天。</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本项目通过聘用讲解员在各场馆为参观市民提供细致讲解，更好的发挥文化教育职能，保障场馆正常运转。讲解员每年培训1次，场馆正常开放时间313天。</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聘用讲解员人数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&gt;=16人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因2024年博物馆各场馆参观人数增加，讲解员讲解压力大，故增加了讲解员。</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每年培训次数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全年发放工资次数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场馆正常开放时间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=313天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2024年初设定目标时出于谨慎设置的比较保守，2024年场馆正常开放时间313天，已完成目标，偏差在合理范围之内。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工作人员出勤率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2024年初设定目标时出于谨慎设置的比较保守，2024年工作人员出勤率97.75%，已完成目标，偏差在合理范围之内。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培训考核合格率（%）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2024年初设定目标时出于谨慎设置的比较保守，培训考核合格率100%，已完成目标，偏差在合理范围之内。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保障场馆正常运转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确保文化活动宣传效果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有效宣传</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观众满意度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=99.58%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2024年初设定目标时出于谨慎设置的比较保守，2024年观众满意度99.58%，已完成目标，偏差在合理范围之内。</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免费开放资金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208.65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208.65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208.65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208.65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基本陈列主题突出、立意鲜明；馆际交流展览活跃，临时展览不少于6次；参观量不少于130万人次；展览参观天数大于300天；新疆四史流动展览场数大于等于110场；藏品管理规范；业务人员专业学历和知识结构合理，建立完善的青少年教育工作计划和馆校合作长效机制。</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基本陈列主题突出、立意鲜明；馆际交流展览活跃，临时展览6次；参观量139万人次；展览参观313天；新疆四史流动展览场数120场；藏品管理规范；业务人员专业学历和知识结构合理，建立完善的青少年教育工作计划和馆校合作长效机制。</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接待观众人数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&gt;=130万人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=139万人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已完成，接待人数139万人。</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新疆四史流动展览场次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&gt;=110场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=120场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已完成，新疆四史流动展览场次120场。</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展览参观天数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=313天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已完成，展览参观天数313天。</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举办展览次数（次）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展览活动完成率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&gt;=95百分之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=100百分之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已完成，展览活动全部完成。</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丰富人民群众精神文化生活</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有效丰富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不断强化文物的实证史证作用和宣传教育功能</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观众满意度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已完成，观众满意度98.1%。</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聘用义务讲解员项目</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17.63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聘用讲解员着装整齐，仪表端正，讲解礼仪规范，具备较强的责任心，工作认真，工作时间及休息休假按照《中华人民共和国劳动法》的规定严格执行，每年培训1次，场馆正常开放时间大于300天。</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本项目通过聘用讲解员在各场馆为参观市民提供细致讲解，更好的发挥文化教育职能，保障场馆正常运转。讲解员每年培训1次，场馆正常开放时间313天。</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聘用讲解员人数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&gt;=16人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因2024年博物馆各场馆参观人数增加，讲解员讲解压力大，故增加了讲解员。</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每年培训次数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全年发放工资次数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场馆正常开放时间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=313天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2024年初设定目标时出于谨慎设置的比较保守，2024年全年场馆正常开放时间313天，已完成目标，偏差在合理范围之内。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工作人员出勤率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=97.75%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2024年初设定目标时出于谨慎设置的比较保守，2024年工作人员出勤率97.75%，已完成目标，偏差在合理范围之内。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培训考核合格率（%）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2024年初设定目标时出于谨慎设置的比较保守，2024年培训考核合格率100%，已完成目标，偏差在合理范围之内。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保障场馆正常运转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确保文化活动宣传效果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有效确保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观众满意度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=99.58%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2024年初设定目标时出于谨慎设置的比较保守，2024年讲解员观众满意度99.58%，已完成目标，偏差在合理范围之内。</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文庙物业服务费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聘用保洁人员2人、水暖工1人，着装整齐、仪表端正、坚守岗位、工作认真。工作时间及休息休假按照《中华人民共和国劳动法》的规定严格执行，工资每月正常发放，场馆正常开放时间大于300天。</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本项目通过保洁人员2人、水暖工1人，更好的发挥文化教育职能，保障场馆正常运转，工作时间及休息休假按照《中华人民共和国劳动法》的规定严格执行，工资每月正常发放，场馆正常开放时间313天。</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聘用保洁人员数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聘请水电暖工人数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全年发放工资次数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工作人员出勤率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2024年初设定目标时出于谨慎设置的比较保守，2024年全年出勤率100%，已完成目标，偏差在合理范围之内。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全年场馆正常开放时间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=313天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2024年初设定目标时出于谨慎设置的比较保守，2024年全年场馆正常开放时间313天，已完成目标，偏差在合理范围之内。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保障场馆正常运转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确保文化宣传效果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有效宣传</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乌鲁木齐博物馆陈列展览提升</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278.46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385.86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385.86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278.46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385.86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385.86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完成展览提升展厅5个，文博专业展柜-平柜51组，文博专业展柜-独立柜12组，文博专业展柜-中岛独立柜2组，项目验收合格率（%）大于等于95%，有效发挥教育基地的宣传效果，有效确保文化活动的宣传效果。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完成展览提升展厅5个，文博专业展柜-平柜51组，文博专业展柜-独立柜12组，文博专业展柜-中岛独立柜2组，项目验收合格率（%）100%，有效发挥教育基地的宣传效果，有效确保文化活动的宣传效果。</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展览提升展厅</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文博专业展柜-平柜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&gt;=51组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文博专业展柜-独立柜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&gt;=12组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文博专业展柜-中岛独立柜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=2组</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已完成，项目验收合格。</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发挥教育基地的宣传效果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有效发挥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确保文化活动的宣传效果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有效确保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乌鲁木齐市博物馆馆藏文物预防性保护项目</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368.00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244.75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244.75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368.00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244.75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244.75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本项目主要针对乌鲁木齐市博物馆(乌鲁木齐市革命历史纪念地管理中心)库房珍贵文物保存环境质量进行监测与调控，建立比较完善的博物馆文物保存环境监测系统，运用多种调控手段改善文物保存微环境，实施有效的“稳定、洁净”调控，配置一批结构牢固文物储藏柜，提升馆内文物长期展存设施的专业性和质量，全面提升乌鲁木齐市博物馆(乌鲁木齐市革命历史纪念地管理中心)文物的预防性保护能力。</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本项目针对馆内缺乏环境监测系统，无法对文物保存环境质量进行监测的问题，为馆内配置离线环境巡检设备，实现了对文物库房、展厅和重点展柜等文物保存环境质量的感知，为相关工作的开展提供了科学依据。针对目前库房内缺乏湿度调控的设备，展厅展柜缺乏微环境调控设备的情况，配置被动调控材料，对湿度较敏感的展柜内的文物配置展柜恒湿机，为珍贵文物创造“稳定、洁净”的储藏环境。针对老库房大部分柜架陈旧、结构变形，文物储藏柜架数量不满足文物储藏的问题，结合库房文物类型、尺寸需求，配置了一批专用文物储藏柜，为湿度较敏感的文物配置高密封被动调控储藏柜，保障珍贵文物储存安全和稳定。</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可移动文物保护项目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展柜恒湿机（6m3）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&gt;=11台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展柜恒湿机（1m3）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&gt;=37台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横梁式开架重型文物储物柜（4670*1200*2500）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项目专用材料费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&lt;=233.45万元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=233.45万元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项目其他费用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&lt;=11.30万元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=11.3万元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提升可移动文物保护水平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对中华优秀传统文化传承影响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有效影响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乌鲁木齐文昌阁保养维护项目</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9.58分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温馨提示牌大于等于2个，提示牌数量大于等于3个，竣工验收合格率大于等于90%，项目资金支付率大于等于90%，项目按计划完工时间小于等于10天，有效发挥教育基地的宣传效果，有效确保文化活动宣传效果。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温馨提示牌2个，提示牌数量3个，竣工验收合格率100%，项目资金支付率95.77%，项目按计划完工时间10天，有效发挥教育基地的宣传效果，有效确保文化活动宣传效果。</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温馨提示牌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提示牌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竣工验收合格率（%）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2024年初设定目标时出于谨慎设置的比较保守，2024年竣工验收合格率100%，已完成目标，偏差在合理范围之内。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项目资金支付率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=95.77%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2024年初设定目标时出于谨慎设置的比较保守，2024年项目资金支付率95.77%，已完成目标，偏差在合理范围之内。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项目按计划完工时间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因项目初期计划不足，设置指标与后期签订合同不一致，导致完工时间为25天。</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发挥教育基地的宣传效果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有效发挥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已完成，有效发挥。</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确保文化活动宣传效果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有效确保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已完成，有效确保。</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99.58分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乌鲁木齐文庙保养维护项目</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20.97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20.97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25.18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20.97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20.97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完成祈愿牌500个，檐口修缮（瓦口、勾头滴水修缮）300m，鼎1个，指示牌32个，竣工验收合格率大于等于90%，项目资金支付率大于等于90%，有效发挥教育基地的宣传效果，有效确保文化活动宣传效果。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完成祈愿牌500个，檐口修缮（瓦口、勾头滴水修缮）300m，鼎1个，指示牌32个，竣工验收合格率100%，项目资金支付率100%，有效发挥教育基地的宣传效果，有效确保文化活动宣传效果。</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祈愿牌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&gt;=500个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檐口修缮（瓦口、勾头滴水修缮）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&gt;=300m</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=300m</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指示牌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&gt;=32块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鼎</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&gt;=1座</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=1座</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竣工验收合格率（%）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已完成，项目验收合格。</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项目资金支付率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已完成，项目资金按合同约定支付。</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发挥教育基地的宣传效果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有效发挥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确保文化活动宣传效果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有效确保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西路军、毛泽民故居、八路军办事处、文庙、文昌阁保安服务项目</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218.45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218.45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215.08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98.46%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9.85分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218.45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218.45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215.08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聘用保安67岗，年龄在50岁以下，具备较强的责任心及安保岗位所需的技能。着装整齐、仪表端正、文明值勤、坚守岗位、工作认真。工作时间及休息休假按照《中华人民共和国劳动法》的规定严格执行，即工作时间每周不得超过40个小时，每年安保培训、演练次数大于10次，全年完成工作时间365天，安保人员持证上岗率100%，安全事故发生数0起。</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聘用保安72岗，年龄在50岁以下，具备较强的责任心及安保岗位所需的技能。着装整齐、仪表端正、文明值勤、坚守岗位、工作认真。工作时间及休息休假按照《中华人民共和国劳动法》的规定严格执行，即工作时间每周不得超过40个小时，每年安保培训、演练10次，全年完成工作时间366天，安保人员持证上岗率100%，安全事故发生数0起。</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保安岗聘请岗位数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=72岗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2024年初设定目标时出于谨慎设置的比较保守，2024年保安岗位数72岗，已完成目标，偏差在合理范围之内。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安保培训、演练次数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全年完成工作时间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=366天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=366天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安保人员持证上岗率（%）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2024年初设定目标时出于谨慎设置的比较保守，2024年安保人员持证上岗率100%，已完成目标，偏差在合理范围之内。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培训、演练合格率（%）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2024年初设定目标时出于谨慎设置的比较保守，2024年培训演练合格率100%，已完成目标，偏差在合理范围之内。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安全事故发生数量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=0起</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工作人员出勤率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2024年初设定目标时出于谨慎设置的比较保守，2024年工作人员出勤率100%，已完成目标，偏差在合理范围之内。</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保障场馆正常运转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确保文物安全，有效加强馆内安防</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有效加强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99.85分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中国工农红军总支队旧址安防工程</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乌鲁木齐市文化广播电视和旅游局（乌鲁木齐市文物局）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乌鲁木齐市博物馆( 乌鲁木齐市革命历史纪念地管理中心)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中国工农红军总支队干部大队旧址安全技术防范系统建设后，构成一个系统性能先进、实时可靠、操作简单、维修方便、故障率低、寿命长、性价比合理，多项技术指标都应达到国家标准和二级防护要求的安全技术防范系统工程。</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中国工农红军总支队干部大队旧址安全技术防范系统建设后，构成一个系统性能先进、实时可靠、操作简单、维修方便、故障率低、寿命长、性价比合理，多项技术指标都应达到国家标准和二级防护要求的安全技术防范系统工程。</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中国工农红军总支队旧址安防工程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高清网络全彩半球摄像机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&gt;=17台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16口千兆交换机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网络硬盘录像机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项目验收合格率（%）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&gt;=90百分之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=100百分之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已完成，项目验收合格。</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施工费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&lt;=22.99万元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=22.99万元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其他费用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&lt;=3.26万元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提升全民文物保护意识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培育和践行核心价值观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有效践行</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