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乌鲁木齐市图书馆2024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保存借阅图书资料，促进社会经济文化发展。（图书、文献、报刊）采编与储藏，图书资料借阅，图书馆学研究（图书、期刊、资料）编辑出版。</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乌鲁木齐市图书馆2024年度，实有人数51人，其中：在职人员27人，减少1人；离休人员1人，增加0人；退休人员23人,增加0人。</w:t>
      </w:r>
    </w:p>
    <w:p>
      <w:pPr>
        <w:spacing w:line="580" w:lineRule="exact"/>
        <w:ind w:firstLine="640"/>
        <w:jc w:val="both"/>
      </w:pPr>
      <w:r>
        <w:rPr>
          <w:rFonts w:ascii="仿宋_GB2312" w:hAnsi="仿宋_GB2312" w:eastAsia="仿宋_GB2312"/>
          <w:sz w:val="32"/>
        </w:rPr>
        <w:t>乌鲁木齐市图书馆无下属预算单位，下设7个科室，分别是：综合部、采编部、阅览部、借阅部、协会部、技术部、业务部。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2024年度收入总计972.82万元，</w:t>
      </w:r>
      <w:r>
        <w:rPr>
          <w:rFonts w:ascii="仿宋_GB2312" w:hAnsi="仿宋_GB2312" w:eastAsia="仿宋_GB2312"/>
          <w:b w:val="0"/>
          <w:sz w:val="32"/>
        </w:rPr>
        <w:t>其中：本年收入合计972.82万元，使用非财政拨款结余（含专用结余）0.00万元，年初结转和结余0.00万元。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2024年度支出总计972.82万元，</w:t>
      </w:r>
      <w:r>
        <w:rPr>
          <w:rFonts w:ascii="仿宋_GB2312" w:hAnsi="仿宋_GB2312" w:eastAsia="仿宋_GB2312"/>
          <w:b w:val="0"/>
          <w:sz w:val="32"/>
        </w:rPr>
        <w:t>其中：本年支出合计972.82万元，结余分配0.00万元，年末结转和结余0.00万元。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减少309.80万元，下降24.15%，主要原因是：一是本年减少乌鲁木齐市图书馆改造项目；二是本年1名在职人员退休，1名退休职工去世，相关人员经费较上年减少。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本年收入972.82万元，</w:t>
      </w:r>
      <w:r>
        <w:rPr>
          <w:rFonts w:ascii="仿宋_GB2312" w:hAnsi="仿宋_GB2312" w:eastAsia="仿宋_GB2312"/>
          <w:b w:val="0"/>
          <w:sz w:val="32"/>
        </w:rPr>
        <w:t>其中：财政拨款收入972.82万元，占100.00%；上级补助收入0.00万元，占0.00%；事业收入0.00万元，占0.00%；经营收入0.00万元，占0.00%；附属单位上缴收入0.00万元，占0.00%；其他收入0.00万元，占0.00%。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本年支出972.82万元，</w:t>
      </w:r>
      <w:r>
        <w:rPr>
          <w:rFonts w:ascii="仿宋_GB2312" w:hAnsi="仿宋_GB2312" w:eastAsia="仿宋_GB2312"/>
          <w:b w:val="0"/>
          <w:sz w:val="32"/>
        </w:rPr>
        <w:t>其中：基本支出642.72万元，占66.07%；项目支出330.10万元，占33.93%；上缴上级支出0.00万元，占0.00%；经营支出0.00万元，占0.00%；对附属单位补助支出0.00万元，占0.00%。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2024年度财政拨款收入总计972.82万元，</w:t>
      </w:r>
      <w:r>
        <w:rPr>
          <w:rFonts w:ascii="仿宋_GB2312" w:hAnsi="仿宋_GB2312" w:eastAsia="仿宋_GB2312"/>
          <w:b w:val="0"/>
          <w:sz w:val="32"/>
        </w:rPr>
        <w:t>其中：年初财政拨款结转和结余0.00万元，本年财政拨款收入972.82万元。</w:t>
      </w:r>
      <w:r>
        <w:rPr>
          <w:rFonts w:ascii="仿宋_GB2312" w:hAnsi="仿宋_GB2312" w:eastAsia="仿宋_GB2312"/>
          <w:b/>
          <w:sz w:val="32"/>
        </w:rPr>
        <w:t>财政拨款支出总计972.82万元，</w:t>
      </w:r>
      <w:r>
        <w:rPr>
          <w:rFonts w:ascii="仿宋_GB2312" w:hAnsi="仿宋_GB2312" w:eastAsia="仿宋_GB2312"/>
          <w:b w:val="0"/>
          <w:sz w:val="32"/>
        </w:rPr>
        <w:t>其中：年末财政拨款结转和结余0.00万元，本年财政拨款支出972.82万元。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减少308.77万元，下降24.09%，主要原因是：一是本年减少乌鲁木齐市图书馆改造项目；二是本年1名在职人员退休，1名退休职工去世，相关人员经费较上年减少。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年初预算数946.01万元，决算数972.82万元，预决算差异率2.83%，主要原因是：年中追加人员工资、社保、公积金基数调增部分资金，导致预决算存在差异。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2024年度一般公共预算财政拨款支出968.72万元，</w:t>
      </w:r>
      <w:r>
        <w:rPr>
          <w:rFonts w:ascii="仿宋_GB2312" w:hAnsi="仿宋_GB2312" w:eastAsia="仿宋_GB2312"/>
          <w:b w:val="0"/>
          <w:sz w:val="32"/>
        </w:rPr>
        <w:t>占本年支出合计的99.58%。</w:t>
      </w:r>
      <w:r>
        <w:rPr>
          <w:rFonts w:ascii="仿宋_GB2312" w:hAnsi="仿宋_GB2312" w:eastAsia="仿宋_GB2312"/>
          <w:b/>
          <w:sz w:val="32"/>
        </w:rPr>
        <w:t>与上年相比，</w:t>
      </w:r>
      <w:r>
        <w:rPr>
          <w:rFonts w:ascii="仿宋_GB2312" w:hAnsi="仿宋_GB2312" w:eastAsia="仿宋_GB2312"/>
          <w:b w:val="0"/>
          <w:sz w:val="32"/>
        </w:rPr>
        <w:t>减少308.77万元，下降24.17%，主要原因是：一是本年减少乌鲁木齐市图书馆改造项目；二是本年1名在职人员退休，1名退休职工去世，相关人员经费较上年减少。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876.01万元，决算数968.72万元，预决算差异率10.58%，主要原因是：年中追加2024年中央补助地方文化润疆图书馆设施维保及设备购置项目及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1.文化旅游体育与传媒支出(类)968.72万元,占100.00%。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1.文化旅游体育与传媒支出(类)文化和旅游(款)图书馆(项):支出决算数为964.72万元，比上年决算减少312.65万元，下降24.48%,主要原因是：本年减少乌鲁木齐市图书馆改造项目。</w:t>
      </w:r>
    </w:p>
    <w:p>
      <w:pPr>
        <w:spacing w:line="580" w:lineRule="exact"/>
        <w:ind w:firstLine="640"/>
        <w:jc w:val="both"/>
      </w:pPr>
      <w:r>
        <w:rPr>
          <w:rFonts w:ascii="仿宋_GB2312" w:hAnsi="仿宋_GB2312" w:eastAsia="仿宋_GB2312"/>
          <w:b w:val="0"/>
          <w:sz w:val="32"/>
        </w:rPr>
        <w:t>2.文化旅游体育与传媒支出(类)文化和旅游(款)其他文化和旅游支出(项):支出决算数为4.00万元，比上年决算增加4.00万元，增长100.00%,主要原因是：科目调整，中央2024年美术馆、公共图书馆、文化馆（站）免费开放补助资金预算（第二批）项目从图书馆科目调整至其他文化和旅游支出科目。</w:t>
      </w:r>
    </w:p>
    <w:p>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0.00万元，比上年决算减少0.11万元，下降100.00%,主要原因是：科目调整，离休人员经费从事业单位离退休科目调整至图书馆科目。</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2024年度一般公共预算财政拨款基本支出642.72万元，其中：</w:t>
      </w:r>
      <w:r>
        <w:rPr>
          <w:rFonts w:ascii="仿宋_GB2312" w:hAnsi="仿宋_GB2312" w:eastAsia="仿宋_GB2312"/>
          <w:b/>
          <w:sz w:val="32"/>
        </w:rPr>
        <w:t>人员经费557.71万元，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离休费、退休费、抚恤金、医疗费补助、奖励金。</w:t>
      </w:r>
    </w:p>
    <w:p>
      <w:pPr>
        <w:spacing w:line="580" w:lineRule="exact"/>
        <w:ind w:firstLine="640"/>
        <w:jc w:val="both"/>
      </w:pPr>
      <w:r>
        <w:rPr>
          <w:rFonts w:ascii="仿宋_GB2312" w:hAnsi="仿宋_GB2312" w:eastAsia="仿宋_GB2312"/>
          <w:b/>
          <w:sz w:val="32"/>
        </w:rPr>
        <w:t>公用经费85.01万元，</w:t>
      </w:r>
      <w:r>
        <w:rPr>
          <w:rFonts w:ascii="仿宋_GB2312" w:hAnsi="仿宋_GB2312" w:eastAsia="仿宋_GB2312"/>
          <w:b w:val="0"/>
          <w:sz w:val="32"/>
        </w:rPr>
        <w:t>包括：办公费、水费、电费、邮电费、取暖费、差旅费、维修（护）费、培训费、劳务费、工会经费、福利费、公务用车运行维护费、其他商品和服务支出。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sz w:val="32"/>
        </w:rPr>
        <w:t>2024年度政府性基金预算财政拨款收入总计4.10万元，</w:t>
      </w:r>
      <w:r>
        <w:rPr>
          <w:rFonts w:ascii="仿宋_GB2312" w:hAnsi="仿宋_GB2312" w:eastAsia="仿宋_GB2312"/>
          <w:b w:val="0"/>
          <w:sz w:val="32"/>
        </w:rPr>
        <w:t>其中：年初结转和结余0.00万元，本年收入4.10万元。</w:t>
      </w:r>
      <w:r>
        <w:rPr>
          <w:rFonts w:ascii="仿宋_GB2312" w:hAnsi="仿宋_GB2312" w:eastAsia="仿宋_GB2312"/>
          <w:b/>
          <w:sz w:val="32"/>
        </w:rPr>
        <w:t>政府性基金预算财政拨款支出总计4.10万元，</w:t>
      </w:r>
      <w:r>
        <w:rPr>
          <w:rFonts w:ascii="仿宋_GB2312" w:hAnsi="仿宋_GB2312" w:eastAsia="仿宋_GB2312"/>
          <w:b w:val="0"/>
          <w:sz w:val="32"/>
        </w:rPr>
        <w:t>其中：年末结转和结余0.00万元，本年支出4.10万元。</w:t>
      </w:r>
    </w:p>
    <w:p>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增加0.00万元，增长0.00%，主要原因是：文化志愿者服务项目经费与上年一致无变化。</w:t>
      </w:r>
      <w:r>
        <w:rPr>
          <w:rFonts w:ascii="仿宋_GB2312" w:hAnsi="仿宋_GB2312" w:eastAsia="仿宋_GB2312"/>
          <w:b/>
          <w:sz w:val="32"/>
        </w:rPr>
        <w:t>与年初预算相比，</w:t>
      </w:r>
      <w:r>
        <w:rPr>
          <w:rFonts w:ascii="仿宋_GB2312" w:hAnsi="仿宋_GB2312" w:eastAsia="仿宋_GB2312"/>
          <w:b w:val="0"/>
          <w:sz w:val="32"/>
        </w:rPr>
        <w:t>年初预算数70.00万元，决算数4.10万元，预决算差异率-94.14%，主要原因是：年中调减上级转移支付彩票-乌鲁木齐市图书馆（文化馆）数字化阅读平台建设项目（新财综[2023]45号）项目资金，该项目未执行。</w:t>
      </w:r>
    </w:p>
    <w:p>
      <w:pPr>
        <w:spacing w:line="580" w:lineRule="exact"/>
        <w:ind w:firstLine="640"/>
        <w:jc w:val="both"/>
      </w:pPr>
      <w:r>
        <w:rPr>
          <w:rFonts w:ascii="仿宋_GB2312" w:hAnsi="仿宋_GB2312" w:eastAsia="仿宋_GB2312"/>
          <w:b w:val="0"/>
          <w:sz w:val="32"/>
        </w:rPr>
        <w:t>政府性基金预算财政拨款支出4.10万元。</w:t>
      </w:r>
    </w:p>
    <w:p>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1.其他支出(类)彩票公益金安排的支出(款)用于文化事业的彩票公益金支出(项):支出决算数为4.10万元，比上年决算增加0.00万元，增长0.00%,主要原因是：文化志愿者服务项目经费与上年一致无变化。</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2024年度财政拨款“三公”经费支出1.89万元，</w:t>
      </w:r>
      <w:r>
        <w:rPr>
          <w:rFonts w:ascii="仿宋_GB2312" w:hAnsi="仿宋_GB2312" w:eastAsia="仿宋_GB2312"/>
          <w:b w:val="0"/>
          <w:sz w:val="32"/>
        </w:rPr>
        <w:t>比上年减少0.11万元，下降5.50%，主要原因是：严格落实中央八项规定精神，厉行节约，减少公务用车运行维护费。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公务用车购置及运行维护费支出1.89万元，占100.00%，比上年减少0.11万元，下降5.50%，主要原因是：严格落实中央八项规定精神，厉行节约，减少公务用车运行维护费。</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1.89万元，其中：公务用车购置费0.00万元，公务用车运行维护费1.89万元。公务用车运行维护费开支内容包括车辆加油费、维修费、保险费、审车费。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1.89万元，决算数1.89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1.89万元，决算数1.89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2024年度乌鲁木齐市图书馆（事业单位）公用经费支出85.01万元，比上年增加17.32万元，增长25.59%，主要原因是：本年场馆面积增加，导致公用经费增加。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2024年度政府采购支出总额210.34万元，其中：政府采购货物支出55.25万元、政府采购工程支出56.15万元、政府采购服务支出98.94万元。</w:t>
      </w:r>
    </w:p>
    <w:p>
      <w:pPr>
        <w:spacing w:line="580" w:lineRule="exact"/>
        <w:ind w:firstLine="640"/>
        <w:jc w:val="both"/>
      </w:pPr>
      <w:r>
        <w:rPr>
          <w:rFonts w:ascii="仿宋_GB2312" w:hAnsi="仿宋_GB2312" w:eastAsia="仿宋_GB2312"/>
          <w:b w:val="0"/>
          <w:sz w:val="32"/>
        </w:rPr>
        <w:t>授予中小企业合同金额140.12万元，占政府采购支出总额的66.62%，其中：授予小微企业合同金额139.92万元，占政府采购支出总额的66.52%。</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12.93万元，其中：副部（省）级及以上领导用车0辆、主要负责人用车0辆、机要通信用车0辆、应急保障用车0辆、执法执勤用车0辆、特种专业技术用车0辆、离退休干部服务用车0辆、其他用车1辆，其他用车主要是：公共图书馆中用于向文化书屋，社区图书馆等地运送图书的办公用车。单价100万元（含）以上设备（不含车辆）4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7个，全年预算数330.57万元，全年执行数320.21万元。预算绩效管理取得的成效：一是读者数量小幅增长；二是完成各类读书推广活动，引导读者多读书读好书；三是完成各类文化活动吸引各类读者走进图书馆；四是提升本馆阅读环境，为读者提供更加舒适的阅读体验。发现的问题及原因：一是绩效评价中指标细化度不够，我馆将继续细化分解绩效指标；二是提高工作效率和执行力。下一步改进措施：一是积极总结项目实施过程中的不足之处；二是提高资金事前计划细度，事中定期追踪，进一步提高资金的使用效率。具体附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2023年中央补助地方公共文化服务体系建设补助资金-图书报刊资源购置项目（上年结转资金）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按照《乌鲁木齐市图书馆馆藏发展政策》和年初制定的经费分配计划，对图书、报刊以及数据库资源进行采购。</w:t>
              <w:br/>
              <w:t>拟采购图书1万册以上、新增报刊450种以上。续订数据库3个。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按照《乌鲁木齐市图书馆馆藏发展政策》和年初制定的经费分配计划，对图书、报刊以及数据库资源进行采购。 采购图书14550册、新增报刊568种。续订数据库3个。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新增图书册次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&gt;=1万册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=14550万册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年初项目预计采购图书1万册以上，因折扣优惠政策等原因，同等经费实际采购了14550册图书，比预期高出45.5%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续订数据库数量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新增期刊报纸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&gt;=450种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=568种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年初预计购入期刊报纸450余种，实际同等经费购入期刊报纸568种，比预期高出26.2%。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图书上架时间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纸质图书购置费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=55.25万元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=55.25万元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期刊购置费用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CNKI购置费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报纸购置费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数据库购置费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借阅人员满意度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根据年底的读者满意度调查问卷抽样结果显示，读者满意度比年初预计高出9.3%。</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2023年中央补助地方公共文化服务体系建设补助资金-智慧图书馆建设-知识资源细颗粒度建设和标签标引（上年结转资金）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1.深入挖掘本馆特色资源（图书、报刊、音视频资源)、当地文化特色资源，结合文化润疆工程和旅游兴疆战略，缜密规划建设。</w:t>
              <w:br/>
              <w:t>2.完成20000条（页）地方文献数字化转换。</w:t>
              <w:br/>
              <w:t>3.完成40本以上图书的数字化转换。</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1.深入挖掘本馆特色资源（图书、报刊、音视频资源)、当地文化特色资源，结合文化润疆工程和旅游兴疆战略，缜密规划建设。 2.完成20291条（页）地方文献数字化转换。 3.完成58本图书的数字化转换。</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挖掘本馆特色馆藏（地方文献数字化）</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=20000条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=20291条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项目原计划挖掘本馆特色馆藏20000条，在项目进行过程中发现转换40本图书文献数字化不达标，文献数字化转换达标需转换图书58本，因此58本中地方文献数字化达20291条。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完成图书数字化</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=58本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项目原计划在40本图书中挑选关键词完成20000条的数字化，实际在地方文献数字化的过程中40本书不达标准，因此扩增到58本。</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形成地方文献数字化平台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地方文献室图书数字化完成率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原计划40图书能够完成特色馆藏的挖掘，实际58本图书完成了文献数字化20291条，超出预期完成额，因此本项目地方文献室图书数字化完成率为31%。</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数据生成时间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&lt;=90天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根据年底的读者满意度调查问卷抽样结果显示，该项目读者满意度比年初预计高出2.68%，完成值高出3%</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99.92分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公共场所物业费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90.22%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9.02分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乌鲁木齐市图书馆是社会主义公共文化服务体系的重要组成部分，承担全市推动、引导、服务全民阅读的重要任务。为规范图书馆大楼管理服务，提升图书馆服务效能，保障公民基本文化权益，提高公民科学文化素质和社会文明程度，坚定文化自信，推进文化润疆，铸牢中华民族共同体意识。切实加强管理措施，保障安全生产工作，不断改善优化阅读环境。</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乌鲁木齐市图书馆作为社会主义公共文化服务体系的重要组成部分，承担了全市推动、引导、服务全民阅读的重要任务。公共场所物业项目有效保障了图书馆安保、维修人员的到岗，使得图书馆正常运转。2024年共有保安人数8人、保洁人数11人，均100%持证上岗。2024年图书馆共接待人次达三十多万，到馆借阅读者达105402人次，有效的保障了群众的精神文化需求。物业服务有效规范了图书馆大楼安全生产，提升了图书馆服务效能，保障了公民基本文化权益，优化了阅读环境。</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到馆读者数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&gt;=53500人次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=105402人次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2024年图书馆改造工程后，一二楼借阅读者增加。</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人员持证上岗率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保安、保洁经费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&lt;=594792元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=537840元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保安保洁经费实际中标价为537840元，比预算值低9.6%。</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维修（护）人员经费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&lt;=347880元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=312552元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维修维护人员经费实际中标价为312552元，比预算值低10.16%</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保障群众精神文化需求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通过读者满意度调查问卷，抽检结果超出预期值。</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97.04分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免费开放市级配套资金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深入推进“文化润疆”工程。充分利用元旦、春节、清明、端午、中秋等中华传统节日，开展中华传统节庆日系列文化活动；为全市读者营造读书交流氛围； 做好大楼维护工作和安全生产工作，持续维护、维修全楼基础设施，为读者创造良好的阅读氛围。</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深入推进“文化润疆”工程。充分利用元旦、春节、清明、端午、中秋等中华传统节日，开展中华传统节庆日系列文化活动124场；为全市读者营造读书交流氛围； 做好大楼维护工作和安全生产工作，持续维护、维修全楼基础设施，为读者创造良好的阅读氛围。</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阅读推广活动（场次）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年初计划阅读推广场次为大于85场次，随着项目的推进，有一些临时性的活动加入，最终年末活动场次达124场，超出原计划45.9%。</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图书馆年流通人次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&gt;=53500人次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=105402人次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2024年图书馆改造工程结束后，图书馆一二楼借阅读者增加。</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2024年计划开展活动85场次，实际每场活动都按时开展。</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公共图书馆免费开放达标率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图书馆按照免费开放要求全年开放（除周一外），无特殊闭馆情况，100%完成图书馆免费开放</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宣传推广活动经费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业务活动用房零星维修维护费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保障群众精神文化需求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根据年底的读者满意度调查问卷抽样结果显示，读者满意度比年初预计高出3.5%。</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提前下达2024年中央补助地方美术馆、公共图书馆、文化馆（站）免费开放补助资金的通知</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本单位通过该项目的实施，做好如下工作保障：1、深入推进“文化润疆”工程。充分利用元旦、春节、清明、端午、中秋等中华传统节日，开展中华传统节庆日系列文化活动；持续举办“国学讲堂”、“悦享生活？故事会”等品牌活动，为全市读者营造读书交流氛围，全年计划不少于85次； 2、做好大楼维护工作和安全生产工作，持续维护、维修全楼基础设施，对全馆照明、消防、机房等重点部位设施设备进行排查维护、加大场馆环境优化，为读者创造良好的阅读氛围。3、做好大楼网络保障，不断提升市图书馆服务能力，为全是读者做好信息咨询查询不服，为数字图书馆建设提供有力的支撑。</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项目全年正常进行：1、为保障大楼室内照明质量，购置照明设备360个，共计花费11520元。2、深入推进“文化润疆”工程，开展各类线下活动85场次（包含系列活动）。3、做好大楼网络保障，不断提升市图书馆服务能力，为全市读者做好信息咨询查询服务，为数字图书馆建设提供有力的支撑。4、保障馆内安全生产，做好基础设施、消防等设备维修监察工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图书馆年流通人次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&gt;=53500人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=105402人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2024年图书馆改造工程结束后，图书馆一二楼借阅读者增加。</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室内照明提升数量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&gt;=360个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阅读推广活动（场次）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年初计划阅读推广场次为大于85场次，随着项目的推进，有一些临时性的活动加入，最终年末活动场次达124场，超出原计划45.9%。</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2024年计划开展活动85场次，实际每场活动都按时开展。</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公共图书馆免费开放达标率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图书馆按照免费开放要求全年开放（除周一外），无特殊闭馆情况，100%完成图书馆免费开放</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照明设备购置费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&lt;=11520元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=11520元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宣传推广活动材料制作费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免费开放其他保障经费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&lt;=338480元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=338480元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保障群众精神文化需求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根据年底的读者满意度调查问卷抽样结果显示，读者满意度比年初预计高出3.5%。</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文化润疆图书馆设施维保及设备购置项目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9.84分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乌鲁木齐市图书馆是社会主义公共文化服务体系的重要组成部分，承担全市推动、引导、服务全民阅读的重要任务，开展此项目，目的在于切实加强图书馆管理措施，保障安全生产，不断改善优化阅读环境。</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乌鲁木齐市图书馆是社会主义公共文化服务体系的重要组成部分，承担全市推动、引导、服务全民阅读的重要任务，开展此项目，目的在于切实加强图书馆管理措施，保障安全生产，不断改善优化阅读环境。该项目完成外墙、幕墙保温面积376.76平方米，修复大楼破损玻璃20块，改造一楼进出车辆道闸一个，修复外墙保温铝单板40平方米。</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外墙、幕墙保温面积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&gt;=376平方米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=376.76平方米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修复大楼全部破损玻璃幕墙</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一楼进出车辆道闸改造完成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修复外墙保温铝单板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=40平方米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项目完工验收合格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建筑材料费用占总成本比重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人工成本费用占总成本比重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保障群众精神文化需求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读者满意度指标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根据年底的读者满意度调查问卷抽样结果显示，读者满意度比年初预计高出3.5%。</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99.84分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乌鲁木齐市文化旅游志愿服务补助资金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乌鲁木齐市图书馆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1.招募服务型志愿者或志愿团体，主要开展节假日、寒暑假图书整理等基础业务工作的志愿服务。</w:t>
              <w:br/>
              <w:t>2.加大对图书馆和图书馆文化活动的宣传力度，组织具有多媒体专业服务功能的团体加入，以更专业和现代化的方式开展图书馆服务职能的宣传。</w:t>
              <w:br/>
              <w:t>3.开展未成年人阅读推广活动，针对低幼儿童的“阅享生活？故事会”、“书儿历程记”系列活动等。</w:t>
              <w:br/>
              <w:t>4.开展“读书沙龙”、主题朗诵会、乌鲁木齐文化讲坛等全民阅读推广活动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1.招募服务型志愿者和志愿团体3个，主要开展节假日、寒暑假图书整理等基础业务工作的志愿服务。 2.加大对图书馆和图书馆文化活动的宣传力度，组织具有多媒体专业服务功能的团体加入，以更专业和现代化的方式开展图书馆服务职能的宣传。 3.开展未成年人阅读推广活动，针对低幼儿童的“阅享生活？故事会”、“书儿历程记”系列活动等24场。 4.开展“读书沙龙”、主题朗诵会、乌鲁木齐文化讲坛等全民阅读推广活动12场，制作宣传视频15个。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全民阅读推广活动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未成年人文化活动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宣传视频制作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阅读推广活动参与率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宣传视频制作费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阅读推广活动经费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保障基层群众文化需求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根据年底的读者满意度调查问卷抽样结果显示，读者满意度比年初预计高出8.3%。</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