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229FB">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bookmarkStart w:id="61" w:name="_GoBack"/>
      <w:bookmarkEnd w:id="61"/>
    </w:p>
    <w:p w14:paraId="3FE75F54">
      <w:pPr>
        <w:spacing w:before="120" w:after="120" w:line="480" w:lineRule="auto"/>
        <w:ind w:firstLine="0" w:firstLineChars="0"/>
        <w:jc w:val="center"/>
        <w:rPr>
          <w:rFonts w:ascii="仿宋_GB2312" w:hAnsi="Arial"/>
          <w:b/>
          <w:color w:val="auto"/>
          <w:sz w:val="44"/>
          <w:szCs w:val="44"/>
          <w:highlight w:val="none"/>
        </w:rPr>
      </w:pPr>
      <w:r>
        <w:rPr>
          <w:rFonts w:hint="eastAsia" w:ascii="仿宋_GB2312" w:hAnsi="Arial"/>
          <w:b/>
          <w:color w:val="auto"/>
          <w:sz w:val="44"/>
          <w:szCs w:val="44"/>
          <w:highlight w:val="none"/>
        </w:rPr>
        <w:t>财政项目支出绩效评价报告</w:t>
      </w:r>
    </w:p>
    <w:p w14:paraId="47EB9120">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69DABAA5">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18CCB720">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48A072B0">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5379E9EF">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1EDBF88D">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6E7FFF7F">
      <w:pPr>
        <w:spacing w:line="480" w:lineRule="auto"/>
        <w:ind w:firstLine="0" w:firstLineChars="0"/>
        <w:jc w:val="center"/>
        <w:rPr>
          <w:rFonts w:ascii="仿宋_GB2312" w:hAnsi="Times New Roman" w:cs="Times New Roman"/>
          <w:color w:val="auto"/>
          <w:kern w:val="0"/>
          <w:sz w:val="30"/>
          <w:szCs w:val="30"/>
          <w:highlight w:val="none"/>
          <w:lang w:bidi="en-US"/>
        </w:rPr>
      </w:pPr>
    </w:p>
    <w:p w14:paraId="4FE1FD4C">
      <w:pPr>
        <w:spacing w:line="480" w:lineRule="auto"/>
        <w:ind w:firstLine="1411" w:firstLineChars="441"/>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项目名称：环境运行监测和冬季大气污染防治工作经费</w:t>
      </w:r>
      <w:r>
        <w:rPr>
          <w:rFonts w:ascii="仿宋_GB2312" w:hAnsi="Times New Roman" w:cs="Times New Roman"/>
          <w:color w:val="auto"/>
          <w:kern w:val="0"/>
          <w:sz w:val="32"/>
          <w:szCs w:val="32"/>
          <w:highlight w:val="none"/>
          <w:lang w:bidi="en-US"/>
        </w:rPr>
        <w:t xml:space="preserve"> </w:t>
      </w:r>
    </w:p>
    <w:p w14:paraId="151086A3">
      <w:pPr>
        <w:spacing w:line="480" w:lineRule="auto"/>
        <w:ind w:left="280" w:leftChars="100" w:firstLine="1091" w:firstLineChars="341"/>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项目单位：</w:t>
      </w:r>
      <w:r>
        <w:rPr>
          <w:rFonts w:hint="eastAsia" w:ascii="仿宋_GB2312" w:hAnsi="Times New Roman" w:cs="Times New Roman"/>
          <w:color w:val="auto"/>
          <w:kern w:val="0"/>
          <w:sz w:val="32"/>
          <w:szCs w:val="32"/>
          <w:highlight w:val="none"/>
          <w:lang w:eastAsia="zh-CN" w:bidi="en-US"/>
        </w:rPr>
        <w:t>乌鲁木齐市生态环境保护综合行政执法支队</w:t>
      </w:r>
      <w:r>
        <w:rPr>
          <w:rFonts w:ascii="仿宋_GB2312" w:hAnsi="Times New Roman" w:cs="Times New Roman"/>
          <w:color w:val="auto"/>
          <w:kern w:val="0"/>
          <w:sz w:val="32"/>
          <w:szCs w:val="32"/>
          <w:highlight w:val="none"/>
          <w:lang w:bidi="en-US"/>
        </w:rPr>
        <w:t xml:space="preserve"> </w:t>
      </w:r>
    </w:p>
    <w:p w14:paraId="6AE40CD2">
      <w:pPr>
        <w:spacing w:line="480" w:lineRule="auto"/>
        <w:ind w:left="280" w:leftChars="100" w:firstLine="1091" w:firstLineChars="341"/>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主管部门：乌鲁木齐市生态环境局</w:t>
      </w:r>
    </w:p>
    <w:p w14:paraId="4A6FB37F">
      <w:pPr>
        <w:spacing w:line="480" w:lineRule="auto"/>
        <w:ind w:firstLine="1411" w:firstLineChars="441"/>
        <w:jc w:val="left"/>
        <w:rPr>
          <w:rFonts w:ascii="仿宋_GB2312" w:hAnsi="Times New Roman" w:cs="Times New Roman"/>
          <w:color w:val="auto"/>
          <w:kern w:val="0"/>
          <w:sz w:val="32"/>
          <w:szCs w:val="32"/>
          <w:highlight w:val="none"/>
          <w:lang w:bidi="en-US"/>
        </w:rPr>
      </w:pPr>
    </w:p>
    <w:p w14:paraId="7D845397">
      <w:pPr>
        <w:spacing w:line="480" w:lineRule="auto"/>
        <w:ind w:firstLine="0" w:firstLineChars="0"/>
        <w:rPr>
          <w:rFonts w:ascii="黑体" w:hAnsi="Times New Roman" w:eastAsia="黑体" w:cs="Times New Roman"/>
          <w:b/>
          <w:color w:val="auto"/>
          <w:kern w:val="0"/>
          <w:sz w:val="32"/>
          <w:szCs w:val="32"/>
          <w:highlight w:val="none"/>
          <w:lang w:bidi="en-US"/>
        </w:rPr>
      </w:pPr>
    </w:p>
    <w:p w14:paraId="460FA676">
      <w:pPr>
        <w:spacing w:line="480" w:lineRule="auto"/>
        <w:ind w:firstLine="0" w:firstLineChars="0"/>
        <w:rPr>
          <w:rFonts w:ascii="黑体" w:hAnsi="Times New Roman" w:eastAsia="黑体" w:cs="Times New Roman"/>
          <w:b/>
          <w:color w:val="auto"/>
          <w:kern w:val="0"/>
          <w:sz w:val="32"/>
          <w:szCs w:val="32"/>
          <w:highlight w:val="none"/>
          <w:lang w:bidi="en-US"/>
        </w:rPr>
      </w:pPr>
    </w:p>
    <w:p w14:paraId="28F5BCFC">
      <w:pPr>
        <w:spacing w:line="480" w:lineRule="auto"/>
        <w:ind w:firstLine="0" w:firstLineChars="0"/>
        <w:jc w:val="center"/>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202</w:t>
      </w:r>
      <w:r>
        <w:rPr>
          <w:rFonts w:hint="eastAsia" w:ascii="仿宋_GB2312" w:hAnsi="Times New Roman" w:cs="Times New Roman"/>
          <w:color w:val="auto"/>
          <w:kern w:val="0"/>
          <w:sz w:val="32"/>
          <w:szCs w:val="32"/>
          <w:highlight w:val="none"/>
          <w:lang w:val="en-US" w:eastAsia="zh-CN" w:bidi="en-US"/>
        </w:rPr>
        <w:t>5</w:t>
      </w:r>
      <w:r>
        <w:rPr>
          <w:rFonts w:hint="eastAsia" w:ascii="仿宋_GB2312" w:hAnsi="Times New Roman" w:cs="Times New Roman"/>
          <w:color w:val="auto"/>
          <w:kern w:val="0"/>
          <w:sz w:val="32"/>
          <w:szCs w:val="32"/>
          <w:highlight w:val="none"/>
          <w:lang w:bidi="en-US"/>
        </w:rPr>
        <w:t>年0</w:t>
      </w:r>
      <w:r>
        <w:rPr>
          <w:rFonts w:ascii="仿宋_GB2312" w:hAnsi="Times New Roman" w:cs="Times New Roman"/>
          <w:color w:val="auto"/>
          <w:kern w:val="0"/>
          <w:sz w:val="32"/>
          <w:szCs w:val="32"/>
          <w:highlight w:val="none"/>
          <w:lang w:bidi="en-US"/>
        </w:rPr>
        <w:t>4</w:t>
      </w:r>
      <w:r>
        <w:rPr>
          <w:rFonts w:hint="eastAsia" w:ascii="仿宋_GB2312" w:hAnsi="Times New Roman" w:cs="Times New Roman"/>
          <w:color w:val="auto"/>
          <w:kern w:val="0"/>
          <w:sz w:val="32"/>
          <w:szCs w:val="32"/>
          <w:highlight w:val="none"/>
          <w:lang w:bidi="en-US"/>
        </w:rPr>
        <w:t>月</w:t>
      </w:r>
    </w:p>
    <w:p w14:paraId="1B19B985">
      <w:pPr>
        <w:spacing w:line="480" w:lineRule="auto"/>
        <w:ind w:firstLine="0" w:firstLineChars="0"/>
        <w:jc w:val="center"/>
        <w:rPr>
          <w:rFonts w:ascii="仿宋_GB2312" w:hAnsi="Times New Roman" w:cs="Times New Roman"/>
          <w:color w:val="auto"/>
          <w:kern w:val="0"/>
          <w:sz w:val="32"/>
          <w:szCs w:val="32"/>
          <w:highlight w:val="none"/>
          <w:lang w:bidi="en-US"/>
        </w:rPr>
      </w:pPr>
    </w:p>
    <w:p w14:paraId="0A68A622">
      <w:pPr>
        <w:tabs>
          <w:tab w:val="left" w:pos="3324"/>
        </w:tabs>
        <w:spacing w:line="480" w:lineRule="auto"/>
        <w:ind w:firstLine="0" w:firstLineChars="0"/>
        <w:rPr>
          <w:rFonts w:ascii="仿宋_GB2312" w:hAnsi="Times New Roman" w:cs="Times New Roman"/>
          <w:color w:val="auto"/>
          <w:kern w:val="0"/>
          <w:sz w:val="32"/>
          <w:szCs w:val="32"/>
          <w:highlight w:val="none"/>
          <w:lang w:bidi="en-US"/>
        </w:rPr>
      </w:pPr>
      <w:r>
        <w:rPr>
          <w:rFonts w:ascii="仿宋_GB2312" w:hAnsi="Times New Roman" w:cs="Times New Roman"/>
          <w:color w:val="auto"/>
          <w:kern w:val="0"/>
          <w:sz w:val="32"/>
          <w:szCs w:val="32"/>
          <w:highlight w:val="none"/>
          <w:lang w:bidi="en-US"/>
        </w:rPr>
        <w:tab/>
      </w:r>
    </w:p>
    <w:p w14:paraId="6E0CA02D">
      <w:pPr>
        <w:ind w:firstLine="640"/>
        <w:rPr>
          <w:rFonts w:ascii="仿宋_GB2312" w:hAnsi="Times New Roman" w:cs="Times New Roman"/>
          <w:color w:val="auto"/>
          <w:kern w:val="0"/>
          <w:sz w:val="32"/>
          <w:szCs w:val="32"/>
          <w:highlight w:val="none"/>
          <w:lang w:bidi="en-US"/>
        </w:rPr>
      </w:pPr>
    </w:p>
    <w:sdt>
      <w:sdtPr>
        <w:rPr>
          <w:rFonts w:ascii="Calibri" w:hAnsi="Calibri" w:eastAsia="仿宋_GB2312" w:cs="黑体"/>
          <w:color w:val="auto"/>
          <w:kern w:val="2"/>
          <w:sz w:val="28"/>
          <w:szCs w:val="22"/>
          <w:highlight w:val="none"/>
          <w:lang w:val="zh-CN"/>
        </w:rPr>
        <w:id w:val="-1"/>
        <w:docPartObj>
          <w:docPartGallery w:val="Table of Contents"/>
          <w:docPartUnique/>
        </w:docPartObj>
      </w:sdtPr>
      <w:sdtEndPr>
        <w:rPr>
          <w:rFonts w:ascii="Calibri" w:hAnsi="Calibri" w:eastAsia="仿宋_GB2312" w:cs="黑体"/>
          <w:b/>
          <w:bCs/>
          <w:color w:val="auto"/>
          <w:kern w:val="2"/>
          <w:sz w:val="28"/>
          <w:szCs w:val="22"/>
          <w:highlight w:val="none"/>
          <w:lang w:val="zh-CN"/>
        </w:rPr>
      </w:sdtEndPr>
      <w:sdtContent>
        <w:p w14:paraId="59692EED">
          <w:pPr>
            <w:pStyle w:val="14"/>
            <w:ind w:firstLine="560"/>
            <w:jc w:val="center"/>
            <w:rPr>
              <w:color w:val="auto"/>
              <w:highlight w:val="none"/>
            </w:rPr>
          </w:pPr>
          <w:r>
            <w:rPr>
              <w:color w:val="auto"/>
              <w:highlight w:val="none"/>
              <w:lang w:val="zh-CN"/>
            </w:rPr>
            <w:t>目录</w:t>
          </w:r>
        </w:p>
        <w:p w14:paraId="3124AE62">
          <w:pPr>
            <w:pStyle w:val="8"/>
            <w:tabs>
              <w:tab w:val="right" w:leader="dot" w:pos="8306"/>
            </w:tabs>
            <w:rPr>
              <w:highlight w:val="none"/>
            </w:rPr>
          </w:pPr>
          <w:r>
            <w:rPr>
              <w:color w:val="auto"/>
              <w:highlight w:val="none"/>
            </w:rPr>
            <w:fldChar w:fldCharType="begin"/>
          </w:r>
          <w:r>
            <w:rPr>
              <w:color w:val="auto"/>
              <w:highlight w:val="none"/>
            </w:rPr>
            <w:instrText xml:space="preserve">TOC \o "1-3" \h \z \u</w:instrText>
          </w:r>
          <w:r>
            <w:rPr>
              <w:color w:val="auto"/>
              <w:highlight w:val="none"/>
            </w:rPr>
            <w:fldChar w:fldCharType="separate"/>
          </w:r>
          <w:r>
            <w:fldChar w:fldCharType="begin"/>
          </w:r>
          <w:r>
            <w:instrText xml:space="preserve"> HYPERLINK \l "_Toc28618" </w:instrText>
          </w:r>
          <w:r>
            <w:fldChar w:fldCharType="separate"/>
          </w:r>
          <w:r>
            <w:rPr>
              <w:rFonts w:hint="eastAsia" w:ascii="仿宋" w:hAnsi="仿宋" w:eastAsia="仿宋"/>
              <w:szCs w:val="36"/>
              <w:highlight w:val="none"/>
              <w:lang w:bidi="en-US"/>
            </w:rPr>
            <w:t>一、基本情况</w:t>
          </w:r>
          <w:r>
            <w:rPr>
              <w:highlight w:val="none"/>
            </w:rPr>
            <w:tab/>
          </w:r>
          <w:r>
            <w:rPr>
              <w:highlight w:val="none"/>
            </w:rPr>
            <w:fldChar w:fldCharType="begin"/>
          </w:r>
          <w:r>
            <w:rPr>
              <w:highlight w:val="none"/>
            </w:rPr>
            <w:instrText xml:space="preserve"> PAGEREF _Toc28618 \h </w:instrText>
          </w:r>
          <w:r>
            <w:rPr>
              <w:highlight w:val="none"/>
            </w:rPr>
            <w:fldChar w:fldCharType="separate"/>
          </w:r>
          <w:r>
            <w:rPr>
              <w:highlight w:val="none"/>
            </w:rPr>
            <w:t>1</w:t>
          </w:r>
          <w:r>
            <w:rPr>
              <w:highlight w:val="none"/>
            </w:rPr>
            <w:fldChar w:fldCharType="end"/>
          </w:r>
          <w:r>
            <w:rPr>
              <w:highlight w:val="none"/>
            </w:rPr>
            <w:fldChar w:fldCharType="end"/>
          </w:r>
        </w:p>
        <w:p w14:paraId="5813D368">
          <w:pPr>
            <w:pStyle w:val="10"/>
            <w:tabs>
              <w:tab w:val="right" w:leader="dot" w:pos="8306"/>
            </w:tabs>
            <w:rPr>
              <w:highlight w:val="none"/>
            </w:rPr>
          </w:pPr>
          <w:r>
            <w:fldChar w:fldCharType="begin"/>
          </w:r>
          <w:r>
            <w:instrText xml:space="preserve"> HYPERLINK \l "_Toc29402" </w:instrText>
          </w:r>
          <w:r>
            <w:fldChar w:fldCharType="separate"/>
          </w:r>
          <w:r>
            <w:rPr>
              <w:rFonts w:hint="eastAsia" w:ascii="仿宋" w:hAnsi="仿宋" w:eastAsia="仿宋"/>
              <w:highlight w:val="none"/>
              <w:lang w:bidi="en-US"/>
            </w:rPr>
            <w:t>（一）项目概况：</w:t>
          </w:r>
          <w:r>
            <w:rPr>
              <w:highlight w:val="none"/>
            </w:rPr>
            <w:tab/>
          </w:r>
          <w:r>
            <w:rPr>
              <w:highlight w:val="none"/>
            </w:rPr>
            <w:fldChar w:fldCharType="begin"/>
          </w:r>
          <w:r>
            <w:rPr>
              <w:highlight w:val="none"/>
            </w:rPr>
            <w:instrText xml:space="preserve"> PAGEREF _Toc29402 \h </w:instrText>
          </w:r>
          <w:r>
            <w:rPr>
              <w:highlight w:val="none"/>
            </w:rPr>
            <w:fldChar w:fldCharType="separate"/>
          </w:r>
          <w:r>
            <w:rPr>
              <w:highlight w:val="none"/>
            </w:rPr>
            <w:t>1</w:t>
          </w:r>
          <w:r>
            <w:rPr>
              <w:highlight w:val="none"/>
            </w:rPr>
            <w:fldChar w:fldCharType="end"/>
          </w:r>
          <w:r>
            <w:rPr>
              <w:highlight w:val="none"/>
            </w:rPr>
            <w:fldChar w:fldCharType="end"/>
          </w:r>
        </w:p>
        <w:p w14:paraId="0ACD145A">
          <w:pPr>
            <w:pStyle w:val="5"/>
            <w:tabs>
              <w:tab w:val="right" w:leader="dot" w:pos="8306"/>
            </w:tabs>
            <w:rPr>
              <w:highlight w:val="none"/>
            </w:rPr>
          </w:pPr>
          <w:r>
            <w:fldChar w:fldCharType="begin"/>
          </w:r>
          <w:r>
            <w:instrText xml:space="preserve"> HYPERLINK \l "_Toc7715" </w:instrText>
          </w:r>
          <w:r>
            <w:fldChar w:fldCharType="separate"/>
          </w:r>
          <w:r>
            <w:rPr>
              <w:rFonts w:hint="eastAsia"/>
              <w:highlight w:val="none"/>
            </w:rPr>
            <w:t>1．项目背景、主要内容及实施情况</w:t>
          </w:r>
          <w:r>
            <w:rPr>
              <w:highlight w:val="none"/>
            </w:rPr>
            <w:tab/>
          </w:r>
          <w:r>
            <w:rPr>
              <w:highlight w:val="none"/>
            </w:rPr>
            <w:fldChar w:fldCharType="begin"/>
          </w:r>
          <w:r>
            <w:rPr>
              <w:highlight w:val="none"/>
            </w:rPr>
            <w:instrText xml:space="preserve"> PAGEREF _Toc7715 \h </w:instrText>
          </w:r>
          <w:r>
            <w:rPr>
              <w:highlight w:val="none"/>
            </w:rPr>
            <w:fldChar w:fldCharType="separate"/>
          </w:r>
          <w:r>
            <w:rPr>
              <w:highlight w:val="none"/>
            </w:rPr>
            <w:t>1</w:t>
          </w:r>
          <w:r>
            <w:rPr>
              <w:highlight w:val="none"/>
            </w:rPr>
            <w:fldChar w:fldCharType="end"/>
          </w:r>
          <w:r>
            <w:rPr>
              <w:highlight w:val="none"/>
            </w:rPr>
            <w:fldChar w:fldCharType="end"/>
          </w:r>
        </w:p>
        <w:p w14:paraId="5F503BA3">
          <w:pPr>
            <w:pStyle w:val="5"/>
            <w:tabs>
              <w:tab w:val="right" w:leader="dot" w:pos="8306"/>
            </w:tabs>
            <w:rPr>
              <w:highlight w:val="none"/>
            </w:rPr>
          </w:pPr>
          <w:r>
            <w:fldChar w:fldCharType="begin"/>
          </w:r>
          <w:r>
            <w:instrText xml:space="preserve"> HYPERLINK \l "_Toc12240" </w:instrText>
          </w:r>
          <w:r>
            <w:fldChar w:fldCharType="separate"/>
          </w:r>
          <w:r>
            <w:rPr>
              <w:rFonts w:hint="eastAsia"/>
              <w:highlight w:val="none"/>
            </w:rPr>
            <w:t>2</w:t>
          </w:r>
          <w:r>
            <w:rPr>
              <w:highlight w:val="none"/>
            </w:rPr>
            <w:t>.资金投入和使用情况</w:t>
          </w:r>
          <w:r>
            <w:rPr>
              <w:highlight w:val="none"/>
            </w:rPr>
            <w:tab/>
          </w:r>
          <w:r>
            <w:rPr>
              <w:highlight w:val="none"/>
            </w:rPr>
            <w:fldChar w:fldCharType="begin"/>
          </w:r>
          <w:r>
            <w:rPr>
              <w:highlight w:val="none"/>
            </w:rPr>
            <w:instrText xml:space="preserve"> PAGEREF _Toc12240 \h </w:instrText>
          </w:r>
          <w:r>
            <w:rPr>
              <w:highlight w:val="none"/>
            </w:rPr>
            <w:fldChar w:fldCharType="separate"/>
          </w:r>
          <w:r>
            <w:rPr>
              <w:highlight w:val="none"/>
            </w:rPr>
            <w:t>2</w:t>
          </w:r>
          <w:r>
            <w:rPr>
              <w:highlight w:val="none"/>
            </w:rPr>
            <w:fldChar w:fldCharType="end"/>
          </w:r>
          <w:r>
            <w:rPr>
              <w:highlight w:val="none"/>
            </w:rPr>
            <w:fldChar w:fldCharType="end"/>
          </w:r>
        </w:p>
        <w:p w14:paraId="4A0DA898">
          <w:pPr>
            <w:pStyle w:val="10"/>
            <w:tabs>
              <w:tab w:val="right" w:leader="dot" w:pos="8306"/>
            </w:tabs>
            <w:rPr>
              <w:highlight w:val="none"/>
            </w:rPr>
          </w:pPr>
          <w:r>
            <w:fldChar w:fldCharType="begin"/>
          </w:r>
          <w:r>
            <w:instrText xml:space="preserve"> HYPERLINK \l "_Toc27995" </w:instrText>
          </w:r>
          <w:r>
            <w:fldChar w:fldCharType="separate"/>
          </w:r>
          <w:r>
            <w:rPr>
              <w:rFonts w:hint="eastAsia" w:ascii="仿宋" w:hAnsi="仿宋" w:eastAsia="仿宋"/>
              <w:highlight w:val="none"/>
              <w:lang w:bidi="en-US"/>
            </w:rPr>
            <w:t>（二）项目绩效目标：</w:t>
          </w:r>
          <w:r>
            <w:rPr>
              <w:highlight w:val="none"/>
            </w:rPr>
            <w:tab/>
          </w:r>
          <w:r>
            <w:rPr>
              <w:highlight w:val="none"/>
            </w:rPr>
            <w:fldChar w:fldCharType="begin"/>
          </w:r>
          <w:r>
            <w:rPr>
              <w:highlight w:val="none"/>
            </w:rPr>
            <w:instrText xml:space="preserve"> PAGEREF _Toc27995 \h </w:instrText>
          </w:r>
          <w:r>
            <w:rPr>
              <w:highlight w:val="none"/>
            </w:rPr>
            <w:fldChar w:fldCharType="separate"/>
          </w:r>
          <w:r>
            <w:rPr>
              <w:highlight w:val="none"/>
            </w:rPr>
            <w:t>3</w:t>
          </w:r>
          <w:r>
            <w:rPr>
              <w:highlight w:val="none"/>
            </w:rPr>
            <w:fldChar w:fldCharType="end"/>
          </w:r>
          <w:r>
            <w:rPr>
              <w:highlight w:val="none"/>
            </w:rPr>
            <w:fldChar w:fldCharType="end"/>
          </w:r>
        </w:p>
        <w:p w14:paraId="57FC2E25">
          <w:pPr>
            <w:pStyle w:val="8"/>
            <w:tabs>
              <w:tab w:val="right" w:leader="dot" w:pos="8306"/>
            </w:tabs>
            <w:rPr>
              <w:highlight w:val="none"/>
            </w:rPr>
          </w:pPr>
          <w:r>
            <w:fldChar w:fldCharType="begin"/>
          </w:r>
          <w:r>
            <w:instrText xml:space="preserve"> HYPERLINK \l "_Toc5488" </w:instrText>
          </w:r>
          <w:r>
            <w:fldChar w:fldCharType="separate"/>
          </w:r>
          <w:r>
            <w:rPr>
              <w:rFonts w:hint="eastAsia" w:ascii="仿宋" w:hAnsi="仿宋" w:eastAsia="仿宋"/>
              <w:szCs w:val="36"/>
              <w:highlight w:val="none"/>
              <w:lang w:bidi="en-US"/>
            </w:rPr>
            <w:t>二、绩效评价工作开展情况</w:t>
          </w:r>
          <w:r>
            <w:rPr>
              <w:highlight w:val="none"/>
            </w:rPr>
            <w:tab/>
          </w:r>
          <w:r>
            <w:rPr>
              <w:highlight w:val="none"/>
            </w:rPr>
            <w:fldChar w:fldCharType="begin"/>
          </w:r>
          <w:r>
            <w:rPr>
              <w:highlight w:val="none"/>
            </w:rPr>
            <w:instrText xml:space="preserve"> PAGEREF _Toc5488 \h </w:instrText>
          </w:r>
          <w:r>
            <w:rPr>
              <w:highlight w:val="none"/>
            </w:rPr>
            <w:fldChar w:fldCharType="separate"/>
          </w:r>
          <w:r>
            <w:rPr>
              <w:highlight w:val="none"/>
            </w:rPr>
            <w:t>4</w:t>
          </w:r>
          <w:r>
            <w:rPr>
              <w:highlight w:val="none"/>
            </w:rPr>
            <w:fldChar w:fldCharType="end"/>
          </w:r>
          <w:r>
            <w:rPr>
              <w:highlight w:val="none"/>
            </w:rPr>
            <w:fldChar w:fldCharType="end"/>
          </w:r>
        </w:p>
        <w:p w14:paraId="466BB4FD">
          <w:pPr>
            <w:pStyle w:val="10"/>
            <w:tabs>
              <w:tab w:val="right" w:leader="dot" w:pos="8306"/>
            </w:tabs>
            <w:rPr>
              <w:highlight w:val="none"/>
            </w:rPr>
          </w:pPr>
          <w:r>
            <w:fldChar w:fldCharType="begin"/>
          </w:r>
          <w:r>
            <w:instrText xml:space="preserve"> HYPERLINK \l "_Toc4544" </w:instrText>
          </w:r>
          <w:r>
            <w:fldChar w:fldCharType="separate"/>
          </w:r>
          <w:r>
            <w:rPr>
              <w:rFonts w:hint="eastAsia" w:ascii="仿宋" w:hAnsi="仿宋" w:eastAsia="仿宋"/>
              <w:highlight w:val="none"/>
              <w:lang w:bidi="en-US"/>
            </w:rPr>
            <w:t>（一）绩效评价目的、对象和范围</w:t>
          </w:r>
          <w:r>
            <w:rPr>
              <w:highlight w:val="none"/>
            </w:rPr>
            <w:tab/>
          </w:r>
          <w:r>
            <w:rPr>
              <w:highlight w:val="none"/>
            </w:rPr>
            <w:fldChar w:fldCharType="begin"/>
          </w:r>
          <w:r>
            <w:rPr>
              <w:highlight w:val="none"/>
            </w:rPr>
            <w:instrText xml:space="preserve"> PAGEREF _Toc4544 \h </w:instrText>
          </w:r>
          <w:r>
            <w:rPr>
              <w:highlight w:val="none"/>
            </w:rPr>
            <w:fldChar w:fldCharType="separate"/>
          </w:r>
          <w:r>
            <w:rPr>
              <w:highlight w:val="none"/>
            </w:rPr>
            <w:t>4</w:t>
          </w:r>
          <w:r>
            <w:rPr>
              <w:highlight w:val="none"/>
            </w:rPr>
            <w:fldChar w:fldCharType="end"/>
          </w:r>
          <w:r>
            <w:rPr>
              <w:highlight w:val="none"/>
            </w:rPr>
            <w:fldChar w:fldCharType="end"/>
          </w:r>
        </w:p>
        <w:p w14:paraId="16A4A95D">
          <w:pPr>
            <w:pStyle w:val="5"/>
            <w:tabs>
              <w:tab w:val="right" w:leader="dot" w:pos="8306"/>
            </w:tabs>
            <w:rPr>
              <w:highlight w:val="none"/>
            </w:rPr>
          </w:pPr>
          <w:r>
            <w:fldChar w:fldCharType="begin"/>
          </w:r>
          <w:r>
            <w:instrText xml:space="preserve"> HYPERLINK \l "_Toc15127" </w:instrText>
          </w:r>
          <w:r>
            <w:fldChar w:fldCharType="separate"/>
          </w:r>
          <w:r>
            <w:rPr>
              <w:rFonts w:hint="eastAsia"/>
              <w:highlight w:val="none"/>
            </w:rPr>
            <w:t>1</w:t>
          </w:r>
          <w:r>
            <w:rPr>
              <w:highlight w:val="none"/>
            </w:rPr>
            <w:t>.绩效评价完整性</w:t>
          </w:r>
          <w:r>
            <w:rPr>
              <w:highlight w:val="none"/>
            </w:rPr>
            <w:tab/>
          </w:r>
          <w:r>
            <w:rPr>
              <w:highlight w:val="none"/>
            </w:rPr>
            <w:fldChar w:fldCharType="begin"/>
          </w:r>
          <w:r>
            <w:rPr>
              <w:highlight w:val="none"/>
            </w:rPr>
            <w:instrText xml:space="preserve"> PAGEREF _Toc15127 \h </w:instrText>
          </w:r>
          <w:r>
            <w:rPr>
              <w:highlight w:val="none"/>
            </w:rPr>
            <w:fldChar w:fldCharType="separate"/>
          </w:r>
          <w:r>
            <w:rPr>
              <w:highlight w:val="none"/>
            </w:rPr>
            <w:t>4</w:t>
          </w:r>
          <w:r>
            <w:rPr>
              <w:highlight w:val="none"/>
            </w:rPr>
            <w:fldChar w:fldCharType="end"/>
          </w:r>
          <w:r>
            <w:rPr>
              <w:highlight w:val="none"/>
            </w:rPr>
            <w:fldChar w:fldCharType="end"/>
          </w:r>
        </w:p>
        <w:p w14:paraId="1A3171EE">
          <w:pPr>
            <w:pStyle w:val="5"/>
            <w:tabs>
              <w:tab w:val="right" w:leader="dot" w:pos="8306"/>
            </w:tabs>
            <w:rPr>
              <w:highlight w:val="none"/>
            </w:rPr>
          </w:pPr>
          <w:r>
            <w:fldChar w:fldCharType="begin"/>
          </w:r>
          <w:r>
            <w:instrText xml:space="preserve"> HYPERLINK \l "_Toc12401" </w:instrText>
          </w:r>
          <w:r>
            <w:fldChar w:fldCharType="separate"/>
          </w:r>
          <w:r>
            <w:rPr>
              <w:highlight w:val="none"/>
            </w:rPr>
            <w:t>2</w:t>
          </w:r>
          <w:r>
            <w:rPr>
              <w:rFonts w:hint="eastAsia"/>
              <w:highlight w:val="none"/>
            </w:rPr>
            <w:t>.评价目的</w:t>
          </w:r>
          <w:r>
            <w:rPr>
              <w:highlight w:val="none"/>
            </w:rPr>
            <w:tab/>
          </w:r>
          <w:r>
            <w:rPr>
              <w:highlight w:val="none"/>
            </w:rPr>
            <w:fldChar w:fldCharType="begin"/>
          </w:r>
          <w:r>
            <w:rPr>
              <w:highlight w:val="none"/>
            </w:rPr>
            <w:instrText xml:space="preserve"> PAGEREF _Toc12401 \h </w:instrText>
          </w:r>
          <w:r>
            <w:rPr>
              <w:highlight w:val="none"/>
            </w:rPr>
            <w:fldChar w:fldCharType="separate"/>
          </w:r>
          <w:r>
            <w:rPr>
              <w:highlight w:val="none"/>
            </w:rPr>
            <w:t>5</w:t>
          </w:r>
          <w:r>
            <w:rPr>
              <w:highlight w:val="none"/>
            </w:rPr>
            <w:fldChar w:fldCharType="end"/>
          </w:r>
          <w:r>
            <w:rPr>
              <w:highlight w:val="none"/>
            </w:rPr>
            <w:fldChar w:fldCharType="end"/>
          </w:r>
        </w:p>
        <w:p w14:paraId="367976A7">
          <w:pPr>
            <w:pStyle w:val="5"/>
            <w:tabs>
              <w:tab w:val="right" w:leader="dot" w:pos="8306"/>
            </w:tabs>
            <w:rPr>
              <w:highlight w:val="none"/>
            </w:rPr>
          </w:pPr>
          <w:r>
            <w:fldChar w:fldCharType="begin"/>
          </w:r>
          <w:r>
            <w:instrText xml:space="preserve"> HYPERLINK \l "_Toc22450" </w:instrText>
          </w:r>
          <w:r>
            <w:fldChar w:fldCharType="separate"/>
          </w:r>
          <w:r>
            <w:rPr>
              <w:highlight w:val="none"/>
            </w:rPr>
            <w:t>3</w:t>
          </w:r>
          <w:r>
            <w:rPr>
              <w:rFonts w:hint="eastAsia"/>
              <w:highlight w:val="none"/>
            </w:rPr>
            <w:t>.评价对象</w:t>
          </w:r>
          <w:r>
            <w:rPr>
              <w:highlight w:val="none"/>
            </w:rPr>
            <w:tab/>
          </w:r>
          <w:r>
            <w:rPr>
              <w:highlight w:val="none"/>
            </w:rPr>
            <w:fldChar w:fldCharType="begin"/>
          </w:r>
          <w:r>
            <w:rPr>
              <w:highlight w:val="none"/>
            </w:rPr>
            <w:instrText xml:space="preserve"> PAGEREF _Toc22450 \h </w:instrText>
          </w:r>
          <w:r>
            <w:rPr>
              <w:highlight w:val="none"/>
            </w:rPr>
            <w:fldChar w:fldCharType="separate"/>
          </w:r>
          <w:r>
            <w:rPr>
              <w:highlight w:val="none"/>
            </w:rPr>
            <w:t>5</w:t>
          </w:r>
          <w:r>
            <w:rPr>
              <w:highlight w:val="none"/>
            </w:rPr>
            <w:fldChar w:fldCharType="end"/>
          </w:r>
          <w:r>
            <w:rPr>
              <w:highlight w:val="none"/>
            </w:rPr>
            <w:fldChar w:fldCharType="end"/>
          </w:r>
        </w:p>
        <w:p w14:paraId="0868127C">
          <w:pPr>
            <w:pStyle w:val="5"/>
            <w:tabs>
              <w:tab w:val="right" w:leader="dot" w:pos="8306"/>
            </w:tabs>
            <w:rPr>
              <w:highlight w:val="none"/>
            </w:rPr>
          </w:pPr>
          <w:r>
            <w:fldChar w:fldCharType="begin"/>
          </w:r>
          <w:r>
            <w:instrText xml:space="preserve"> HYPERLINK \l "_Toc31153" </w:instrText>
          </w:r>
          <w:r>
            <w:fldChar w:fldCharType="separate"/>
          </w:r>
          <w:r>
            <w:rPr>
              <w:rFonts w:hint="eastAsia"/>
              <w:highlight w:val="none"/>
            </w:rPr>
            <w:t>4</w:t>
          </w:r>
          <w:r>
            <w:rPr>
              <w:highlight w:val="none"/>
            </w:rPr>
            <w:t>.</w:t>
          </w:r>
          <w:r>
            <w:rPr>
              <w:rFonts w:hint="eastAsia"/>
              <w:highlight w:val="none"/>
            </w:rPr>
            <w:t>绩效评价范围</w:t>
          </w:r>
          <w:r>
            <w:rPr>
              <w:highlight w:val="none"/>
            </w:rPr>
            <w:tab/>
          </w:r>
          <w:r>
            <w:rPr>
              <w:highlight w:val="none"/>
            </w:rPr>
            <w:fldChar w:fldCharType="begin"/>
          </w:r>
          <w:r>
            <w:rPr>
              <w:highlight w:val="none"/>
            </w:rPr>
            <w:instrText xml:space="preserve"> PAGEREF _Toc31153 \h </w:instrText>
          </w:r>
          <w:r>
            <w:rPr>
              <w:highlight w:val="none"/>
            </w:rPr>
            <w:fldChar w:fldCharType="separate"/>
          </w:r>
          <w:r>
            <w:rPr>
              <w:highlight w:val="none"/>
            </w:rPr>
            <w:t>6</w:t>
          </w:r>
          <w:r>
            <w:rPr>
              <w:highlight w:val="none"/>
            </w:rPr>
            <w:fldChar w:fldCharType="end"/>
          </w:r>
          <w:r>
            <w:rPr>
              <w:highlight w:val="none"/>
            </w:rPr>
            <w:fldChar w:fldCharType="end"/>
          </w:r>
        </w:p>
        <w:p w14:paraId="2C08351D">
          <w:pPr>
            <w:pStyle w:val="10"/>
            <w:tabs>
              <w:tab w:val="right" w:leader="dot" w:pos="8306"/>
            </w:tabs>
            <w:rPr>
              <w:highlight w:val="none"/>
            </w:rPr>
          </w:pPr>
          <w:r>
            <w:fldChar w:fldCharType="begin"/>
          </w:r>
          <w:r>
            <w:instrText xml:space="preserve"> HYPERLINK \l "_Toc865" </w:instrText>
          </w:r>
          <w:r>
            <w:fldChar w:fldCharType="separate"/>
          </w:r>
          <w:r>
            <w:rPr>
              <w:rFonts w:hint="eastAsia" w:ascii="仿宋" w:hAnsi="仿宋" w:eastAsia="仿宋"/>
              <w:highlight w:val="none"/>
              <w:lang w:bidi="en-US"/>
            </w:rPr>
            <w:t>（二）绩效评价原则、指标体系、方法及标准</w:t>
          </w:r>
          <w:r>
            <w:rPr>
              <w:highlight w:val="none"/>
            </w:rPr>
            <w:tab/>
          </w:r>
          <w:r>
            <w:rPr>
              <w:highlight w:val="none"/>
            </w:rPr>
            <w:fldChar w:fldCharType="begin"/>
          </w:r>
          <w:r>
            <w:rPr>
              <w:highlight w:val="none"/>
            </w:rPr>
            <w:instrText xml:space="preserve"> PAGEREF _Toc865 \h </w:instrText>
          </w:r>
          <w:r>
            <w:rPr>
              <w:highlight w:val="none"/>
            </w:rPr>
            <w:fldChar w:fldCharType="separate"/>
          </w:r>
          <w:r>
            <w:rPr>
              <w:highlight w:val="none"/>
            </w:rPr>
            <w:t>7</w:t>
          </w:r>
          <w:r>
            <w:rPr>
              <w:highlight w:val="none"/>
            </w:rPr>
            <w:fldChar w:fldCharType="end"/>
          </w:r>
          <w:r>
            <w:rPr>
              <w:highlight w:val="none"/>
            </w:rPr>
            <w:fldChar w:fldCharType="end"/>
          </w:r>
        </w:p>
        <w:p w14:paraId="308F58EA">
          <w:pPr>
            <w:pStyle w:val="5"/>
            <w:tabs>
              <w:tab w:val="right" w:leader="dot" w:pos="8306"/>
            </w:tabs>
            <w:rPr>
              <w:highlight w:val="none"/>
            </w:rPr>
          </w:pPr>
          <w:r>
            <w:fldChar w:fldCharType="begin"/>
          </w:r>
          <w:r>
            <w:instrText xml:space="preserve"> HYPERLINK \l "_Toc12922" </w:instrText>
          </w:r>
          <w:r>
            <w:fldChar w:fldCharType="separate"/>
          </w:r>
          <w:r>
            <w:rPr>
              <w:rFonts w:hint="eastAsia"/>
              <w:highlight w:val="none"/>
            </w:rPr>
            <w:t>1</w:t>
          </w:r>
          <w:r>
            <w:rPr>
              <w:highlight w:val="none"/>
            </w:rPr>
            <w:t>.</w:t>
          </w:r>
          <w:r>
            <w:rPr>
              <w:rFonts w:hint="eastAsia"/>
              <w:highlight w:val="none"/>
            </w:rPr>
            <w:t>评价原则</w:t>
          </w:r>
          <w:r>
            <w:rPr>
              <w:highlight w:val="none"/>
            </w:rPr>
            <w:tab/>
          </w:r>
          <w:r>
            <w:rPr>
              <w:highlight w:val="none"/>
            </w:rPr>
            <w:fldChar w:fldCharType="begin"/>
          </w:r>
          <w:r>
            <w:rPr>
              <w:highlight w:val="none"/>
            </w:rPr>
            <w:instrText xml:space="preserve"> PAGEREF _Toc12922 \h </w:instrText>
          </w:r>
          <w:r>
            <w:rPr>
              <w:highlight w:val="none"/>
            </w:rPr>
            <w:fldChar w:fldCharType="separate"/>
          </w:r>
          <w:r>
            <w:rPr>
              <w:highlight w:val="none"/>
            </w:rPr>
            <w:t>7</w:t>
          </w:r>
          <w:r>
            <w:rPr>
              <w:highlight w:val="none"/>
            </w:rPr>
            <w:fldChar w:fldCharType="end"/>
          </w:r>
          <w:r>
            <w:rPr>
              <w:highlight w:val="none"/>
            </w:rPr>
            <w:fldChar w:fldCharType="end"/>
          </w:r>
        </w:p>
        <w:p w14:paraId="3B6862A2">
          <w:pPr>
            <w:pStyle w:val="5"/>
            <w:tabs>
              <w:tab w:val="right" w:leader="dot" w:pos="8306"/>
            </w:tabs>
            <w:rPr>
              <w:highlight w:val="none"/>
            </w:rPr>
          </w:pPr>
          <w:r>
            <w:fldChar w:fldCharType="begin"/>
          </w:r>
          <w:r>
            <w:instrText xml:space="preserve"> HYPERLINK \l "_Toc12068" </w:instrText>
          </w:r>
          <w:r>
            <w:fldChar w:fldCharType="separate"/>
          </w:r>
          <w:r>
            <w:rPr>
              <w:highlight w:val="none"/>
            </w:rPr>
            <w:t>2.</w:t>
          </w:r>
          <w:r>
            <w:rPr>
              <w:rFonts w:hint="eastAsia"/>
              <w:highlight w:val="none"/>
            </w:rPr>
            <w:t>评价指标体系</w:t>
          </w:r>
          <w:r>
            <w:rPr>
              <w:highlight w:val="none"/>
            </w:rPr>
            <w:tab/>
          </w:r>
          <w:r>
            <w:rPr>
              <w:highlight w:val="none"/>
            </w:rPr>
            <w:fldChar w:fldCharType="begin"/>
          </w:r>
          <w:r>
            <w:rPr>
              <w:highlight w:val="none"/>
            </w:rPr>
            <w:instrText xml:space="preserve"> PAGEREF _Toc12068 \h </w:instrText>
          </w:r>
          <w:r>
            <w:rPr>
              <w:highlight w:val="none"/>
            </w:rPr>
            <w:fldChar w:fldCharType="separate"/>
          </w:r>
          <w:r>
            <w:rPr>
              <w:highlight w:val="none"/>
            </w:rPr>
            <w:t>8</w:t>
          </w:r>
          <w:r>
            <w:rPr>
              <w:highlight w:val="none"/>
            </w:rPr>
            <w:fldChar w:fldCharType="end"/>
          </w:r>
          <w:r>
            <w:rPr>
              <w:highlight w:val="none"/>
            </w:rPr>
            <w:fldChar w:fldCharType="end"/>
          </w:r>
        </w:p>
        <w:p w14:paraId="3891FB4C">
          <w:pPr>
            <w:pStyle w:val="5"/>
            <w:tabs>
              <w:tab w:val="right" w:leader="dot" w:pos="8306"/>
            </w:tabs>
            <w:rPr>
              <w:highlight w:val="none"/>
            </w:rPr>
          </w:pPr>
          <w:r>
            <w:fldChar w:fldCharType="begin"/>
          </w:r>
          <w:r>
            <w:instrText xml:space="preserve"> HYPERLINK \l "_Toc4087" </w:instrText>
          </w:r>
          <w:r>
            <w:fldChar w:fldCharType="separate"/>
          </w:r>
          <w:r>
            <w:rPr>
              <w:highlight w:val="none"/>
            </w:rPr>
            <w:t>3.</w:t>
          </w:r>
          <w:r>
            <w:rPr>
              <w:rFonts w:hint="eastAsia"/>
              <w:highlight w:val="none"/>
            </w:rPr>
            <w:t>评价方法</w:t>
          </w:r>
          <w:r>
            <w:rPr>
              <w:highlight w:val="none"/>
            </w:rPr>
            <w:tab/>
          </w:r>
          <w:r>
            <w:rPr>
              <w:highlight w:val="none"/>
            </w:rPr>
            <w:fldChar w:fldCharType="begin"/>
          </w:r>
          <w:r>
            <w:rPr>
              <w:highlight w:val="none"/>
            </w:rPr>
            <w:instrText xml:space="preserve"> PAGEREF _Toc4087 \h </w:instrText>
          </w:r>
          <w:r>
            <w:rPr>
              <w:highlight w:val="none"/>
            </w:rPr>
            <w:fldChar w:fldCharType="separate"/>
          </w:r>
          <w:r>
            <w:rPr>
              <w:highlight w:val="none"/>
            </w:rPr>
            <w:t>14</w:t>
          </w:r>
          <w:r>
            <w:rPr>
              <w:highlight w:val="none"/>
            </w:rPr>
            <w:fldChar w:fldCharType="end"/>
          </w:r>
          <w:r>
            <w:rPr>
              <w:highlight w:val="none"/>
            </w:rPr>
            <w:fldChar w:fldCharType="end"/>
          </w:r>
        </w:p>
        <w:p w14:paraId="372140D3">
          <w:pPr>
            <w:pStyle w:val="5"/>
            <w:tabs>
              <w:tab w:val="right" w:leader="dot" w:pos="8306"/>
            </w:tabs>
            <w:rPr>
              <w:highlight w:val="none"/>
            </w:rPr>
          </w:pPr>
          <w:r>
            <w:fldChar w:fldCharType="begin"/>
          </w:r>
          <w:r>
            <w:instrText xml:space="preserve"> HYPERLINK \l "_Toc19199" </w:instrText>
          </w:r>
          <w:r>
            <w:fldChar w:fldCharType="separate"/>
          </w:r>
          <w:r>
            <w:rPr>
              <w:highlight w:val="none"/>
            </w:rPr>
            <w:t>4.</w:t>
          </w:r>
          <w:r>
            <w:rPr>
              <w:rFonts w:hint="eastAsia"/>
              <w:highlight w:val="none"/>
            </w:rPr>
            <w:t>评价标准</w:t>
          </w:r>
          <w:r>
            <w:rPr>
              <w:highlight w:val="none"/>
            </w:rPr>
            <w:tab/>
          </w:r>
          <w:r>
            <w:rPr>
              <w:highlight w:val="none"/>
            </w:rPr>
            <w:fldChar w:fldCharType="begin"/>
          </w:r>
          <w:r>
            <w:rPr>
              <w:highlight w:val="none"/>
            </w:rPr>
            <w:instrText xml:space="preserve"> PAGEREF _Toc19199 \h </w:instrText>
          </w:r>
          <w:r>
            <w:rPr>
              <w:highlight w:val="none"/>
            </w:rPr>
            <w:fldChar w:fldCharType="separate"/>
          </w:r>
          <w:r>
            <w:rPr>
              <w:highlight w:val="none"/>
            </w:rPr>
            <w:t>15</w:t>
          </w:r>
          <w:r>
            <w:rPr>
              <w:highlight w:val="none"/>
            </w:rPr>
            <w:fldChar w:fldCharType="end"/>
          </w:r>
          <w:r>
            <w:rPr>
              <w:highlight w:val="none"/>
            </w:rPr>
            <w:fldChar w:fldCharType="end"/>
          </w:r>
        </w:p>
        <w:p w14:paraId="58997D54">
          <w:pPr>
            <w:pStyle w:val="10"/>
            <w:tabs>
              <w:tab w:val="right" w:leader="dot" w:pos="8306"/>
            </w:tabs>
            <w:rPr>
              <w:highlight w:val="none"/>
            </w:rPr>
          </w:pPr>
          <w:r>
            <w:fldChar w:fldCharType="begin"/>
          </w:r>
          <w:r>
            <w:instrText xml:space="preserve"> HYPERLINK \l "_Toc7060" </w:instrText>
          </w:r>
          <w:r>
            <w:fldChar w:fldCharType="separate"/>
          </w:r>
          <w:r>
            <w:rPr>
              <w:rFonts w:hint="eastAsia" w:ascii="仿宋" w:hAnsi="仿宋" w:eastAsia="仿宋"/>
              <w:highlight w:val="none"/>
              <w:lang w:bidi="en-US"/>
            </w:rPr>
            <w:t>（三）绩效评价工作过程</w:t>
          </w:r>
          <w:r>
            <w:rPr>
              <w:highlight w:val="none"/>
            </w:rPr>
            <w:tab/>
          </w:r>
          <w:r>
            <w:rPr>
              <w:highlight w:val="none"/>
            </w:rPr>
            <w:fldChar w:fldCharType="begin"/>
          </w:r>
          <w:r>
            <w:rPr>
              <w:highlight w:val="none"/>
            </w:rPr>
            <w:instrText xml:space="preserve"> PAGEREF _Toc7060 \h </w:instrText>
          </w:r>
          <w:r>
            <w:rPr>
              <w:highlight w:val="none"/>
            </w:rPr>
            <w:fldChar w:fldCharType="separate"/>
          </w:r>
          <w:r>
            <w:rPr>
              <w:highlight w:val="none"/>
            </w:rPr>
            <w:t>16</w:t>
          </w:r>
          <w:r>
            <w:rPr>
              <w:highlight w:val="none"/>
            </w:rPr>
            <w:fldChar w:fldCharType="end"/>
          </w:r>
          <w:r>
            <w:rPr>
              <w:highlight w:val="none"/>
            </w:rPr>
            <w:fldChar w:fldCharType="end"/>
          </w:r>
        </w:p>
        <w:p w14:paraId="3D12BDA0">
          <w:pPr>
            <w:pStyle w:val="8"/>
            <w:tabs>
              <w:tab w:val="right" w:leader="dot" w:pos="8306"/>
            </w:tabs>
            <w:rPr>
              <w:highlight w:val="none"/>
            </w:rPr>
          </w:pPr>
          <w:r>
            <w:fldChar w:fldCharType="begin"/>
          </w:r>
          <w:r>
            <w:instrText xml:space="preserve"> HYPERLINK \l "_Toc5690" </w:instrText>
          </w:r>
          <w:r>
            <w:fldChar w:fldCharType="separate"/>
          </w:r>
          <w:r>
            <w:rPr>
              <w:rFonts w:hint="eastAsia" w:ascii="仿宋" w:hAnsi="仿宋" w:eastAsia="仿宋"/>
              <w:szCs w:val="36"/>
              <w:highlight w:val="none"/>
              <w:lang w:bidi="en-US"/>
            </w:rPr>
            <w:t>三、综合评价情况及评价结论</w:t>
          </w:r>
          <w:r>
            <w:rPr>
              <w:highlight w:val="none"/>
            </w:rPr>
            <w:tab/>
          </w:r>
          <w:r>
            <w:rPr>
              <w:highlight w:val="none"/>
            </w:rPr>
            <w:fldChar w:fldCharType="begin"/>
          </w:r>
          <w:r>
            <w:rPr>
              <w:highlight w:val="none"/>
            </w:rPr>
            <w:instrText xml:space="preserve"> PAGEREF _Toc5690 \h </w:instrText>
          </w:r>
          <w:r>
            <w:rPr>
              <w:highlight w:val="none"/>
            </w:rPr>
            <w:fldChar w:fldCharType="separate"/>
          </w:r>
          <w:r>
            <w:rPr>
              <w:highlight w:val="none"/>
            </w:rPr>
            <w:t>16</w:t>
          </w:r>
          <w:r>
            <w:rPr>
              <w:highlight w:val="none"/>
            </w:rPr>
            <w:fldChar w:fldCharType="end"/>
          </w:r>
          <w:r>
            <w:rPr>
              <w:highlight w:val="none"/>
            </w:rPr>
            <w:fldChar w:fldCharType="end"/>
          </w:r>
        </w:p>
        <w:p w14:paraId="6938AEAA">
          <w:pPr>
            <w:pStyle w:val="10"/>
            <w:tabs>
              <w:tab w:val="right" w:leader="dot" w:pos="8306"/>
            </w:tabs>
            <w:rPr>
              <w:highlight w:val="none"/>
            </w:rPr>
          </w:pPr>
          <w:r>
            <w:fldChar w:fldCharType="begin"/>
          </w:r>
          <w:r>
            <w:instrText xml:space="preserve"> HYPERLINK \l "_Toc19651" </w:instrText>
          </w:r>
          <w:r>
            <w:fldChar w:fldCharType="separate"/>
          </w:r>
          <w:r>
            <w:rPr>
              <w:rFonts w:hint="eastAsia" w:ascii="仿宋" w:hAnsi="仿宋" w:eastAsia="仿宋"/>
              <w:highlight w:val="none"/>
              <w:lang w:bidi="en-US"/>
            </w:rPr>
            <w:t>（一）评价结论</w:t>
          </w:r>
          <w:r>
            <w:rPr>
              <w:highlight w:val="none"/>
            </w:rPr>
            <w:tab/>
          </w:r>
          <w:r>
            <w:rPr>
              <w:highlight w:val="none"/>
            </w:rPr>
            <w:fldChar w:fldCharType="begin"/>
          </w:r>
          <w:r>
            <w:rPr>
              <w:highlight w:val="none"/>
            </w:rPr>
            <w:instrText xml:space="preserve"> PAGEREF _Toc19651 \h </w:instrText>
          </w:r>
          <w:r>
            <w:rPr>
              <w:highlight w:val="none"/>
            </w:rPr>
            <w:fldChar w:fldCharType="separate"/>
          </w:r>
          <w:r>
            <w:rPr>
              <w:highlight w:val="none"/>
            </w:rPr>
            <w:t>16</w:t>
          </w:r>
          <w:r>
            <w:rPr>
              <w:highlight w:val="none"/>
            </w:rPr>
            <w:fldChar w:fldCharType="end"/>
          </w:r>
          <w:r>
            <w:rPr>
              <w:highlight w:val="none"/>
            </w:rPr>
            <w:fldChar w:fldCharType="end"/>
          </w:r>
        </w:p>
        <w:p w14:paraId="39E1EC32">
          <w:pPr>
            <w:pStyle w:val="10"/>
            <w:tabs>
              <w:tab w:val="right" w:leader="dot" w:pos="8306"/>
            </w:tabs>
            <w:rPr>
              <w:highlight w:val="none"/>
            </w:rPr>
          </w:pPr>
          <w:r>
            <w:fldChar w:fldCharType="begin"/>
          </w:r>
          <w:r>
            <w:instrText xml:space="preserve"> HYPERLINK \l "_Toc12970" </w:instrText>
          </w:r>
          <w:r>
            <w:fldChar w:fldCharType="separate"/>
          </w:r>
          <w:r>
            <w:rPr>
              <w:rFonts w:hint="eastAsia" w:ascii="仿宋" w:hAnsi="仿宋" w:eastAsia="仿宋"/>
              <w:highlight w:val="none"/>
              <w:lang w:bidi="en-US"/>
            </w:rPr>
            <w:t>（二）主要绩效</w:t>
          </w:r>
          <w:r>
            <w:rPr>
              <w:highlight w:val="none"/>
            </w:rPr>
            <w:tab/>
          </w:r>
          <w:r>
            <w:rPr>
              <w:highlight w:val="none"/>
            </w:rPr>
            <w:fldChar w:fldCharType="begin"/>
          </w:r>
          <w:r>
            <w:rPr>
              <w:highlight w:val="none"/>
            </w:rPr>
            <w:instrText xml:space="preserve"> PAGEREF _Toc12970 \h </w:instrText>
          </w:r>
          <w:r>
            <w:rPr>
              <w:highlight w:val="none"/>
            </w:rPr>
            <w:fldChar w:fldCharType="separate"/>
          </w:r>
          <w:r>
            <w:rPr>
              <w:highlight w:val="none"/>
            </w:rPr>
            <w:t>17</w:t>
          </w:r>
          <w:r>
            <w:rPr>
              <w:highlight w:val="none"/>
            </w:rPr>
            <w:fldChar w:fldCharType="end"/>
          </w:r>
          <w:r>
            <w:rPr>
              <w:highlight w:val="none"/>
            </w:rPr>
            <w:fldChar w:fldCharType="end"/>
          </w:r>
        </w:p>
        <w:p w14:paraId="4D5AB3FB">
          <w:pPr>
            <w:pStyle w:val="8"/>
            <w:tabs>
              <w:tab w:val="right" w:leader="dot" w:pos="8306"/>
            </w:tabs>
            <w:rPr>
              <w:highlight w:val="none"/>
            </w:rPr>
          </w:pPr>
          <w:r>
            <w:fldChar w:fldCharType="begin"/>
          </w:r>
          <w:r>
            <w:instrText xml:space="preserve"> HYPERLINK \l "_Toc11683" </w:instrText>
          </w:r>
          <w:r>
            <w:fldChar w:fldCharType="separate"/>
          </w:r>
          <w:r>
            <w:rPr>
              <w:rFonts w:hint="eastAsia" w:ascii="仿宋" w:hAnsi="仿宋" w:eastAsia="仿宋"/>
              <w:szCs w:val="36"/>
              <w:highlight w:val="none"/>
              <w:lang w:bidi="en-US"/>
            </w:rPr>
            <w:t>四、绩效评价指标分析</w:t>
          </w:r>
          <w:r>
            <w:rPr>
              <w:highlight w:val="none"/>
            </w:rPr>
            <w:tab/>
          </w:r>
          <w:r>
            <w:rPr>
              <w:highlight w:val="none"/>
            </w:rPr>
            <w:fldChar w:fldCharType="begin"/>
          </w:r>
          <w:r>
            <w:rPr>
              <w:highlight w:val="none"/>
            </w:rPr>
            <w:instrText xml:space="preserve"> PAGEREF _Toc11683 \h </w:instrText>
          </w:r>
          <w:r>
            <w:rPr>
              <w:highlight w:val="none"/>
            </w:rPr>
            <w:fldChar w:fldCharType="separate"/>
          </w:r>
          <w:r>
            <w:rPr>
              <w:highlight w:val="none"/>
            </w:rPr>
            <w:t>18</w:t>
          </w:r>
          <w:r>
            <w:rPr>
              <w:highlight w:val="none"/>
            </w:rPr>
            <w:fldChar w:fldCharType="end"/>
          </w:r>
          <w:r>
            <w:rPr>
              <w:highlight w:val="none"/>
            </w:rPr>
            <w:fldChar w:fldCharType="end"/>
          </w:r>
        </w:p>
        <w:p w14:paraId="11F49364">
          <w:pPr>
            <w:pStyle w:val="10"/>
            <w:tabs>
              <w:tab w:val="right" w:leader="dot" w:pos="8306"/>
            </w:tabs>
            <w:rPr>
              <w:highlight w:val="none"/>
            </w:rPr>
          </w:pPr>
          <w:r>
            <w:fldChar w:fldCharType="begin"/>
          </w:r>
          <w:r>
            <w:instrText xml:space="preserve"> HYPERLINK \l "_Toc6942" </w:instrText>
          </w:r>
          <w:r>
            <w:fldChar w:fldCharType="separate"/>
          </w:r>
          <w:r>
            <w:rPr>
              <w:rFonts w:hint="eastAsia" w:ascii="仿宋" w:hAnsi="仿宋" w:eastAsia="仿宋"/>
              <w:highlight w:val="none"/>
              <w:lang w:bidi="en-US"/>
            </w:rPr>
            <w:t>（一）项目决策情况</w:t>
          </w:r>
          <w:r>
            <w:rPr>
              <w:highlight w:val="none"/>
            </w:rPr>
            <w:tab/>
          </w:r>
          <w:r>
            <w:rPr>
              <w:highlight w:val="none"/>
            </w:rPr>
            <w:fldChar w:fldCharType="begin"/>
          </w:r>
          <w:r>
            <w:rPr>
              <w:highlight w:val="none"/>
            </w:rPr>
            <w:instrText xml:space="preserve"> PAGEREF _Toc6942 \h </w:instrText>
          </w:r>
          <w:r>
            <w:rPr>
              <w:highlight w:val="none"/>
            </w:rPr>
            <w:fldChar w:fldCharType="separate"/>
          </w:r>
          <w:r>
            <w:rPr>
              <w:highlight w:val="none"/>
            </w:rPr>
            <w:t>18</w:t>
          </w:r>
          <w:r>
            <w:rPr>
              <w:highlight w:val="none"/>
            </w:rPr>
            <w:fldChar w:fldCharType="end"/>
          </w:r>
          <w:r>
            <w:rPr>
              <w:highlight w:val="none"/>
            </w:rPr>
            <w:fldChar w:fldCharType="end"/>
          </w:r>
        </w:p>
        <w:p w14:paraId="258C8732">
          <w:pPr>
            <w:pStyle w:val="5"/>
            <w:tabs>
              <w:tab w:val="right" w:leader="dot" w:pos="8306"/>
            </w:tabs>
            <w:rPr>
              <w:highlight w:val="none"/>
            </w:rPr>
          </w:pPr>
          <w:r>
            <w:fldChar w:fldCharType="begin"/>
          </w:r>
          <w:r>
            <w:instrText xml:space="preserve"> HYPERLINK \l "_Toc18990" </w:instrText>
          </w:r>
          <w:r>
            <w:fldChar w:fldCharType="separate"/>
          </w:r>
          <w:r>
            <w:rPr>
              <w:highlight w:val="none"/>
            </w:rPr>
            <w:t>1.</w:t>
          </w:r>
          <w:r>
            <w:rPr>
              <w:rFonts w:hint="eastAsia"/>
              <w:highlight w:val="none"/>
            </w:rPr>
            <w:t>项目立项</w:t>
          </w:r>
          <w:r>
            <w:rPr>
              <w:highlight w:val="none"/>
            </w:rPr>
            <w:tab/>
          </w:r>
          <w:r>
            <w:rPr>
              <w:highlight w:val="none"/>
            </w:rPr>
            <w:fldChar w:fldCharType="begin"/>
          </w:r>
          <w:r>
            <w:rPr>
              <w:highlight w:val="none"/>
            </w:rPr>
            <w:instrText xml:space="preserve"> PAGEREF _Toc18990 \h </w:instrText>
          </w:r>
          <w:r>
            <w:rPr>
              <w:highlight w:val="none"/>
            </w:rPr>
            <w:fldChar w:fldCharType="separate"/>
          </w:r>
          <w:r>
            <w:rPr>
              <w:highlight w:val="none"/>
            </w:rPr>
            <w:t>18</w:t>
          </w:r>
          <w:r>
            <w:rPr>
              <w:highlight w:val="none"/>
            </w:rPr>
            <w:fldChar w:fldCharType="end"/>
          </w:r>
          <w:r>
            <w:rPr>
              <w:highlight w:val="none"/>
            </w:rPr>
            <w:fldChar w:fldCharType="end"/>
          </w:r>
        </w:p>
        <w:p w14:paraId="181F78DC">
          <w:pPr>
            <w:pStyle w:val="5"/>
            <w:tabs>
              <w:tab w:val="right" w:leader="dot" w:pos="8306"/>
            </w:tabs>
            <w:rPr>
              <w:highlight w:val="none"/>
            </w:rPr>
          </w:pPr>
          <w:r>
            <w:fldChar w:fldCharType="begin"/>
          </w:r>
          <w:r>
            <w:instrText xml:space="preserve"> HYPERLINK \l "_Toc24170" </w:instrText>
          </w:r>
          <w:r>
            <w:fldChar w:fldCharType="separate"/>
          </w:r>
          <w:r>
            <w:rPr>
              <w:rFonts w:hint="eastAsia"/>
              <w:highlight w:val="none"/>
            </w:rPr>
            <w:t>2</w:t>
          </w:r>
          <w:r>
            <w:rPr>
              <w:highlight w:val="none"/>
            </w:rPr>
            <w:t>.</w:t>
          </w:r>
          <w:r>
            <w:rPr>
              <w:rFonts w:hint="eastAsia"/>
              <w:highlight w:val="none"/>
            </w:rPr>
            <w:t>绩效目标</w:t>
          </w:r>
          <w:r>
            <w:rPr>
              <w:highlight w:val="none"/>
            </w:rPr>
            <w:tab/>
          </w:r>
          <w:r>
            <w:rPr>
              <w:highlight w:val="none"/>
            </w:rPr>
            <w:fldChar w:fldCharType="begin"/>
          </w:r>
          <w:r>
            <w:rPr>
              <w:highlight w:val="none"/>
            </w:rPr>
            <w:instrText xml:space="preserve"> PAGEREF _Toc24170 \h </w:instrText>
          </w:r>
          <w:r>
            <w:rPr>
              <w:highlight w:val="none"/>
            </w:rPr>
            <w:fldChar w:fldCharType="separate"/>
          </w:r>
          <w:r>
            <w:rPr>
              <w:highlight w:val="none"/>
            </w:rPr>
            <w:t>19</w:t>
          </w:r>
          <w:r>
            <w:rPr>
              <w:highlight w:val="none"/>
            </w:rPr>
            <w:fldChar w:fldCharType="end"/>
          </w:r>
          <w:r>
            <w:rPr>
              <w:highlight w:val="none"/>
            </w:rPr>
            <w:fldChar w:fldCharType="end"/>
          </w:r>
        </w:p>
        <w:p w14:paraId="6CF52840">
          <w:pPr>
            <w:pStyle w:val="5"/>
            <w:tabs>
              <w:tab w:val="right" w:leader="dot" w:pos="8306"/>
            </w:tabs>
            <w:rPr>
              <w:highlight w:val="none"/>
            </w:rPr>
          </w:pPr>
          <w:r>
            <w:fldChar w:fldCharType="begin"/>
          </w:r>
          <w:r>
            <w:instrText xml:space="preserve"> HYPERLINK \l "_Toc26016" </w:instrText>
          </w:r>
          <w:r>
            <w:fldChar w:fldCharType="separate"/>
          </w:r>
          <w:r>
            <w:rPr>
              <w:rFonts w:hint="eastAsia"/>
              <w:highlight w:val="none"/>
            </w:rPr>
            <w:t>3.资金投入</w:t>
          </w:r>
          <w:r>
            <w:rPr>
              <w:highlight w:val="none"/>
            </w:rPr>
            <w:tab/>
          </w:r>
          <w:r>
            <w:rPr>
              <w:highlight w:val="none"/>
            </w:rPr>
            <w:fldChar w:fldCharType="begin"/>
          </w:r>
          <w:r>
            <w:rPr>
              <w:highlight w:val="none"/>
            </w:rPr>
            <w:instrText xml:space="preserve"> PAGEREF _Toc26016 \h </w:instrText>
          </w:r>
          <w:r>
            <w:rPr>
              <w:highlight w:val="none"/>
            </w:rPr>
            <w:fldChar w:fldCharType="separate"/>
          </w:r>
          <w:r>
            <w:rPr>
              <w:highlight w:val="none"/>
            </w:rPr>
            <w:t>20</w:t>
          </w:r>
          <w:r>
            <w:rPr>
              <w:highlight w:val="none"/>
            </w:rPr>
            <w:fldChar w:fldCharType="end"/>
          </w:r>
          <w:r>
            <w:rPr>
              <w:highlight w:val="none"/>
            </w:rPr>
            <w:fldChar w:fldCharType="end"/>
          </w:r>
        </w:p>
        <w:p w14:paraId="388C71FE">
          <w:pPr>
            <w:pStyle w:val="10"/>
            <w:tabs>
              <w:tab w:val="right" w:leader="dot" w:pos="8306"/>
            </w:tabs>
            <w:rPr>
              <w:highlight w:val="none"/>
            </w:rPr>
          </w:pPr>
          <w:r>
            <w:fldChar w:fldCharType="begin"/>
          </w:r>
          <w:r>
            <w:instrText xml:space="preserve"> HYPERLINK \l "_Toc19373" </w:instrText>
          </w:r>
          <w:r>
            <w:fldChar w:fldCharType="separate"/>
          </w:r>
          <w:r>
            <w:rPr>
              <w:rFonts w:hint="eastAsia" w:ascii="仿宋" w:hAnsi="仿宋" w:eastAsia="仿宋"/>
              <w:highlight w:val="none"/>
              <w:lang w:bidi="en-US"/>
            </w:rPr>
            <w:t>（二）项目过程情况</w:t>
          </w:r>
          <w:r>
            <w:rPr>
              <w:highlight w:val="none"/>
            </w:rPr>
            <w:tab/>
          </w:r>
          <w:r>
            <w:rPr>
              <w:highlight w:val="none"/>
            </w:rPr>
            <w:fldChar w:fldCharType="begin"/>
          </w:r>
          <w:r>
            <w:rPr>
              <w:highlight w:val="none"/>
            </w:rPr>
            <w:instrText xml:space="preserve"> PAGEREF _Toc19373 \h </w:instrText>
          </w:r>
          <w:r>
            <w:rPr>
              <w:highlight w:val="none"/>
            </w:rPr>
            <w:fldChar w:fldCharType="separate"/>
          </w:r>
          <w:r>
            <w:rPr>
              <w:highlight w:val="none"/>
            </w:rPr>
            <w:t>22</w:t>
          </w:r>
          <w:r>
            <w:rPr>
              <w:highlight w:val="none"/>
            </w:rPr>
            <w:fldChar w:fldCharType="end"/>
          </w:r>
          <w:r>
            <w:rPr>
              <w:highlight w:val="none"/>
            </w:rPr>
            <w:fldChar w:fldCharType="end"/>
          </w:r>
        </w:p>
        <w:p w14:paraId="28B0122C">
          <w:pPr>
            <w:pStyle w:val="5"/>
            <w:tabs>
              <w:tab w:val="right" w:leader="dot" w:pos="8306"/>
            </w:tabs>
            <w:rPr>
              <w:highlight w:val="none"/>
            </w:rPr>
          </w:pPr>
          <w:r>
            <w:fldChar w:fldCharType="begin"/>
          </w:r>
          <w:r>
            <w:instrText xml:space="preserve"> HYPERLINK \l "_Toc4138" </w:instrText>
          </w:r>
          <w:r>
            <w:fldChar w:fldCharType="separate"/>
          </w:r>
          <w:r>
            <w:rPr>
              <w:highlight w:val="none"/>
            </w:rPr>
            <w:t>1.</w:t>
          </w:r>
          <w:r>
            <w:rPr>
              <w:rFonts w:hint="eastAsia"/>
              <w:highlight w:val="none"/>
            </w:rPr>
            <w:t>资金管理</w:t>
          </w:r>
          <w:r>
            <w:rPr>
              <w:highlight w:val="none"/>
            </w:rPr>
            <w:tab/>
          </w:r>
          <w:r>
            <w:rPr>
              <w:highlight w:val="none"/>
            </w:rPr>
            <w:fldChar w:fldCharType="begin"/>
          </w:r>
          <w:r>
            <w:rPr>
              <w:highlight w:val="none"/>
            </w:rPr>
            <w:instrText xml:space="preserve"> PAGEREF _Toc4138 \h </w:instrText>
          </w:r>
          <w:r>
            <w:rPr>
              <w:highlight w:val="none"/>
            </w:rPr>
            <w:fldChar w:fldCharType="separate"/>
          </w:r>
          <w:r>
            <w:rPr>
              <w:highlight w:val="none"/>
            </w:rPr>
            <w:t>22</w:t>
          </w:r>
          <w:r>
            <w:rPr>
              <w:highlight w:val="none"/>
            </w:rPr>
            <w:fldChar w:fldCharType="end"/>
          </w:r>
          <w:r>
            <w:rPr>
              <w:highlight w:val="none"/>
            </w:rPr>
            <w:fldChar w:fldCharType="end"/>
          </w:r>
        </w:p>
        <w:p w14:paraId="3EE42E73">
          <w:pPr>
            <w:pStyle w:val="5"/>
            <w:tabs>
              <w:tab w:val="right" w:leader="dot" w:pos="8306"/>
            </w:tabs>
            <w:rPr>
              <w:highlight w:val="none"/>
            </w:rPr>
          </w:pPr>
          <w:r>
            <w:fldChar w:fldCharType="begin"/>
          </w:r>
          <w:r>
            <w:instrText xml:space="preserve"> HYPERLINK \l "_Toc25015" </w:instrText>
          </w:r>
          <w:r>
            <w:fldChar w:fldCharType="separate"/>
          </w:r>
          <w:r>
            <w:rPr>
              <w:highlight w:val="none"/>
            </w:rPr>
            <w:t>2.</w:t>
          </w:r>
          <w:r>
            <w:rPr>
              <w:rFonts w:hint="eastAsia"/>
              <w:highlight w:val="none"/>
            </w:rPr>
            <w:t>组织实施</w:t>
          </w:r>
          <w:r>
            <w:rPr>
              <w:highlight w:val="none"/>
            </w:rPr>
            <w:tab/>
          </w:r>
          <w:r>
            <w:rPr>
              <w:highlight w:val="none"/>
            </w:rPr>
            <w:fldChar w:fldCharType="begin"/>
          </w:r>
          <w:r>
            <w:rPr>
              <w:highlight w:val="none"/>
            </w:rPr>
            <w:instrText xml:space="preserve"> PAGEREF _Toc25015 \h </w:instrText>
          </w:r>
          <w:r>
            <w:rPr>
              <w:highlight w:val="none"/>
            </w:rPr>
            <w:fldChar w:fldCharType="separate"/>
          </w:r>
          <w:r>
            <w:rPr>
              <w:highlight w:val="none"/>
            </w:rPr>
            <w:t>23</w:t>
          </w:r>
          <w:r>
            <w:rPr>
              <w:highlight w:val="none"/>
            </w:rPr>
            <w:fldChar w:fldCharType="end"/>
          </w:r>
          <w:r>
            <w:rPr>
              <w:highlight w:val="none"/>
            </w:rPr>
            <w:fldChar w:fldCharType="end"/>
          </w:r>
        </w:p>
        <w:p w14:paraId="122AF7D8">
          <w:pPr>
            <w:pStyle w:val="10"/>
            <w:tabs>
              <w:tab w:val="right" w:leader="dot" w:pos="8306"/>
            </w:tabs>
            <w:rPr>
              <w:highlight w:val="none"/>
            </w:rPr>
          </w:pPr>
          <w:r>
            <w:fldChar w:fldCharType="begin"/>
          </w:r>
          <w:r>
            <w:instrText xml:space="preserve"> HYPERLINK \l "_Toc18228" </w:instrText>
          </w:r>
          <w:r>
            <w:fldChar w:fldCharType="separate"/>
          </w:r>
          <w:r>
            <w:rPr>
              <w:rFonts w:hint="eastAsia" w:ascii="仿宋" w:hAnsi="仿宋" w:eastAsia="仿宋"/>
              <w:highlight w:val="none"/>
              <w:lang w:bidi="en-US"/>
            </w:rPr>
            <w:t>（三）项目产出情况</w:t>
          </w:r>
          <w:r>
            <w:rPr>
              <w:highlight w:val="none"/>
            </w:rPr>
            <w:tab/>
          </w:r>
          <w:r>
            <w:rPr>
              <w:highlight w:val="none"/>
            </w:rPr>
            <w:fldChar w:fldCharType="begin"/>
          </w:r>
          <w:r>
            <w:rPr>
              <w:highlight w:val="none"/>
            </w:rPr>
            <w:instrText xml:space="preserve"> PAGEREF _Toc18228 \h </w:instrText>
          </w:r>
          <w:r>
            <w:rPr>
              <w:highlight w:val="none"/>
            </w:rPr>
            <w:fldChar w:fldCharType="separate"/>
          </w:r>
          <w:r>
            <w:rPr>
              <w:highlight w:val="none"/>
            </w:rPr>
            <w:t>23</w:t>
          </w:r>
          <w:r>
            <w:rPr>
              <w:highlight w:val="none"/>
            </w:rPr>
            <w:fldChar w:fldCharType="end"/>
          </w:r>
          <w:r>
            <w:rPr>
              <w:highlight w:val="none"/>
            </w:rPr>
            <w:fldChar w:fldCharType="end"/>
          </w:r>
        </w:p>
        <w:p w14:paraId="3886656D">
          <w:pPr>
            <w:pStyle w:val="5"/>
            <w:tabs>
              <w:tab w:val="right" w:leader="dot" w:pos="8306"/>
            </w:tabs>
            <w:rPr>
              <w:highlight w:val="none"/>
            </w:rPr>
          </w:pPr>
          <w:r>
            <w:fldChar w:fldCharType="begin"/>
          </w:r>
          <w:r>
            <w:instrText xml:space="preserve"> HYPERLINK \l "_Toc8898" </w:instrText>
          </w:r>
          <w:r>
            <w:fldChar w:fldCharType="separate"/>
          </w:r>
          <w:r>
            <w:rPr>
              <w:rFonts w:hint="eastAsia"/>
              <w:highlight w:val="none"/>
            </w:rPr>
            <w:t>1</w:t>
          </w:r>
          <w:r>
            <w:rPr>
              <w:highlight w:val="none"/>
            </w:rPr>
            <w:t>.</w:t>
          </w:r>
          <w:r>
            <w:rPr>
              <w:rFonts w:hint="eastAsia"/>
              <w:highlight w:val="none"/>
            </w:rPr>
            <w:t>产出数量</w:t>
          </w:r>
          <w:r>
            <w:rPr>
              <w:highlight w:val="none"/>
            </w:rPr>
            <w:tab/>
          </w:r>
          <w:r>
            <w:rPr>
              <w:highlight w:val="none"/>
            </w:rPr>
            <w:fldChar w:fldCharType="begin"/>
          </w:r>
          <w:r>
            <w:rPr>
              <w:highlight w:val="none"/>
            </w:rPr>
            <w:instrText xml:space="preserve"> PAGEREF _Toc8898 \h </w:instrText>
          </w:r>
          <w:r>
            <w:rPr>
              <w:highlight w:val="none"/>
            </w:rPr>
            <w:fldChar w:fldCharType="separate"/>
          </w:r>
          <w:r>
            <w:rPr>
              <w:highlight w:val="none"/>
            </w:rPr>
            <w:t>23</w:t>
          </w:r>
          <w:r>
            <w:rPr>
              <w:highlight w:val="none"/>
            </w:rPr>
            <w:fldChar w:fldCharType="end"/>
          </w:r>
          <w:r>
            <w:rPr>
              <w:highlight w:val="none"/>
            </w:rPr>
            <w:fldChar w:fldCharType="end"/>
          </w:r>
        </w:p>
        <w:p w14:paraId="01EBC9B3">
          <w:pPr>
            <w:pStyle w:val="5"/>
            <w:tabs>
              <w:tab w:val="right" w:leader="dot" w:pos="8306"/>
            </w:tabs>
            <w:rPr>
              <w:highlight w:val="none"/>
            </w:rPr>
          </w:pPr>
          <w:r>
            <w:fldChar w:fldCharType="begin"/>
          </w:r>
          <w:r>
            <w:instrText xml:space="preserve"> HYPERLINK \l "_Toc23736" </w:instrText>
          </w:r>
          <w:r>
            <w:fldChar w:fldCharType="separate"/>
          </w:r>
          <w:r>
            <w:rPr>
              <w:rFonts w:hint="eastAsia"/>
              <w:highlight w:val="none"/>
            </w:rPr>
            <w:t>2</w:t>
          </w:r>
          <w:r>
            <w:rPr>
              <w:highlight w:val="none"/>
            </w:rPr>
            <w:t>.</w:t>
          </w:r>
          <w:r>
            <w:rPr>
              <w:rFonts w:hint="eastAsia"/>
              <w:highlight w:val="none"/>
            </w:rPr>
            <w:t>产出质量</w:t>
          </w:r>
          <w:r>
            <w:rPr>
              <w:highlight w:val="none"/>
            </w:rPr>
            <w:tab/>
          </w:r>
          <w:r>
            <w:rPr>
              <w:highlight w:val="none"/>
            </w:rPr>
            <w:fldChar w:fldCharType="begin"/>
          </w:r>
          <w:r>
            <w:rPr>
              <w:highlight w:val="none"/>
            </w:rPr>
            <w:instrText xml:space="preserve"> PAGEREF _Toc23736 \h </w:instrText>
          </w:r>
          <w:r>
            <w:rPr>
              <w:highlight w:val="none"/>
            </w:rPr>
            <w:fldChar w:fldCharType="separate"/>
          </w:r>
          <w:r>
            <w:rPr>
              <w:highlight w:val="none"/>
            </w:rPr>
            <w:t>24</w:t>
          </w:r>
          <w:r>
            <w:rPr>
              <w:highlight w:val="none"/>
            </w:rPr>
            <w:fldChar w:fldCharType="end"/>
          </w:r>
          <w:r>
            <w:rPr>
              <w:highlight w:val="none"/>
            </w:rPr>
            <w:fldChar w:fldCharType="end"/>
          </w:r>
        </w:p>
        <w:p w14:paraId="6E7357F7">
          <w:pPr>
            <w:pStyle w:val="5"/>
            <w:tabs>
              <w:tab w:val="right" w:leader="dot" w:pos="8306"/>
            </w:tabs>
            <w:rPr>
              <w:highlight w:val="none"/>
            </w:rPr>
          </w:pPr>
          <w:r>
            <w:fldChar w:fldCharType="begin"/>
          </w:r>
          <w:r>
            <w:instrText xml:space="preserve"> HYPERLINK \l "_Toc14046" </w:instrText>
          </w:r>
          <w:r>
            <w:fldChar w:fldCharType="separate"/>
          </w:r>
          <w:r>
            <w:rPr>
              <w:rFonts w:hint="eastAsia"/>
              <w:highlight w:val="none"/>
            </w:rPr>
            <w:t>3</w:t>
          </w:r>
          <w:r>
            <w:rPr>
              <w:highlight w:val="none"/>
            </w:rPr>
            <w:t>.</w:t>
          </w:r>
          <w:r>
            <w:rPr>
              <w:rFonts w:hint="eastAsia"/>
              <w:highlight w:val="none"/>
            </w:rPr>
            <w:t>产出时效</w:t>
          </w:r>
          <w:r>
            <w:rPr>
              <w:highlight w:val="none"/>
            </w:rPr>
            <w:tab/>
          </w:r>
          <w:r>
            <w:rPr>
              <w:highlight w:val="none"/>
            </w:rPr>
            <w:fldChar w:fldCharType="begin"/>
          </w:r>
          <w:r>
            <w:rPr>
              <w:highlight w:val="none"/>
            </w:rPr>
            <w:instrText xml:space="preserve"> PAGEREF _Toc14046 \h </w:instrText>
          </w:r>
          <w:r>
            <w:rPr>
              <w:highlight w:val="none"/>
            </w:rPr>
            <w:fldChar w:fldCharType="separate"/>
          </w:r>
          <w:r>
            <w:rPr>
              <w:highlight w:val="none"/>
            </w:rPr>
            <w:t>24</w:t>
          </w:r>
          <w:r>
            <w:rPr>
              <w:highlight w:val="none"/>
            </w:rPr>
            <w:fldChar w:fldCharType="end"/>
          </w:r>
          <w:r>
            <w:rPr>
              <w:highlight w:val="none"/>
            </w:rPr>
            <w:fldChar w:fldCharType="end"/>
          </w:r>
        </w:p>
        <w:p w14:paraId="754D3F1D">
          <w:pPr>
            <w:pStyle w:val="10"/>
            <w:tabs>
              <w:tab w:val="right" w:leader="dot" w:pos="8306"/>
            </w:tabs>
            <w:rPr>
              <w:highlight w:val="none"/>
            </w:rPr>
          </w:pPr>
          <w:r>
            <w:fldChar w:fldCharType="begin"/>
          </w:r>
          <w:r>
            <w:instrText xml:space="preserve"> HYPERLINK \l "_Toc1669" </w:instrText>
          </w:r>
          <w:r>
            <w:fldChar w:fldCharType="separate"/>
          </w:r>
          <w:r>
            <w:rPr>
              <w:rFonts w:ascii="仿宋" w:hAnsi="仿宋" w:eastAsia="仿宋"/>
              <w:highlight w:val="none"/>
              <w:lang w:bidi="en-US"/>
            </w:rPr>
            <w:t>（</w:t>
          </w:r>
          <w:r>
            <w:rPr>
              <w:rFonts w:hint="eastAsia" w:ascii="仿宋" w:hAnsi="仿宋" w:eastAsia="仿宋"/>
              <w:highlight w:val="none"/>
              <w:lang w:eastAsia="zh-CN" w:bidi="en-US"/>
            </w:rPr>
            <w:t>四</w:t>
          </w:r>
          <w:r>
            <w:rPr>
              <w:rFonts w:ascii="仿宋" w:hAnsi="仿宋" w:eastAsia="仿宋"/>
              <w:highlight w:val="none"/>
              <w:lang w:bidi="en-US"/>
            </w:rPr>
            <w:t>）项目效益</w:t>
          </w:r>
          <w:r>
            <w:rPr>
              <w:highlight w:val="none"/>
            </w:rPr>
            <w:tab/>
          </w:r>
          <w:r>
            <w:rPr>
              <w:highlight w:val="none"/>
            </w:rPr>
            <w:fldChar w:fldCharType="begin"/>
          </w:r>
          <w:r>
            <w:rPr>
              <w:highlight w:val="none"/>
            </w:rPr>
            <w:instrText xml:space="preserve"> PAGEREF _Toc1669 \h </w:instrText>
          </w:r>
          <w:r>
            <w:rPr>
              <w:highlight w:val="none"/>
            </w:rPr>
            <w:fldChar w:fldCharType="separate"/>
          </w:r>
          <w:r>
            <w:rPr>
              <w:highlight w:val="none"/>
            </w:rPr>
            <w:t>25</w:t>
          </w:r>
          <w:r>
            <w:rPr>
              <w:highlight w:val="none"/>
            </w:rPr>
            <w:fldChar w:fldCharType="end"/>
          </w:r>
          <w:r>
            <w:rPr>
              <w:highlight w:val="none"/>
            </w:rPr>
            <w:fldChar w:fldCharType="end"/>
          </w:r>
        </w:p>
        <w:p w14:paraId="5A6580D0">
          <w:pPr>
            <w:pStyle w:val="8"/>
            <w:tabs>
              <w:tab w:val="right" w:leader="dot" w:pos="8306"/>
            </w:tabs>
            <w:rPr>
              <w:highlight w:val="none"/>
            </w:rPr>
          </w:pPr>
          <w:r>
            <w:fldChar w:fldCharType="begin"/>
          </w:r>
          <w:r>
            <w:instrText xml:space="preserve"> HYPERLINK \l "_Toc23224" </w:instrText>
          </w:r>
          <w:r>
            <w:fldChar w:fldCharType="separate"/>
          </w:r>
          <w:r>
            <w:rPr>
              <w:rFonts w:hint="eastAsia" w:ascii="仿宋" w:hAnsi="仿宋" w:eastAsia="仿宋"/>
              <w:szCs w:val="36"/>
              <w:highlight w:val="none"/>
              <w:lang w:bidi="en-US"/>
            </w:rPr>
            <w:t>五、主要经验及做法、存在的问题及原因分析</w:t>
          </w:r>
          <w:r>
            <w:rPr>
              <w:highlight w:val="none"/>
            </w:rPr>
            <w:tab/>
          </w:r>
          <w:r>
            <w:rPr>
              <w:highlight w:val="none"/>
            </w:rPr>
            <w:fldChar w:fldCharType="begin"/>
          </w:r>
          <w:r>
            <w:rPr>
              <w:highlight w:val="none"/>
            </w:rPr>
            <w:instrText xml:space="preserve"> PAGEREF _Toc23224 \h </w:instrText>
          </w:r>
          <w:r>
            <w:rPr>
              <w:highlight w:val="none"/>
            </w:rPr>
            <w:fldChar w:fldCharType="separate"/>
          </w:r>
          <w:r>
            <w:rPr>
              <w:highlight w:val="none"/>
            </w:rPr>
            <w:t>25</w:t>
          </w:r>
          <w:r>
            <w:rPr>
              <w:highlight w:val="none"/>
            </w:rPr>
            <w:fldChar w:fldCharType="end"/>
          </w:r>
          <w:r>
            <w:rPr>
              <w:highlight w:val="none"/>
            </w:rPr>
            <w:fldChar w:fldCharType="end"/>
          </w:r>
        </w:p>
        <w:p w14:paraId="064150DA">
          <w:pPr>
            <w:pStyle w:val="10"/>
            <w:tabs>
              <w:tab w:val="right" w:leader="dot" w:pos="8306"/>
            </w:tabs>
            <w:rPr>
              <w:highlight w:val="none"/>
            </w:rPr>
          </w:pPr>
          <w:r>
            <w:fldChar w:fldCharType="begin"/>
          </w:r>
          <w:r>
            <w:instrText xml:space="preserve"> HYPERLINK \l "_Toc15452" </w:instrText>
          </w:r>
          <w:r>
            <w:fldChar w:fldCharType="separate"/>
          </w:r>
          <w:r>
            <w:rPr>
              <w:rFonts w:hint="eastAsia" w:ascii="仿宋" w:hAnsi="仿宋" w:eastAsia="仿宋"/>
              <w:highlight w:val="none"/>
              <w:lang w:bidi="en-US"/>
            </w:rPr>
            <w:t>（一）主要经验及做法</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25</w:t>
          </w:r>
          <w:r>
            <w:rPr>
              <w:highlight w:val="none"/>
            </w:rPr>
            <w:fldChar w:fldCharType="end"/>
          </w:r>
          <w:r>
            <w:rPr>
              <w:highlight w:val="none"/>
            </w:rPr>
            <w:fldChar w:fldCharType="end"/>
          </w:r>
        </w:p>
        <w:p w14:paraId="6525F94E">
          <w:pPr>
            <w:pStyle w:val="10"/>
            <w:tabs>
              <w:tab w:val="right" w:leader="dot" w:pos="8306"/>
            </w:tabs>
            <w:rPr>
              <w:highlight w:val="none"/>
            </w:rPr>
          </w:pPr>
          <w:r>
            <w:fldChar w:fldCharType="begin"/>
          </w:r>
          <w:r>
            <w:instrText xml:space="preserve"> HYPERLINK \l "_Toc17831" </w:instrText>
          </w:r>
          <w:r>
            <w:fldChar w:fldCharType="separate"/>
          </w:r>
          <w:r>
            <w:rPr>
              <w:rFonts w:hint="eastAsia" w:ascii="仿宋" w:hAnsi="仿宋" w:eastAsia="仿宋"/>
              <w:highlight w:val="none"/>
              <w:lang w:bidi="en-US"/>
            </w:rPr>
            <w:t>（二）存在的问题及原因分析</w:t>
          </w:r>
          <w:r>
            <w:rPr>
              <w:highlight w:val="none"/>
            </w:rPr>
            <w:tab/>
          </w:r>
          <w:r>
            <w:rPr>
              <w:highlight w:val="none"/>
            </w:rPr>
            <w:fldChar w:fldCharType="begin"/>
          </w:r>
          <w:r>
            <w:rPr>
              <w:highlight w:val="none"/>
            </w:rPr>
            <w:instrText xml:space="preserve"> PAGEREF _Toc17831 \h </w:instrText>
          </w:r>
          <w:r>
            <w:rPr>
              <w:highlight w:val="none"/>
            </w:rPr>
            <w:fldChar w:fldCharType="separate"/>
          </w:r>
          <w:r>
            <w:rPr>
              <w:highlight w:val="none"/>
            </w:rPr>
            <w:t>25</w:t>
          </w:r>
          <w:r>
            <w:rPr>
              <w:highlight w:val="none"/>
            </w:rPr>
            <w:fldChar w:fldCharType="end"/>
          </w:r>
          <w:r>
            <w:rPr>
              <w:highlight w:val="none"/>
            </w:rPr>
            <w:fldChar w:fldCharType="end"/>
          </w:r>
        </w:p>
        <w:p w14:paraId="588B1463">
          <w:pPr>
            <w:pStyle w:val="8"/>
            <w:tabs>
              <w:tab w:val="right" w:leader="dot" w:pos="8306"/>
            </w:tabs>
            <w:rPr>
              <w:highlight w:val="none"/>
            </w:rPr>
          </w:pPr>
          <w:r>
            <w:fldChar w:fldCharType="begin"/>
          </w:r>
          <w:r>
            <w:instrText xml:space="preserve"> HYPERLINK \l "_Toc1104" </w:instrText>
          </w:r>
          <w:r>
            <w:fldChar w:fldCharType="separate"/>
          </w:r>
          <w:r>
            <w:rPr>
              <w:rFonts w:hint="eastAsia" w:ascii="仿宋" w:hAnsi="仿宋" w:eastAsia="仿宋"/>
              <w:szCs w:val="36"/>
              <w:highlight w:val="none"/>
              <w:lang w:bidi="en-US"/>
            </w:rPr>
            <w:t>六、 有</w:t>
          </w:r>
          <w:r>
            <w:rPr>
              <w:rFonts w:hint="eastAsia" w:ascii="仿宋" w:hAnsi="仿宋" w:eastAsia="仿宋"/>
              <w:szCs w:val="36"/>
              <w:highlight w:val="none"/>
              <w:lang w:eastAsia="zh-CN" w:bidi="en-US"/>
            </w:rPr>
            <w:t>关键</w:t>
          </w:r>
          <w:r>
            <w:rPr>
              <w:rFonts w:hint="eastAsia" w:ascii="仿宋" w:hAnsi="仿宋" w:eastAsia="仿宋"/>
              <w:szCs w:val="36"/>
              <w:highlight w:val="none"/>
              <w:lang w:bidi="en-US"/>
            </w:rPr>
            <w:t>议</w:t>
          </w:r>
          <w:r>
            <w:rPr>
              <w:highlight w:val="none"/>
            </w:rPr>
            <w:tab/>
          </w:r>
          <w:r>
            <w:rPr>
              <w:highlight w:val="none"/>
            </w:rPr>
            <w:fldChar w:fldCharType="begin"/>
          </w:r>
          <w:r>
            <w:rPr>
              <w:highlight w:val="none"/>
            </w:rPr>
            <w:instrText xml:space="preserve"> PAGEREF _Toc1104 \h </w:instrText>
          </w:r>
          <w:r>
            <w:rPr>
              <w:highlight w:val="none"/>
            </w:rPr>
            <w:fldChar w:fldCharType="separate"/>
          </w:r>
          <w:r>
            <w:rPr>
              <w:highlight w:val="none"/>
            </w:rPr>
            <w:t>26</w:t>
          </w:r>
          <w:r>
            <w:rPr>
              <w:highlight w:val="none"/>
            </w:rPr>
            <w:fldChar w:fldCharType="end"/>
          </w:r>
          <w:r>
            <w:rPr>
              <w:highlight w:val="none"/>
            </w:rPr>
            <w:fldChar w:fldCharType="end"/>
          </w:r>
        </w:p>
        <w:p w14:paraId="22F303A8">
          <w:pPr>
            <w:pStyle w:val="8"/>
            <w:tabs>
              <w:tab w:val="right" w:leader="dot" w:pos="8306"/>
            </w:tabs>
            <w:rPr>
              <w:highlight w:val="none"/>
            </w:rPr>
          </w:pPr>
          <w:r>
            <w:fldChar w:fldCharType="begin"/>
          </w:r>
          <w:r>
            <w:instrText xml:space="preserve"> HYPERLINK \l "_Toc18730" </w:instrText>
          </w:r>
          <w:r>
            <w:fldChar w:fldCharType="separate"/>
          </w:r>
          <w:r>
            <w:rPr>
              <w:rFonts w:hint="eastAsia" w:ascii="仿宋" w:hAnsi="仿宋" w:eastAsia="仿宋"/>
              <w:szCs w:val="36"/>
              <w:highlight w:val="none"/>
              <w:lang w:bidi="en-US"/>
            </w:rPr>
            <w:t>七、其他需要说明的问题</w:t>
          </w:r>
          <w:r>
            <w:rPr>
              <w:highlight w:val="none"/>
            </w:rPr>
            <w:tab/>
          </w:r>
          <w:r>
            <w:rPr>
              <w:highlight w:val="none"/>
            </w:rPr>
            <w:fldChar w:fldCharType="begin"/>
          </w:r>
          <w:r>
            <w:rPr>
              <w:highlight w:val="none"/>
            </w:rPr>
            <w:instrText xml:space="preserve"> PAGEREF _Toc18730 \h </w:instrText>
          </w:r>
          <w:r>
            <w:rPr>
              <w:highlight w:val="none"/>
            </w:rPr>
            <w:fldChar w:fldCharType="separate"/>
          </w:r>
          <w:r>
            <w:rPr>
              <w:highlight w:val="none"/>
            </w:rPr>
            <w:t>26</w:t>
          </w:r>
          <w:r>
            <w:rPr>
              <w:highlight w:val="none"/>
            </w:rPr>
            <w:fldChar w:fldCharType="end"/>
          </w:r>
          <w:r>
            <w:rPr>
              <w:highlight w:val="none"/>
            </w:rPr>
            <w:fldChar w:fldCharType="end"/>
          </w:r>
        </w:p>
        <w:p w14:paraId="52F1F5DC">
          <w:pPr>
            <w:ind w:firstLine="562"/>
            <w:rPr>
              <w:color w:val="auto"/>
              <w:highlight w:val="none"/>
            </w:rPr>
          </w:pPr>
          <w:r>
            <w:rPr>
              <w:bCs/>
              <w:color w:val="auto"/>
              <w:highlight w:val="none"/>
              <w:lang w:val="zh-CN"/>
            </w:rPr>
            <w:fldChar w:fldCharType="end"/>
          </w:r>
        </w:p>
      </w:sdtContent>
    </w:sdt>
    <w:p w14:paraId="3A128A62">
      <w:pPr>
        <w:ind w:firstLine="598" w:firstLineChars="187"/>
        <w:rPr>
          <w:rFonts w:ascii="仿宋_GB2312" w:hAnsi="Times New Roman" w:cs="Times New Roman"/>
          <w:color w:val="auto"/>
          <w:sz w:val="32"/>
          <w:szCs w:val="32"/>
          <w:highlight w:val="none"/>
          <w:lang w:bidi="en-U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435CCA12">
      <w:pPr>
        <w:pStyle w:val="2"/>
        <w:ind w:firstLine="0" w:firstLineChars="0"/>
        <w:jc w:val="left"/>
        <w:rPr>
          <w:rFonts w:ascii="仿宋" w:hAnsi="仿宋" w:eastAsia="仿宋"/>
          <w:color w:val="auto"/>
          <w:sz w:val="36"/>
          <w:szCs w:val="36"/>
          <w:highlight w:val="none"/>
          <w:lang w:bidi="en-US"/>
        </w:rPr>
      </w:pPr>
      <w:bookmarkStart w:id="0" w:name="_Toc28618"/>
      <w:bookmarkStart w:id="1" w:name="_Toc67911601"/>
      <w:r>
        <w:rPr>
          <w:rFonts w:hint="eastAsia" w:ascii="仿宋" w:hAnsi="仿宋" w:eastAsia="仿宋"/>
          <w:color w:val="auto"/>
          <w:sz w:val="36"/>
          <w:szCs w:val="36"/>
          <w:highlight w:val="none"/>
          <w:lang w:bidi="en-US"/>
        </w:rPr>
        <w:t>一、基本情况</w:t>
      </w:r>
      <w:bookmarkEnd w:id="0"/>
      <w:bookmarkEnd w:id="1"/>
    </w:p>
    <w:p w14:paraId="680F8A74">
      <w:pPr>
        <w:pStyle w:val="3"/>
        <w:ind w:firstLine="643"/>
        <w:rPr>
          <w:rFonts w:ascii="仿宋" w:hAnsi="仿宋" w:eastAsia="仿宋"/>
          <w:color w:val="auto"/>
          <w:highlight w:val="none"/>
          <w:lang w:bidi="en-US"/>
        </w:rPr>
      </w:pPr>
      <w:bookmarkStart w:id="2" w:name="_Toc67911602"/>
      <w:bookmarkStart w:id="3" w:name="_Toc29402"/>
      <w:r>
        <w:rPr>
          <w:rFonts w:hint="eastAsia" w:ascii="仿宋" w:hAnsi="仿宋" w:eastAsia="仿宋"/>
          <w:color w:val="auto"/>
          <w:highlight w:val="none"/>
          <w:lang w:bidi="en-US"/>
        </w:rPr>
        <w:t>（一）项目概况：</w:t>
      </w:r>
      <w:bookmarkEnd w:id="2"/>
      <w:bookmarkEnd w:id="3"/>
    </w:p>
    <w:p w14:paraId="3D68EC4B">
      <w:pPr>
        <w:pStyle w:val="4"/>
        <w:ind w:firstLine="643"/>
        <w:rPr>
          <w:color w:val="auto"/>
          <w:highlight w:val="none"/>
        </w:rPr>
      </w:pPr>
      <w:bookmarkStart w:id="4" w:name="_Toc7715"/>
      <w:r>
        <w:rPr>
          <w:rFonts w:hint="eastAsia"/>
          <w:color w:val="auto"/>
          <w:highlight w:val="none"/>
        </w:rPr>
        <w:t>1．项目背景、主要内容及实施情况</w:t>
      </w:r>
      <w:bookmarkEnd w:id="4"/>
    </w:p>
    <w:p w14:paraId="1C25FAED">
      <w:pPr>
        <w:spacing w:line="360" w:lineRule="auto"/>
        <w:ind w:firstLine="551" w:firstLineChars="196"/>
        <w:rPr>
          <w:rFonts w:hint="eastAsia" w:ascii="仿宋_GB2312"/>
          <w:b/>
          <w:color w:val="auto"/>
          <w:szCs w:val="28"/>
          <w:highlight w:val="none"/>
        </w:rPr>
      </w:pPr>
      <w:r>
        <w:rPr>
          <w:rFonts w:hint="eastAsia" w:ascii="仿宋_GB2312"/>
          <w:b/>
          <w:color w:val="auto"/>
          <w:szCs w:val="28"/>
          <w:highlight w:val="none"/>
        </w:rPr>
        <w:t>（1）项目背景</w:t>
      </w:r>
    </w:p>
    <w:p w14:paraId="782820DB">
      <w:pPr>
        <w:spacing w:line="360" w:lineRule="auto"/>
        <w:ind w:left="0" w:leftChars="0" w:firstLine="560" w:firstLineChars="200"/>
        <w:rPr>
          <w:rFonts w:ascii="仿宋_GB2312"/>
          <w:color w:val="auto"/>
          <w:highlight w:val="none"/>
        </w:rPr>
      </w:pPr>
      <w:r>
        <w:rPr>
          <w:rFonts w:hint="eastAsia" w:ascii="仿宋_GB2312"/>
          <w:color w:val="auto"/>
          <w:highlight w:val="none"/>
        </w:rPr>
        <w:t>根据国家生态环境部《关于优化生态环境保护执法方式提高执法效能的指导意见》（环执法〔2021〕1号）、自治区环保厅关于印发《自治区优化生态环境保护执法方式提高执法效能的实施方案》（新环执法发〔2021〕56号、《关于印发&lt;2024年全国生态环境保护执法大练兵活动方案&gt;的通知》（环办执法〔2024〕714号）、《关于印发&lt;2024年新疆维吾尔自治区生态环境保护执法大练兵技能比武竞赛活动方案&gt;的通知》（新环执法发〔2024〕76号）、《关于印发&lt;2024年乌鲁木齐市生态环境保护执法大练兵技能比武竞赛活动方案&gt;的通知》（乌环发〔2024〕16号）、《“乌-昌-石”“奎-独-乌”重点区域空气质量改善兵地联合监督帮扶暨实战比武》《乌鲁木齐市今冬明春大气污染防治暨重污染天气应对“百日攻坚”工作方案》等文件要求，完成滚动式联合专项执法行动，与此同时全力做好今冬明春大气污染防治夜检、环境执法大练兵等工作，以改善大气环境质量为核心，推动大气环境综合治理、系统治理、源头治理；突出精准治污、科学治污，深入打好大气污染防治攻坚战</w:t>
      </w:r>
      <w:r>
        <w:rPr>
          <w:rFonts w:hint="eastAsia" w:ascii="仿宋_GB2312"/>
          <w:color w:val="auto"/>
          <w:highlight w:val="none"/>
          <w:lang w:val="en-US" w:eastAsia="zh-CN"/>
        </w:rPr>
        <w:t>,</w:t>
      </w:r>
      <w:r>
        <w:rPr>
          <w:rFonts w:hint="eastAsia" w:ascii="仿宋_GB2312"/>
          <w:color w:val="auto"/>
          <w:highlight w:val="none"/>
        </w:rPr>
        <w:t>通过加强环境监管严格执法，增强监管能力建设，进一步确保首府生态文明建设环境保护各项措施全面落实。</w:t>
      </w:r>
    </w:p>
    <w:p w14:paraId="455DD8F5">
      <w:pPr>
        <w:numPr>
          <w:ilvl w:val="0"/>
          <w:numId w:val="1"/>
        </w:numPr>
        <w:spacing w:line="360" w:lineRule="auto"/>
        <w:ind w:firstLine="560"/>
        <w:rPr>
          <w:rFonts w:hint="eastAsia" w:ascii="仿宋_GB2312"/>
          <w:b/>
          <w:color w:val="auto"/>
          <w:szCs w:val="28"/>
          <w:highlight w:val="none"/>
        </w:rPr>
      </w:pPr>
      <w:r>
        <w:rPr>
          <w:rFonts w:hint="eastAsia" w:ascii="仿宋_GB2312"/>
          <w:b/>
          <w:color w:val="auto"/>
          <w:szCs w:val="28"/>
          <w:highlight w:val="none"/>
        </w:rPr>
        <w:t>主要实施内容</w:t>
      </w:r>
      <w:r>
        <w:rPr>
          <w:rFonts w:hint="eastAsia" w:ascii="仿宋_GB2312"/>
          <w:b/>
          <w:color w:val="auto"/>
          <w:szCs w:val="28"/>
          <w:highlight w:val="none"/>
          <w:lang w:val="en-US" w:eastAsia="zh-CN"/>
        </w:rPr>
        <w:t>:</w:t>
      </w:r>
    </w:p>
    <w:p w14:paraId="615CF955">
      <w:pPr>
        <w:spacing w:line="360" w:lineRule="auto"/>
        <w:ind w:firstLine="548" w:firstLineChars="196"/>
        <w:rPr>
          <w:rFonts w:hint="eastAsia" w:ascii="仿宋_GB2312"/>
          <w:color w:val="auto"/>
          <w:highlight w:val="none"/>
        </w:rPr>
      </w:pPr>
      <w:r>
        <w:rPr>
          <w:rFonts w:hint="eastAsia" w:ascii="仿宋_GB2312"/>
          <w:color w:val="auto"/>
          <w:highlight w:val="none"/>
        </w:rPr>
        <w:t>通过委托第三方单位进行有组织废气监测、无组织环境空气检测、水质样品检测、水在线比对、信访投诉噪声及异味检测、污泥、土壤污染检测等。提高环境监管能力，加大环保执法力度，开展环境执法检查专项治理行动，达到改善首府大气污染，提升首府空气、水质等质量，提升公众幸福感。</w:t>
      </w:r>
    </w:p>
    <w:p w14:paraId="52692DBA">
      <w:pPr>
        <w:spacing w:line="360" w:lineRule="auto"/>
        <w:ind w:firstLine="551" w:firstLineChars="196"/>
        <w:rPr>
          <w:rFonts w:hint="eastAsia" w:ascii="仿宋_GB2312"/>
          <w:b/>
          <w:color w:val="auto"/>
          <w:szCs w:val="28"/>
          <w:highlight w:val="none"/>
        </w:rPr>
      </w:pPr>
      <w:r>
        <w:rPr>
          <w:rFonts w:hint="eastAsia" w:ascii="仿宋_GB2312"/>
          <w:b/>
          <w:color w:val="auto"/>
          <w:szCs w:val="28"/>
          <w:highlight w:val="none"/>
        </w:rPr>
        <w:t>（3）2</w:t>
      </w:r>
      <w:r>
        <w:rPr>
          <w:rFonts w:ascii="仿宋_GB2312"/>
          <w:b/>
          <w:color w:val="auto"/>
          <w:szCs w:val="28"/>
          <w:highlight w:val="none"/>
        </w:rPr>
        <w:t>02</w:t>
      </w:r>
      <w:r>
        <w:rPr>
          <w:rFonts w:hint="eastAsia" w:ascii="仿宋_GB2312"/>
          <w:b/>
          <w:color w:val="auto"/>
          <w:szCs w:val="28"/>
          <w:highlight w:val="none"/>
          <w:lang w:val="en-US" w:eastAsia="zh-CN"/>
        </w:rPr>
        <w:t>4</w:t>
      </w:r>
      <w:r>
        <w:rPr>
          <w:rFonts w:ascii="仿宋_GB2312"/>
          <w:b/>
          <w:color w:val="auto"/>
          <w:szCs w:val="28"/>
          <w:highlight w:val="none"/>
        </w:rPr>
        <w:t>年当年</w:t>
      </w:r>
      <w:r>
        <w:rPr>
          <w:rFonts w:hint="eastAsia" w:ascii="仿宋_GB2312"/>
          <w:b/>
          <w:color w:val="auto"/>
          <w:szCs w:val="28"/>
          <w:highlight w:val="none"/>
        </w:rPr>
        <w:t>完成情况</w:t>
      </w:r>
    </w:p>
    <w:p w14:paraId="10846205">
      <w:pPr>
        <w:spacing w:line="360" w:lineRule="auto"/>
        <w:ind w:firstLine="548" w:firstLineChars="196"/>
        <w:rPr>
          <w:rFonts w:hint="eastAsia" w:ascii="仿宋_GB2312"/>
          <w:color w:val="auto"/>
          <w:highlight w:val="none"/>
        </w:rPr>
      </w:pPr>
      <w:r>
        <w:rPr>
          <w:rFonts w:hint="eastAsia" w:ascii="仿宋_GB2312"/>
          <w:color w:val="auto"/>
          <w:highlight w:val="none"/>
        </w:rPr>
        <w:t>按照</w:t>
      </w:r>
      <w:r>
        <w:rPr>
          <w:rFonts w:hint="eastAsia" w:ascii="仿宋_GB2312"/>
          <w:color w:val="auto"/>
          <w:highlight w:val="none"/>
          <w:lang w:val="en-US" w:eastAsia="zh-CN"/>
        </w:rPr>
        <w:t>市生态环境局《关于印发＜2024年乌鲁木齐市生态环境监测工作方案＞的通知》工作要求，市支队</w:t>
      </w:r>
      <w:r>
        <w:rPr>
          <w:rFonts w:hint="eastAsia" w:ascii="仿宋_GB2312"/>
          <w:color w:val="auto"/>
          <w:highlight w:val="none"/>
          <w:lang w:eastAsia="zh-CN"/>
        </w:rPr>
        <w:t>认真组织开展</w:t>
      </w:r>
      <w:r>
        <w:rPr>
          <w:rFonts w:hint="eastAsia" w:ascii="仿宋_GB2312"/>
          <w:color w:val="auto"/>
          <w:highlight w:val="none"/>
          <w:lang w:val="en-US" w:eastAsia="zh-CN"/>
        </w:rPr>
        <w:t>重点污染源执法监测工作。通过开展执法监测工作，</w:t>
      </w:r>
      <w:r>
        <w:rPr>
          <w:rFonts w:hint="default" w:ascii="仿宋_GB2312"/>
          <w:color w:val="auto"/>
          <w:highlight w:val="none"/>
          <w:lang w:val="en-US" w:eastAsia="zh-CN"/>
        </w:rPr>
        <w:t>有效监管辖区</w:t>
      </w:r>
      <w:r>
        <w:rPr>
          <w:rFonts w:hint="eastAsia" w:ascii="仿宋_GB2312"/>
          <w:color w:val="auto"/>
          <w:highlight w:val="none"/>
          <w:lang w:val="en-US" w:eastAsia="zh-CN"/>
        </w:rPr>
        <w:t>污染源</w:t>
      </w:r>
      <w:r>
        <w:rPr>
          <w:rFonts w:hint="default" w:ascii="仿宋_GB2312"/>
          <w:color w:val="auto"/>
          <w:highlight w:val="none"/>
          <w:lang w:val="en-US" w:eastAsia="zh-CN"/>
        </w:rPr>
        <w:t>，切实掌握污染物排放情况，</w:t>
      </w:r>
      <w:r>
        <w:rPr>
          <w:rFonts w:hint="eastAsia" w:ascii="仿宋_GB2312"/>
          <w:color w:val="auto"/>
          <w:highlight w:val="none"/>
          <w:lang w:val="en-US" w:eastAsia="zh-CN"/>
        </w:rPr>
        <w:t>做好</w:t>
      </w:r>
      <w:r>
        <w:rPr>
          <w:rFonts w:hint="default" w:ascii="仿宋_GB2312"/>
          <w:color w:val="auto"/>
          <w:highlight w:val="none"/>
          <w:lang w:val="en-US" w:eastAsia="zh-CN"/>
        </w:rPr>
        <w:t>202</w:t>
      </w:r>
      <w:r>
        <w:rPr>
          <w:rFonts w:hint="eastAsia" w:ascii="仿宋_GB2312"/>
          <w:color w:val="auto"/>
          <w:highlight w:val="none"/>
          <w:lang w:val="en-US" w:eastAsia="zh-CN"/>
        </w:rPr>
        <w:t>4</w:t>
      </w:r>
      <w:r>
        <w:rPr>
          <w:rFonts w:hint="default" w:ascii="仿宋_GB2312"/>
          <w:color w:val="auto"/>
          <w:highlight w:val="none"/>
          <w:lang w:val="en-US" w:eastAsia="zh-CN"/>
        </w:rPr>
        <w:t>年</w:t>
      </w:r>
      <w:r>
        <w:rPr>
          <w:rFonts w:hint="eastAsia" w:ascii="仿宋_GB2312"/>
          <w:color w:val="auto"/>
          <w:highlight w:val="none"/>
          <w:lang w:val="en-US" w:eastAsia="zh-CN"/>
        </w:rPr>
        <w:t>全市污染源</w:t>
      </w:r>
      <w:r>
        <w:rPr>
          <w:rFonts w:hint="default" w:ascii="仿宋_GB2312"/>
          <w:color w:val="auto"/>
          <w:highlight w:val="none"/>
          <w:lang w:val="en-US" w:eastAsia="zh-CN"/>
        </w:rPr>
        <w:t>双随机</w:t>
      </w:r>
      <w:r>
        <w:rPr>
          <w:rFonts w:hint="eastAsia" w:ascii="仿宋_GB2312"/>
          <w:color w:val="auto"/>
          <w:highlight w:val="none"/>
          <w:lang w:val="en-US" w:eastAsia="zh-CN"/>
        </w:rPr>
        <w:t>检查</w:t>
      </w:r>
      <w:r>
        <w:rPr>
          <w:rFonts w:hint="default" w:ascii="仿宋_GB2312"/>
          <w:color w:val="auto"/>
          <w:highlight w:val="none"/>
          <w:lang w:val="en-US" w:eastAsia="zh-CN"/>
        </w:rPr>
        <w:t>、信访投诉</w:t>
      </w:r>
      <w:r>
        <w:rPr>
          <w:rFonts w:hint="eastAsia" w:ascii="仿宋_GB2312"/>
          <w:color w:val="auto"/>
          <w:highlight w:val="none"/>
          <w:lang w:val="en-US" w:eastAsia="zh-CN"/>
        </w:rPr>
        <w:t>查处、执法专项行动等</w:t>
      </w:r>
      <w:r>
        <w:rPr>
          <w:rFonts w:hint="default" w:ascii="仿宋_GB2312"/>
          <w:color w:val="auto"/>
          <w:highlight w:val="none"/>
          <w:lang w:val="en-US" w:eastAsia="zh-CN"/>
        </w:rPr>
        <w:t>执法工作的</w:t>
      </w:r>
      <w:r>
        <w:rPr>
          <w:rFonts w:hint="eastAsia" w:ascii="仿宋_GB2312"/>
          <w:color w:val="auto"/>
          <w:highlight w:val="none"/>
          <w:lang w:val="en-US" w:eastAsia="zh-CN"/>
        </w:rPr>
        <w:t>技术支撑</w:t>
      </w:r>
      <w:r>
        <w:rPr>
          <w:rFonts w:hint="default" w:ascii="仿宋_GB2312"/>
          <w:color w:val="auto"/>
          <w:highlight w:val="none"/>
          <w:lang w:val="en-US" w:eastAsia="zh-CN"/>
        </w:rPr>
        <w:t>，</w:t>
      </w:r>
      <w:r>
        <w:rPr>
          <w:rFonts w:hint="eastAsia" w:ascii="仿宋_GB2312"/>
          <w:color w:val="auto"/>
          <w:highlight w:val="none"/>
          <w:lang w:val="en-US" w:eastAsia="zh-CN"/>
        </w:rPr>
        <w:t>检测内容包括废气、废水、噪声、土壤、污泥、烟气在线比对监测等。</w:t>
      </w:r>
      <w:r>
        <w:rPr>
          <w:rFonts w:hint="eastAsia" w:ascii="仿宋_GB2312"/>
          <w:b/>
          <w:bCs/>
          <w:color w:val="auto"/>
          <w:highlight w:val="none"/>
          <w:lang w:val="en-US" w:eastAsia="zh-CN"/>
        </w:rPr>
        <w:t>一是</w:t>
      </w:r>
      <w:r>
        <w:rPr>
          <w:rFonts w:hint="eastAsia" w:ascii="仿宋_GB2312"/>
          <w:color w:val="auto"/>
          <w:highlight w:val="none"/>
          <w:lang w:val="en-US" w:eastAsia="zh-CN"/>
        </w:rPr>
        <w:t>完成产出指标，委托第三方开展监测水、大气、土壤执法监测173家次，覆盖生态环经检查区域7个，结合“双随机 一公开”等执法检查方式落实水、大气、土壤污染防治和生态文明建设工作。健全环境治理评估和监督机制，完善环境监管系统社会化运营模式，提高环境执法环境监测、监管能力和科研、信息化水平。</w:t>
      </w:r>
      <w:r>
        <w:rPr>
          <w:rFonts w:hint="eastAsia" w:ascii="仿宋_GB2312"/>
          <w:b/>
          <w:bCs/>
          <w:color w:val="auto"/>
          <w:highlight w:val="none"/>
          <w:lang w:val="en-US" w:eastAsia="zh-CN"/>
        </w:rPr>
        <w:t>二是</w:t>
      </w:r>
      <w:r>
        <w:rPr>
          <w:rFonts w:hint="eastAsia" w:ascii="仿宋_GB2312"/>
          <w:color w:val="auto"/>
          <w:highlight w:val="none"/>
          <w:lang w:val="en-US" w:eastAsia="zh-CN"/>
        </w:rPr>
        <w:t>完成效益指标，</w:t>
      </w:r>
      <w:r>
        <w:rPr>
          <w:rFonts w:hint="eastAsia" w:ascii="仿宋_GB2312"/>
          <w:bCs/>
          <w:color w:val="auto"/>
          <w:szCs w:val="28"/>
          <w:highlight w:val="none"/>
          <w:lang w:val="en-US" w:eastAsia="zh-CN"/>
        </w:rPr>
        <w:t>通过对生态环境有效监管，2024年4-5月我市连续两个月挺进全国168个重点城市前20位。2024年我市空气质量优良天数312天，同比增加13天，空气质量优良天数首次突破300天，多项指标均创历史同期最好水平。</w:t>
      </w:r>
      <w:r>
        <w:rPr>
          <w:rFonts w:hint="eastAsia" w:ascii="仿宋_GB2312"/>
          <w:color w:val="auto"/>
          <w:highlight w:val="none"/>
          <w:lang w:val="en-US" w:eastAsia="zh-CN"/>
        </w:rPr>
        <w:t>圆满完成各子项目，如期实现既定的年度绩效目标，按要求完成了年度工作任务。</w:t>
      </w:r>
    </w:p>
    <w:p w14:paraId="03ABDD33">
      <w:pPr>
        <w:pStyle w:val="4"/>
        <w:ind w:firstLine="643"/>
        <w:rPr>
          <w:color w:val="auto"/>
          <w:highlight w:val="none"/>
        </w:rPr>
      </w:pPr>
      <w:bookmarkStart w:id="5" w:name="_Toc12240"/>
      <w:r>
        <w:rPr>
          <w:rFonts w:hint="eastAsia"/>
          <w:color w:val="auto"/>
          <w:highlight w:val="none"/>
        </w:rPr>
        <w:t>2</w:t>
      </w:r>
      <w:r>
        <w:rPr>
          <w:color w:val="auto"/>
          <w:highlight w:val="none"/>
        </w:rPr>
        <w:t>.资金投入和使用情况</w:t>
      </w:r>
      <w:bookmarkEnd w:id="5"/>
    </w:p>
    <w:p w14:paraId="2D9A0CFF">
      <w:pPr>
        <w:spacing w:line="360" w:lineRule="auto"/>
        <w:ind w:firstLine="560"/>
        <w:rPr>
          <w:rFonts w:ascii="仿宋_GB2312"/>
          <w:color w:val="auto"/>
          <w:highlight w:val="none"/>
        </w:rPr>
      </w:pPr>
      <w:r>
        <w:rPr>
          <w:rFonts w:hint="eastAsia" w:ascii="仿宋_GB2312"/>
          <w:color w:val="auto"/>
          <w:highlight w:val="none"/>
        </w:rPr>
        <w:t>该项目资金投入情况：经</w:t>
      </w:r>
      <w:r>
        <w:rPr>
          <w:rFonts w:hint="eastAsia" w:ascii="仿宋_GB2312"/>
          <w:color w:val="auto"/>
          <w:highlight w:val="none"/>
          <w:lang w:eastAsia="zh-CN"/>
        </w:rPr>
        <w:t>《</w:t>
      </w:r>
      <w:r>
        <w:rPr>
          <w:rFonts w:hint="eastAsia" w:ascii="仿宋_GB2312"/>
          <w:color w:val="auto"/>
          <w:highlight w:val="none"/>
        </w:rPr>
        <w:t>关于2024年市本级部门预算的批复号文件批准</w:t>
      </w:r>
      <w:r>
        <w:rPr>
          <w:rFonts w:hint="eastAsia" w:ascii="仿宋_GB2312"/>
          <w:color w:val="auto"/>
          <w:highlight w:val="none"/>
          <w:lang w:eastAsia="zh-CN"/>
        </w:rPr>
        <w:t>》（</w:t>
      </w:r>
      <w:r>
        <w:rPr>
          <w:rFonts w:hint="eastAsia" w:ascii="仿宋_GB2312"/>
          <w:color w:val="auto"/>
          <w:highlight w:val="none"/>
        </w:rPr>
        <w:t>乌财资环【2024】1号</w:t>
      </w:r>
      <w:r>
        <w:rPr>
          <w:rFonts w:hint="eastAsia" w:ascii="仿宋_GB2312"/>
          <w:color w:val="auto"/>
          <w:highlight w:val="none"/>
          <w:lang w:eastAsia="zh-CN"/>
        </w:rPr>
        <w:t>）</w:t>
      </w:r>
      <w:r>
        <w:rPr>
          <w:rFonts w:hint="eastAsia" w:ascii="仿宋_GB2312"/>
          <w:color w:val="auto"/>
          <w:highlight w:val="none"/>
        </w:rPr>
        <w:t>，项目系</w:t>
      </w:r>
      <w:r>
        <w:rPr>
          <w:rFonts w:ascii="仿宋_GB2312"/>
          <w:color w:val="auto"/>
          <w:highlight w:val="none"/>
        </w:rPr>
        <w:t>2024</w:t>
      </w:r>
      <w:r>
        <w:rPr>
          <w:rFonts w:hint="eastAsia" w:ascii="仿宋_GB2312"/>
          <w:color w:val="auto"/>
          <w:highlight w:val="none"/>
        </w:rPr>
        <w:t>年本级资金，共安排预算</w:t>
      </w:r>
      <w:r>
        <w:rPr>
          <w:rFonts w:hint="eastAsia" w:ascii="仿宋_GB2312"/>
          <w:color w:val="auto"/>
          <w:highlight w:val="none"/>
          <w:lang w:val="en-US" w:eastAsia="zh-CN"/>
        </w:rPr>
        <w:t>136.44</w:t>
      </w:r>
      <w:r>
        <w:rPr>
          <w:rFonts w:hint="eastAsia" w:ascii="仿宋_GB2312"/>
          <w:color w:val="auto"/>
          <w:highlight w:val="none"/>
        </w:rPr>
        <w:t>万元，于2024年年初部分预算批复项目</w:t>
      </w:r>
      <w:r>
        <w:rPr>
          <w:rFonts w:hint="eastAsia" w:ascii="仿宋_GB2312"/>
          <w:bCs/>
          <w:color w:val="auto"/>
          <w:szCs w:val="28"/>
          <w:highlight w:val="none"/>
        </w:rPr>
        <w:t>，年中资金未调整</w:t>
      </w:r>
      <w:r>
        <w:rPr>
          <w:rFonts w:hint="eastAsia" w:ascii="仿宋_GB2312"/>
          <w:color w:val="auto"/>
          <w:highlight w:val="none"/>
        </w:rPr>
        <w:t>。</w:t>
      </w:r>
    </w:p>
    <w:p w14:paraId="12C13D4A">
      <w:pPr>
        <w:spacing w:line="360" w:lineRule="auto"/>
        <w:ind w:firstLine="560"/>
        <w:rPr>
          <w:rFonts w:hint="eastAsia" w:ascii="仿宋_GB2312"/>
          <w:color w:val="auto"/>
          <w:highlight w:val="none"/>
        </w:rPr>
      </w:pPr>
      <w:r>
        <w:rPr>
          <w:rFonts w:hint="eastAsia" w:ascii="仿宋_GB2312"/>
          <w:color w:val="auto"/>
          <w:highlight w:val="none"/>
        </w:rPr>
        <w:t>该项目资金使用情况：</w:t>
      </w:r>
      <w:r>
        <w:rPr>
          <w:rFonts w:hint="eastAsia" w:ascii="仿宋_GB2312"/>
          <w:bCs/>
          <w:color w:val="auto"/>
          <w:szCs w:val="28"/>
          <w:highlight w:val="none"/>
        </w:rPr>
        <w:t>项目预算</w:t>
      </w:r>
      <w:r>
        <w:rPr>
          <w:rFonts w:hint="eastAsia" w:ascii="仿宋_GB2312"/>
          <w:bCs/>
          <w:color w:val="auto"/>
          <w:szCs w:val="28"/>
          <w:highlight w:val="none"/>
          <w:lang w:val="en-US" w:eastAsia="zh-CN"/>
        </w:rPr>
        <w:t>136.44</w:t>
      </w:r>
      <w:r>
        <w:rPr>
          <w:rFonts w:hint="eastAsia" w:ascii="仿宋_GB2312"/>
          <w:bCs/>
          <w:color w:val="auto"/>
          <w:szCs w:val="28"/>
          <w:highlight w:val="none"/>
        </w:rPr>
        <w:t>万元，目前已支付</w:t>
      </w:r>
      <w:r>
        <w:rPr>
          <w:rFonts w:hint="eastAsia" w:ascii="仿宋_GB2312"/>
          <w:bCs/>
          <w:color w:val="auto"/>
          <w:szCs w:val="28"/>
          <w:highlight w:val="none"/>
          <w:lang w:val="en-US" w:eastAsia="zh-CN"/>
        </w:rPr>
        <w:t>130.64</w:t>
      </w:r>
      <w:r>
        <w:rPr>
          <w:rFonts w:hint="eastAsia" w:ascii="仿宋_GB2312"/>
          <w:bCs/>
          <w:color w:val="auto"/>
          <w:szCs w:val="28"/>
          <w:highlight w:val="none"/>
        </w:rPr>
        <w:t>万元，总资金执行率达</w:t>
      </w:r>
      <w:r>
        <w:rPr>
          <w:rFonts w:hint="eastAsia" w:ascii="仿宋_GB2312"/>
          <w:bCs/>
          <w:color w:val="auto"/>
          <w:szCs w:val="28"/>
          <w:highlight w:val="none"/>
          <w:lang w:val="en-US" w:eastAsia="zh-CN"/>
        </w:rPr>
        <w:t>95.75</w:t>
      </w:r>
      <w:r>
        <w:rPr>
          <w:rFonts w:hint="eastAsia" w:ascii="仿宋_GB2312"/>
          <w:bCs/>
          <w:color w:val="auto"/>
          <w:szCs w:val="28"/>
          <w:highlight w:val="none"/>
        </w:rPr>
        <w:t>%。</w:t>
      </w:r>
    </w:p>
    <w:p w14:paraId="29D2AD5E">
      <w:pPr>
        <w:spacing w:line="360" w:lineRule="auto"/>
        <w:ind w:firstLine="560"/>
        <w:rPr>
          <w:rFonts w:hint="eastAsia" w:ascii="仿宋_GB2312" w:eastAsia="仿宋_GB2312"/>
          <w:color w:val="auto"/>
          <w:highlight w:val="none"/>
          <w:lang w:eastAsia="zh-CN"/>
        </w:rPr>
      </w:pPr>
      <w:r>
        <w:rPr>
          <w:rFonts w:hint="eastAsia" w:ascii="仿宋_GB2312"/>
          <w:color w:val="auto"/>
          <w:highlight w:val="none"/>
        </w:rPr>
        <w:t>资金投入</w:t>
      </w:r>
      <w:r>
        <w:rPr>
          <w:rFonts w:hint="eastAsia" w:ascii="仿宋_GB2312"/>
          <w:color w:val="auto"/>
          <w:highlight w:val="none"/>
          <w:lang w:eastAsia="zh-CN"/>
        </w:rPr>
        <w:t>方向：</w:t>
      </w:r>
    </w:p>
    <w:p w14:paraId="2EE9BE99">
      <w:pPr>
        <w:spacing w:line="360" w:lineRule="auto"/>
        <w:ind w:firstLine="560"/>
        <w:rPr>
          <w:rFonts w:hint="eastAsia" w:ascii="仿宋_GB2312"/>
          <w:color w:val="auto"/>
          <w:highlight w:val="none"/>
          <w:lang w:val="en-US" w:eastAsia="zh-CN"/>
        </w:rPr>
      </w:pPr>
      <w:bookmarkStart w:id="6" w:name="_Toc67911603"/>
      <w:r>
        <w:rPr>
          <w:rFonts w:hint="eastAsia" w:ascii="仿宋_GB2312"/>
          <w:color w:val="auto"/>
          <w:highlight w:val="none"/>
        </w:rPr>
        <w:t>项目</w:t>
      </w:r>
      <w:r>
        <w:rPr>
          <w:rFonts w:hint="eastAsia" w:ascii="仿宋_GB2312"/>
          <w:color w:val="auto"/>
          <w:highlight w:val="none"/>
          <w:lang w:eastAsia="zh-CN"/>
        </w:rPr>
        <w:t>经费</w:t>
      </w:r>
      <w:r>
        <w:rPr>
          <w:rFonts w:hint="eastAsia" w:ascii="仿宋_GB2312"/>
          <w:color w:val="auto"/>
          <w:highlight w:val="none"/>
          <w:lang w:val="en-US" w:eastAsia="zh-CN"/>
        </w:rPr>
        <w:t>于支付第三方机构提供的环境检测服务，包括废气检测、废水检测、土壤检测、噪声检测等。根据</w:t>
      </w:r>
      <w:r>
        <w:rPr>
          <w:rFonts w:hint="eastAsia" w:ascii="仿宋_GB2312"/>
          <w:color w:val="auto"/>
          <w:highlight w:val="none"/>
        </w:rPr>
        <w:t>《新疆维吾尔自治区环境监测和技术有偿服务收费管理办法》</w:t>
      </w:r>
      <w:r>
        <w:rPr>
          <w:rFonts w:hint="eastAsia" w:ascii="仿宋_GB2312"/>
          <w:color w:val="auto"/>
          <w:highlight w:val="none"/>
          <w:lang w:eastAsia="zh-CN"/>
        </w:rPr>
        <w:t>，计算公式“总价=单点/单次因子（采样分析）价格×点位×频次+开机费用+人工费用”，按照工作实际如：</w:t>
      </w:r>
      <w:r>
        <w:rPr>
          <w:rFonts w:hint="eastAsia" w:ascii="仿宋_GB2312"/>
          <w:color w:val="auto"/>
          <w:highlight w:val="none"/>
          <w:lang w:val="en-US" w:eastAsia="zh-CN"/>
        </w:rPr>
        <w:t>A企业测大气（NOX，SO2，颗粒物）根据检测技术规范要求，该企业有3个排口，每个排口测四个点位，一个点位测3次。NOX，SO2</w:t>
      </w:r>
      <w:r>
        <w:rPr>
          <w:rFonts w:hint="eastAsia" w:ascii="仿宋_GB2312"/>
          <w:color w:val="auto"/>
          <w:highlight w:val="none"/>
        </w:rPr>
        <w:t>断面·项·次</w:t>
      </w:r>
      <w:r>
        <w:rPr>
          <w:rFonts w:hint="eastAsia" w:ascii="仿宋_GB2312"/>
          <w:color w:val="auto"/>
          <w:highlight w:val="none"/>
          <w:lang w:eastAsia="zh-CN"/>
        </w:rPr>
        <w:t>收费标准为</w:t>
      </w:r>
      <w:r>
        <w:rPr>
          <w:rFonts w:hint="eastAsia" w:ascii="仿宋_GB2312"/>
          <w:color w:val="auto"/>
          <w:highlight w:val="none"/>
        </w:rPr>
        <w:t>300</w:t>
      </w:r>
      <w:r>
        <w:rPr>
          <w:rFonts w:hint="eastAsia" w:ascii="仿宋_GB2312"/>
          <w:color w:val="auto"/>
          <w:highlight w:val="none"/>
          <w:lang w:eastAsia="zh-CN"/>
        </w:rPr>
        <w:t>元，颗粒物</w:t>
      </w:r>
      <w:r>
        <w:rPr>
          <w:rFonts w:hint="eastAsia" w:ascii="仿宋_GB2312"/>
          <w:color w:val="auto"/>
          <w:highlight w:val="none"/>
        </w:rPr>
        <w:t>点·次·项</w:t>
      </w:r>
      <w:r>
        <w:rPr>
          <w:rFonts w:hint="eastAsia" w:ascii="仿宋_GB2312"/>
          <w:color w:val="auto"/>
          <w:highlight w:val="none"/>
          <w:lang w:eastAsia="zh-CN"/>
        </w:rPr>
        <w:t>收费标准</w:t>
      </w:r>
      <w:r>
        <w:rPr>
          <w:rFonts w:hint="eastAsia" w:ascii="仿宋_GB2312"/>
          <w:color w:val="auto"/>
          <w:highlight w:val="none"/>
        </w:rPr>
        <w:t>50</w:t>
      </w:r>
      <w:r>
        <w:rPr>
          <w:rFonts w:hint="eastAsia" w:ascii="仿宋_GB2312"/>
          <w:color w:val="auto"/>
          <w:highlight w:val="none"/>
          <w:lang w:eastAsia="zh-CN"/>
        </w:rPr>
        <w:t>元，即总价</w:t>
      </w:r>
      <w:r>
        <w:rPr>
          <w:rFonts w:hint="eastAsia" w:ascii="仿宋_GB2312"/>
          <w:color w:val="auto"/>
          <w:highlight w:val="none"/>
          <w:lang w:val="en-US" w:eastAsia="zh-CN"/>
        </w:rPr>
        <w:t>=采样分析费用（300+300+50）×4×3+开机费用50+人工费用50=7900元。具体费用根据工作实际开展的水、气、土、噪声检测情况计算产生。</w:t>
      </w:r>
      <w:bookmarkEnd w:id="6"/>
    </w:p>
    <w:p w14:paraId="22D47D52">
      <w:pPr>
        <w:pStyle w:val="3"/>
        <w:ind w:firstLine="643"/>
        <w:rPr>
          <w:rFonts w:ascii="仿宋" w:hAnsi="仿宋" w:eastAsia="仿宋"/>
          <w:color w:val="auto"/>
          <w:highlight w:val="none"/>
          <w:lang w:bidi="en-US"/>
        </w:rPr>
      </w:pPr>
      <w:bookmarkStart w:id="7" w:name="_Toc27995"/>
      <w:r>
        <w:rPr>
          <w:rFonts w:hint="eastAsia" w:ascii="仿宋" w:hAnsi="仿宋" w:eastAsia="仿宋"/>
          <w:color w:val="auto"/>
          <w:highlight w:val="none"/>
          <w:lang w:bidi="en-US"/>
        </w:rPr>
        <w:t>（二）项目绩效目标：</w:t>
      </w:r>
      <w:bookmarkEnd w:id="7"/>
    </w:p>
    <w:p w14:paraId="2C2F41C5">
      <w:pPr>
        <w:spacing w:line="360" w:lineRule="auto"/>
        <w:rPr>
          <w:rFonts w:ascii="仿宋_GB2312" w:hAnsi="仿宋"/>
          <w:color w:val="auto"/>
          <w:szCs w:val="28"/>
          <w:highlight w:val="none"/>
        </w:rPr>
      </w:pPr>
      <w:r>
        <w:rPr>
          <w:rFonts w:hint="eastAsia" w:ascii="仿宋_GB2312" w:hAnsi="仿宋"/>
          <w:color w:val="auto"/>
          <w:szCs w:val="28"/>
          <w:highlight w:val="none"/>
        </w:rPr>
        <w:t>本项目依据《中共中央 国务院关于全面实施预算绩效管理的意见》（中发〔2018〕</w:t>
      </w:r>
      <w:r>
        <w:rPr>
          <w:rFonts w:ascii="仿宋_GB2312" w:hAnsi="仿宋"/>
          <w:color w:val="auto"/>
          <w:szCs w:val="28"/>
          <w:highlight w:val="none"/>
        </w:rPr>
        <w:t>34</w:t>
      </w:r>
      <w:r>
        <w:rPr>
          <w:rFonts w:hint="eastAsia" w:ascii="仿宋_GB2312" w:hAnsi="仿宋"/>
          <w:color w:val="auto"/>
          <w:szCs w:val="28"/>
          <w:highlight w:val="none"/>
        </w:rPr>
        <w:t>号）、《关于印发&lt;乌鲁木齐市本级部门预算绩效目标管理暂行办法</w:t>
      </w:r>
      <w:r>
        <w:rPr>
          <w:rFonts w:ascii="仿宋_GB2312" w:hAnsi="仿宋"/>
          <w:color w:val="auto"/>
          <w:szCs w:val="28"/>
          <w:highlight w:val="none"/>
        </w:rPr>
        <w:t>&gt;</w:t>
      </w:r>
      <w:r>
        <w:rPr>
          <w:rFonts w:hint="eastAsia" w:ascii="仿宋_GB2312" w:hAnsi="仿宋"/>
          <w:color w:val="auto"/>
          <w:szCs w:val="28"/>
          <w:highlight w:val="none"/>
        </w:rPr>
        <w:t>的通知》（乌财预</w:t>
      </w:r>
      <w:bookmarkStart w:id="8" w:name="_Hlk67566397"/>
      <w:r>
        <w:rPr>
          <w:rFonts w:hint="eastAsia" w:ascii="仿宋_GB2312" w:hAnsi="仿宋"/>
          <w:color w:val="auto"/>
          <w:szCs w:val="28"/>
          <w:highlight w:val="none"/>
        </w:rPr>
        <w:t>〔2018〕</w:t>
      </w:r>
      <w:r>
        <w:rPr>
          <w:rFonts w:ascii="仿宋_GB2312" w:hAnsi="仿宋"/>
          <w:color w:val="auto"/>
          <w:szCs w:val="28"/>
          <w:highlight w:val="none"/>
        </w:rPr>
        <w:t>5</w:t>
      </w:r>
      <w:r>
        <w:rPr>
          <w:rFonts w:hint="eastAsia" w:ascii="仿宋_GB2312" w:hAnsi="仿宋"/>
          <w:color w:val="auto"/>
          <w:szCs w:val="28"/>
          <w:highlight w:val="none"/>
        </w:rPr>
        <w:t>6号</w:t>
      </w:r>
      <w:bookmarkEnd w:id="8"/>
      <w:r>
        <w:rPr>
          <w:rFonts w:hint="eastAsia" w:ascii="仿宋_GB2312" w:hAnsi="仿宋"/>
          <w:color w:val="auto"/>
          <w:szCs w:val="28"/>
          <w:highlight w:val="none"/>
        </w:rPr>
        <w:t>）、《关于做好2</w:t>
      </w:r>
      <w:r>
        <w:rPr>
          <w:rFonts w:ascii="仿宋_GB2312" w:hAnsi="仿宋"/>
          <w:color w:val="auto"/>
          <w:szCs w:val="28"/>
          <w:highlight w:val="none"/>
        </w:rPr>
        <w:t>019</w:t>
      </w:r>
      <w:r>
        <w:rPr>
          <w:rFonts w:hint="eastAsia" w:ascii="仿宋_GB2312" w:hAnsi="仿宋"/>
          <w:color w:val="auto"/>
          <w:szCs w:val="28"/>
          <w:highlight w:val="none"/>
        </w:rPr>
        <w:t>年部门预算项目支出绩效目标管理有关事宜的通知》（乌财预〔20</w:t>
      </w:r>
      <w:r>
        <w:rPr>
          <w:rFonts w:ascii="仿宋_GB2312" w:hAnsi="仿宋"/>
          <w:color w:val="auto"/>
          <w:szCs w:val="28"/>
          <w:highlight w:val="none"/>
        </w:rPr>
        <w:t>18</w:t>
      </w:r>
      <w:r>
        <w:rPr>
          <w:rFonts w:hint="eastAsia" w:ascii="仿宋_GB2312" w:hAnsi="仿宋"/>
          <w:color w:val="auto"/>
          <w:szCs w:val="28"/>
          <w:highlight w:val="none"/>
        </w:rPr>
        <w:t>〕</w:t>
      </w:r>
      <w:r>
        <w:rPr>
          <w:rFonts w:ascii="仿宋_GB2312" w:hAnsi="仿宋"/>
          <w:color w:val="auto"/>
          <w:szCs w:val="28"/>
          <w:highlight w:val="none"/>
        </w:rPr>
        <w:t>76</w:t>
      </w:r>
      <w:r>
        <w:rPr>
          <w:rFonts w:hint="eastAsia" w:ascii="仿宋_GB2312" w:hAnsi="仿宋"/>
          <w:color w:val="auto"/>
          <w:szCs w:val="28"/>
          <w:highlight w:val="none"/>
        </w:rPr>
        <w:t>号）和《项目支出绩效评价管理办法》（财预〔20</w:t>
      </w:r>
      <w:r>
        <w:rPr>
          <w:rFonts w:ascii="仿宋_GB2312" w:hAnsi="仿宋"/>
          <w:color w:val="auto"/>
          <w:szCs w:val="28"/>
          <w:highlight w:val="none"/>
        </w:rPr>
        <w:t>20</w:t>
      </w:r>
      <w:r>
        <w:rPr>
          <w:rFonts w:hint="eastAsia" w:ascii="仿宋_GB2312" w:hAnsi="仿宋"/>
          <w:color w:val="auto"/>
          <w:szCs w:val="28"/>
          <w:highlight w:val="none"/>
        </w:rPr>
        <w:t>〕</w:t>
      </w:r>
      <w:r>
        <w:rPr>
          <w:rFonts w:ascii="仿宋_GB2312" w:hAnsi="仿宋"/>
          <w:color w:val="auto"/>
          <w:szCs w:val="28"/>
          <w:highlight w:val="none"/>
        </w:rPr>
        <w:t>10</w:t>
      </w:r>
      <w:r>
        <w:rPr>
          <w:rFonts w:hint="eastAsia" w:ascii="仿宋_GB2312" w:hAnsi="仿宋"/>
          <w:color w:val="auto"/>
          <w:szCs w:val="28"/>
          <w:highlight w:val="none"/>
        </w:rPr>
        <w:t>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p>
    <w:p w14:paraId="018AD7A4">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该项目</w:t>
      </w:r>
      <w:r>
        <w:rPr>
          <w:rFonts w:ascii="仿宋_GB2312" w:hAnsi="仿宋"/>
          <w:color w:val="auto"/>
          <w:szCs w:val="28"/>
          <w:highlight w:val="none"/>
        </w:rPr>
        <w:t>为经常性项目。</w:t>
      </w:r>
    </w:p>
    <w:p w14:paraId="11550532">
      <w:pPr>
        <w:spacing w:line="360" w:lineRule="auto"/>
        <w:ind w:firstLine="560"/>
        <w:rPr>
          <w:rFonts w:hint="eastAsia" w:ascii="仿宋_GB2312" w:hAnsi="仿宋"/>
          <w:color w:val="auto"/>
          <w:szCs w:val="28"/>
          <w:highlight w:val="none"/>
          <w:lang w:val="en-US" w:eastAsia="zh-CN"/>
        </w:rPr>
      </w:pPr>
      <w:r>
        <w:rPr>
          <w:rFonts w:hint="eastAsia" w:ascii="仿宋_GB2312" w:hAnsi="仿宋"/>
          <w:color w:val="auto"/>
          <w:szCs w:val="28"/>
          <w:highlight w:val="none"/>
        </w:rPr>
        <w:t>该项目总体绩效目标：</w:t>
      </w:r>
      <w:r>
        <w:rPr>
          <w:rFonts w:hint="eastAsia" w:ascii="仿宋_GB2312" w:hAnsi="仿宋"/>
          <w:color w:val="auto"/>
          <w:szCs w:val="28"/>
          <w:highlight w:val="none"/>
          <w:lang w:val="en-US" w:eastAsia="zh-CN"/>
        </w:rPr>
        <w:t>通过开展执法监测工作，</w:t>
      </w:r>
      <w:r>
        <w:rPr>
          <w:rFonts w:hint="default" w:ascii="仿宋_GB2312" w:hAnsi="仿宋"/>
          <w:color w:val="auto"/>
          <w:szCs w:val="28"/>
          <w:highlight w:val="none"/>
          <w:lang w:val="en-US" w:eastAsia="zh-CN"/>
        </w:rPr>
        <w:t>有效监管辖区</w:t>
      </w:r>
      <w:r>
        <w:rPr>
          <w:rFonts w:hint="eastAsia" w:ascii="仿宋_GB2312" w:hAnsi="仿宋"/>
          <w:color w:val="auto"/>
          <w:szCs w:val="28"/>
          <w:highlight w:val="none"/>
          <w:lang w:val="en-US" w:eastAsia="zh-CN"/>
        </w:rPr>
        <w:t>污染源</w:t>
      </w:r>
      <w:r>
        <w:rPr>
          <w:rFonts w:hint="default" w:ascii="仿宋_GB2312" w:hAnsi="仿宋"/>
          <w:color w:val="auto"/>
          <w:szCs w:val="28"/>
          <w:highlight w:val="none"/>
          <w:lang w:val="en-US" w:eastAsia="zh-CN"/>
        </w:rPr>
        <w:t>，切实掌握污染物排放情况，</w:t>
      </w:r>
      <w:r>
        <w:rPr>
          <w:rFonts w:hint="eastAsia" w:ascii="仿宋_GB2312" w:hAnsi="仿宋"/>
          <w:color w:val="auto"/>
          <w:szCs w:val="28"/>
          <w:highlight w:val="none"/>
          <w:lang w:val="en-US" w:eastAsia="zh-CN"/>
        </w:rPr>
        <w:t>做好</w:t>
      </w:r>
      <w:r>
        <w:rPr>
          <w:rFonts w:hint="default" w:ascii="仿宋_GB2312" w:hAnsi="仿宋"/>
          <w:color w:val="auto"/>
          <w:szCs w:val="28"/>
          <w:highlight w:val="none"/>
          <w:lang w:val="en-US" w:eastAsia="zh-CN"/>
        </w:rPr>
        <w:t>202</w:t>
      </w:r>
      <w:r>
        <w:rPr>
          <w:rFonts w:hint="eastAsia" w:ascii="仿宋_GB2312" w:hAnsi="仿宋"/>
          <w:color w:val="auto"/>
          <w:szCs w:val="28"/>
          <w:highlight w:val="none"/>
          <w:lang w:val="en-US" w:eastAsia="zh-CN"/>
        </w:rPr>
        <w:t>4</w:t>
      </w:r>
      <w:r>
        <w:rPr>
          <w:rFonts w:hint="default" w:ascii="仿宋_GB2312" w:hAnsi="仿宋"/>
          <w:color w:val="auto"/>
          <w:szCs w:val="28"/>
          <w:highlight w:val="none"/>
          <w:lang w:val="en-US" w:eastAsia="zh-CN"/>
        </w:rPr>
        <w:t>年</w:t>
      </w:r>
      <w:r>
        <w:rPr>
          <w:rFonts w:hint="eastAsia" w:ascii="仿宋_GB2312" w:hAnsi="仿宋"/>
          <w:color w:val="auto"/>
          <w:szCs w:val="28"/>
          <w:highlight w:val="none"/>
          <w:lang w:val="en-US" w:eastAsia="zh-CN"/>
        </w:rPr>
        <w:t>全市污染源</w:t>
      </w:r>
      <w:r>
        <w:rPr>
          <w:rFonts w:hint="default" w:ascii="仿宋_GB2312" w:hAnsi="仿宋"/>
          <w:color w:val="auto"/>
          <w:szCs w:val="28"/>
          <w:highlight w:val="none"/>
          <w:lang w:val="en-US" w:eastAsia="zh-CN"/>
        </w:rPr>
        <w:t>双随机</w:t>
      </w:r>
      <w:r>
        <w:rPr>
          <w:rFonts w:hint="eastAsia" w:ascii="仿宋_GB2312" w:hAnsi="仿宋"/>
          <w:color w:val="auto"/>
          <w:szCs w:val="28"/>
          <w:highlight w:val="none"/>
          <w:lang w:val="en-US" w:eastAsia="zh-CN"/>
        </w:rPr>
        <w:t>检查</w:t>
      </w:r>
      <w:r>
        <w:rPr>
          <w:rFonts w:hint="default" w:ascii="仿宋_GB2312" w:hAnsi="仿宋"/>
          <w:color w:val="auto"/>
          <w:szCs w:val="28"/>
          <w:highlight w:val="none"/>
          <w:lang w:val="en-US" w:eastAsia="zh-CN"/>
        </w:rPr>
        <w:t>、信访投诉</w:t>
      </w:r>
      <w:r>
        <w:rPr>
          <w:rFonts w:hint="eastAsia" w:ascii="仿宋_GB2312" w:hAnsi="仿宋"/>
          <w:color w:val="auto"/>
          <w:szCs w:val="28"/>
          <w:highlight w:val="none"/>
          <w:lang w:val="en-US" w:eastAsia="zh-CN"/>
        </w:rPr>
        <w:t>查处、执法专项行动等</w:t>
      </w:r>
      <w:r>
        <w:rPr>
          <w:rFonts w:hint="default" w:ascii="仿宋_GB2312" w:hAnsi="仿宋"/>
          <w:color w:val="auto"/>
          <w:szCs w:val="28"/>
          <w:highlight w:val="none"/>
          <w:lang w:val="en-US" w:eastAsia="zh-CN"/>
        </w:rPr>
        <w:t>执法工作的</w:t>
      </w:r>
      <w:r>
        <w:rPr>
          <w:rFonts w:hint="eastAsia" w:ascii="仿宋_GB2312" w:hAnsi="仿宋"/>
          <w:color w:val="auto"/>
          <w:szCs w:val="28"/>
          <w:highlight w:val="none"/>
          <w:lang w:val="en-US" w:eastAsia="zh-CN"/>
        </w:rPr>
        <w:t>技术支撑</w:t>
      </w:r>
      <w:r>
        <w:rPr>
          <w:rFonts w:hint="default" w:ascii="仿宋_GB2312" w:hAnsi="仿宋"/>
          <w:color w:val="auto"/>
          <w:szCs w:val="28"/>
          <w:highlight w:val="none"/>
          <w:lang w:val="en-US" w:eastAsia="zh-CN"/>
        </w:rPr>
        <w:t>，</w:t>
      </w:r>
      <w:r>
        <w:rPr>
          <w:rFonts w:hint="eastAsia" w:ascii="仿宋_GB2312" w:hAnsi="仿宋"/>
          <w:color w:val="auto"/>
          <w:szCs w:val="28"/>
          <w:highlight w:val="none"/>
          <w:lang w:val="en-US" w:eastAsia="zh-CN"/>
        </w:rPr>
        <w:t>检测内容包括废气、废水、噪声、土壤、污泥、烟气在线比对监测等。落实水、大气、土壤污染防治和生态文明建设工作，健全环境治理评估和监督机制，完善环境监管系统社会化运营模式，提高环境执法环境监测、监管能力和科研、信息化水平。</w:t>
      </w:r>
    </w:p>
    <w:p w14:paraId="3C4DEE1E">
      <w:pPr>
        <w:pStyle w:val="2"/>
        <w:ind w:firstLine="0" w:firstLineChars="0"/>
        <w:jc w:val="left"/>
        <w:rPr>
          <w:rFonts w:ascii="仿宋" w:hAnsi="仿宋" w:eastAsia="仿宋"/>
          <w:color w:val="auto"/>
          <w:sz w:val="36"/>
          <w:szCs w:val="36"/>
          <w:highlight w:val="none"/>
          <w:lang w:bidi="en-US"/>
        </w:rPr>
      </w:pPr>
      <w:bookmarkStart w:id="9" w:name="_Toc5488"/>
      <w:bookmarkStart w:id="10" w:name="_Toc67911604"/>
      <w:r>
        <w:rPr>
          <w:rFonts w:hint="eastAsia" w:ascii="仿宋" w:hAnsi="仿宋" w:eastAsia="仿宋"/>
          <w:color w:val="auto"/>
          <w:sz w:val="36"/>
          <w:szCs w:val="36"/>
          <w:highlight w:val="none"/>
          <w:lang w:bidi="en-US"/>
        </w:rPr>
        <w:t>二、绩效评价工作开展情况</w:t>
      </w:r>
      <w:bookmarkEnd w:id="9"/>
      <w:bookmarkEnd w:id="10"/>
    </w:p>
    <w:p w14:paraId="647BF75E">
      <w:pPr>
        <w:pStyle w:val="3"/>
        <w:ind w:firstLine="643"/>
        <w:rPr>
          <w:rFonts w:ascii="仿宋" w:hAnsi="仿宋" w:eastAsia="仿宋"/>
          <w:color w:val="auto"/>
          <w:highlight w:val="none"/>
          <w:lang w:bidi="en-US"/>
        </w:rPr>
      </w:pPr>
      <w:bookmarkStart w:id="11" w:name="_Toc4544"/>
      <w:bookmarkStart w:id="12" w:name="_Toc67911605"/>
      <w:r>
        <w:rPr>
          <w:rFonts w:hint="eastAsia" w:ascii="仿宋" w:hAnsi="仿宋" w:eastAsia="仿宋"/>
          <w:color w:val="auto"/>
          <w:highlight w:val="none"/>
          <w:lang w:bidi="en-US"/>
        </w:rPr>
        <w:t>（一）绩效评价目的、对象和范围</w:t>
      </w:r>
      <w:bookmarkEnd w:id="11"/>
      <w:bookmarkEnd w:id="12"/>
    </w:p>
    <w:p w14:paraId="58FE773B">
      <w:pPr>
        <w:pStyle w:val="4"/>
        <w:ind w:firstLine="643"/>
        <w:rPr>
          <w:color w:val="auto"/>
          <w:highlight w:val="none"/>
        </w:rPr>
      </w:pPr>
      <w:bookmarkStart w:id="13" w:name="_Toc15127"/>
      <w:r>
        <w:rPr>
          <w:rFonts w:hint="eastAsia"/>
          <w:color w:val="auto"/>
          <w:highlight w:val="none"/>
        </w:rPr>
        <w:t>1</w:t>
      </w:r>
      <w:r>
        <w:rPr>
          <w:color w:val="auto"/>
          <w:highlight w:val="none"/>
        </w:rPr>
        <w:t>.绩效评价完整性</w:t>
      </w:r>
      <w:bookmarkEnd w:id="13"/>
    </w:p>
    <w:p w14:paraId="0EBC6822">
      <w:pPr>
        <w:spacing w:line="360" w:lineRule="auto"/>
        <w:ind w:firstLine="548" w:firstLineChars="196"/>
        <w:rPr>
          <w:rFonts w:ascii="仿宋_GB2312"/>
          <w:bCs/>
          <w:color w:val="auto"/>
          <w:szCs w:val="28"/>
          <w:highlight w:val="none"/>
        </w:rPr>
      </w:pPr>
      <w:r>
        <w:rPr>
          <w:rFonts w:hint="eastAsia" w:ascii="仿宋_GB2312"/>
          <w:bCs/>
          <w:color w:val="auto"/>
          <w:szCs w:val="28"/>
          <w:highlight w:val="none"/>
        </w:rPr>
        <w:t>本项目的实施</w:t>
      </w:r>
      <w:r>
        <w:rPr>
          <w:rFonts w:hint="eastAsia" w:ascii="仿宋_GB2312" w:hAnsi="仿宋"/>
          <w:color w:val="auto"/>
          <w:szCs w:val="28"/>
          <w:highlight w:val="none"/>
          <w:lang w:val="en-US" w:eastAsia="zh-CN"/>
        </w:rPr>
        <w:t>全市污染源</w:t>
      </w:r>
      <w:r>
        <w:rPr>
          <w:rFonts w:hint="default" w:ascii="仿宋_GB2312" w:hAnsi="仿宋"/>
          <w:color w:val="auto"/>
          <w:szCs w:val="28"/>
          <w:highlight w:val="none"/>
          <w:lang w:val="en-US" w:eastAsia="zh-CN"/>
        </w:rPr>
        <w:t>双随机</w:t>
      </w:r>
      <w:r>
        <w:rPr>
          <w:rFonts w:hint="eastAsia" w:ascii="仿宋_GB2312" w:hAnsi="仿宋"/>
          <w:color w:val="auto"/>
          <w:szCs w:val="28"/>
          <w:highlight w:val="none"/>
          <w:lang w:val="en-US" w:eastAsia="zh-CN"/>
        </w:rPr>
        <w:t>检查</w:t>
      </w:r>
      <w:r>
        <w:rPr>
          <w:rFonts w:hint="default" w:ascii="仿宋_GB2312" w:hAnsi="仿宋"/>
          <w:color w:val="auto"/>
          <w:szCs w:val="28"/>
          <w:highlight w:val="none"/>
          <w:lang w:val="en-US" w:eastAsia="zh-CN"/>
        </w:rPr>
        <w:t>、信访投诉</w:t>
      </w:r>
      <w:r>
        <w:rPr>
          <w:rFonts w:hint="eastAsia" w:ascii="仿宋_GB2312" w:hAnsi="仿宋"/>
          <w:color w:val="auto"/>
          <w:szCs w:val="28"/>
          <w:highlight w:val="none"/>
          <w:lang w:val="en-US" w:eastAsia="zh-CN"/>
        </w:rPr>
        <w:t>查处、执法专项行动等</w:t>
      </w:r>
      <w:r>
        <w:rPr>
          <w:rFonts w:hint="default" w:ascii="仿宋_GB2312" w:hAnsi="仿宋"/>
          <w:color w:val="auto"/>
          <w:szCs w:val="28"/>
          <w:highlight w:val="none"/>
          <w:lang w:val="en-US" w:eastAsia="zh-CN"/>
        </w:rPr>
        <w:t>执法工作的</w:t>
      </w:r>
      <w:r>
        <w:rPr>
          <w:rFonts w:hint="eastAsia" w:ascii="仿宋_GB2312" w:hAnsi="仿宋"/>
          <w:color w:val="auto"/>
          <w:szCs w:val="28"/>
          <w:highlight w:val="none"/>
          <w:lang w:val="en-US" w:eastAsia="zh-CN"/>
        </w:rPr>
        <w:t>技术支撑</w:t>
      </w:r>
      <w:r>
        <w:rPr>
          <w:rFonts w:hint="eastAsia" w:ascii="仿宋_GB2312"/>
          <w:bCs/>
          <w:color w:val="auto"/>
          <w:szCs w:val="28"/>
          <w:highlight w:val="none"/>
        </w:rPr>
        <w:t>，能够在一定程度上揭示</w:t>
      </w:r>
      <w:r>
        <w:rPr>
          <w:rFonts w:hint="eastAsia" w:ascii="仿宋_GB2312"/>
          <w:bCs/>
          <w:color w:val="auto"/>
          <w:szCs w:val="28"/>
          <w:highlight w:val="none"/>
          <w:lang w:eastAsia="zh-CN"/>
        </w:rPr>
        <w:t>乌鲁木齐市重点排污单位监管工作</w:t>
      </w:r>
      <w:r>
        <w:rPr>
          <w:rFonts w:hint="eastAsia" w:ascii="仿宋_GB2312"/>
          <w:bCs/>
          <w:color w:val="auto"/>
          <w:szCs w:val="28"/>
          <w:highlight w:val="none"/>
        </w:rPr>
        <w:t>当前面临的一些问题，并为后续</w:t>
      </w:r>
      <w:r>
        <w:rPr>
          <w:rFonts w:hint="eastAsia" w:ascii="仿宋_GB2312"/>
          <w:bCs/>
          <w:color w:val="auto"/>
          <w:szCs w:val="28"/>
          <w:highlight w:val="none"/>
          <w:lang w:eastAsia="zh-CN"/>
        </w:rPr>
        <w:t>重点排污单位监管</w:t>
      </w:r>
      <w:r>
        <w:rPr>
          <w:rFonts w:hint="eastAsia" w:ascii="仿宋_GB2312"/>
          <w:bCs/>
          <w:color w:val="auto"/>
          <w:szCs w:val="28"/>
          <w:highlight w:val="none"/>
        </w:rPr>
        <w:t>提供基础数据。评价指标体系中对项目各项重点工作、完成时限、指标达标均做出要求，通过绩效评价指标体系可以完整地体现。</w:t>
      </w:r>
    </w:p>
    <w:p w14:paraId="24059F34">
      <w:pPr>
        <w:spacing w:line="360" w:lineRule="auto"/>
        <w:ind w:firstLine="548" w:firstLineChars="196"/>
        <w:rPr>
          <w:rFonts w:hint="eastAsia" w:ascii="仿宋_GB2312"/>
          <w:bCs/>
          <w:color w:val="auto"/>
          <w:szCs w:val="28"/>
          <w:highlight w:val="none"/>
        </w:rPr>
      </w:pPr>
      <w:r>
        <w:rPr>
          <w:rFonts w:hint="eastAsia" w:ascii="仿宋_GB2312"/>
          <w:bCs/>
          <w:color w:val="auto"/>
          <w:szCs w:val="28"/>
          <w:highlight w:val="none"/>
        </w:rPr>
        <w:t>同时本项目绩效指标体系中以委托第三方开展监测类别、</w:t>
      </w:r>
      <w:r>
        <w:rPr>
          <w:rFonts w:hint="eastAsia" w:ascii="仿宋_GB2312"/>
          <w:bCs/>
          <w:color w:val="auto"/>
          <w:szCs w:val="28"/>
          <w:highlight w:val="none"/>
          <w:lang w:val="en-US" w:eastAsia="zh-CN"/>
        </w:rPr>
        <w:t>覆盖生态环境检查区域</w:t>
      </w:r>
      <w:r>
        <w:rPr>
          <w:rFonts w:hint="eastAsia" w:ascii="仿宋_GB2312"/>
          <w:bCs/>
          <w:color w:val="auto"/>
          <w:szCs w:val="28"/>
          <w:highlight w:val="none"/>
        </w:rPr>
        <w:t>、</w:t>
      </w:r>
      <w:r>
        <w:rPr>
          <w:rFonts w:hint="eastAsia" w:ascii="仿宋_GB2312"/>
          <w:bCs/>
          <w:color w:val="auto"/>
          <w:szCs w:val="28"/>
          <w:highlight w:val="none"/>
          <w:lang w:val="en-US" w:eastAsia="zh-CN"/>
        </w:rPr>
        <w:t>重点排污单位抽测次数</w:t>
      </w:r>
      <w:r>
        <w:rPr>
          <w:rFonts w:hint="eastAsia" w:ascii="仿宋_GB2312"/>
          <w:bCs/>
          <w:color w:val="auto"/>
          <w:szCs w:val="28"/>
          <w:highlight w:val="none"/>
        </w:rPr>
        <w:t>、</w:t>
      </w:r>
      <w:r>
        <w:rPr>
          <w:rFonts w:hint="eastAsia" w:ascii="仿宋_GB2312"/>
          <w:bCs/>
          <w:color w:val="auto"/>
          <w:szCs w:val="28"/>
          <w:highlight w:val="none"/>
          <w:lang w:val="en-US" w:eastAsia="zh-CN"/>
        </w:rPr>
        <w:t>委托第三方开展环境执法监测数量、检测结果准确率</w:t>
      </w:r>
      <w:r>
        <w:rPr>
          <w:rFonts w:hint="eastAsia" w:ascii="仿宋_GB2312"/>
          <w:bCs/>
          <w:color w:val="auto"/>
          <w:szCs w:val="28"/>
          <w:highlight w:val="none"/>
        </w:rPr>
        <w:t>、</w:t>
      </w:r>
      <w:r>
        <w:rPr>
          <w:rFonts w:hint="default" w:ascii="仿宋_GB2312"/>
          <w:bCs/>
          <w:color w:val="auto"/>
          <w:szCs w:val="28"/>
          <w:highlight w:val="none"/>
          <w:lang w:val="en-US" w:eastAsia="zh-CN"/>
        </w:rPr>
        <w:t>“</w:t>
      </w:r>
      <w:r>
        <w:rPr>
          <w:rFonts w:hint="eastAsia" w:ascii="仿宋_GB2312"/>
          <w:bCs/>
          <w:color w:val="auto"/>
          <w:szCs w:val="28"/>
          <w:highlight w:val="none"/>
          <w:lang w:val="en-US" w:eastAsia="zh-CN"/>
        </w:rPr>
        <w:t>双随机 一公开”及时率、检测报告出具及时率</w:t>
      </w:r>
      <w:r>
        <w:rPr>
          <w:rFonts w:hint="eastAsia" w:ascii="仿宋_GB2312"/>
          <w:bCs/>
          <w:color w:val="auto"/>
          <w:szCs w:val="28"/>
          <w:highlight w:val="none"/>
        </w:rPr>
        <w:t>6项产出指标；为全市大气、水、土壤污染防治行动计划实施提供基础依据</w:t>
      </w:r>
      <w:r>
        <w:rPr>
          <w:rFonts w:hint="eastAsia" w:ascii="仿宋_GB2312"/>
          <w:bCs/>
          <w:color w:val="auto"/>
          <w:szCs w:val="28"/>
          <w:highlight w:val="none"/>
          <w:lang w:val="en-US" w:eastAsia="zh-CN"/>
        </w:rPr>
        <w:t>1项效益指标</w:t>
      </w:r>
      <w:r>
        <w:rPr>
          <w:rFonts w:hint="eastAsia" w:ascii="仿宋_GB2312"/>
          <w:bCs/>
          <w:color w:val="auto"/>
          <w:szCs w:val="28"/>
          <w:highlight w:val="none"/>
        </w:rPr>
        <w:t>均能体现项目计划和执行过程完整明晰。</w:t>
      </w:r>
    </w:p>
    <w:p w14:paraId="059D56B2">
      <w:pPr>
        <w:spacing w:line="360" w:lineRule="auto"/>
        <w:ind w:firstLine="548" w:firstLineChars="196"/>
        <w:rPr>
          <w:rFonts w:hint="eastAsia" w:ascii="仿宋_GB2312"/>
          <w:bCs/>
          <w:color w:val="auto"/>
          <w:szCs w:val="28"/>
          <w:highlight w:val="none"/>
        </w:rPr>
      </w:pPr>
      <w:r>
        <w:rPr>
          <w:rFonts w:hint="eastAsia" w:ascii="仿宋_GB2312"/>
          <w:bCs/>
          <w:color w:val="auto"/>
          <w:szCs w:val="28"/>
          <w:highlight w:val="none"/>
        </w:rPr>
        <w:t>该项目通过项目合同、绩效完成情况、项目实施情况、</w:t>
      </w:r>
      <w:r>
        <w:rPr>
          <w:rFonts w:hint="eastAsia" w:ascii="仿宋_GB2312"/>
          <w:bCs/>
          <w:color w:val="auto"/>
          <w:szCs w:val="28"/>
          <w:highlight w:val="none"/>
          <w:lang w:eastAsia="zh-CN"/>
        </w:rPr>
        <w:t>检测报告明细</w:t>
      </w:r>
      <w:r>
        <w:rPr>
          <w:rFonts w:hint="eastAsia" w:ascii="仿宋_GB2312"/>
          <w:bCs/>
          <w:color w:val="auto"/>
          <w:szCs w:val="28"/>
          <w:highlight w:val="none"/>
        </w:rPr>
        <w:t>、支付发票等佐证材料可有效获取并监控，确保数据准确性和完整性。</w:t>
      </w:r>
    </w:p>
    <w:p w14:paraId="25D6262F">
      <w:pPr>
        <w:pStyle w:val="4"/>
        <w:ind w:firstLine="643"/>
        <w:rPr>
          <w:color w:val="auto"/>
          <w:highlight w:val="none"/>
        </w:rPr>
      </w:pPr>
      <w:bookmarkStart w:id="14" w:name="_Toc12401"/>
      <w:r>
        <w:rPr>
          <w:color w:val="auto"/>
          <w:highlight w:val="none"/>
        </w:rPr>
        <w:t>2</w:t>
      </w:r>
      <w:r>
        <w:rPr>
          <w:rFonts w:hint="eastAsia"/>
          <w:color w:val="auto"/>
          <w:highlight w:val="none"/>
        </w:rPr>
        <w:t>.评价目的</w:t>
      </w:r>
      <w:bookmarkEnd w:id="14"/>
    </w:p>
    <w:p w14:paraId="0CFF4354">
      <w:pPr>
        <w:spacing w:line="360" w:lineRule="auto"/>
        <w:ind w:firstLine="560"/>
        <w:rPr>
          <w:rFonts w:ascii="仿宋_GB2312"/>
          <w:color w:val="auto"/>
          <w:highlight w:val="none"/>
        </w:rPr>
      </w:pPr>
      <w:r>
        <w:rPr>
          <w:rFonts w:hint="eastAsia" w:ascii="仿宋_GB2312"/>
          <w:color w:val="auto"/>
          <w:highlight w:val="none"/>
        </w:rPr>
        <w:t>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环境运行监测和冬季大气污染防治工作经费</w:t>
      </w:r>
      <w:r>
        <w:rPr>
          <w:rFonts w:hint="eastAsia" w:ascii="仿宋_GB2312"/>
          <w:color w:val="auto"/>
          <w:highlight w:val="none"/>
          <w:lang w:eastAsia="zh-CN"/>
        </w:rPr>
        <w:t>项目</w:t>
      </w:r>
      <w:r>
        <w:rPr>
          <w:rFonts w:hint="eastAsia" w:ascii="仿宋_GB2312"/>
          <w:color w:val="auto"/>
          <w:highlight w:val="none"/>
        </w:rPr>
        <w:t>实施情况，并考察项目实施过程和效果。</w:t>
      </w:r>
    </w:p>
    <w:p w14:paraId="6C5A6DCB">
      <w:pPr>
        <w:spacing w:line="360" w:lineRule="auto"/>
        <w:rPr>
          <w:rFonts w:ascii="仿宋_GB2312"/>
          <w:b/>
          <w:bCs/>
          <w:color w:val="auto"/>
          <w:highlight w:val="none"/>
        </w:rPr>
      </w:pPr>
      <w:r>
        <w:rPr>
          <w:rFonts w:hint="eastAsia" w:ascii="仿宋_GB2312"/>
          <w:color w:val="auto"/>
          <w:highlight w:val="none"/>
        </w:rPr>
        <w:t>（2）通过评价，客观公正反映项目立项科学性、项目管理规范性、项目实施有效性和项目效果，总结项目实施的经验，发现项目实施过程中存在的问题，提高财政资金使用效益。</w:t>
      </w:r>
    </w:p>
    <w:p w14:paraId="68921E49">
      <w:pPr>
        <w:pStyle w:val="4"/>
        <w:ind w:firstLine="643"/>
        <w:rPr>
          <w:color w:val="auto"/>
          <w:highlight w:val="none"/>
        </w:rPr>
      </w:pPr>
      <w:bookmarkStart w:id="15" w:name="_Toc22450"/>
      <w:r>
        <w:rPr>
          <w:color w:val="auto"/>
          <w:highlight w:val="none"/>
        </w:rPr>
        <w:t>3</w:t>
      </w:r>
      <w:r>
        <w:rPr>
          <w:rFonts w:hint="eastAsia"/>
          <w:color w:val="auto"/>
          <w:highlight w:val="none"/>
        </w:rPr>
        <w:t>.评价对象</w:t>
      </w:r>
      <w:bookmarkEnd w:id="15"/>
    </w:p>
    <w:p w14:paraId="1B5E26BC">
      <w:pPr>
        <w:spacing w:line="360" w:lineRule="auto"/>
        <w:ind w:firstLine="560"/>
        <w:rPr>
          <w:rFonts w:ascii="仿宋_GB2312"/>
          <w:color w:val="auto"/>
          <w:highlight w:val="none"/>
        </w:rPr>
      </w:pPr>
      <w:r>
        <w:rPr>
          <w:rFonts w:hint="eastAsia" w:ascii="仿宋_GB2312"/>
          <w:color w:val="auto"/>
          <w:highlight w:val="none"/>
        </w:rPr>
        <w:t>（1）绩效评价的对象：环境运行监测和冬季大气污染防治工作经费</w:t>
      </w:r>
      <w:r>
        <w:rPr>
          <w:rFonts w:hint="eastAsia" w:ascii="仿宋_GB2312"/>
          <w:color w:val="auto"/>
          <w:highlight w:val="none"/>
          <w:lang w:eastAsia="zh-CN"/>
        </w:rPr>
        <w:t>项目</w:t>
      </w:r>
      <w:r>
        <w:rPr>
          <w:rFonts w:hint="eastAsia" w:ascii="仿宋_GB2312"/>
          <w:color w:val="auto"/>
          <w:highlight w:val="none"/>
        </w:rPr>
        <w:t xml:space="preserve"> </w:t>
      </w:r>
      <w:r>
        <w:rPr>
          <w:rFonts w:ascii="仿宋_GB2312"/>
          <w:color w:val="auto"/>
          <w:highlight w:val="none"/>
        </w:rPr>
        <w:t xml:space="preserve"> </w:t>
      </w:r>
    </w:p>
    <w:p w14:paraId="41EC3927">
      <w:pPr>
        <w:pStyle w:val="4"/>
        <w:ind w:firstLine="643"/>
        <w:rPr>
          <w:color w:val="auto"/>
          <w:highlight w:val="none"/>
        </w:rPr>
      </w:pPr>
      <w:bookmarkStart w:id="16" w:name="_Toc31153"/>
      <w:r>
        <w:rPr>
          <w:rFonts w:hint="eastAsia"/>
          <w:color w:val="auto"/>
          <w:highlight w:val="none"/>
        </w:rPr>
        <w:t>4</w:t>
      </w:r>
      <w:r>
        <w:rPr>
          <w:color w:val="auto"/>
          <w:highlight w:val="none"/>
        </w:rPr>
        <w:t>.</w:t>
      </w:r>
      <w:r>
        <w:rPr>
          <w:rFonts w:hint="eastAsia"/>
          <w:color w:val="auto"/>
          <w:highlight w:val="none"/>
        </w:rPr>
        <w:t>绩效评价范围</w:t>
      </w:r>
      <w:bookmarkEnd w:id="16"/>
    </w:p>
    <w:p w14:paraId="60FD2CB1">
      <w:pPr>
        <w:spacing w:line="360" w:lineRule="auto"/>
        <w:ind w:firstLine="560"/>
        <w:rPr>
          <w:rFonts w:ascii="仿宋_GB2312"/>
          <w:color w:val="auto"/>
          <w:highlight w:val="none"/>
        </w:rPr>
      </w:pPr>
      <w:r>
        <w:rPr>
          <w:rFonts w:ascii="仿宋_GB2312"/>
          <w:color w:val="auto"/>
          <w:highlight w:val="none"/>
        </w:rPr>
        <w:t>1.</w:t>
      </w:r>
      <w:r>
        <w:rPr>
          <w:rFonts w:hint="eastAsia" w:ascii="仿宋_GB2312"/>
          <w:color w:val="auto"/>
          <w:highlight w:val="none"/>
        </w:rPr>
        <w:t>时间范围：2024年1月1日至2024年1</w:t>
      </w:r>
      <w:r>
        <w:rPr>
          <w:rFonts w:ascii="仿宋_GB2312"/>
          <w:color w:val="auto"/>
          <w:highlight w:val="none"/>
        </w:rPr>
        <w:t>2</w:t>
      </w:r>
      <w:r>
        <w:rPr>
          <w:rFonts w:hint="eastAsia" w:ascii="仿宋_GB2312"/>
          <w:color w:val="auto"/>
          <w:highlight w:val="none"/>
        </w:rPr>
        <w:t>月3</w:t>
      </w:r>
      <w:r>
        <w:rPr>
          <w:rFonts w:ascii="仿宋_GB2312"/>
          <w:color w:val="auto"/>
          <w:highlight w:val="none"/>
        </w:rPr>
        <w:t>1</w:t>
      </w:r>
      <w:r>
        <w:rPr>
          <w:rFonts w:hint="eastAsia" w:ascii="仿宋_GB2312"/>
          <w:color w:val="auto"/>
          <w:highlight w:val="none"/>
        </w:rPr>
        <w:t>日。</w:t>
      </w:r>
    </w:p>
    <w:p w14:paraId="670FFBB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color w:val="auto"/>
          <w:highlight w:val="none"/>
          <w:lang w:val="en-US" w:eastAsia="zh-CN"/>
        </w:rPr>
      </w:pPr>
      <w:r>
        <w:rPr>
          <w:rFonts w:ascii="仿宋_GB2312"/>
          <w:color w:val="auto"/>
          <w:highlight w:val="none"/>
        </w:rPr>
        <w:t>2.</w:t>
      </w:r>
      <w:r>
        <w:rPr>
          <w:rFonts w:hint="eastAsia" w:ascii="仿宋_GB2312"/>
          <w:color w:val="auto"/>
          <w:highlight w:val="none"/>
        </w:rPr>
        <w:t>项目范围：</w:t>
      </w:r>
      <w:r>
        <w:rPr>
          <w:rFonts w:hint="eastAsia" w:ascii="仿宋_GB2312"/>
          <w:color w:val="auto"/>
          <w:highlight w:val="none"/>
          <w:lang w:val="en-US" w:eastAsia="zh-CN"/>
        </w:rPr>
        <w:t>乌鲁木齐市生态环境保护综合行政执法支队《2024年环境运行监测和冬季大气污染防治工作经费》项目，</w:t>
      </w:r>
      <w:r>
        <w:rPr>
          <w:rFonts w:hint="eastAsia" w:ascii="仿宋_GB2312"/>
          <w:color w:val="auto"/>
          <w:highlight w:val="none"/>
        </w:rPr>
        <w:t>按照</w:t>
      </w:r>
      <w:r>
        <w:rPr>
          <w:rFonts w:hint="eastAsia" w:ascii="仿宋_GB2312"/>
          <w:color w:val="auto"/>
          <w:highlight w:val="none"/>
          <w:lang w:val="en-US" w:eastAsia="zh-CN"/>
        </w:rPr>
        <w:t>市生态环境局《关于印发＜2024年乌鲁木齐市生态环境监测工作方案＞的通知》工作要求，市支队</w:t>
      </w:r>
      <w:r>
        <w:rPr>
          <w:rFonts w:hint="eastAsia" w:ascii="仿宋_GB2312"/>
          <w:color w:val="auto"/>
          <w:highlight w:val="none"/>
          <w:lang w:eastAsia="zh-CN"/>
        </w:rPr>
        <w:t>认真组织开展</w:t>
      </w:r>
      <w:r>
        <w:rPr>
          <w:rFonts w:hint="eastAsia" w:ascii="仿宋_GB2312"/>
          <w:color w:val="auto"/>
          <w:highlight w:val="none"/>
          <w:lang w:val="en-US" w:eastAsia="zh-CN"/>
        </w:rPr>
        <w:t>重点污染源执法监测工作执法稽查科根据群众信访投诉、局监测科下达执法监测方案、各区（县）分局（大队）执法监测需求、上级推送线索等工作内容，协调区（县）分局（大队）执法人员现场执法监测，协调第三方环境保护服务机构派人员现场采样及分析出具报告。第三方环境保护服务机构严格按照环境监测技术规范要求开展现场采样，做好样品采集、保存、运输、保存数据原始记录，分析样品及出具合格的检测报告按照法律法规为环境执法提供依据。执法人员负责现场执法检查，做好现场取证和相关笔录，依法依规处理环境违法问题。通过委托第三方单位进行有组织废气监测、无组织环境空气检测、水质样品检测、水在线比对、信访投诉噪声及异味检测、污泥、土壤污染检测及煤质检测等。提高环境监管能力，加大环保执法力度，开展环境执法检查专项治理行动，达到改善首府大气污染，提升首府空气、水质等质量，提升公众幸福感。项目中主要经验总结：协调区（县）分局（大队）执法人员现场执法监测，协调第三方环境保护服务机构派人员现场采样及分析出具合格的检测报告按照法律法规为环境执法提供依据。实现环境效益与执法效能双提升。项目存在的主要问题：重点排污单位检测涉及类别较多，导致重点排污单位检测次数增加。原因分析：依据新修订的《生态环境行政处罚办法》第二十九条第一款规定，“生态环境主管部门现场检查时，可以按照相关技术规范要求现场采样，获取的监测（检测）数据可以作为认定案件事实的证据。”此款对执法监测提出要求。根据最新要求检测频次、点位均有增加。根据往年执法检测工作实际及第三方收费标准，在制定检测之前做好预算工作，合理分配入河排污口、重点污染源、燃气锅炉、</w:t>
      </w:r>
      <w:r>
        <w:rPr>
          <w:rFonts w:hint="default" w:ascii="仿宋_GB2312"/>
          <w:color w:val="auto"/>
          <w:highlight w:val="none"/>
          <w:lang w:val="en-US" w:eastAsia="zh-CN"/>
        </w:rPr>
        <w:t>信访投诉</w:t>
      </w:r>
      <w:r>
        <w:rPr>
          <w:rFonts w:hint="eastAsia" w:ascii="仿宋_GB2312"/>
          <w:color w:val="auto"/>
          <w:highlight w:val="none"/>
          <w:lang w:val="en-US" w:eastAsia="zh-CN"/>
        </w:rPr>
        <w:t>、日常执法预算，资源合理调配应对应急执法检测，保障全年度执法检测工作顺利开展。结合项目各项指标完成情况及成果产出情况，对本项目开展合理评价，评价结论为优。</w:t>
      </w:r>
    </w:p>
    <w:p w14:paraId="0FCFE5F3">
      <w:pPr>
        <w:pStyle w:val="3"/>
        <w:ind w:firstLine="643"/>
        <w:rPr>
          <w:rFonts w:ascii="仿宋" w:hAnsi="仿宋" w:eastAsia="仿宋"/>
          <w:color w:val="auto"/>
          <w:highlight w:val="none"/>
          <w:lang w:bidi="en-US"/>
        </w:rPr>
      </w:pPr>
      <w:bookmarkStart w:id="17" w:name="_Hlk67586765"/>
      <w:bookmarkStart w:id="18" w:name="_Toc865"/>
      <w:bookmarkStart w:id="19" w:name="_Toc67911606"/>
      <w:r>
        <w:rPr>
          <w:rFonts w:hint="eastAsia" w:ascii="仿宋" w:hAnsi="仿宋" w:eastAsia="仿宋"/>
          <w:color w:val="auto"/>
          <w:highlight w:val="none"/>
          <w:lang w:bidi="en-US"/>
        </w:rPr>
        <w:t>（二）绩效评价原则、指标体系、方法及标准</w:t>
      </w:r>
      <w:bookmarkEnd w:id="17"/>
      <w:bookmarkEnd w:id="18"/>
      <w:bookmarkEnd w:id="19"/>
    </w:p>
    <w:p w14:paraId="509E0000">
      <w:pPr>
        <w:pStyle w:val="4"/>
        <w:ind w:firstLine="643"/>
        <w:rPr>
          <w:color w:val="auto"/>
          <w:highlight w:val="none"/>
        </w:rPr>
      </w:pPr>
      <w:bookmarkStart w:id="20" w:name="_Toc12922"/>
      <w:r>
        <w:rPr>
          <w:rFonts w:hint="eastAsia"/>
          <w:color w:val="auto"/>
          <w:highlight w:val="none"/>
        </w:rPr>
        <w:t>1</w:t>
      </w:r>
      <w:r>
        <w:rPr>
          <w:color w:val="auto"/>
          <w:highlight w:val="none"/>
        </w:rPr>
        <w:t>.</w:t>
      </w:r>
      <w:r>
        <w:rPr>
          <w:rFonts w:hint="eastAsia"/>
          <w:color w:val="auto"/>
          <w:highlight w:val="none"/>
        </w:rPr>
        <w:t>评价原则</w:t>
      </w:r>
      <w:bookmarkEnd w:id="20"/>
    </w:p>
    <w:p w14:paraId="76BCE6E8">
      <w:pPr>
        <w:spacing w:line="600" w:lineRule="exact"/>
        <w:ind w:firstLine="640"/>
        <w:rPr>
          <w:rFonts w:ascii="仿宋_GB2312"/>
          <w:bCs/>
          <w:color w:val="auto"/>
          <w:sz w:val="32"/>
          <w:szCs w:val="32"/>
          <w:highlight w:val="none"/>
        </w:rPr>
      </w:pPr>
      <w:r>
        <w:rPr>
          <w:rFonts w:hint="eastAsia" w:ascii="仿宋_GB2312"/>
          <w:bCs/>
          <w:color w:val="auto"/>
          <w:sz w:val="32"/>
          <w:szCs w:val="32"/>
          <w:highlight w:val="none"/>
        </w:rPr>
        <w:t>（一）科学公正。绩效评价应当运用科学合理的方法，按照规范的程序，对项目绩效进行客观、公正的反映。</w:t>
      </w:r>
    </w:p>
    <w:p w14:paraId="49D1F6FA">
      <w:pPr>
        <w:spacing w:line="600" w:lineRule="exact"/>
        <w:ind w:firstLine="640"/>
        <w:rPr>
          <w:rFonts w:ascii="仿宋_GB2312"/>
          <w:bCs/>
          <w:color w:val="auto"/>
          <w:sz w:val="32"/>
          <w:szCs w:val="32"/>
          <w:highlight w:val="none"/>
        </w:rPr>
      </w:pPr>
      <w:r>
        <w:rPr>
          <w:rFonts w:hint="eastAsia" w:ascii="仿宋_GB2312"/>
          <w:bCs/>
          <w:color w:val="auto"/>
          <w:sz w:val="32"/>
          <w:szCs w:val="32"/>
          <w:highlight w:val="none"/>
        </w:rPr>
        <w:t>（二）统筹兼顾。单位自评、部门评价和财政评价应职责明确，各有侧重，相互衔接。单位自评应由项目单位自主实施，即“谁支出、谁自评”。部门评价和财政评价应在单位自评的基础上开展，必要时可委托第三方机构实施。</w:t>
      </w:r>
    </w:p>
    <w:p w14:paraId="2688B056">
      <w:pPr>
        <w:spacing w:line="600" w:lineRule="exact"/>
        <w:ind w:firstLine="640"/>
        <w:rPr>
          <w:rFonts w:ascii="仿宋_GB2312"/>
          <w:bCs/>
          <w:color w:val="auto"/>
          <w:sz w:val="32"/>
          <w:szCs w:val="32"/>
          <w:highlight w:val="none"/>
        </w:rPr>
      </w:pPr>
      <w:r>
        <w:rPr>
          <w:rFonts w:hint="eastAsia" w:ascii="仿宋_GB2312"/>
          <w:bCs/>
          <w:color w:val="auto"/>
          <w:sz w:val="32"/>
          <w:szCs w:val="32"/>
          <w:highlight w:val="none"/>
        </w:rPr>
        <w:t>（三）激励约束。绩效评价结果应与预算安排、政策调整、改进管理实质性挂钩，体现奖优罚劣和激励相容导向，有效要安排、低效要压减、无效要问责。</w:t>
      </w:r>
    </w:p>
    <w:p w14:paraId="19D25ABC">
      <w:pPr>
        <w:spacing w:line="600" w:lineRule="exact"/>
        <w:ind w:firstLine="640"/>
        <w:rPr>
          <w:rFonts w:ascii="仿宋_GB2312"/>
          <w:bCs/>
          <w:color w:val="auto"/>
          <w:sz w:val="32"/>
          <w:szCs w:val="32"/>
          <w:highlight w:val="none"/>
        </w:rPr>
      </w:pPr>
      <w:r>
        <w:rPr>
          <w:rFonts w:hint="eastAsia" w:ascii="仿宋_GB2312"/>
          <w:bCs/>
          <w:color w:val="auto"/>
          <w:sz w:val="32"/>
          <w:szCs w:val="32"/>
          <w:highlight w:val="none"/>
        </w:rPr>
        <w:t>（四）公开透明。绩效评价结果应依法依规公开，并自觉接受社会监督。</w:t>
      </w:r>
    </w:p>
    <w:p w14:paraId="1E885243">
      <w:pPr>
        <w:pStyle w:val="4"/>
        <w:ind w:firstLine="643"/>
        <w:rPr>
          <w:color w:val="auto"/>
          <w:highlight w:val="none"/>
        </w:rPr>
      </w:pPr>
      <w:bookmarkStart w:id="21" w:name="_Toc12068"/>
      <w:r>
        <w:rPr>
          <w:color w:val="auto"/>
          <w:highlight w:val="none"/>
        </w:rPr>
        <w:t>2.</w:t>
      </w:r>
      <w:r>
        <w:rPr>
          <w:rFonts w:hint="eastAsia"/>
          <w:color w:val="auto"/>
          <w:highlight w:val="none"/>
        </w:rPr>
        <w:t>评价指标体系</w:t>
      </w:r>
      <w:bookmarkEnd w:id="21"/>
    </w:p>
    <w:p w14:paraId="76F3324F">
      <w:pPr>
        <w:spacing w:line="360" w:lineRule="auto"/>
        <w:ind w:firstLine="560"/>
        <w:rPr>
          <w:rFonts w:ascii="仿宋_GB2312"/>
          <w:color w:val="auto"/>
          <w:highlight w:val="none"/>
        </w:rPr>
      </w:pPr>
      <w:r>
        <w:rPr>
          <w:rFonts w:hint="eastAsia" w:ascii="仿宋_GB2312"/>
          <w:color w:val="auto"/>
          <w:highlight w:val="none"/>
        </w:rPr>
        <w:t>绩效评价指标体系作为衡量绩效目标实现程度的考核工具，一般遵循以下原则：</w:t>
      </w:r>
    </w:p>
    <w:p w14:paraId="18F271B1">
      <w:pPr>
        <w:spacing w:line="360" w:lineRule="auto"/>
        <w:ind w:firstLine="560"/>
        <w:rPr>
          <w:rFonts w:ascii="仿宋_GB2312"/>
          <w:color w:val="auto"/>
          <w:highlight w:val="none"/>
        </w:rPr>
      </w:pPr>
      <w:r>
        <w:rPr>
          <w:rFonts w:hint="eastAsia" w:ascii="仿宋_GB2312"/>
          <w:color w:val="auto"/>
          <w:highlight w:val="none"/>
        </w:rPr>
        <w:t>（1）相关性原则：绩效评价指标应当与绩效目标有直接的联系，能够恰当反映目标的实现程度。</w:t>
      </w:r>
    </w:p>
    <w:p w14:paraId="34F55234">
      <w:pPr>
        <w:spacing w:line="360" w:lineRule="auto"/>
        <w:ind w:firstLine="560"/>
        <w:rPr>
          <w:rFonts w:ascii="仿宋_GB2312"/>
          <w:color w:val="auto"/>
          <w:highlight w:val="none"/>
        </w:rPr>
      </w:pPr>
      <w:r>
        <w:rPr>
          <w:rFonts w:hint="eastAsia" w:ascii="仿宋_GB2312"/>
          <w:color w:val="auto"/>
          <w:highlight w:val="none"/>
        </w:rPr>
        <w:t>（2）重要性原则：应当优先使用最具评价对象代表性、最能反映评价要求的核心指标。</w:t>
      </w:r>
    </w:p>
    <w:p w14:paraId="7E75ACE5">
      <w:pPr>
        <w:spacing w:line="360" w:lineRule="auto"/>
        <w:ind w:firstLine="560"/>
        <w:rPr>
          <w:rFonts w:ascii="仿宋_GB2312"/>
          <w:color w:val="auto"/>
          <w:highlight w:val="none"/>
        </w:rPr>
      </w:pPr>
      <w:r>
        <w:rPr>
          <w:rFonts w:hint="eastAsia" w:ascii="仿宋_GB2312"/>
          <w:color w:val="auto"/>
          <w:highlight w:val="none"/>
        </w:rPr>
        <w:t>（3）可比性原则：对同类评价对象要设定共性的绩效评价指标，以便于评价结果可以相互比较。</w:t>
      </w:r>
    </w:p>
    <w:p w14:paraId="60839B1C">
      <w:pPr>
        <w:spacing w:line="360" w:lineRule="auto"/>
        <w:ind w:firstLine="560"/>
        <w:rPr>
          <w:rFonts w:ascii="仿宋_GB2312"/>
          <w:color w:val="auto"/>
          <w:highlight w:val="none"/>
        </w:rPr>
      </w:pPr>
      <w:r>
        <w:rPr>
          <w:rFonts w:hint="eastAsia" w:ascii="仿宋_GB2312"/>
          <w:color w:val="auto"/>
          <w:highlight w:val="none"/>
        </w:rPr>
        <w:t>（4）系统性原则：绩效评价指标的设置应当将定量指标与定性指标相结合，能系统反映财政支出所产生的社会效益、经济效益和可持续影响等。</w:t>
      </w:r>
    </w:p>
    <w:p w14:paraId="468619D1">
      <w:pPr>
        <w:spacing w:line="360" w:lineRule="auto"/>
        <w:ind w:firstLine="560"/>
        <w:rPr>
          <w:rFonts w:ascii="仿宋_GB2312"/>
          <w:color w:val="auto"/>
          <w:highlight w:val="none"/>
        </w:rPr>
      </w:pPr>
      <w:r>
        <w:rPr>
          <w:rFonts w:hint="eastAsia" w:ascii="仿宋_GB2312"/>
          <w:color w:val="auto"/>
          <w:highlight w:val="none"/>
        </w:rPr>
        <w:t>（5）经济性原则：绩效评价指标设计应当通俗易懂、简便易行，数据的获得应当考虑现实条件和可操作性，符合成本效益原则。</w:t>
      </w:r>
    </w:p>
    <w:p w14:paraId="7FFFE5A4">
      <w:pPr>
        <w:spacing w:line="360" w:lineRule="auto"/>
        <w:ind w:firstLine="560"/>
        <w:rPr>
          <w:rFonts w:ascii="仿宋_GB2312"/>
          <w:color w:val="auto"/>
          <w:highlight w:val="none"/>
        </w:rPr>
      </w:pPr>
      <w:r>
        <w:rPr>
          <w:rFonts w:hint="eastAsia" w:ascii="仿宋_GB2312"/>
          <w:color w:val="auto"/>
          <w:highlight w:val="none"/>
        </w:rPr>
        <w:t>本项目的评价指标体系建立如下表所示。</w:t>
      </w:r>
    </w:p>
    <w:p w14:paraId="2D2C1652">
      <w:pPr>
        <w:spacing w:line="360" w:lineRule="auto"/>
        <w:ind w:firstLine="560"/>
        <w:rPr>
          <w:rFonts w:ascii="仿宋_GB2312"/>
          <w:color w:val="auto"/>
          <w:highlight w:val="none"/>
        </w:rPr>
      </w:pPr>
    </w:p>
    <w:p w14:paraId="74D4DD3D">
      <w:pPr>
        <w:spacing w:line="360" w:lineRule="auto"/>
        <w:ind w:firstLine="560"/>
        <w:rPr>
          <w:rFonts w:ascii="仿宋_GB2312"/>
          <w:color w:val="auto"/>
          <w:highlight w:val="none"/>
        </w:rPr>
      </w:pPr>
    </w:p>
    <w:p w14:paraId="448BE859">
      <w:pPr>
        <w:spacing w:line="360" w:lineRule="auto"/>
        <w:ind w:firstLine="560"/>
        <w:rPr>
          <w:rFonts w:ascii="仿宋_GB2312"/>
          <w:color w:val="auto"/>
          <w:highlight w:val="none"/>
        </w:rPr>
        <w:sectPr>
          <w:headerReference r:id="rId11" w:type="default"/>
          <w:footerReference r:id="rId12" w:type="default"/>
          <w:pgSz w:w="11906" w:h="16838"/>
          <w:pgMar w:top="1440" w:right="1800" w:bottom="1440" w:left="1800" w:header="992" w:footer="992" w:gutter="0"/>
          <w:pgNumType w:start="1"/>
          <w:cols w:space="425" w:num="1"/>
          <w:docGrid w:type="lines" w:linePitch="381" w:charSpace="0"/>
        </w:sectPr>
      </w:pPr>
    </w:p>
    <w:p w14:paraId="6B2A90BD">
      <w:pPr>
        <w:spacing w:line="360" w:lineRule="auto"/>
        <w:ind w:firstLine="0" w:firstLineChars="0"/>
        <w:jc w:val="center"/>
        <w:rPr>
          <w:rFonts w:ascii="仿宋_GB2312"/>
          <w:b/>
          <w:bCs/>
          <w:color w:val="auto"/>
          <w:highlight w:val="none"/>
        </w:rPr>
      </w:pPr>
      <w:r>
        <w:rPr>
          <w:rFonts w:ascii="仿宋_GB2312"/>
          <w:b/>
          <w:bCs/>
          <w:color w:val="auto"/>
          <w:highlight w:val="none"/>
        </w:rPr>
        <w:t xml:space="preserve">  </w:t>
      </w:r>
      <w:r>
        <w:rPr>
          <w:rFonts w:hint="eastAsia" w:ascii="仿宋_GB2312"/>
          <w:b/>
          <w:bCs/>
          <w:color w:val="auto"/>
          <w:highlight w:val="none"/>
        </w:rPr>
        <w:t>项目支出绩效评价指标体系</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5"/>
        <w:gridCol w:w="1199"/>
        <w:gridCol w:w="2824"/>
        <w:gridCol w:w="3507"/>
        <w:gridCol w:w="5210"/>
      </w:tblGrid>
      <w:tr w14:paraId="3B7CD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blHeader/>
          <w:jc w:val="center"/>
        </w:trPr>
        <w:tc>
          <w:tcPr>
            <w:tcW w:w="1155" w:type="dxa"/>
            <w:tcBorders>
              <w:tl2br w:val="nil"/>
              <w:tr2bl w:val="nil"/>
            </w:tcBorders>
            <w:shd w:val="clear" w:color="auto" w:fill="D0CECE"/>
            <w:vAlign w:val="center"/>
          </w:tcPr>
          <w:p w14:paraId="5CE34B66">
            <w:pPr>
              <w:widowControl/>
              <w:ind w:firstLine="0" w:firstLineChars="0"/>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一级指标</w:t>
            </w:r>
          </w:p>
        </w:tc>
        <w:tc>
          <w:tcPr>
            <w:tcW w:w="1199" w:type="dxa"/>
            <w:tcBorders>
              <w:tl2br w:val="nil"/>
              <w:tr2bl w:val="nil"/>
            </w:tcBorders>
            <w:shd w:val="clear" w:color="auto" w:fill="D0CECE"/>
            <w:vAlign w:val="center"/>
          </w:tcPr>
          <w:p w14:paraId="543A3A1C">
            <w:pPr>
              <w:widowControl/>
              <w:ind w:firstLine="0" w:firstLineChars="0"/>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二级指标</w:t>
            </w:r>
          </w:p>
        </w:tc>
        <w:tc>
          <w:tcPr>
            <w:tcW w:w="2824" w:type="dxa"/>
            <w:tcBorders>
              <w:tl2br w:val="nil"/>
              <w:tr2bl w:val="nil"/>
            </w:tcBorders>
            <w:shd w:val="clear" w:color="auto" w:fill="D0CECE"/>
            <w:vAlign w:val="center"/>
          </w:tcPr>
          <w:p w14:paraId="5CA2F9AA">
            <w:pPr>
              <w:widowControl/>
              <w:ind w:firstLine="0" w:firstLineChars="0"/>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三级指标</w:t>
            </w:r>
          </w:p>
        </w:tc>
        <w:tc>
          <w:tcPr>
            <w:tcW w:w="3507" w:type="dxa"/>
            <w:tcBorders>
              <w:tl2br w:val="nil"/>
              <w:tr2bl w:val="nil"/>
            </w:tcBorders>
            <w:shd w:val="clear" w:color="auto" w:fill="D0CECE"/>
            <w:vAlign w:val="center"/>
          </w:tcPr>
          <w:p w14:paraId="1D3AC1DA">
            <w:pPr>
              <w:widowControl/>
              <w:ind w:firstLine="0" w:firstLineChars="0"/>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指标解释</w:t>
            </w:r>
          </w:p>
        </w:tc>
        <w:tc>
          <w:tcPr>
            <w:tcW w:w="5210" w:type="dxa"/>
            <w:tcBorders>
              <w:tl2br w:val="nil"/>
              <w:tr2bl w:val="nil"/>
            </w:tcBorders>
            <w:shd w:val="clear" w:color="auto" w:fill="D0CECE"/>
            <w:vAlign w:val="center"/>
          </w:tcPr>
          <w:p w14:paraId="36D3939F">
            <w:pPr>
              <w:widowControl/>
              <w:ind w:firstLine="0" w:firstLineChars="0"/>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指标说明</w:t>
            </w:r>
          </w:p>
        </w:tc>
      </w:tr>
      <w:tr w14:paraId="4C486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8" w:hRule="atLeast"/>
          <w:jc w:val="center"/>
        </w:trPr>
        <w:tc>
          <w:tcPr>
            <w:tcW w:w="1155" w:type="dxa"/>
            <w:vMerge w:val="restart"/>
            <w:tcBorders>
              <w:tl2br w:val="nil"/>
              <w:tr2bl w:val="nil"/>
            </w:tcBorders>
            <w:shd w:val="clear" w:color="auto" w:fill="FFFFFF"/>
            <w:vAlign w:val="center"/>
          </w:tcPr>
          <w:p w14:paraId="25716A6C">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决策</w:t>
            </w:r>
          </w:p>
        </w:tc>
        <w:tc>
          <w:tcPr>
            <w:tcW w:w="1199" w:type="dxa"/>
            <w:vMerge w:val="restart"/>
            <w:tcBorders>
              <w:tl2br w:val="nil"/>
              <w:tr2bl w:val="nil"/>
            </w:tcBorders>
            <w:shd w:val="clear" w:color="auto" w:fill="FFFFFF"/>
            <w:vAlign w:val="center"/>
          </w:tcPr>
          <w:p w14:paraId="328378FE">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项目立项</w:t>
            </w:r>
          </w:p>
        </w:tc>
        <w:tc>
          <w:tcPr>
            <w:tcW w:w="2824" w:type="dxa"/>
            <w:tcBorders>
              <w:tl2br w:val="nil"/>
              <w:tr2bl w:val="nil"/>
            </w:tcBorders>
            <w:shd w:val="clear" w:color="auto" w:fill="FFFFFF"/>
            <w:vAlign w:val="center"/>
          </w:tcPr>
          <w:p w14:paraId="3E203445">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立项依据充分性</w:t>
            </w:r>
          </w:p>
        </w:tc>
        <w:tc>
          <w:tcPr>
            <w:tcW w:w="3507" w:type="dxa"/>
            <w:tcBorders>
              <w:tl2br w:val="nil"/>
              <w:tr2bl w:val="nil"/>
            </w:tcBorders>
            <w:shd w:val="clear" w:color="auto" w:fill="FFFFFF"/>
            <w:vAlign w:val="center"/>
          </w:tcPr>
          <w:p w14:paraId="307346B4">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项目立项是否符合法律法规、相关政策、发展规划以及部门职责，用以反映和考核项目立项依据情况。</w:t>
            </w:r>
          </w:p>
        </w:tc>
        <w:tc>
          <w:tcPr>
            <w:tcW w:w="5210" w:type="dxa"/>
            <w:tcBorders>
              <w:tl2br w:val="nil"/>
              <w:tr2bl w:val="nil"/>
            </w:tcBorders>
            <w:shd w:val="clear" w:color="auto" w:fill="FFFFFF"/>
            <w:vAlign w:val="center"/>
          </w:tcPr>
          <w:p w14:paraId="4226FFDE">
            <w:pPr>
              <w:widowControl/>
              <w:ind w:firstLine="0" w:firstLineChars="0"/>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①项目立项是否符合国家法律法规、国民经济发展规划和相关政策；</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②项目立项是否符合行业发展规划和政策要求；</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③项目立项是否与部门职责范围相符，</w:t>
            </w:r>
            <w:r>
              <w:rPr>
                <w:rFonts w:hint="eastAsia" w:ascii="宋体" w:hAnsi="宋体" w:eastAsia="宋体" w:cs="宋体"/>
                <w:color w:val="auto"/>
                <w:kern w:val="0"/>
                <w:sz w:val="22"/>
                <w:highlight w:val="none"/>
                <w:lang w:eastAsia="zh-CN"/>
              </w:rPr>
              <w:t>属于</w:t>
            </w:r>
            <w:r>
              <w:rPr>
                <w:rFonts w:hint="eastAsia" w:ascii="宋体" w:hAnsi="宋体" w:eastAsia="宋体" w:cs="宋体"/>
                <w:color w:val="auto"/>
                <w:kern w:val="0"/>
                <w:sz w:val="22"/>
                <w:highlight w:val="none"/>
              </w:rPr>
              <w:t>部门履职所需；</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④项目是否属于公共财政支持范围，是否符合中央、地方事权支出责任划分原则；</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⑤项目是否与相关部门同类项目或部门内部相关项目重复。</w:t>
            </w:r>
          </w:p>
        </w:tc>
      </w:tr>
      <w:tr w14:paraId="2E41E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0" w:hRule="atLeast"/>
          <w:jc w:val="center"/>
        </w:trPr>
        <w:tc>
          <w:tcPr>
            <w:tcW w:w="1155" w:type="dxa"/>
            <w:vMerge w:val="continue"/>
            <w:tcBorders>
              <w:tl2br w:val="nil"/>
              <w:tr2bl w:val="nil"/>
            </w:tcBorders>
            <w:shd w:val="clear" w:color="auto" w:fill="FFFFFF"/>
            <w:vAlign w:val="center"/>
          </w:tcPr>
          <w:p w14:paraId="0B70B835">
            <w:pPr>
              <w:ind w:firstLine="0" w:firstLineChars="0"/>
              <w:jc w:val="center"/>
              <w:rPr>
                <w:rFonts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1DEC48B7">
            <w:pPr>
              <w:widowControl/>
              <w:ind w:firstLine="0" w:firstLineChars="0"/>
              <w:jc w:val="center"/>
              <w:rPr>
                <w:rFonts w:ascii="宋体" w:hAnsi="宋体" w:eastAsia="宋体" w:cs="宋体"/>
                <w:color w:val="auto"/>
                <w:kern w:val="0"/>
                <w:sz w:val="22"/>
                <w:highlight w:val="none"/>
              </w:rPr>
            </w:pPr>
          </w:p>
        </w:tc>
        <w:tc>
          <w:tcPr>
            <w:tcW w:w="2824" w:type="dxa"/>
            <w:tcBorders>
              <w:tl2br w:val="nil"/>
              <w:tr2bl w:val="nil"/>
            </w:tcBorders>
            <w:shd w:val="clear" w:color="auto" w:fill="FFFFFF"/>
            <w:vAlign w:val="center"/>
          </w:tcPr>
          <w:p w14:paraId="1CCF15BF">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立项程序规范性</w:t>
            </w:r>
          </w:p>
        </w:tc>
        <w:tc>
          <w:tcPr>
            <w:tcW w:w="3507" w:type="dxa"/>
            <w:tcBorders>
              <w:tl2br w:val="nil"/>
              <w:tr2bl w:val="nil"/>
            </w:tcBorders>
            <w:shd w:val="clear" w:color="auto" w:fill="FFFFFF"/>
            <w:vAlign w:val="center"/>
          </w:tcPr>
          <w:p w14:paraId="01BEA4FE">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项目申请、设立过程是否符合相关要求，用以反映和考核项目立项的规范情况。</w:t>
            </w:r>
          </w:p>
        </w:tc>
        <w:tc>
          <w:tcPr>
            <w:tcW w:w="5210" w:type="dxa"/>
            <w:tcBorders>
              <w:tl2br w:val="nil"/>
              <w:tr2bl w:val="nil"/>
            </w:tcBorders>
            <w:shd w:val="clear" w:color="auto" w:fill="FFFFFF"/>
            <w:vAlign w:val="center"/>
          </w:tcPr>
          <w:p w14:paraId="334061AA">
            <w:pPr>
              <w:widowControl/>
              <w:ind w:firstLine="0" w:firstLineChars="0"/>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①项目是否按照规定的程序申请设立；</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②审批文件、材料是否符合相关要求；</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③事前是否已经过必要的可行性研究、专家论证、风险评估、绩效评估、集体决策。</w:t>
            </w:r>
          </w:p>
        </w:tc>
      </w:tr>
      <w:tr w14:paraId="796FC8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9" w:hRule="atLeast"/>
          <w:jc w:val="center"/>
        </w:trPr>
        <w:tc>
          <w:tcPr>
            <w:tcW w:w="1155" w:type="dxa"/>
            <w:vMerge w:val="continue"/>
            <w:tcBorders>
              <w:tl2br w:val="nil"/>
              <w:tr2bl w:val="nil"/>
            </w:tcBorders>
            <w:shd w:val="clear" w:color="auto" w:fill="FFFFFF"/>
            <w:vAlign w:val="center"/>
          </w:tcPr>
          <w:p w14:paraId="38479CE8">
            <w:pPr>
              <w:ind w:firstLine="0" w:firstLineChars="0"/>
              <w:jc w:val="center"/>
              <w:rPr>
                <w:rFonts w:ascii="宋体" w:hAnsi="宋体" w:eastAsia="宋体" w:cs="宋体"/>
                <w:color w:val="auto"/>
                <w:kern w:val="0"/>
                <w:sz w:val="22"/>
                <w:highlight w:val="none"/>
              </w:rPr>
            </w:pPr>
          </w:p>
        </w:tc>
        <w:tc>
          <w:tcPr>
            <w:tcW w:w="1199" w:type="dxa"/>
            <w:tcBorders>
              <w:tl2br w:val="nil"/>
              <w:tr2bl w:val="nil"/>
            </w:tcBorders>
            <w:shd w:val="clear" w:color="auto" w:fill="FFFFFF"/>
            <w:vAlign w:val="center"/>
          </w:tcPr>
          <w:p w14:paraId="2F4F246E">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绩效目标</w:t>
            </w:r>
          </w:p>
        </w:tc>
        <w:tc>
          <w:tcPr>
            <w:tcW w:w="2824" w:type="dxa"/>
            <w:tcBorders>
              <w:tl2br w:val="nil"/>
              <w:tr2bl w:val="nil"/>
            </w:tcBorders>
            <w:shd w:val="clear" w:color="auto" w:fill="FFFFFF"/>
            <w:vAlign w:val="center"/>
          </w:tcPr>
          <w:p w14:paraId="15C44527">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绩效目标合理性</w:t>
            </w:r>
          </w:p>
        </w:tc>
        <w:tc>
          <w:tcPr>
            <w:tcW w:w="3507" w:type="dxa"/>
            <w:tcBorders>
              <w:tl2br w:val="nil"/>
              <w:tr2bl w:val="nil"/>
            </w:tcBorders>
            <w:shd w:val="clear" w:color="000000" w:fill="FFFFFF"/>
            <w:vAlign w:val="center"/>
          </w:tcPr>
          <w:p w14:paraId="118F2B55">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项目所设定的绩效目标是否依据充分，是否符合客观实际，用以反映和考核项目绩效目标与项目实施的相符情况。</w:t>
            </w:r>
          </w:p>
        </w:tc>
        <w:tc>
          <w:tcPr>
            <w:tcW w:w="5210" w:type="dxa"/>
            <w:tcBorders>
              <w:tl2br w:val="nil"/>
              <w:tr2bl w:val="nil"/>
            </w:tcBorders>
            <w:shd w:val="clear" w:color="000000" w:fill="FFFFFF"/>
            <w:vAlign w:val="center"/>
          </w:tcPr>
          <w:p w14:paraId="0C75EDAA">
            <w:pPr>
              <w:widowControl/>
              <w:ind w:firstLine="0" w:firstLineChars="0"/>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（如未设定预算绩效目标，也可考核其他工作任务目标）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①项目是否有绩效目标；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②项目绩效目标与实际工作内容是否具有相关性；</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③项目预期产出效益和效果是否符合正常的业绩水平；</w:t>
            </w:r>
          </w:p>
          <w:p w14:paraId="6E8FA136">
            <w:pPr>
              <w:widowControl/>
              <w:ind w:firstLine="0" w:firstLineChars="0"/>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④是否与预算确定的项目投资额或资金量相匹配。</w:t>
            </w:r>
          </w:p>
        </w:tc>
      </w:tr>
      <w:tr w14:paraId="606A1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4" w:hRule="atLeast"/>
          <w:jc w:val="center"/>
        </w:trPr>
        <w:tc>
          <w:tcPr>
            <w:tcW w:w="1155" w:type="dxa"/>
            <w:vMerge w:val="restart"/>
            <w:tcBorders>
              <w:tl2br w:val="nil"/>
              <w:tr2bl w:val="nil"/>
            </w:tcBorders>
            <w:shd w:val="clear" w:color="auto" w:fill="FFFFFF"/>
            <w:vAlign w:val="center"/>
          </w:tcPr>
          <w:p w14:paraId="7E1FAF57">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决策</w:t>
            </w:r>
          </w:p>
        </w:tc>
        <w:tc>
          <w:tcPr>
            <w:tcW w:w="1199" w:type="dxa"/>
            <w:tcBorders>
              <w:tl2br w:val="nil"/>
              <w:tr2bl w:val="nil"/>
            </w:tcBorders>
            <w:shd w:val="clear" w:color="auto" w:fill="FFFFFF"/>
            <w:vAlign w:val="center"/>
          </w:tcPr>
          <w:p w14:paraId="4F45FA79">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绩效目标</w:t>
            </w:r>
          </w:p>
        </w:tc>
        <w:tc>
          <w:tcPr>
            <w:tcW w:w="2824" w:type="dxa"/>
            <w:tcBorders>
              <w:tl2br w:val="nil"/>
              <w:tr2bl w:val="nil"/>
            </w:tcBorders>
            <w:shd w:val="clear" w:color="auto" w:fill="FFFFFF"/>
            <w:vAlign w:val="center"/>
          </w:tcPr>
          <w:p w14:paraId="54C56745">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绩效指标明确性</w:t>
            </w:r>
          </w:p>
        </w:tc>
        <w:tc>
          <w:tcPr>
            <w:tcW w:w="3507" w:type="dxa"/>
            <w:tcBorders>
              <w:tl2br w:val="nil"/>
              <w:tr2bl w:val="nil"/>
            </w:tcBorders>
            <w:shd w:val="clear" w:color="000000" w:fill="FFFFFF"/>
            <w:vAlign w:val="center"/>
          </w:tcPr>
          <w:p w14:paraId="19282BF6">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依据绩效目标设定的绩效指标是否清晰、细化、可衡量等，用以反映和考核项目绩效目标的明细化情况。</w:t>
            </w:r>
          </w:p>
        </w:tc>
        <w:tc>
          <w:tcPr>
            <w:tcW w:w="5210" w:type="dxa"/>
            <w:tcBorders>
              <w:tl2br w:val="nil"/>
              <w:tr2bl w:val="nil"/>
            </w:tcBorders>
            <w:shd w:val="clear" w:color="000000" w:fill="FFFFFF"/>
            <w:vAlign w:val="center"/>
          </w:tcPr>
          <w:p w14:paraId="76CF7FA1">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①是否将项目绩效目标细化分解为具体的绩效指标；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②是否通过清晰、可衡量的指标值予以体现；</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③是否与项目目标任务数或计划数相对应。</w:t>
            </w:r>
            <w:r>
              <w:rPr>
                <w:rFonts w:hint="eastAsia" w:ascii="宋体" w:hAnsi="宋体" w:eastAsia="宋体" w:cs="宋体"/>
                <w:color w:val="auto"/>
                <w:kern w:val="0"/>
                <w:sz w:val="22"/>
                <w:highlight w:val="none"/>
              </w:rPr>
              <w:br w:type="textWrapping"/>
            </w:r>
          </w:p>
        </w:tc>
      </w:tr>
      <w:tr w14:paraId="6059C6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2" w:hRule="atLeast"/>
          <w:jc w:val="center"/>
        </w:trPr>
        <w:tc>
          <w:tcPr>
            <w:tcW w:w="1155" w:type="dxa"/>
            <w:vMerge w:val="continue"/>
            <w:tcBorders>
              <w:tl2br w:val="nil"/>
              <w:tr2bl w:val="nil"/>
            </w:tcBorders>
            <w:shd w:val="clear" w:color="auto" w:fill="FFFFFF"/>
            <w:vAlign w:val="center"/>
          </w:tcPr>
          <w:p w14:paraId="7E342D61">
            <w:pPr>
              <w:ind w:firstLine="0" w:firstLineChars="0"/>
              <w:jc w:val="center"/>
              <w:rPr>
                <w:rFonts w:ascii="宋体" w:hAnsi="宋体" w:eastAsia="宋体" w:cs="宋体"/>
                <w:color w:val="auto"/>
                <w:kern w:val="0"/>
                <w:sz w:val="22"/>
                <w:highlight w:val="none"/>
              </w:rPr>
            </w:pPr>
          </w:p>
        </w:tc>
        <w:tc>
          <w:tcPr>
            <w:tcW w:w="1199" w:type="dxa"/>
            <w:vMerge w:val="restart"/>
            <w:tcBorders>
              <w:tl2br w:val="nil"/>
              <w:tr2bl w:val="nil"/>
            </w:tcBorders>
            <w:shd w:val="clear" w:color="auto" w:fill="FFFFFF"/>
            <w:vAlign w:val="center"/>
          </w:tcPr>
          <w:p w14:paraId="0E299D4F">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资金投入</w:t>
            </w:r>
          </w:p>
        </w:tc>
        <w:tc>
          <w:tcPr>
            <w:tcW w:w="2824" w:type="dxa"/>
            <w:tcBorders>
              <w:tl2br w:val="nil"/>
              <w:tr2bl w:val="nil"/>
            </w:tcBorders>
            <w:shd w:val="clear" w:color="auto" w:fill="FFFFFF"/>
            <w:vAlign w:val="center"/>
          </w:tcPr>
          <w:p w14:paraId="128EB4B2">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预算编制科学性</w:t>
            </w:r>
          </w:p>
        </w:tc>
        <w:tc>
          <w:tcPr>
            <w:tcW w:w="3507" w:type="dxa"/>
            <w:tcBorders>
              <w:tl2br w:val="nil"/>
              <w:tr2bl w:val="nil"/>
            </w:tcBorders>
            <w:shd w:val="clear" w:color="auto" w:fill="FFFFFF"/>
            <w:vAlign w:val="center"/>
          </w:tcPr>
          <w:p w14:paraId="72C845A9">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项目预算编制是否经过科学论证、有明确标准，资金额度与年度目标是否相适应，用以反映和考核项目预算编制的科学性、合理性情况。</w:t>
            </w:r>
          </w:p>
        </w:tc>
        <w:tc>
          <w:tcPr>
            <w:tcW w:w="5210" w:type="dxa"/>
            <w:tcBorders>
              <w:tl2br w:val="nil"/>
              <w:tr2bl w:val="nil"/>
            </w:tcBorders>
            <w:shd w:val="clear" w:color="auto" w:fill="FFFFFF"/>
            <w:vAlign w:val="center"/>
          </w:tcPr>
          <w:p w14:paraId="4DF72900">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①预算编制是否经过科学论证；</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②预算内容与项目内容是否匹配；</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③预算额度测算依据是否充分，是否按照标准编制；</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④预算确定的项目投资额或资金量是否与工作任务相匹配。</w:t>
            </w:r>
          </w:p>
        </w:tc>
      </w:tr>
      <w:tr w14:paraId="0B2E4E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6" w:hRule="atLeast"/>
          <w:jc w:val="center"/>
        </w:trPr>
        <w:tc>
          <w:tcPr>
            <w:tcW w:w="1155" w:type="dxa"/>
            <w:vMerge w:val="continue"/>
            <w:tcBorders>
              <w:tl2br w:val="nil"/>
              <w:tr2bl w:val="nil"/>
            </w:tcBorders>
            <w:shd w:val="clear" w:color="auto" w:fill="FFFFFF"/>
            <w:vAlign w:val="center"/>
          </w:tcPr>
          <w:p w14:paraId="71F98415">
            <w:pPr>
              <w:widowControl/>
              <w:ind w:firstLine="0" w:firstLineChars="0"/>
              <w:jc w:val="center"/>
              <w:rPr>
                <w:rFonts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5E49982D">
            <w:pPr>
              <w:widowControl/>
              <w:ind w:firstLine="0" w:firstLineChars="0"/>
              <w:jc w:val="center"/>
              <w:rPr>
                <w:rFonts w:ascii="宋体" w:hAnsi="宋体" w:eastAsia="宋体" w:cs="宋体"/>
                <w:color w:val="auto"/>
                <w:kern w:val="0"/>
                <w:sz w:val="22"/>
                <w:highlight w:val="none"/>
              </w:rPr>
            </w:pPr>
          </w:p>
        </w:tc>
        <w:tc>
          <w:tcPr>
            <w:tcW w:w="2824" w:type="dxa"/>
            <w:tcBorders>
              <w:tl2br w:val="nil"/>
              <w:tr2bl w:val="nil"/>
            </w:tcBorders>
            <w:shd w:val="clear" w:color="auto" w:fill="FFFFFF"/>
            <w:vAlign w:val="center"/>
          </w:tcPr>
          <w:p w14:paraId="52038235">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资金分配合理性</w:t>
            </w:r>
          </w:p>
        </w:tc>
        <w:tc>
          <w:tcPr>
            <w:tcW w:w="3507" w:type="dxa"/>
            <w:tcBorders>
              <w:tl2br w:val="nil"/>
              <w:tr2bl w:val="nil"/>
            </w:tcBorders>
            <w:shd w:val="clear" w:color="auto" w:fill="FFFFFF"/>
            <w:vAlign w:val="center"/>
          </w:tcPr>
          <w:p w14:paraId="025A5FB8">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项目预算资金分配是否有测算依据，与补助单位或地方实际是否相适应，用以反映和考核项目预算资金分配的科学性、合理性情况。</w:t>
            </w:r>
          </w:p>
        </w:tc>
        <w:tc>
          <w:tcPr>
            <w:tcW w:w="5210" w:type="dxa"/>
            <w:tcBorders>
              <w:tl2br w:val="nil"/>
              <w:tr2bl w:val="nil"/>
            </w:tcBorders>
            <w:shd w:val="clear" w:color="auto" w:fill="FFFFFF"/>
            <w:vAlign w:val="center"/>
          </w:tcPr>
          <w:p w14:paraId="184F86F0">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①预算资金分配依据是否充分；</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②资金分配额度是否合理，与项目单位或地方实际是否相适应。</w:t>
            </w:r>
          </w:p>
        </w:tc>
      </w:tr>
      <w:tr w14:paraId="31C03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5" w:hRule="atLeast"/>
          <w:jc w:val="center"/>
        </w:trPr>
        <w:tc>
          <w:tcPr>
            <w:tcW w:w="1155" w:type="dxa"/>
            <w:vMerge w:val="restart"/>
            <w:tcBorders>
              <w:tl2br w:val="nil"/>
              <w:tr2bl w:val="nil"/>
            </w:tcBorders>
            <w:shd w:val="clear" w:color="auto" w:fill="FFFFFF"/>
            <w:vAlign w:val="center"/>
          </w:tcPr>
          <w:p w14:paraId="04BA8582">
            <w:pPr>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过程</w:t>
            </w:r>
          </w:p>
        </w:tc>
        <w:tc>
          <w:tcPr>
            <w:tcW w:w="1199" w:type="dxa"/>
            <w:vMerge w:val="restart"/>
            <w:tcBorders>
              <w:tl2br w:val="nil"/>
              <w:tr2bl w:val="nil"/>
            </w:tcBorders>
            <w:shd w:val="clear" w:color="auto" w:fill="FFFFFF"/>
            <w:vAlign w:val="center"/>
          </w:tcPr>
          <w:p w14:paraId="514815CC">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资金管理</w:t>
            </w:r>
          </w:p>
        </w:tc>
        <w:tc>
          <w:tcPr>
            <w:tcW w:w="2824" w:type="dxa"/>
            <w:tcBorders>
              <w:tl2br w:val="nil"/>
              <w:tr2bl w:val="nil"/>
            </w:tcBorders>
            <w:shd w:val="clear" w:color="auto" w:fill="FFFFFF"/>
            <w:vAlign w:val="center"/>
          </w:tcPr>
          <w:p w14:paraId="1CCE2DEB">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资金到位率</w:t>
            </w:r>
          </w:p>
        </w:tc>
        <w:tc>
          <w:tcPr>
            <w:tcW w:w="3507" w:type="dxa"/>
            <w:tcBorders>
              <w:tl2br w:val="nil"/>
              <w:tr2bl w:val="nil"/>
            </w:tcBorders>
            <w:shd w:val="clear" w:color="000000" w:fill="FFFFFF"/>
            <w:vAlign w:val="center"/>
          </w:tcPr>
          <w:p w14:paraId="1D3CCB86">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实际到位资金与预算资金的比率，用以反映和考核资金落实情况对项目实施的总体保障程度。</w:t>
            </w:r>
          </w:p>
        </w:tc>
        <w:tc>
          <w:tcPr>
            <w:tcW w:w="5210" w:type="dxa"/>
            <w:tcBorders>
              <w:tl2br w:val="nil"/>
              <w:tr2bl w:val="nil"/>
            </w:tcBorders>
            <w:shd w:val="clear" w:color="000000" w:fill="FFFFFF"/>
            <w:vAlign w:val="center"/>
          </w:tcPr>
          <w:p w14:paraId="2454438E">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资金到位率=（实际到位资金/预算资金）×100%。</w:t>
            </w:r>
          </w:p>
          <w:p w14:paraId="3077C19E">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实际到位资金：一定时期（本年度或项目期）内落实到具体项目的资金。</w:t>
            </w:r>
          </w:p>
          <w:p w14:paraId="49F2C0CC">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预算资金：一定时期（本年度或项目期）内预算安排到具体项目的资金。</w:t>
            </w:r>
          </w:p>
        </w:tc>
      </w:tr>
      <w:tr w14:paraId="6C891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0" w:hRule="atLeast"/>
          <w:jc w:val="center"/>
        </w:trPr>
        <w:tc>
          <w:tcPr>
            <w:tcW w:w="1155" w:type="dxa"/>
            <w:vMerge w:val="continue"/>
            <w:tcBorders>
              <w:tl2br w:val="nil"/>
              <w:tr2bl w:val="nil"/>
            </w:tcBorders>
            <w:shd w:val="clear" w:color="auto" w:fill="FFFFFF"/>
            <w:vAlign w:val="center"/>
          </w:tcPr>
          <w:p w14:paraId="5E7577C9">
            <w:pPr>
              <w:ind w:firstLine="0" w:firstLineChars="0"/>
              <w:jc w:val="center"/>
              <w:rPr>
                <w:rFonts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168999B0">
            <w:pPr>
              <w:ind w:firstLine="0" w:firstLineChars="0"/>
              <w:jc w:val="center"/>
              <w:rPr>
                <w:rFonts w:ascii="宋体" w:hAnsi="宋体" w:eastAsia="宋体" w:cs="宋体"/>
                <w:color w:val="auto"/>
                <w:kern w:val="0"/>
                <w:sz w:val="22"/>
                <w:highlight w:val="none"/>
              </w:rPr>
            </w:pPr>
          </w:p>
        </w:tc>
        <w:tc>
          <w:tcPr>
            <w:tcW w:w="2824" w:type="dxa"/>
            <w:tcBorders>
              <w:tl2br w:val="nil"/>
              <w:tr2bl w:val="nil"/>
            </w:tcBorders>
            <w:shd w:val="clear" w:color="auto" w:fill="FFFFFF"/>
            <w:vAlign w:val="center"/>
          </w:tcPr>
          <w:p w14:paraId="0FC3FAC6">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预算执行率</w:t>
            </w:r>
          </w:p>
        </w:tc>
        <w:tc>
          <w:tcPr>
            <w:tcW w:w="3507" w:type="dxa"/>
            <w:tcBorders>
              <w:tl2br w:val="nil"/>
              <w:tr2bl w:val="nil"/>
            </w:tcBorders>
            <w:shd w:val="clear" w:color="auto" w:fill="FFFFFF"/>
            <w:vAlign w:val="center"/>
          </w:tcPr>
          <w:p w14:paraId="6665E8E6">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项目预算资金是否按照计划执行，用以反映或考核项目预算执行情况。</w:t>
            </w:r>
          </w:p>
        </w:tc>
        <w:tc>
          <w:tcPr>
            <w:tcW w:w="5210" w:type="dxa"/>
            <w:tcBorders>
              <w:tl2br w:val="nil"/>
              <w:tr2bl w:val="nil"/>
            </w:tcBorders>
            <w:shd w:val="clear" w:color="auto" w:fill="FFFFFF"/>
            <w:vAlign w:val="center"/>
          </w:tcPr>
          <w:p w14:paraId="0D77F73E">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预算执行率=（实际支出资金/实际到位资金）×100%。</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实际支出资金：一定时期（本年度或项目期）内项目实际拨付的资金。</w:t>
            </w:r>
          </w:p>
        </w:tc>
      </w:tr>
      <w:tr w14:paraId="46DCD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jc w:val="center"/>
        </w:trPr>
        <w:tc>
          <w:tcPr>
            <w:tcW w:w="1155" w:type="dxa"/>
            <w:vMerge w:val="restart"/>
            <w:tcBorders>
              <w:tl2br w:val="nil"/>
              <w:tr2bl w:val="nil"/>
            </w:tcBorders>
            <w:shd w:val="clear" w:color="auto" w:fill="FFFFFF"/>
            <w:vAlign w:val="center"/>
          </w:tcPr>
          <w:p w14:paraId="0E8627CF">
            <w:pPr>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过程</w:t>
            </w:r>
          </w:p>
        </w:tc>
        <w:tc>
          <w:tcPr>
            <w:tcW w:w="1199" w:type="dxa"/>
            <w:tcBorders>
              <w:tl2br w:val="nil"/>
              <w:tr2bl w:val="nil"/>
            </w:tcBorders>
            <w:shd w:val="clear" w:color="auto" w:fill="FFFFFF"/>
            <w:vAlign w:val="center"/>
          </w:tcPr>
          <w:p w14:paraId="5584CC19">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资金管理</w:t>
            </w:r>
          </w:p>
        </w:tc>
        <w:tc>
          <w:tcPr>
            <w:tcW w:w="2824" w:type="dxa"/>
            <w:tcBorders>
              <w:tl2br w:val="nil"/>
              <w:tr2bl w:val="nil"/>
            </w:tcBorders>
            <w:shd w:val="clear" w:color="auto" w:fill="FFFFFF"/>
            <w:vAlign w:val="center"/>
          </w:tcPr>
          <w:p w14:paraId="1607A826">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资金使用合规性</w:t>
            </w:r>
          </w:p>
        </w:tc>
        <w:tc>
          <w:tcPr>
            <w:tcW w:w="3507" w:type="dxa"/>
            <w:tcBorders>
              <w:tl2br w:val="nil"/>
              <w:tr2bl w:val="nil"/>
            </w:tcBorders>
            <w:shd w:val="clear" w:color="000000" w:fill="FFFFFF"/>
            <w:vAlign w:val="center"/>
          </w:tcPr>
          <w:p w14:paraId="022F4E8D">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项目资金使用是否符合相关的财务管理制度规定，用以反映和考核项目资金的规范运行情况。</w:t>
            </w:r>
          </w:p>
        </w:tc>
        <w:tc>
          <w:tcPr>
            <w:tcW w:w="5210" w:type="dxa"/>
            <w:tcBorders>
              <w:tl2br w:val="nil"/>
              <w:tr2bl w:val="nil"/>
            </w:tcBorders>
            <w:shd w:val="clear" w:color="000000" w:fill="FFFFFF"/>
            <w:vAlign w:val="center"/>
          </w:tcPr>
          <w:p w14:paraId="59B21AE0">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①是否符合国家财经法规和财务管理制度以及有关专项资金管理办法的规定；</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②资金的拨付是否有完整的审批程序和手续；</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③是否符合项目预算批复或合同规定的用途；</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④是否存在截留、挤占、挪用、虚列支出等情况。</w:t>
            </w:r>
          </w:p>
        </w:tc>
      </w:tr>
      <w:tr w14:paraId="51B98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7" w:hRule="atLeast"/>
          <w:jc w:val="center"/>
        </w:trPr>
        <w:tc>
          <w:tcPr>
            <w:tcW w:w="1155" w:type="dxa"/>
            <w:vMerge w:val="continue"/>
            <w:tcBorders>
              <w:tl2br w:val="nil"/>
              <w:tr2bl w:val="nil"/>
            </w:tcBorders>
            <w:shd w:val="clear" w:color="auto" w:fill="FFFFFF"/>
            <w:vAlign w:val="center"/>
          </w:tcPr>
          <w:p w14:paraId="579DEB73">
            <w:pPr>
              <w:ind w:firstLine="0" w:firstLineChars="0"/>
              <w:jc w:val="center"/>
              <w:rPr>
                <w:rFonts w:ascii="宋体" w:hAnsi="宋体" w:eastAsia="宋体" w:cs="宋体"/>
                <w:color w:val="auto"/>
                <w:kern w:val="0"/>
                <w:sz w:val="22"/>
                <w:highlight w:val="none"/>
              </w:rPr>
            </w:pPr>
          </w:p>
        </w:tc>
        <w:tc>
          <w:tcPr>
            <w:tcW w:w="1199" w:type="dxa"/>
            <w:vMerge w:val="restart"/>
            <w:tcBorders>
              <w:tl2br w:val="nil"/>
              <w:tr2bl w:val="nil"/>
            </w:tcBorders>
            <w:shd w:val="clear" w:color="auto" w:fill="FFFFFF"/>
            <w:vAlign w:val="center"/>
          </w:tcPr>
          <w:p w14:paraId="468A3901">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组织实施</w:t>
            </w:r>
          </w:p>
        </w:tc>
        <w:tc>
          <w:tcPr>
            <w:tcW w:w="2824" w:type="dxa"/>
            <w:tcBorders>
              <w:tl2br w:val="nil"/>
              <w:tr2bl w:val="nil"/>
            </w:tcBorders>
            <w:shd w:val="clear" w:color="auto" w:fill="FFFFFF"/>
            <w:vAlign w:val="center"/>
          </w:tcPr>
          <w:p w14:paraId="52AC3BC9">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管理制度健全性</w:t>
            </w:r>
          </w:p>
        </w:tc>
        <w:tc>
          <w:tcPr>
            <w:tcW w:w="3507" w:type="dxa"/>
            <w:tcBorders>
              <w:tl2br w:val="nil"/>
              <w:tr2bl w:val="nil"/>
            </w:tcBorders>
            <w:shd w:val="clear" w:color="000000" w:fill="FFFFFF"/>
            <w:vAlign w:val="center"/>
          </w:tcPr>
          <w:p w14:paraId="5209152F">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项目实施单位的财务和业务管理制度是否健全，用以反映和考核财务和业务管理制度对项目顺利实施的保障情况。</w:t>
            </w:r>
          </w:p>
        </w:tc>
        <w:tc>
          <w:tcPr>
            <w:tcW w:w="5210" w:type="dxa"/>
            <w:tcBorders>
              <w:tl2br w:val="nil"/>
              <w:tr2bl w:val="nil"/>
            </w:tcBorders>
            <w:shd w:val="clear" w:color="000000" w:fill="FFFFFF"/>
            <w:vAlign w:val="center"/>
          </w:tcPr>
          <w:p w14:paraId="3C7F203C">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①是否已制定或具有相应的财务和业务管理制度；</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②财务和业务管理制度是否合法、合规、完整。</w:t>
            </w:r>
          </w:p>
        </w:tc>
      </w:tr>
      <w:tr w14:paraId="3817C3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9" w:hRule="atLeast"/>
          <w:jc w:val="center"/>
        </w:trPr>
        <w:tc>
          <w:tcPr>
            <w:tcW w:w="1155" w:type="dxa"/>
            <w:vMerge w:val="continue"/>
            <w:tcBorders>
              <w:tl2br w:val="nil"/>
              <w:tr2bl w:val="nil"/>
            </w:tcBorders>
            <w:shd w:val="clear" w:color="auto" w:fill="FFFFFF"/>
            <w:vAlign w:val="center"/>
          </w:tcPr>
          <w:p w14:paraId="0BA6EFDD">
            <w:pPr>
              <w:widowControl/>
              <w:ind w:firstLine="0" w:firstLineChars="0"/>
              <w:jc w:val="center"/>
              <w:rPr>
                <w:rFonts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72E738DE">
            <w:pPr>
              <w:widowControl/>
              <w:ind w:firstLine="0" w:firstLineChars="0"/>
              <w:jc w:val="center"/>
              <w:rPr>
                <w:rFonts w:ascii="宋体" w:hAnsi="宋体" w:eastAsia="宋体" w:cs="宋体"/>
                <w:color w:val="auto"/>
                <w:kern w:val="0"/>
                <w:sz w:val="22"/>
                <w:highlight w:val="none"/>
              </w:rPr>
            </w:pPr>
          </w:p>
        </w:tc>
        <w:tc>
          <w:tcPr>
            <w:tcW w:w="2824" w:type="dxa"/>
            <w:tcBorders>
              <w:tl2br w:val="nil"/>
              <w:tr2bl w:val="nil"/>
            </w:tcBorders>
            <w:shd w:val="clear" w:color="auto" w:fill="FFFFFF"/>
            <w:vAlign w:val="center"/>
          </w:tcPr>
          <w:p w14:paraId="3E017DF9">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制度执行有效性</w:t>
            </w:r>
          </w:p>
        </w:tc>
        <w:tc>
          <w:tcPr>
            <w:tcW w:w="3507" w:type="dxa"/>
            <w:tcBorders>
              <w:tl2br w:val="nil"/>
              <w:tr2bl w:val="nil"/>
            </w:tcBorders>
            <w:shd w:val="clear" w:color="000000" w:fill="FFFFFF"/>
            <w:vAlign w:val="center"/>
          </w:tcPr>
          <w:p w14:paraId="17FF47A1">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项目实施是否符合相关管理规定，用以反映和考核相关管理制度的有效执行情况。</w:t>
            </w:r>
          </w:p>
        </w:tc>
        <w:tc>
          <w:tcPr>
            <w:tcW w:w="5210" w:type="dxa"/>
            <w:tcBorders>
              <w:tl2br w:val="nil"/>
              <w:tr2bl w:val="nil"/>
            </w:tcBorders>
            <w:shd w:val="clear" w:color="000000" w:fill="FFFFFF"/>
            <w:vAlign w:val="center"/>
          </w:tcPr>
          <w:p w14:paraId="786BAA0C">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①是否遵守相关法律法规和相关管理规定；</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②项目调整及支出调整手续是否完备；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③项目合同书、验收报告、技术鉴定等资料是否齐全并及时归档；</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④项目实施的人员条件、场地设备、信息支撑等是否落实到位。</w:t>
            </w:r>
          </w:p>
        </w:tc>
      </w:tr>
      <w:tr w14:paraId="57BC1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restart"/>
            <w:tcBorders>
              <w:tl2br w:val="nil"/>
              <w:tr2bl w:val="nil"/>
            </w:tcBorders>
            <w:shd w:val="clear" w:color="auto" w:fill="FFFFFF"/>
            <w:vAlign w:val="center"/>
          </w:tcPr>
          <w:p w14:paraId="65128752">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产出</w:t>
            </w:r>
          </w:p>
        </w:tc>
        <w:tc>
          <w:tcPr>
            <w:tcW w:w="1199" w:type="dxa"/>
            <w:vMerge w:val="restart"/>
            <w:tcBorders>
              <w:tl2br w:val="nil"/>
              <w:tr2bl w:val="nil"/>
            </w:tcBorders>
            <w:shd w:val="clear" w:color="auto" w:fill="FFFFFF"/>
            <w:vAlign w:val="center"/>
          </w:tcPr>
          <w:p w14:paraId="0D5A0543">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产出数量</w:t>
            </w:r>
          </w:p>
        </w:tc>
        <w:tc>
          <w:tcPr>
            <w:tcW w:w="2824" w:type="dxa"/>
            <w:tcBorders>
              <w:tl2br w:val="nil"/>
              <w:tr2bl w:val="nil"/>
            </w:tcBorders>
            <w:shd w:val="clear" w:color="auto" w:fill="FFFFFF"/>
            <w:vAlign w:val="center"/>
          </w:tcPr>
          <w:p w14:paraId="0AE65069">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i w:val="0"/>
                <w:color w:val="auto"/>
                <w:sz w:val="22"/>
                <w:szCs w:val="22"/>
                <w:highlight w:val="none"/>
                <w:u w:val="none"/>
                <w:lang w:val="en-US" w:eastAsia="zh-CN"/>
              </w:rPr>
              <w:t>委托第三方开展监测类别</w:t>
            </w:r>
          </w:p>
        </w:tc>
        <w:tc>
          <w:tcPr>
            <w:tcW w:w="3507" w:type="dxa"/>
            <w:vMerge w:val="restart"/>
            <w:tcBorders>
              <w:tl2br w:val="nil"/>
              <w:tr2bl w:val="nil"/>
            </w:tcBorders>
            <w:shd w:val="clear" w:color="000000" w:fill="FFFFFF"/>
            <w:vAlign w:val="center"/>
          </w:tcPr>
          <w:p w14:paraId="75F7F2A5">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项目实施的实际产出数与计划产出数的比率，用以反映和考核项目产出数量目标的实现程度。</w:t>
            </w:r>
          </w:p>
        </w:tc>
        <w:tc>
          <w:tcPr>
            <w:tcW w:w="5210" w:type="dxa"/>
            <w:vMerge w:val="restart"/>
            <w:tcBorders>
              <w:tl2br w:val="nil"/>
              <w:tr2bl w:val="nil"/>
            </w:tcBorders>
            <w:shd w:val="clear" w:color="000000" w:fill="FFFFFF"/>
            <w:vAlign w:val="center"/>
          </w:tcPr>
          <w:p w14:paraId="5CD45005">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实际完成率=（实际产出数/计划产出数）×100%。</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实际产出数：一定时期（本年度或项目期）内项目实际产出的产品或提供的服务数量。</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计划产出数：项目绩效目标确定的在一定时期（本年度或项目期）内计划产出的产品或提供的服务数量。</w:t>
            </w:r>
          </w:p>
        </w:tc>
      </w:tr>
      <w:tr w14:paraId="5E9FD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0C7C854C">
            <w:pPr>
              <w:widowControl/>
              <w:ind w:firstLine="0" w:firstLineChars="0"/>
              <w:jc w:val="center"/>
              <w:rPr>
                <w:rFonts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6FF6DE4B">
            <w:pPr>
              <w:widowControl/>
              <w:ind w:firstLine="0" w:firstLineChars="0"/>
              <w:jc w:val="center"/>
              <w:rPr>
                <w:rFonts w:ascii="宋体" w:hAnsi="宋体" w:eastAsia="宋体" w:cs="宋体"/>
                <w:color w:val="auto"/>
                <w:kern w:val="0"/>
                <w:sz w:val="22"/>
                <w:highlight w:val="none"/>
              </w:rPr>
            </w:pPr>
          </w:p>
        </w:tc>
        <w:tc>
          <w:tcPr>
            <w:tcW w:w="2824" w:type="dxa"/>
            <w:tcBorders>
              <w:tl2br w:val="nil"/>
              <w:tr2bl w:val="nil"/>
            </w:tcBorders>
            <w:shd w:val="clear" w:color="auto" w:fill="FFFFFF"/>
            <w:vAlign w:val="center"/>
          </w:tcPr>
          <w:p w14:paraId="1EBD7BD2">
            <w:pPr>
              <w:widowControl/>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委托第三方开展环境执法检测数量</w:t>
            </w:r>
          </w:p>
        </w:tc>
        <w:tc>
          <w:tcPr>
            <w:tcW w:w="3507" w:type="dxa"/>
            <w:vMerge w:val="continue"/>
            <w:tcBorders>
              <w:tl2br w:val="nil"/>
              <w:tr2bl w:val="nil"/>
            </w:tcBorders>
            <w:shd w:val="clear" w:color="000000" w:fill="FFFFFF"/>
            <w:vAlign w:val="center"/>
          </w:tcPr>
          <w:p w14:paraId="33C89F27">
            <w:pPr>
              <w:widowControl/>
              <w:ind w:firstLine="0" w:firstLineChars="0"/>
              <w:rPr>
                <w:rFonts w:ascii="宋体" w:hAnsi="宋体" w:eastAsia="宋体" w:cs="宋体"/>
                <w:color w:val="auto"/>
                <w:kern w:val="0"/>
                <w:sz w:val="22"/>
                <w:highlight w:val="none"/>
              </w:rPr>
            </w:pPr>
          </w:p>
        </w:tc>
        <w:tc>
          <w:tcPr>
            <w:tcW w:w="5210" w:type="dxa"/>
            <w:vMerge w:val="continue"/>
            <w:tcBorders>
              <w:tl2br w:val="nil"/>
              <w:tr2bl w:val="nil"/>
            </w:tcBorders>
            <w:shd w:val="clear" w:color="000000" w:fill="FFFFFF"/>
            <w:vAlign w:val="center"/>
          </w:tcPr>
          <w:p w14:paraId="33BE62DB">
            <w:pPr>
              <w:widowControl/>
              <w:ind w:firstLine="0" w:firstLineChars="0"/>
              <w:rPr>
                <w:rFonts w:ascii="宋体" w:hAnsi="宋体" w:eastAsia="宋体" w:cs="宋体"/>
                <w:color w:val="auto"/>
                <w:kern w:val="0"/>
                <w:sz w:val="22"/>
                <w:highlight w:val="none"/>
              </w:rPr>
            </w:pPr>
          </w:p>
        </w:tc>
      </w:tr>
      <w:tr w14:paraId="2212A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74916A8A">
            <w:pPr>
              <w:widowControl/>
              <w:ind w:firstLine="0" w:firstLineChars="0"/>
              <w:jc w:val="center"/>
              <w:rPr>
                <w:rFonts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2A6F2AB1">
            <w:pPr>
              <w:widowControl/>
              <w:ind w:firstLine="0" w:firstLineChars="0"/>
              <w:jc w:val="center"/>
              <w:rPr>
                <w:rFonts w:ascii="宋体" w:hAnsi="宋体" w:eastAsia="宋体" w:cs="宋体"/>
                <w:color w:val="auto"/>
                <w:kern w:val="0"/>
                <w:sz w:val="22"/>
                <w:highlight w:val="none"/>
              </w:rPr>
            </w:pPr>
          </w:p>
        </w:tc>
        <w:tc>
          <w:tcPr>
            <w:tcW w:w="2824" w:type="dxa"/>
            <w:tcBorders>
              <w:tl2br w:val="nil"/>
              <w:tr2bl w:val="nil"/>
            </w:tcBorders>
            <w:shd w:val="clear" w:color="auto" w:fill="FFFFFF"/>
            <w:vAlign w:val="center"/>
          </w:tcPr>
          <w:p w14:paraId="3E6E5F46">
            <w:pPr>
              <w:widowControl/>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覆盖生态环境检查区域</w:t>
            </w:r>
          </w:p>
        </w:tc>
        <w:tc>
          <w:tcPr>
            <w:tcW w:w="3507" w:type="dxa"/>
            <w:vMerge w:val="continue"/>
            <w:tcBorders>
              <w:tl2br w:val="nil"/>
              <w:tr2bl w:val="nil"/>
            </w:tcBorders>
            <w:shd w:val="clear" w:color="000000" w:fill="FFFFFF"/>
            <w:vAlign w:val="center"/>
          </w:tcPr>
          <w:p w14:paraId="2D9A4422">
            <w:pPr>
              <w:widowControl/>
              <w:ind w:firstLine="0" w:firstLineChars="0"/>
              <w:rPr>
                <w:rFonts w:ascii="宋体" w:hAnsi="宋体" w:eastAsia="宋体" w:cs="宋体"/>
                <w:color w:val="auto"/>
                <w:kern w:val="0"/>
                <w:sz w:val="22"/>
                <w:highlight w:val="none"/>
              </w:rPr>
            </w:pPr>
          </w:p>
        </w:tc>
        <w:tc>
          <w:tcPr>
            <w:tcW w:w="5210" w:type="dxa"/>
            <w:vMerge w:val="continue"/>
            <w:tcBorders>
              <w:tl2br w:val="nil"/>
              <w:tr2bl w:val="nil"/>
            </w:tcBorders>
            <w:shd w:val="clear" w:color="000000" w:fill="FFFFFF"/>
            <w:vAlign w:val="center"/>
          </w:tcPr>
          <w:p w14:paraId="04A309B2">
            <w:pPr>
              <w:widowControl/>
              <w:ind w:firstLine="0" w:firstLineChars="0"/>
              <w:rPr>
                <w:rFonts w:ascii="宋体" w:hAnsi="宋体" w:eastAsia="宋体" w:cs="宋体"/>
                <w:color w:val="auto"/>
                <w:kern w:val="0"/>
                <w:sz w:val="22"/>
                <w:highlight w:val="none"/>
              </w:rPr>
            </w:pPr>
          </w:p>
        </w:tc>
      </w:tr>
      <w:tr w14:paraId="2EC2E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3BD09526">
            <w:pPr>
              <w:widowControl/>
              <w:ind w:firstLine="0" w:firstLineChars="0"/>
              <w:jc w:val="center"/>
              <w:rPr>
                <w:rFonts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2CC1AB79">
            <w:pPr>
              <w:widowControl/>
              <w:ind w:firstLine="0" w:firstLineChars="0"/>
              <w:jc w:val="center"/>
              <w:rPr>
                <w:rFonts w:ascii="宋体" w:hAnsi="宋体" w:eastAsia="宋体" w:cs="宋体"/>
                <w:color w:val="auto"/>
                <w:kern w:val="0"/>
                <w:sz w:val="22"/>
                <w:highlight w:val="none"/>
              </w:rPr>
            </w:pPr>
          </w:p>
        </w:tc>
        <w:tc>
          <w:tcPr>
            <w:tcW w:w="2824" w:type="dxa"/>
            <w:tcBorders>
              <w:tl2br w:val="nil"/>
              <w:tr2bl w:val="nil"/>
            </w:tcBorders>
            <w:shd w:val="clear" w:color="auto" w:fill="FFFFFF"/>
            <w:vAlign w:val="center"/>
          </w:tcPr>
          <w:p w14:paraId="4FCD11A7">
            <w:pPr>
              <w:widowControl/>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重点排污单位抽测次数</w:t>
            </w:r>
          </w:p>
        </w:tc>
        <w:tc>
          <w:tcPr>
            <w:tcW w:w="3507" w:type="dxa"/>
            <w:vMerge w:val="continue"/>
            <w:tcBorders>
              <w:tl2br w:val="nil"/>
              <w:tr2bl w:val="nil"/>
            </w:tcBorders>
            <w:shd w:val="clear" w:color="000000" w:fill="FFFFFF"/>
            <w:vAlign w:val="center"/>
          </w:tcPr>
          <w:p w14:paraId="4158ABBB">
            <w:pPr>
              <w:widowControl/>
              <w:ind w:firstLine="0" w:firstLineChars="0"/>
              <w:rPr>
                <w:rFonts w:ascii="宋体" w:hAnsi="宋体" w:eastAsia="宋体" w:cs="宋体"/>
                <w:color w:val="auto"/>
                <w:kern w:val="0"/>
                <w:sz w:val="22"/>
                <w:highlight w:val="none"/>
              </w:rPr>
            </w:pPr>
          </w:p>
        </w:tc>
        <w:tc>
          <w:tcPr>
            <w:tcW w:w="5210" w:type="dxa"/>
            <w:vMerge w:val="continue"/>
            <w:tcBorders>
              <w:tl2br w:val="nil"/>
              <w:tr2bl w:val="nil"/>
            </w:tcBorders>
            <w:shd w:val="clear" w:color="000000" w:fill="FFFFFF"/>
            <w:vAlign w:val="center"/>
          </w:tcPr>
          <w:p w14:paraId="71B5D6FB">
            <w:pPr>
              <w:widowControl/>
              <w:ind w:firstLine="0" w:firstLineChars="0"/>
              <w:rPr>
                <w:rFonts w:ascii="宋体" w:hAnsi="宋体" w:eastAsia="宋体" w:cs="宋体"/>
                <w:color w:val="auto"/>
                <w:kern w:val="0"/>
                <w:sz w:val="22"/>
                <w:highlight w:val="none"/>
              </w:rPr>
            </w:pPr>
          </w:p>
        </w:tc>
      </w:tr>
      <w:tr w14:paraId="296334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42" w:hRule="atLeast"/>
          <w:jc w:val="center"/>
        </w:trPr>
        <w:tc>
          <w:tcPr>
            <w:tcW w:w="1155" w:type="dxa"/>
            <w:vMerge w:val="continue"/>
            <w:tcBorders>
              <w:tl2br w:val="nil"/>
              <w:tr2bl w:val="nil"/>
            </w:tcBorders>
            <w:shd w:val="clear" w:color="auto" w:fill="FFFFFF"/>
            <w:vAlign w:val="center"/>
          </w:tcPr>
          <w:p w14:paraId="653D38AC">
            <w:pPr>
              <w:widowControl/>
              <w:ind w:firstLine="0" w:firstLineChars="0"/>
              <w:jc w:val="center"/>
              <w:rPr>
                <w:rFonts w:ascii="宋体" w:hAnsi="宋体" w:eastAsia="宋体" w:cs="宋体"/>
                <w:color w:val="auto"/>
                <w:kern w:val="0"/>
                <w:sz w:val="22"/>
                <w:highlight w:val="none"/>
              </w:rPr>
            </w:pPr>
          </w:p>
        </w:tc>
        <w:tc>
          <w:tcPr>
            <w:tcW w:w="1199" w:type="dxa"/>
            <w:tcBorders>
              <w:tl2br w:val="nil"/>
              <w:tr2bl w:val="nil"/>
            </w:tcBorders>
            <w:shd w:val="clear" w:color="auto" w:fill="FFFFFF"/>
            <w:vAlign w:val="center"/>
          </w:tcPr>
          <w:p w14:paraId="1542FEE5">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产出质量</w:t>
            </w:r>
          </w:p>
        </w:tc>
        <w:tc>
          <w:tcPr>
            <w:tcW w:w="2824" w:type="dxa"/>
            <w:tcBorders>
              <w:tl2br w:val="nil"/>
              <w:tr2bl w:val="nil"/>
            </w:tcBorders>
            <w:shd w:val="clear" w:color="auto" w:fill="FFFFFF"/>
            <w:vAlign w:val="center"/>
          </w:tcPr>
          <w:p w14:paraId="4D8768CA">
            <w:pPr>
              <w:widowControl/>
              <w:ind w:firstLine="0" w:firstLineChars="0"/>
              <w:jc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2"/>
                <w:szCs w:val="22"/>
                <w:highlight w:val="none"/>
                <w:u w:val="none"/>
                <w:lang w:val="en-US" w:eastAsia="zh-CN"/>
              </w:rPr>
              <w:t>检测结果准确率</w:t>
            </w:r>
          </w:p>
        </w:tc>
        <w:tc>
          <w:tcPr>
            <w:tcW w:w="3507" w:type="dxa"/>
            <w:tcBorders>
              <w:tl2br w:val="nil"/>
              <w:tr2bl w:val="nil"/>
            </w:tcBorders>
            <w:shd w:val="clear" w:color="000000" w:fill="FFFFFF"/>
            <w:vAlign w:val="center"/>
          </w:tcPr>
          <w:p w14:paraId="52EB552B">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项目完成的质量达标产出数与实际产出数的比率，用以反映和考核项目产出质量目标的实现程度。</w:t>
            </w:r>
          </w:p>
        </w:tc>
        <w:tc>
          <w:tcPr>
            <w:tcW w:w="5210" w:type="dxa"/>
            <w:tcBorders>
              <w:tl2br w:val="nil"/>
              <w:tr2bl w:val="nil"/>
            </w:tcBorders>
            <w:shd w:val="clear" w:color="000000" w:fill="FFFFFF"/>
            <w:vAlign w:val="center"/>
          </w:tcPr>
          <w:p w14:paraId="78EDFE33">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质量达标率=（质量达标产出数/实际产出数）×100%。</w:t>
            </w:r>
          </w:p>
          <w:p w14:paraId="170302DB">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3140B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jc w:val="center"/>
        </w:trPr>
        <w:tc>
          <w:tcPr>
            <w:tcW w:w="1155" w:type="dxa"/>
            <w:vMerge w:val="restart"/>
            <w:tcBorders>
              <w:tl2br w:val="nil"/>
              <w:tr2bl w:val="nil"/>
            </w:tcBorders>
            <w:shd w:val="clear" w:color="auto" w:fill="FFFFFF"/>
            <w:vAlign w:val="center"/>
          </w:tcPr>
          <w:p w14:paraId="7DD07CB2">
            <w:pPr>
              <w:widowControl/>
              <w:ind w:firstLine="0" w:firstLineChars="0"/>
              <w:jc w:val="center"/>
              <w:rPr>
                <w:rFonts w:hint="eastAsia" w:ascii="宋体" w:hAnsi="宋体" w:eastAsia="宋体" w:cs="宋体"/>
                <w:color w:val="auto"/>
                <w:kern w:val="0"/>
                <w:sz w:val="22"/>
                <w:highlight w:val="none"/>
              </w:rPr>
            </w:pPr>
          </w:p>
        </w:tc>
        <w:tc>
          <w:tcPr>
            <w:tcW w:w="1199" w:type="dxa"/>
            <w:vMerge w:val="restart"/>
            <w:tcBorders>
              <w:tl2br w:val="nil"/>
              <w:tr2bl w:val="nil"/>
            </w:tcBorders>
            <w:shd w:val="clear" w:color="auto" w:fill="FFFFFF"/>
            <w:vAlign w:val="center"/>
          </w:tcPr>
          <w:p w14:paraId="1B3F46B7">
            <w:pPr>
              <w:widowControl/>
              <w:ind w:firstLine="0" w:firstLineChars="0"/>
              <w:jc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产出时效</w:t>
            </w:r>
          </w:p>
        </w:tc>
        <w:tc>
          <w:tcPr>
            <w:tcW w:w="2824" w:type="dxa"/>
            <w:tcBorders>
              <w:tl2br w:val="nil"/>
              <w:tr2bl w:val="nil"/>
            </w:tcBorders>
            <w:shd w:val="clear" w:color="auto" w:fill="FFFFFF"/>
            <w:vAlign w:val="center"/>
          </w:tcPr>
          <w:p w14:paraId="37E2C57D">
            <w:pPr>
              <w:widowControl/>
              <w:ind w:firstLine="0" w:firstLineChars="0"/>
              <w:jc w:val="center"/>
              <w:rPr>
                <w:rFonts w:hint="eastAsia" w:ascii="宋体" w:hAnsi="宋体" w:eastAsia="宋体" w:cs="宋体"/>
                <w:i w:val="0"/>
                <w:color w:val="auto"/>
                <w:sz w:val="22"/>
                <w:szCs w:val="22"/>
                <w:highlight w:val="yellow"/>
                <w:u w:val="none"/>
                <w:lang w:val="en-US" w:eastAsia="zh-CN"/>
              </w:rPr>
            </w:pPr>
            <w:r>
              <w:rPr>
                <w:rFonts w:hint="default" w:ascii="宋体" w:hAnsi="宋体" w:eastAsia="宋体" w:cs="宋体"/>
                <w:i w:val="0"/>
                <w:color w:val="auto"/>
                <w:sz w:val="22"/>
                <w:szCs w:val="22"/>
                <w:highlight w:val="none"/>
                <w:u w:val="none"/>
                <w:lang w:val="en-US" w:eastAsia="zh-CN"/>
              </w:rPr>
              <w:t>“</w:t>
            </w:r>
            <w:r>
              <w:rPr>
                <w:rFonts w:hint="eastAsia" w:ascii="宋体" w:hAnsi="宋体" w:eastAsia="宋体" w:cs="宋体"/>
                <w:i w:val="0"/>
                <w:color w:val="auto"/>
                <w:sz w:val="22"/>
                <w:szCs w:val="22"/>
                <w:highlight w:val="none"/>
                <w:u w:val="none"/>
                <w:lang w:val="en-US" w:eastAsia="zh-CN"/>
              </w:rPr>
              <w:t>双随机 一公开”及时率</w:t>
            </w:r>
          </w:p>
        </w:tc>
        <w:tc>
          <w:tcPr>
            <w:tcW w:w="3507" w:type="dxa"/>
            <w:vMerge w:val="restart"/>
            <w:tcBorders>
              <w:tl2br w:val="nil"/>
              <w:tr2bl w:val="nil"/>
            </w:tcBorders>
            <w:shd w:val="clear" w:color="000000" w:fill="FFFFFF"/>
            <w:vAlign w:val="center"/>
          </w:tcPr>
          <w:p w14:paraId="79B654D9">
            <w:pPr>
              <w:widowControl/>
              <w:ind w:firstLine="0" w:firstLineChars="0"/>
              <w:rPr>
                <w:rFonts w:hint="eastAsia" w:ascii="宋体" w:hAnsi="宋体" w:eastAsia="宋体" w:cs="宋体"/>
                <w:color w:val="auto"/>
                <w:kern w:val="0"/>
                <w:sz w:val="22"/>
                <w:highlight w:val="yellow"/>
              </w:rPr>
            </w:pPr>
            <w:r>
              <w:rPr>
                <w:rFonts w:hint="eastAsia" w:ascii="宋体" w:hAnsi="宋体" w:eastAsia="宋体" w:cs="宋体"/>
                <w:color w:val="000000"/>
                <w:kern w:val="0"/>
                <w:sz w:val="22"/>
              </w:rPr>
              <w:t>项目实际完成时间与计划完成时间的比较，用以反映和考核项目产出时效目标的实现程度。</w:t>
            </w:r>
          </w:p>
        </w:tc>
        <w:tc>
          <w:tcPr>
            <w:tcW w:w="5210" w:type="dxa"/>
            <w:vMerge w:val="restart"/>
            <w:tcBorders>
              <w:tl2br w:val="nil"/>
              <w:tr2bl w:val="nil"/>
            </w:tcBorders>
            <w:shd w:val="clear" w:color="000000" w:fill="FFFFFF"/>
            <w:vAlign w:val="center"/>
          </w:tcPr>
          <w:p w14:paraId="12F1D7E6">
            <w:pPr>
              <w:widowControl/>
              <w:ind w:firstLine="0" w:firstLineChars="0"/>
              <w:rPr>
                <w:rFonts w:hint="eastAsia" w:ascii="宋体" w:hAnsi="宋体" w:eastAsia="宋体" w:cs="宋体"/>
                <w:color w:val="auto"/>
                <w:kern w:val="0"/>
                <w:sz w:val="22"/>
                <w:highlight w:val="yellow"/>
              </w:rPr>
            </w:pPr>
            <w:r>
              <w:rPr>
                <w:rFonts w:hint="eastAsia" w:ascii="宋体" w:hAnsi="宋体" w:eastAsia="宋体" w:cs="宋体"/>
                <w:color w:val="000000"/>
                <w:kern w:val="0"/>
                <w:sz w:val="22"/>
              </w:rPr>
              <w:t>实际完成时间：项目实施单位完成该项目实际所耗用的时间。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计划完成时间：按照项目实施计划或相关规定完成该项目所需的时间。</w:t>
            </w:r>
          </w:p>
        </w:tc>
      </w:tr>
      <w:tr w14:paraId="7616E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jc w:val="center"/>
        </w:trPr>
        <w:tc>
          <w:tcPr>
            <w:tcW w:w="1155" w:type="dxa"/>
            <w:vMerge w:val="continue"/>
            <w:tcBorders>
              <w:tl2br w:val="nil"/>
              <w:tr2bl w:val="nil"/>
            </w:tcBorders>
            <w:shd w:val="clear" w:color="auto" w:fill="FFFFFF"/>
            <w:vAlign w:val="center"/>
          </w:tcPr>
          <w:p w14:paraId="3A2CBD77">
            <w:pPr>
              <w:widowControl/>
              <w:ind w:firstLine="0" w:firstLineChars="0"/>
              <w:jc w:val="center"/>
              <w:rPr>
                <w:rFonts w:hint="eastAsia"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4EFC3E3A">
            <w:pPr>
              <w:widowControl/>
              <w:ind w:firstLine="0" w:firstLineChars="0"/>
              <w:jc w:val="center"/>
              <w:rPr>
                <w:rFonts w:hint="eastAsia" w:ascii="宋体" w:hAnsi="宋体" w:eastAsia="宋体" w:cs="宋体"/>
                <w:color w:val="auto"/>
                <w:kern w:val="0"/>
                <w:sz w:val="22"/>
                <w:highlight w:val="none"/>
                <w:lang w:eastAsia="zh-CN"/>
              </w:rPr>
            </w:pPr>
          </w:p>
        </w:tc>
        <w:tc>
          <w:tcPr>
            <w:tcW w:w="2824" w:type="dxa"/>
            <w:tcBorders>
              <w:tl2br w:val="nil"/>
              <w:tr2bl w:val="nil"/>
            </w:tcBorders>
            <w:shd w:val="clear" w:color="auto" w:fill="FFFFFF"/>
            <w:vAlign w:val="center"/>
          </w:tcPr>
          <w:p w14:paraId="65C166E5">
            <w:pPr>
              <w:widowControl/>
              <w:ind w:firstLine="0" w:firstLineChars="0"/>
              <w:jc w:val="center"/>
              <w:rPr>
                <w:rFonts w:hint="default" w:ascii="宋体" w:hAnsi="宋体" w:eastAsia="宋体" w:cs="宋体"/>
                <w:i w:val="0"/>
                <w:color w:val="auto"/>
                <w:sz w:val="22"/>
                <w:szCs w:val="22"/>
                <w:highlight w:val="yellow"/>
                <w:u w:val="none"/>
                <w:lang w:val="en-US" w:eastAsia="zh-CN"/>
              </w:rPr>
            </w:pPr>
            <w:r>
              <w:rPr>
                <w:rFonts w:hint="eastAsia" w:ascii="宋体" w:hAnsi="宋体" w:eastAsia="宋体" w:cs="宋体"/>
                <w:i w:val="0"/>
                <w:color w:val="auto"/>
                <w:sz w:val="22"/>
                <w:szCs w:val="22"/>
                <w:highlight w:val="none"/>
                <w:u w:val="none"/>
                <w:lang w:val="en-US" w:eastAsia="zh-CN"/>
              </w:rPr>
              <w:t>检测报告出具及时率</w:t>
            </w:r>
          </w:p>
        </w:tc>
        <w:tc>
          <w:tcPr>
            <w:tcW w:w="3507" w:type="dxa"/>
            <w:vMerge w:val="continue"/>
            <w:tcBorders>
              <w:tl2br w:val="nil"/>
              <w:tr2bl w:val="nil"/>
            </w:tcBorders>
            <w:shd w:val="clear" w:color="000000" w:fill="FFFFFF"/>
            <w:vAlign w:val="center"/>
          </w:tcPr>
          <w:p w14:paraId="00B023D9">
            <w:pPr>
              <w:widowControl/>
              <w:ind w:firstLine="0" w:firstLineChars="0"/>
              <w:rPr>
                <w:rFonts w:hint="eastAsia" w:ascii="宋体" w:hAnsi="宋体" w:eastAsia="宋体" w:cs="宋体"/>
                <w:color w:val="auto"/>
                <w:kern w:val="0"/>
                <w:sz w:val="22"/>
                <w:highlight w:val="yellow"/>
              </w:rPr>
            </w:pPr>
          </w:p>
        </w:tc>
        <w:tc>
          <w:tcPr>
            <w:tcW w:w="5210" w:type="dxa"/>
            <w:vMerge w:val="continue"/>
            <w:tcBorders>
              <w:tl2br w:val="nil"/>
              <w:tr2bl w:val="nil"/>
            </w:tcBorders>
            <w:shd w:val="clear" w:color="000000" w:fill="FFFFFF"/>
            <w:vAlign w:val="center"/>
          </w:tcPr>
          <w:p w14:paraId="1D537633">
            <w:pPr>
              <w:widowControl/>
              <w:ind w:firstLine="0" w:firstLineChars="0"/>
              <w:rPr>
                <w:rFonts w:hint="eastAsia" w:ascii="宋体" w:hAnsi="宋体" w:eastAsia="宋体" w:cs="宋体"/>
                <w:color w:val="auto"/>
                <w:kern w:val="0"/>
                <w:sz w:val="22"/>
                <w:highlight w:val="yellow"/>
              </w:rPr>
            </w:pPr>
          </w:p>
        </w:tc>
      </w:tr>
      <w:tr w14:paraId="35A67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jc w:val="center"/>
        </w:trPr>
        <w:tc>
          <w:tcPr>
            <w:tcW w:w="1155" w:type="dxa"/>
            <w:tcBorders>
              <w:tl2br w:val="nil"/>
              <w:tr2bl w:val="nil"/>
            </w:tcBorders>
            <w:shd w:val="clear" w:color="auto" w:fill="FFFFFF"/>
            <w:vAlign w:val="center"/>
          </w:tcPr>
          <w:p w14:paraId="35180496">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效益</w:t>
            </w:r>
          </w:p>
        </w:tc>
        <w:tc>
          <w:tcPr>
            <w:tcW w:w="1199" w:type="dxa"/>
            <w:tcBorders>
              <w:tl2br w:val="nil"/>
              <w:tr2bl w:val="nil"/>
            </w:tcBorders>
            <w:shd w:val="clear" w:color="auto" w:fill="FFFFFF"/>
            <w:vAlign w:val="center"/>
          </w:tcPr>
          <w:p w14:paraId="252239AB">
            <w:pPr>
              <w:widowControl/>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社会效益效益</w:t>
            </w:r>
          </w:p>
        </w:tc>
        <w:tc>
          <w:tcPr>
            <w:tcW w:w="2824" w:type="dxa"/>
            <w:tcBorders>
              <w:tl2br w:val="nil"/>
              <w:tr2bl w:val="nil"/>
            </w:tcBorders>
            <w:shd w:val="clear" w:color="auto" w:fill="FFFFFF"/>
            <w:vAlign w:val="center"/>
          </w:tcPr>
          <w:p w14:paraId="0AC6FACB">
            <w:pPr>
              <w:widowControl/>
              <w:ind w:firstLine="0" w:firstLineChars="0"/>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为全市大气、水、土壤污染防治行动计划实施提供基础依据</w:t>
            </w:r>
          </w:p>
        </w:tc>
        <w:tc>
          <w:tcPr>
            <w:tcW w:w="3507" w:type="dxa"/>
            <w:tcBorders>
              <w:tl2br w:val="nil"/>
              <w:tr2bl w:val="nil"/>
            </w:tcBorders>
            <w:shd w:val="clear" w:color="000000" w:fill="FFFFFF"/>
            <w:vAlign w:val="center"/>
          </w:tcPr>
          <w:p w14:paraId="0DB0996B">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项目实施所产生的效益。</w:t>
            </w:r>
          </w:p>
        </w:tc>
        <w:tc>
          <w:tcPr>
            <w:tcW w:w="5210" w:type="dxa"/>
            <w:tcBorders>
              <w:tl2br w:val="nil"/>
              <w:tr2bl w:val="nil"/>
            </w:tcBorders>
            <w:shd w:val="clear" w:color="000000" w:fill="FFFFFF"/>
            <w:vAlign w:val="center"/>
          </w:tcPr>
          <w:p w14:paraId="5A146E02">
            <w:pPr>
              <w:widowControl/>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社会公众或服务对象是指因该项目实施而受到影响的部门（单位）、群体或个人。一般采取社会调查的方式。</w:t>
            </w:r>
          </w:p>
        </w:tc>
      </w:tr>
    </w:tbl>
    <w:p w14:paraId="032FDC69">
      <w:pPr>
        <w:ind w:firstLine="0" w:firstLineChars="0"/>
        <w:jc w:val="center"/>
        <w:rPr>
          <w:rFonts w:ascii="仿宋_GB2312"/>
          <w:color w:val="auto"/>
          <w:highlight w:val="none"/>
        </w:rPr>
      </w:pPr>
    </w:p>
    <w:p w14:paraId="28FC72F8">
      <w:pPr>
        <w:ind w:firstLine="0" w:firstLineChars="0"/>
        <w:jc w:val="center"/>
        <w:rPr>
          <w:rFonts w:ascii="仿宋_GB2312"/>
          <w:color w:val="auto"/>
          <w:highlight w:val="none"/>
        </w:rPr>
      </w:pPr>
    </w:p>
    <w:p w14:paraId="1E91018A">
      <w:pPr>
        <w:ind w:firstLine="0" w:firstLineChars="0"/>
        <w:jc w:val="center"/>
        <w:rPr>
          <w:rFonts w:ascii="仿宋_GB2312"/>
          <w:color w:val="auto"/>
          <w:highlight w:val="none"/>
        </w:rPr>
      </w:pPr>
    </w:p>
    <w:p w14:paraId="10226C52">
      <w:pPr>
        <w:ind w:firstLine="0" w:firstLineChars="0"/>
        <w:jc w:val="center"/>
        <w:rPr>
          <w:rFonts w:ascii="仿宋_GB2312"/>
          <w:color w:val="auto"/>
          <w:highlight w:val="none"/>
        </w:rPr>
      </w:pPr>
    </w:p>
    <w:p w14:paraId="1DAF639D">
      <w:pPr>
        <w:ind w:firstLine="0" w:firstLineChars="0"/>
        <w:jc w:val="center"/>
        <w:rPr>
          <w:rFonts w:ascii="仿宋_GB2312"/>
          <w:color w:val="auto"/>
          <w:highlight w:val="none"/>
        </w:rPr>
      </w:pPr>
    </w:p>
    <w:p w14:paraId="678FF27E">
      <w:pPr>
        <w:ind w:firstLine="0" w:firstLineChars="0"/>
        <w:jc w:val="center"/>
        <w:rPr>
          <w:rFonts w:ascii="仿宋_GB2312"/>
          <w:color w:val="auto"/>
          <w:highlight w:val="none"/>
        </w:rPr>
        <w:sectPr>
          <w:pgSz w:w="16838" w:h="11906" w:orient="landscape"/>
          <w:pgMar w:top="1800" w:right="1440" w:bottom="1800" w:left="1440" w:header="1276" w:footer="992" w:gutter="0"/>
          <w:cols w:space="425" w:num="1"/>
          <w:docGrid w:type="lines" w:linePitch="381" w:charSpace="0"/>
        </w:sectPr>
      </w:pPr>
    </w:p>
    <w:p w14:paraId="5D3D43A6">
      <w:pPr>
        <w:pStyle w:val="4"/>
        <w:ind w:firstLine="643"/>
        <w:rPr>
          <w:color w:val="auto"/>
          <w:highlight w:val="none"/>
        </w:rPr>
      </w:pPr>
      <w:bookmarkStart w:id="22" w:name="_Toc4087"/>
      <w:bookmarkStart w:id="23" w:name="_Hlk67586038"/>
      <w:r>
        <w:rPr>
          <w:color w:val="auto"/>
          <w:highlight w:val="none"/>
        </w:rPr>
        <w:t>3.</w:t>
      </w:r>
      <w:r>
        <w:rPr>
          <w:rFonts w:hint="eastAsia"/>
          <w:color w:val="auto"/>
          <w:highlight w:val="none"/>
        </w:rPr>
        <w:t>评价方法</w:t>
      </w:r>
      <w:bookmarkEnd w:id="22"/>
      <w:bookmarkEnd w:id="23"/>
    </w:p>
    <w:p w14:paraId="4CDB43F8">
      <w:pPr>
        <w:spacing w:line="360" w:lineRule="auto"/>
        <w:ind w:firstLine="560"/>
        <w:rPr>
          <w:rFonts w:ascii="仿宋_GB2312"/>
          <w:color w:val="auto"/>
          <w:highlight w:val="none"/>
        </w:rPr>
      </w:pPr>
      <w:r>
        <w:rPr>
          <w:rFonts w:hint="eastAsia" w:ascii="仿宋_GB2312"/>
          <w:color w:val="auto"/>
          <w:highlight w:val="none"/>
        </w:rPr>
        <w:t>《关于印发&lt;项目支出绩效评价管理办法&gt;的通知》（财预〔2020〕10号）文件指出部门评价的方法主要包括成本效益分析法、比较法、因素分析法、最低成本法、公众评判法、标杆管理法等。</w:t>
      </w:r>
    </w:p>
    <w:p w14:paraId="058D0911">
      <w:pPr>
        <w:spacing w:line="360" w:lineRule="auto"/>
        <w:ind w:firstLine="560"/>
        <w:rPr>
          <w:rFonts w:ascii="仿宋_GB2312"/>
          <w:color w:val="auto"/>
          <w:highlight w:val="none"/>
        </w:rPr>
      </w:pPr>
      <w:r>
        <w:rPr>
          <w:rFonts w:hint="eastAsia" w:ascii="仿宋_GB2312"/>
          <w:color w:val="auto"/>
          <w:highlight w:val="none"/>
        </w:rPr>
        <w:t>（1）成本效益分析法。是指将投入与产出、效益进行关联性分析的方法。</w:t>
      </w:r>
    </w:p>
    <w:p w14:paraId="272280D6">
      <w:pPr>
        <w:spacing w:line="360" w:lineRule="auto"/>
        <w:ind w:firstLine="560"/>
        <w:rPr>
          <w:rFonts w:ascii="仿宋_GB2312"/>
          <w:color w:val="auto"/>
          <w:highlight w:val="none"/>
        </w:rPr>
      </w:pPr>
      <w:r>
        <w:rPr>
          <w:rFonts w:hint="eastAsia" w:ascii="仿宋_GB2312"/>
          <w:color w:val="auto"/>
          <w:highlight w:val="none"/>
        </w:rPr>
        <w:t>（2）比较法。是指将实施情况与绩效目标、历史情况、不同部门和地区同类支出情况进行比较的方法。</w:t>
      </w:r>
    </w:p>
    <w:p w14:paraId="17579A77">
      <w:pPr>
        <w:spacing w:line="360" w:lineRule="auto"/>
        <w:ind w:firstLine="560"/>
        <w:rPr>
          <w:rFonts w:ascii="仿宋_GB2312"/>
          <w:color w:val="auto"/>
          <w:highlight w:val="none"/>
        </w:rPr>
      </w:pPr>
      <w:r>
        <w:rPr>
          <w:rFonts w:hint="eastAsia" w:ascii="仿宋_GB2312"/>
          <w:color w:val="auto"/>
          <w:highlight w:val="none"/>
        </w:rPr>
        <w:t>（3）因素分析法。是指综合分析影响绩效目标实现、实施效果的内外部因素的方法。</w:t>
      </w:r>
    </w:p>
    <w:p w14:paraId="46C2D687">
      <w:pPr>
        <w:spacing w:line="360" w:lineRule="auto"/>
        <w:ind w:firstLine="560"/>
        <w:rPr>
          <w:rFonts w:ascii="仿宋_GB2312"/>
          <w:color w:val="auto"/>
          <w:highlight w:val="none"/>
        </w:rPr>
      </w:pPr>
      <w:r>
        <w:rPr>
          <w:rFonts w:hint="eastAsia" w:ascii="仿宋_GB2312"/>
          <w:color w:val="auto"/>
          <w:highlight w:val="none"/>
        </w:rPr>
        <w:t>（4）最低成本法。是指在绩效目标确定的前提下，成本最小者为优的方法。</w:t>
      </w:r>
    </w:p>
    <w:p w14:paraId="2E303945">
      <w:pPr>
        <w:spacing w:line="360" w:lineRule="auto"/>
        <w:ind w:firstLine="560"/>
        <w:rPr>
          <w:rFonts w:ascii="仿宋_GB2312"/>
          <w:color w:val="auto"/>
          <w:highlight w:val="none"/>
        </w:rPr>
      </w:pPr>
      <w:r>
        <w:rPr>
          <w:rFonts w:hint="eastAsia" w:ascii="仿宋_GB2312"/>
          <w:color w:val="auto"/>
          <w:highlight w:val="none"/>
        </w:rPr>
        <w:t>（5）公众评判法。是指通过专家评估、公众问卷及抽样调查等方式进行评判的方法。</w:t>
      </w:r>
    </w:p>
    <w:p w14:paraId="7ACBBCE2">
      <w:pPr>
        <w:spacing w:line="360" w:lineRule="auto"/>
        <w:ind w:firstLine="560"/>
        <w:rPr>
          <w:rFonts w:ascii="仿宋_GB2312"/>
          <w:color w:val="auto"/>
          <w:highlight w:val="none"/>
        </w:rPr>
      </w:pPr>
      <w:r>
        <w:rPr>
          <w:rFonts w:hint="eastAsia" w:ascii="仿宋_GB2312"/>
          <w:color w:val="auto"/>
          <w:highlight w:val="none"/>
        </w:rPr>
        <w:t>（6）标杆管理法。是指以国内外同行业中较高的绩效水平为标杆进行评判的方法。</w:t>
      </w:r>
    </w:p>
    <w:p w14:paraId="185EE1FC">
      <w:pPr>
        <w:spacing w:line="360" w:lineRule="auto"/>
        <w:ind w:firstLine="560"/>
        <w:rPr>
          <w:rFonts w:ascii="仿宋_GB2312"/>
          <w:color w:val="auto"/>
          <w:highlight w:val="none"/>
        </w:rPr>
      </w:pPr>
      <w:r>
        <w:rPr>
          <w:rFonts w:hint="eastAsia" w:ascii="仿宋_GB2312"/>
          <w:color w:val="auto"/>
          <w:highlight w:val="none"/>
        </w:rPr>
        <w:t>（7）其他评价方法。</w:t>
      </w:r>
    </w:p>
    <w:p w14:paraId="7F1B786C">
      <w:pPr>
        <w:spacing w:line="360" w:lineRule="auto"/>
        <w:ind w:firstLine="560"/>
        <w:rPr>
          <w:rFonts w:ascii="仿宋_GB2312"/>
          <w:color w:val="auto"/>
          <w:highlight w:val="none"/>
        </w:rPr>
      </w:pPr>
      <w:r>
        <w:rPr>
          <w:rFonts w:hint="eastAsia" w:ascii="仿宋_GB2312"/>
          <w:color w:val="auto"/>
          <w:highlight w:val="none"/>
        </w:rPr>
        <w:t>根据本项目环境运行监测和冬季大气污染防治工作经费</w:t>
      </w:r>
      <w:r>
        <w:rPr>
          <w:rFonts w:hint="eastAsia" w:ascii="仿宋_GB2312"/>
          <w:color w:val="auto"/>
          <w:highlight w:val="none"/>
          <w:lang w:eastAsia="zh-CN"/>
        </w:rPr>
        <w:t>项目</w:t>
      </w:r>
      <w:r>
        <w:rPr>
          <w:rFonts w:hint="eastAsia" w:ascii="仿宋_GB2312"/>
          <w:color w:val="auto"/>
          <w:highlight w:val="none"/>
        </w:rPr>
        <w:t>的特点，本次评价主要采用</w:t>
      </w:r>
      <w:r>
        <w:rPr>
          <w:rFonts w:hint="eastAsia" w:ascii="仿宋_GB2312"/>
          <w:color w:val="auto"/>
          <w:highlight w:val="none"/>
          <w:lang w:eastAsia="zh-CN"/>
        </w:rPr>
        <w:t>比较法</w:t>
      </w:r>
      <w:r>
        <w:rPr>
          <w:rFonts w:ascii="仿宋_GB2312"/>
          <w:color w:val="auto"/>
          <w:highlight w:val="none"/>
        </w:rPr>
        <w:t>和</w:t>
      </w:r>
      <w:r>
        <w:rPr>
          <w:rFonts w:hint="eastAsia" w:ascii="仿宋_GB2312"/>
          <w:color w:val="auto"/>
          <w:highlight w:val="none"/>
          <w:lang w:eastAsia="zh-CN"/>
        </w:rPr>
        <w:t>因素分析法</w:t>
      </w:r>
      <w:r>
        <w:rPr>
          <w:rFonts w:hint="eastAsia" w:ascii="仿宋_GB2312"/>
          <w:color w:val="auto"/>
          <w:highlight w:val="none"/>
        </w:rPr>
        <w:t>，对项目总预算和明细预算的内容、标准、计划是否经济合理进行深入分析，以考察实际产出和效益是否达到预期。</w:t>
      </w:r>
    </w:p>
    <w:p w14:paraId="6B8D40B0">
      <w:pPr>
        <w:pStyle w:val="4"/>
        <w:ind w:firstLine="643"/>
        <w:rPr>
          <w:color w:val="auto"/>
          <w:highlight w:val="none"/>
        </w:rPr>
      </w:pPr>
      <w:bookmarkStart w:id="24" w:name="_Toc19199"/>
      <w:r>
        <w:rPr>
          <w:color w:val="auto"/>
          <w:highlight w:val="none"/>
        </w:rPr>
        <w:t>4.</w:t>
      </w:r>
      <w:r>
        <w:rPr>
          <w:rFonts w:hint="eastAsia"/>
          <w:color w:val="auto"/>
          <w:highlight w:val="none"/>
        </w:rPr>
        <w:t>评价标准</w:t>
      </w:r>
      <w:bookmarkEnd w:id="24"/>
    </w:p>
    <w:p w14:paraId="0D2DA29D">
      <w:pPr>
        <w:spacing w:line="360" w:lineRule="auto"/>
        <w:ind w:firstLine="560"/>
        <w:rPr>
          <w:rFonts w:ascii="仿宋_GB2312"/>
          <w:color w:val="auto"/>
          <w:highlight w:val="none"/>
        </w:rPr>
      </w:pPr>
      <w:r>
        <w:rPr>
          <w:rFonts w:hint="eastAsia" w:ascii="仿宋_GB2312"/>
          <w:color w:val="auto"/>
          <w:highlight w:val="none"/>
        </w:rPr>
        <w:t>绩效评价标准主要包括计划标准、行业标准、历史标准等，用于对绩效指标完成情况进行比较。</w:t>
      </w:r>
    </w:p>
    <w:p w14:paraId="225C74C6">
      <w:pPr>
        <w:spacing w:line="360" w:lineRule="auto"/>
        <w:ind w:firstLine="560"/>
        <w:rPr>
          <w:rFonts w:ascii="仿宋_GB2312"/>
          <w:color w:val="auto"/>
          <w:highlight w:val="none"/>
        </w:rPr>
      </w:pPr>
      <w:r>
        <w:rPr>
          <w:rFonts w:hint="eastAsia" w:ascii="仿宋_GB2312"/>
          <w:color w:val="auto"/>
          <w:highlight w:val="none"/>
        </w:rPr>
        <w:t>（1）计划标准。指以预先制定的目标、计划、预算、定额等作为评价标准。</w:t>
      </w:r>
    </w:p>
    <w:p w14:paraId="26A459E8">
      <w:pPr>
        <w:spacing w:line="360" w:lineRule="auto"/>
        <w:ind w:firstLine="560"/>
        <w:rPr>
          <w:rFonts w:ascii="仿宋_GB2312"/>
          <w:color w:val="auto"/>
          <w:highlight w:val="none"/>
        </w:rPr>
      </w:pPr>
      <w:r>
        <w:rPr>
          <w:rFonts w:hint="eastAsia" w:ascii="仿宋_GB2312"/>
          <w:color w:val="auto"/>
          <w:highlight w:val="none"/>
        </w:rPr>
        <w:t>（2）行业标准。指参照国家公布的行业指标数据制定的评价标准。</w:t>
      </w:r>
    </w:p>
    <w:p w14:paraId="0B5E9A73">
      <w:pPr>
        <w:spacing w:line="360" w:lineRule="auto"/>
        <w:ind w:firstLine="560"/>
        <w:rPr>
          <w:rFonts w:ascii="仿宋_GB2312"/>
          <w:color w:val="auto"/>
          <w:highlight w:val="none"/>
        </w:rPr>
      </w:pPr>
      <w:r>
        <w:rPr>
          <w:rFonts w:hint="eastAsia" w:ascii="仿宋_GB2312"/>
          <w:color w:val="auto"/>
          <w:highlight w:val="none"/>
        </w:rPr>
        <w:t>（3）历史标准。指参照历史数据制定的评价标准，为体现绩效改进的原则，在可实现的条件下应当确定相对较高的评价标准。</w:t>
      </w:r>
    </w:p>
    <w:p w14:paraId="577BE46D">
      <w:pPr>
        <w:spacing w:line="360" w:lineRule="auto"/>
        <w:ind w:firstLine="560"/>
        <w:rPr>
          <w:rFonts w:ascii="仿宋_GB2312"/>
          <w:color w:val="auto"/>
          <w:highlight w:val="none"/>
        </w:rPr>
      </w:pPr>
      <w:r>
        <w:rPr>
          <w:rFonts w:hint="eastAsia" w:ascii="仿宋_GB2312"/>
          <w:color w:val="auto"/>
          <w:highlight w:val="none"/>
        </w:rPr>
        <w:t>在上述评价标准的基础上，本次评价依据以下文件为重要指导和准绳：</w:t>
      </w:r>
    </w:p>
    <w:p w14:paraId="1B8E0BC1">
      <w:pPr>
        <w:spacing w:line="360" w:lineRule="auto"/>
        <w:ind w:firstLine="56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《中共中央国务院关于全面实施预算绩效管理的意见》（中发〔2018〕34号）</w:t>
      </w:r>
    </w:p>
    <w:p w14:paraId="5D97809A">
      <w:pPr>
        <w:spacing w:line="360" w:lineRule="auto"/>
        <w:ind w:firstLine="56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《关于印发&lt;乌鲁木齐市本级部门预算绩效目标管理暂行办法&gt;的通知》（乌财预〔2018〕56号）</w:t>
      </w:r>
    </w:p>
    <w:p w14:paraId="42FD3297">
      <w:pPr>
        <w:spacing w:line="360" w:lineRule="auto"/>
        <w:ind w:firstLine="560" w:firstLineChars="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《关于做好2019年部门预算项目支出绩效目标管理有关事宜的通知》（乌财预〔2018〕76号）</w:t>
      </w:r>
    </w:p>
    <w:p w14:paraId="262DBCFE">
      <w:pPr>
        <w:spacing w:line="360" w:lineRule="auto"/>
        <w:ind w:firstLine="560"/>
        <w:rPr>
          <w:rFonts w:hint="eastAsia"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《项目支出绩效评价管理办法》（财预〔2020〕10号）</w:t>
      </w:r>
    </w:p>
    <w:p w14:paraId="7B33D02E">
      <w:pPr>
        <w:spacing w:line="360" w:lineRule="auto"/>
        <w:ind w:firstLine="560" w:firstLineChars="0"/>
        <w:rPr>
          <w:rFonts w:hint="default" w:ascii="黑体" w:hAnsi="黑体" w:eastAsia="黑体" w:cs="Times New Roman"/>
          <w:color w:val="auto"/>
          <w:szCs w:val="28"/>
          <w:highlight w:val="none"/>
          <w:lang w:val="en-US" w:eastAsia="zh-CN"/>
        </w:rPr>
      </w:pPr>
      <w:r>
        <w:rPr>
          <w:rFonts w:hint="eastAsia" w:ascii="黑体" w:hAnsi="黑体" w:eastAsia="黑体" w:cs="Times New Roman"/>
          <w:color w:val="auto"/>
          <w:szCs w:val="28"/>
          <w:highlight w:val="none"/>
        </w:rPr>
        <w:t>·</w:t>
      </w:r>
      <w:r>
        <w:rPr>
          <w:rFonts w:hint="eastAsia" w:ascii="仿宋_GB2312"/>
          <w:color w:val="auto"/>
          <w:highlight w:val="none"/>
          <w:lang w:val="en-US" w:eastAsia="zh-CN"/>
        </w:rPr>
        <w:t>《2024年自治区生态环境监测方案》(新环办监测</w:t>
      </w:r>
      <w:r>
        <w:rPr>
          <w:rFonts w:hint="eastAsia" w:ascii="仿宋_GB2312"/>
          <w:color w:val="auto"/>
          <w:highlight w:val="none"/>
        </w:rPr>
        <w:t>〔20</w:t>
      </w:r>
      <w:r>
        <w:rPr>
          <w:rFonts w:hint="eastAsia" w:ascii="仿宋_GB2312"/>
          <w:color w:val="auto"/>
          <w:highlight w:val="none"/>
          <w:lang w:val="en-US" w:eastAsia="zh-CN"/>
        </w:rPr>
        <w:t>24</w:t>
      </w:r>
      <w:r>
        <w:rPr>
          <w:rFonts w:hint="eastAsia" w:ascii="仿宋_GB2312"/>
          <w:color w:val="auto"/>
          <w:highlight w:val="none"/>
        </w:rPr>
        <w:t>〕</w:t>
      </w:r>
      <w:r>
        <w:rPr>
          <w:rFonts w:hint="eastAsia" w:ascii="仿宋_GB2312"/>
          <w:color w:val="auto"/>
          <w:highlight w:val="none"/>
          <w:lang w:val="en-US" w:eastAsia="zh-CN"/>
        </w:rPr>
        <w:t>36号)</w:t>
      </w:r>
    </w:p>
    <w:p w14:paraId="770CA409">
      <w:pPr>
        <w:spacing w:line="360" w:lineRule="auto"/>
        <w:ind w:firstLine="560" w:firstLineChars="0"/>
        <w:rPr>
          <w:rFonts w:hint="eastAsia" w:ascii="仿宋_GB2312"/>
          <w:color w:val="auto"/>
          <w:highlight w:val="none"/>
          <w:lang w:val="en-US" w:eastAsia="zh-CN"/>
        </w:rPr>
      </w:pPr>
      <w:r>
        <w:rPr>
          <w:rFonts w:hint="eastAsia" w:ascii="黑体" w:hAnsi="黑体" w:eastAsia="黑体" w:cs="Times New Roman"/>
          <w:color w:val="auto"/>
          <w:szCs w:val="28"/>
          <w:highlight w:val="none"/>
        </w:rPr>
        <w:t>·</w:t>
      </w:r>
      <w:r>
        <w:rPr>
          <w:rFonts w:hint="eastAsia" w:ascii="仿宋_GB2312"/>
          <w:color w:val="auto"/>
          <w:highlight w:val="none"/>
          <w:lang w:val="en-US" w:eastAsia="zh-CN"/>
        </w:rPr>
        <w:t>《2024年乌鲁木齐市生态环境监测工作方案》（乌环发〔2024〕17号）</w:t>
      </w:r>
    </w:p>
    <w:p w14:paraId="2327C835">
      <w:pPr>
        <w:pStyle w:val="3"/>
        <w:ind w:firstLine="643"/>
        <w:rPr>
          <w:rFonts w:ascii="仿宋" w:hAnsi="仿宋" w:eastAsia="仿宋"/>
          <w:color w:val="auto"/>
          <w:highlight w:val="none"/>
          <w:lang w:bidi="en-US"/>
        </w:rPr>
      </w:pPr>
      <w:bookmarkStart w:id="25" w:name="_Toc7060"/>
      <w:bookmarkStart w:id="26" w:name="_Toc67911607"/>
      <w:r>
        <w:rPr>
          <w:rFonts w:hint="eastAsia" w:ascii="仿宋" w:hAnsi="仿宋" w:eastAsia="仿宋"/>
          <w:color w:val="auto"/>
          <w:highlight w:val="none"/>
          <w:lang w:bidi="en-US"/>
        </w:rPr>
        <w:t>（三）绩效评价工作过程</w:t>
      </w:r>
      <w:bookmarkEnd w:id="25"/>
      <w:bookmarkEnd w:id="26"/>
    </w:p>
    <w:p w14:paraId="11D8E74D">
      <w:pPr>
        <w:spacing w:line="360" w:lineRule="auto"/>
        <w:ind w:firstLine="560"/>
        <w:rPr>
          <w:rFonts w:ascii="仿宋_GB2312"/>
          <w:color w:val="auto"/>
          <w:highlight w:val="none"/>
        </w:rPr>
      </w:pPr>
      <w:r>
        <w:rPr>
          <w:rFonts w:hint="eastAsia" w:ascii="仿宋_GB2312"/>
          <w:color w:val="auto"/>
          <w:highlight w:val="none"/>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w:t>
      </w:r>
      <w:r>
        <w:rPr>
          <w:rStyle w:val="13"/>
          <w:rFonts w:ascii="仿宋_GB2312"/>
          <w:color w:val="auto"/>
          <w:highlight w:val="none"/>
        </w:rPr>
        <w:footnoteReference w:id="0"/>
      </w:r>
      <w:r>
        <w:rPr>
          <w:rFonts w:hint="eastAsia" w:ascii="仿宋_GB2312"/>
          <w:color w:val="auto"/>
          <w:highlight w:val="none"/>
        </w:rPr>
        <w:t>、材料审核分析、现场核查评价、综合分析评价及报告撰写，评价项目实施情况，展现资金使用效益。</w:t>
      </w:r>
    </w:p>
    <w:p w14:paraId="5775290A">
      <w:pPr>
        <w:pStyle w:val="2"/>
        <w:ind w:firstLine="0" w:firstLineChars="0"/>
        <w:jc w:val="left"/>
        <w:rPr>
          <w:rFonts w:ascii="仿宋" w:hAnsi="仿宋" w:eastAsia="仿宋"/>
          <w:color w:val="auto"/>
          <w:sz w:val="36"/>
          <w:szCs w:val="36"/>
          <w:highlight w:val="none"/>
          <w:lang w:bidi="en-US"/>
        </w:rPr>
      </w:pPr>
      <w:bookmarkStart w:id="27" w:name="_Toc5690"/>
      <w:bookmarkStart w:id="28" w:name="_Toc67911608"/>
      <w:r>
        <w:rPr>
          <w:rFonts w:hint="eastAsia" w:ascii="仿宋" w:hAnsi="仿宋" w:eastAsia="仿宋"/>
          <w:color w:val="auto"/>
          <w:sz w:val="36"/>
          <w:szCs w:val="36"/>
          <w:highlight w:val="none"/>
          <w:lang w:bidi="en-US"/>
        </w:rPr>
        <w:t>三、综合评价情况及评价结论</w:t>
      </w:r>
      <w:bookmarkEnd w:id="27"/>
      <w:bookmarkEnd w:id="28"/>
    </w:p>
    <w:p w14:paraId="7E3B272B">
      <w:pPr>
        <w:pStyle w:val="3"/>
        <w:ind w:firstLine="643"/>
        <w:rPr>
          <w:rFonts w:ascii="仿宋" w:hAnsi="仿宋" w:eastAsia="仿宋"/>
          <w:color w:val="auto"/>
          <w:highlight w:val="none"/>
          <w:lang w:bidi="en-US"/>
        </w:rPr>
      </w:pPr>
      <w:bookmarkStart w:id="29" w:name="_Toc67911609"/>
      <w:bookmarkStart w:id="30" w:name="_Toc19651"/>
      <w:r>
        <w:rPr>
          <w:rFonts w:hint="eastAsia" w:ascii="仿宋" w:hAnsi="仿宋" w:eastAsia="仿宋"/>
          <w:color w:val="auto"/>
          <w:highlight w:val="none"/>
          <w:lang w:bidi="en-US"/>
        </w:rPr>
        <w:t>（一）评价结论</w:t>
      </w:r>
      <w:bookmarkEnd w:id="29"/>
      <w:bookmarkEnd w:id="30"/>
    </w:p>
    <w:p w14:paraId="1B4F8A4F">
      <w:pPr>
        <w:spacing w:line="360" w:lineRule="auto"/>
        <w:ind w:firstLine="560"/>
        <w:rPr>
          <w:rFonts w:ascii="仿宋_GB2312"/>
          <w:color w:val="auto"/>
          <w:szCs w:val="28"/>
          <w:highlight w:val="none"/>
        </w:rPr>
      </w:pPr>
      <w:r>
        <w:rPr>
          <w:rFonts w:hint="eastAsia" w:ascii="仿宋_GB2312"/>
          <w:color w:val="auto"/>
          <w:szCs w:val="28"/>
          <w:highlight w:val="none"/>
        </w:rPr>
        <w:t>结合项目特点，制定符合项目实际的绩效评价指标体系及评分标准，通过数据采集、问卷调查及访谈等形式，对2024年环境运行监测和冬季大气污染防治工作经费进行客观评价，最终评分结果为：总分为</w:t>
      </w:r>
      <w:r>
        <w:rPr>
          <w:rFonts w:hint="eastAsia" w:ascii="仿宋_GB2312"/>
          <w:color w:val="auto"/>
          <w:szCs w:val="28"/>
          <w:highlight w:val="none"/>
          <w:lang w:val="en-US" w:eastAsia="zh-CN"/>
        </w:rPr>
        <w:t>99.58</w:t>
      </w:r>
      <w:r>
        <w:rPr>
          <w:rFonts w:hint="eastAsia" w:ascii="仿宋_GB2312"/>
          <w:color w:val="auto"/>
          <w:szCs w:val="28"/>
          <w:highlight w:val="none"/>
        </w:rPr>
        <w:t>分，绩效评级为“</w:t>
      </w:r>
      <w:r>
        <w:rPr>
          <w:rFonts w:hint="eastAsia" w:ascii="仿宋_GB2312"/>
          <w:color w:val="auto"/>
          <w:szCs w:val="28"/>
          <w:highlight w:val="none"/>
          <w:lang w:val="en-US" w:eastAsia="zh-CN"/>
        </w:rPr>
        <w:t>优</w:t>
      </w:r>
      <w:r>
        <w:rPr>
          <w:rFonts w:hint="eastAsia" w:ascii="仿宋_GB2312"/>
          <w:color w:val="auto"/>
          <w:szCs w:val="28"/>
          <w:highlight w:val="none"/>
        </w:rPr>
        <w:t>”</w:t>
      </w:r>
      <w:r>
        <w:rPr>
          <w:rStyle w:val="13"/>
          <w:rFonts w:ascii="仿宋_GB2312"/>
          <w:color w:val="auto"/>
          <w:szCs w:val="28"/>
          <w:highlight w:val="none"/>
        </w:rPr>
        <w:footnoteReference w:id="1"/>
      </w:r>
      <w:r>
        <w:rPr>
          <w:rFonts w:hint="eastAsia" w:ascii="仿宋_GB2312"/>
          <w:color w:val="auto"/>
          <w:szCs w:val="28"/>
          <w:highlight w:val="none"/>
        </w:rPr>
        <w:t>。</w:t>
      </w:r>
    </w:p>
    <w:p w14:paraId="0BF83CB3">
      <w:pPr>
        <w:spacing w:line="360" w:lineRule="auto"/>
        <w:ind w:firstLine="560"/>
        <w:rPr>
          <w:rFonts w:ascii="仿宋_GB2312"/>
          <w:color w:val="auto"/>
          <w:szCs w:val="28"/>
          <w:highlight w:val="none"/>
        </w:rPr>
      </w:pPr>
      <w:r>
        <w:rPr>
          <w:rFonts w:hint="eastAsia" w:ascii="仿宋_GB2312"/>
          <w:color w:val="auto"/>
          <w:szCs w:val="28"/>
          <w:highlight w:val="none"/>
        </w:rPr>
        <w:t>项目各部分权重和绩效分值如附表所示：</w:t>
      </w:r>
    </w:p>
    <w:p w14:paraId="4A97C217">
      <w:pPr>
        <w:spacing w:line="360" w:lineRule="auto"/>
        <w:ind w:firstLine="0" w:firstLineChars="0"/>
        <w:jc w:val="center"/>
        <w:rPr>
          <w:rFonts w:ascii="仿宋_GB2312"/>
          <w:b/>
          <w:bCs/>
          <w:color w:val="auto"/>
          <w:szCs w:val="28"/>
          <w:highlight w:val="none"/>
        </w:rPr>
      </w:pPr>
      <w:r>
        <w:rPr>
          <w:rFonts w:ascii="仿宋_GB2312"/>
          <w:b/>
          <w:bCs/>
          <w:color w:val="auto"/>
          <w:szCs w:val="28"/>
          <w:highlight w:val="none"/>
        </w:rPr>
        <w:t xml:space="preserve">  </w:t>
      </w:r>
      <w:r>
        <w:rPr>
          <w:rFonts w:hint="eastAsia" w:ascii="仿宋_GB2312"/>
          <w:b/>
          <w:bCs/>
          <w:color w:val="auto"/>
          <w:szCs w:val="28"/>
          <w:highlight w:val="none"/>
        </w:rPr>
        <w:t>项目各部分权重和绩效分值</w:t>
      </w:r>
    </w:p>
    <w:tbl>
      <w:tblPr>
        <w:tblStyle w:val="11"/>
        <w:tblW w:w="90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1984"/>
        <w:gridCol w:w="2693"/>
        <w:gridCol w:w="898"/>
        <w:gridCol w:w="898"/>
        <w:gridCol w:w="1039"/>
      </w:tblGrid>
      <w:tr w14:paraId="0ACE2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blHeader/>
          <w:jc w:val="center"/>
        </w:trPr>
        <w:tc>
          <w:tcPr>
            <w:tcW w:w="1550" w:type="dxa"/>
            <w:tcBorders>
              <w:tl2br w:val="nil"/>
              <w:tr2bl w:val="nil"/>
            </w:tcBorders>
            <w:shd w:val="clear" w:color="auto" w:fill="D0CECE"/>
            <w:vAlign w:val="center"/>
          </w:tcPr>
          <w:p w14:paraId="6098E25F">
            <w:pPr>
              <w:widowControl/>
              <w:ind w:firstLine="0" w:firstLineChars="0"/>
              <w:jc w:val="center"/>
              <w:rPr>
                <w:rFonts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一级指标</w:t>
            </w:r>
          </w:p>
        </w:tc>
        <w:tc>
          <w:tcPr>
            <w:tcW w:w="1984" w:type="dxa"/>
            <w:tcBorders>
              <w:tl2br w:val="nil"/>
              <w:tr2bl w:val="nil"/>
            </w:tcBorders>
            <w:shd w:val="clear" w:color="auto" w:fill="D0CECE"/>
            <w:vAlign w:val="center"/>
          </w:tcPr>
          <w:p w14:paraId="19565305">
            <w:pPr>
              <w:widowControl/>
              <w:ind w:firstLine="0" w:firstLineChars="0"/>
              <w:jc w:val="center"/>
              <w:rPr>
                <w:rFonts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二级指标</w:t>
            </w:r>
          </w:p>
        </w:tc>
        <w:tc>
          <w:tcPr>
            <w:tcW w:w="2693" w:type="dxa"/>
            <w:tcBorders>
              <w:tl2br w:val="nil"/>
              <w:tr2bl w:val="nil"/>
            </w:tcBorders>
            <w:shd w:val="clear" w:color="auto" w:fill="D0CECE"/>
            <w:vAlign w:val="center"/>
          </w:tcPr>
          <w:p w14:paraId="3DB07934">
            <w:pPr>
              <w:widowControl/>
              <w:ind w:firstLine="0" w:firstLineChars="0"/>
              <w:jc w:val="center"/>
              <w:rPr>
                <w:rFonts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三级指标</w:t>
            </w:r>
          </w:p>
        </w:tc>
        <w:tc>
          <w:tcPr>
            <w:tcW w:w="898" w:type="dxa"/>
            <w:tcBorders>
              <w:tl2br w:val="nil"/>
              <w:tr2bl w:val="nil"/>
            </w:tcBorders>
            <w:shd w:val="clear" w:color="auto" w:fill="D0CECE"/>
            <w:vAlign w:val="center"/>
          </w:tcPr>
          <w:p w14:paraId="18482518">
            <w:pPr>
              <w:widowControl/>
              <w:ind w:firstLine="0" w:firstLineChars="0"/>
              <w:jc w:val="center"/>
              <w:rPr>
                <w:rFonts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分值</w:t>
            </w:r>
          </w:p>
        </w:tc>
        <w:tc>
          <w:tcPr>
            <w:tcW w:w="898" w:type="dxa"/>
            <w:tcBorders>
              <w:tl2br w:val="nil"/>
              <w:tr2bl w:val="nil"/>
            </w:tcBorders>
            <w:shd w:val="clear" w:color="auto" w:fill="D0CECE"/>
            <w:vAlign w:val="center"/>
          </w:tcPr>
          <w:p w14:paraId="179D1740">
            <w:pPr>
              <w:widowControl/>
              <w:ind w:firstLine="0" w:firstLineChars="0"/>
              <w:jc w:val="center"/>
              <w:rPr>
                <w:rFonts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得分</w:t>
            </w:r>
          </w:p>
        </w:tc>
        <w:tc>
          <w:tcPr>
            <w:tcW w:w="1039" w:type="dxa"/>
            <w:tcBorders>
              <w:tl2br w:val="nil"/>
              <w:tr2bl w:val="nil"/>
            </w:tcBorders>
            <w:shd w:val="clear" w:color="auto" w:fill="D0CECE"/>
            <w:vAlign w:val="center"/>
          </w:tcPr>
          <w:p w14:paraId="0C844491">
            <w:pPr>
              <w:widowControl/>
              <w:ind w:firstLine="0" w:firstLineChars="0"/>
              <w:jc w:val="center"/>
              <w:rPr>
                <w:rFonts w:ascii="仿宋_GB2312" w:hAnsi="Gungsuh" w:cs="宋体"/>
                <w:b/>
                <w:bCs/>
                <w:color w:val="auto"/>
                <w:kern w:val="0"/>
                <w:sz w:val="24"/>
                <w:szCs w:val="24"/>
                <w:highlight w:val="none"/>
              </w:rPr>
            </w:pPr>
            <w:r>
              <w:rPr>
                <w:rFonts w:hint="eastAsia" w:ascii="仿宋_GB2312" w:hAnsi="Gungsuh" w:cs="宋体"/>
                <w:b/>
                <w:bCs/>
                <w:color w:val="auto"/>
                <w:kern w:val="0"/>
                <w:sz w:val="24"/>
                <w:szCs w:val="24"/>
                <w:highlight w:val="none"/>
              </w:rPr>
              <w:t>得分率</w:t>
            </w:r>
          </w:p>
        </w:tc>
      </w:tr>
      <w:tr w14:paraId="12254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4AED9356">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决策</w:t>
            </w:r>
          </w:p>
        </w:tc>
        <w:tc>
          <w:tcPr>
            <w:tcW w:w="1984" w:type="dxa"/>
            <w:vMerge w:val="restart"/>
            <w:tcBorders>
              <w:tl2br w:val="nil"/>
              <w:tr2bl w:val="nil"/>
            </w:tcBorders>
            <w:shd w:val="clear" w:color="auto" w:fill="FFFFFF"/>
            <w:vAlign w:val="center"/>
          </w:tcPr>
          <w:p w14:paraId="1D44516B">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项目立项</w:t>
            </w:r>
          </w:p>
        </w:tc>
        <w:tc>
          <w:tcPr>
            <w:tcW w:w="2693" w:type="dxa"/>
            <w:tcBorders>
              <w:tl2br w:val="nil"/>
              <w:tr2bl w:val="nil"/>
            </w:tcBorders>
            <w:shd w:val="clear" w:color="auto" w:fill="FFFFFF"/>
            <w:vAlign w:val="center"/>
          </w:tcPr>
          <w:p w14:paraId="23F303F3">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立项依据充分性</w:t>
            </w:r>
          </w:p>
        </w:tc>
        <w:tc>
          <w:tcPr>
            <w:tcW w:w="898" w:type="dxa"/>
            <w:tcBorders>
              <w:tl2br w:val="nil"/>
              <w:tr2bl w:val="nil"/>
            </w:tcBorders>
            <w:shd w:val="clear" w:color="auto" w:fill="FFFFFF"/>
            <w:vAlign w:val="center"/>
          </w:tcPr>
          <w:p w14:paraId="0F421014">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898" w:type="dxa"/>
            <w:tcBorders>
              <w:tl2br w:val="nil"/>
              <w:tr2bl w:val="nil"/>
            </w:tcBorders>
            <w:shd w:val="clear" w:color="auto" w:fill="FFFFFF"/>
            <w:vAlign w:val="center"/>
          </w:tcPr>
          <w:p w14:paraId="02DF4CCD">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4</w:t>
            </w:r>
          </w:p>
        </w:tc>
        <w:tc>
          <w:tcPr>
            <w:tcW w:w="1039" w:type="dxa"/>
            <w:tcBorders>
              <w:tl2br w:val="nil"/>
              <w:tr2bl w:val="nil"/>
            </w:tcBorders>
            <w:shd w:val="clear" w:color="auto" w:fill="FFFFFF"/>
            <w:vAlign w:val="center"/>
          </w:tcPr>
          <w:p w14:paraId="2FC38B19">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68128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37ABE0F">
            <w:pPr>
              <w:ind w:firstLine="48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79B9E723">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2C4CF585">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立项程序规范性</w:t>
            </w:r>
          </w:p>
        </w:tc>
        <w:tc>
          <w:tcPr>
            <w:tcW w:w="898" w:type="dxa"/>
            <w:tcBorders>
              <w:tl2br w:val="nil"/>
              <w:tr2bl w:val="nil"/>
            </w:tcBorders>
            <w:shd w:val="clear" w:color="auto" w:fill="FFFFFF"/>
            <w:vAlign w:val="center"/>
          </w:tcPr>
          <w:p w14:paraId="761EA2F0">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898" w:type="dxa"/>
            <w:tcBorders>
              <w:tl2br w:val="nil"/>
              <w:tr2bl w:val="nil"/>
            </w:tcBorders>
            <w:shd w:val="clear" w:color="auto" w:fill="FFFFFF"/>
            <w:vAlign w:val="center"/>
          </w:tcPr>
          <w:p w14:paraId="21938AE1">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4</w:t>
            </w:r>
          </w:p>
        </w:tc>
        <w:tc>
          <w:tcPr>
            <w:tcW w:w="1039" w:type="dxa"/>
            <w:tcBorders>
              <w:tl2br w:val="nil"/>
              <w:tr2bl w:val="nil"/>
            </w:tcBorders>
            <w:shd w:val="clear" w:color="auto" w:fill="FFFFFF"/>
            <w:vAlign w:val="center"/>
          </w:tcPr>
          <w:p w14:paraId="4134D08A">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28250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782ACE3">
            <w:pPr>
              <w:ind w:firstLine="48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0C98AC61">
            <w:pPr>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绩效目标</w:t>
            </w:r>
          </w:p>
        </w:tc>
        <w:tc>
          <w:tcPr>
            <w:tcW w:w="2693" w:type="dxa"/>
            <w:tcBorders>
              <w:tl2br w:val="nil"/>
              <w:tr2bl w:val="nil"/>
            </w:tcBorders>
            <w:shd w:val="clear" w:color="auto" w:fill="FFFFFF"/>
            <w:vAlign w:val="center"/>
          </w:tcPr>
          <w:p w14:paraId="63D7A124">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绩效目标合理性</w:t>
            </w:r>
          </w:p>
        </w:tc>
        <w:tc>
          <w:tcPr>
            <w:tcW w:w="898" w:type="dxa"/>
            <w:tcBorders>
              <w:tl2br w:val="nil"/>
              <w:tr2bl w:val="nil"/>
            </w:tcBorders>
            <w:shd w:val="clear" w:color="000000" w:fill="FFFFFF"/>
            <w:vAlign w:val="center"/>
          </w:tcPr>
          <w:p w14:paraId="7A193447">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533C8323">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3</w:t>
            </w:r>
          </w:p>
        </w:tc>
        <w:tc>
          <w:tcPr>
            <w:tcW w:w="1039" w:type="dxa"/>
            <w:tcBorders>
              <w:tl2br w:val="nil"/>
              <w:tr2bl w:val="nil"/>
            </w:tcBorders>
            <w:shd w:val="clear" w:color="000000" w:fill="FFFFFF"/>
            <w:vAlign w:val="center"/>
          </w:tcPr>
          <w:p w14:paraId="566832FA">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7ED71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7BEF03CA">
            <w:pPr>
              <w:widowControl/>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3CF784B5">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0293FDE6">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绩效指标明确性</w:t>
            </w:r>
          </w:p>
        </w:tc>
        <w:tc>
          <w:tcPr>
            <w:tcW w:w="898" w:type="dxa"/>
            <w:tcBorders>
              <w:tl2br w:val="nil"/>
              <w:tr2bl w:val="nil"/>
            </w:tcBorders>
            <w:shd w:val="clear" w:color="000000" w:fill="FFFFFF"/>
            <w:vAlign w:val="center"/>
          </w:tcPr>
          <w:p w14:paraId="1018E768">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039CC2CE">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3</w:t>
            </w:r>
          </w:p>
        </w:tc>
        <w:tc>
          <w:tcPr>
            <w:tcW w:w="1039" w:type="dxa"/>
            <w:tcBorders>
              <w:tl2br w:val="nil"/>
              <w:tr2bl w:val="nil"/>
            </w:tcBorders>
            <w:shd w:val="clear" w:color="000000" w:fill="FFFFFF"/>
            <w:vAlign w:val="center"/>
          </w:tcPr>
          <w:p w14:paraId="2860CF9F">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4FA0C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CB96217">
            <w:pPr>
              <w:ind w:firstLine="0" w:firstLineChars="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521F9CB6">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资金投入</w:t>
            </w:r>
          </w:p>
        </w:tc>
        <w:tc>
          <w:tcPr>
            <w:tcW w:w="2693" w:type="dxa"/>
            <w:tcBorders>
              <w:tl2br w:val="nil"/>
              <w:tr2bl w:val="nil"/>
            </w:tcBorders>
            <w:shd w:val="clear" w:color="auto" w:fill="FFFFFF"/>
            <w:vAlign w:val="center"/>
          </w:tcPr>
          <w:p w14:paraId="40825548">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预算编制科学性</w:t>
            </w:r>
          </w:p>
        </w:tc>
        <w:tc>
          <w:tcPr>
            <w:tcW w:w="898" w:type="dxa"/>
            <w:tcBorders>
              <w:tl2br w:val="nil"/>
              <w:tr2bl w:val="nil"/>
            </w:tcBorders>
            <w:shd w:val="clear" w:color="auto" w:fill="FFFFFF"/>
            <w:vAlign w:val="center"/>
          </w:tcPr>
          <w:p w14:paraId="613DAF7F">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auto" w:fill="FFFFFF"/>
            <w:vAlign w:val="center"/>
          </w:tcPr>
          <w:p w14:paraId="0EFD2F82">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3</w:t>
            </w:r>
          </w:p>
        </w:tc>
        <w:tc>
          <w:tcPr>
            <w:tcW w:w="1039" w:type="dxa"/>
            <w:tcBorders>
              <w:tl2br w:val="nil"/>
              <w:tr2bl w:val="nil"/>
            </w:tcBorders>
            <w:shd w:val="clear" w:color="auto" w:fill="FFFFFF"/>
            <w:vAlign w:val="center"/>
          </w:tcPr>
          <w:p w14:paraId="25B4E829">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24A6A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FBF0C5E">
            <w:pPr>
              <w:widowControl/>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4F96369E">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05BED449">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资金分配合理性</w:t>
            </w:r>
          </w:p>
        </w:tc>
        <w:tc>
          <w:tcPr>
            <w:tcW w:w="898" w:type="dxa"/>
            <w:tcBorders>
              <w:tl2br w:val="nil"/>
              <w:tr2bl w:val="nil"/>
            </w:tcBorders>
            <w:shd w:val="clear" w:color="auto" w:fill="FFFFFF"/>
            <w:vAlign w:val="center"/>
          </w:tcPr>
          <w:p w14:paraId="71A4285F">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auto" w:fill="FFFFFF"/>
            <w:vAlign w:val="center"/>
          </w:tcPr>
          <w:p w14:paraId="182A1CBD">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3</w:t>
            </w:r>
          </w:p>
        </w:tc>
        <w:tc>
          <w:tcPr>
            <w:tcW w:w="1039" w:type="dxa"/>
            <w:tcBorders>
              <w:tl2br w:val="nil"/>
              <w:tr2bl w:val="nil"/>
            </w:tcBorders>
            <w:shd w:val="clear" w:color="auto" w:fill="FFFFFF"/>
            <w:vAlign w:val="center"/>
          </w:tcPr>
          <w:p w14:paraId="7FDFD3D1">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23EBF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03018197">
            <w:pPr>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过程</w:t>
            </w:r>
          </w:p>
        </w:tc>
        <w:tc>
          <w:tcPr>
            <w:tcW w:w="1984" w:type="dxa"/>
            <w:vMerge w:val="restart"/>
            <w:tcBorders>
              <w:tl2br w:val="nil"/>
              <w:tr2bl w:val="nil"/>
            </w:tcBorders>
            <w:shd w:val="clear" w:color="auto" w:fill="FFFFFF"/>
            <w:vAlign w:val="center"/>
          </w:tcPr>
          <w:p w14:paraId="21E896B3">
            <w:pPr>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资金管理</w:t>
            </w:r>
          </w:p>
        </w:tc>
        <w:tc>
          <w:tcPr>
            <w:tcW w:w="2693" w:type="dxa"/>
            <w:tcBorders>
              <w:tl2br w:val="nil"/>
              <w:tr2bl w:val="nil"/>
            </w:tcBorders>
            <w:shd w:val="clear" w:color="auto" w:fill="FFFFFF"/>
            <w:vAlign w:val="center"/>
          </w:tcPr>
          <w:p w14:paraId="06343658">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资金到位率</w:t>
            </w:r>
          </w:p>
        </w:tc>
        <w:tc>
          <w:tcPr>
            <w:tcW w:w="898" w:type="dxa"/>
            <w:tcBorders>
              <w:tl2br w:val="nil"/>
              <w:tr2bl w:val="nil"/>
            </w:tcBorders>
            <w:shd w:val="clear" w:color="000000" w:fill="FFFFFF"/>
            <w:vAlign w:val="center"/>
          </w:tcPr>
          <w:p w14:paraId="2BB84B9A">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5</w:t>
            </w:r>
          </w:p>
        </w:tc>
        <w:tc>
          <w:tcPr>
            <w:tcW w:w="898" w:type="dxa"/>
            <w:tcBorders>
              <w:tl2br w:val="nil"/>
              <w:tr2bl w:val="nil"/>
            </w:tcBorders>
            <w:shd w:val="clear" w:color="000000" w:fill="FFFFFF"/>
            <w:vAlign w:val="center"/>
          </w:tcPr>
          <w:p w14:paraId="7D3FAC4F">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4.79</w:t>
            </w:r>
          </w:p>
        </w:tc>
        <w:tc>
          <w:tcPr>
            <w:tcW w:w="1039" w:type="dxa"/>
            <w:tcBorders>
              <w:tl2br w:val="nil"/>
              <w:tr2bl w:val="nil"/>
            </w:tcBorders>
            <w:shd w:val="clear" w:color="000000" w:fill="FFFFFF"/>
            <w:vAlign w:val="center"/>
          </w:tcPr>
          <w:p w14:paraId="112CD7BC">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95.75%</w:t>
            </w:r>
          </w:p>
        </w:tc>
      </w:tr>
      <w:tr w14:paraId="6ED630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77225AA">
            <w:pPr>
              <w:ind w:firstLine="48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51511ADC">
            <w:pPr>
              <w:ind w:firstLine="48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410A54A6">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预算执行率</w:t>
            </w:r>
          </w:p>
        </w:tc>
        <w:tc>
          <w:tcPr>
            <w:tcW w:w="898" w:type="dxa"/>
            <w:tcBorders>
              <w:tl2br w:val="nil"/>
              <w:tr2bl w:val="nil"/>
            </w:tcBorders>
            <w:shd w:val="clear" w:color="auto" w:fill="FFFFFF"/>
            <w:vAlign w:val="center"/>
          </w:tcPr>
          <w:p w14:paraId="3EA95504">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5</w:t>
            </w:r>
          </w:p>
        </w:tc>
        <w:tc>
          <w:tcPr>
            <w:tcW w:w="898" w:type="dxa"/>
            <w:tcBorders>
              <w:tl2br w:val="nil"/>
              <w:tr2bl w:val="nil"/>
            </w:tcBorders>
            <w:shd w:val="clear" w:color="auto" w:fill="FFFFFF"/>
            <w:vAlign w:val="center"/>
          </w:tcPr>
          <w:p w14:paraId="07AB066A">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4.79</w:t>
            </w:r>
          </w:p>
        </w:tc>
        <w:tc>
          <w:tcPr>
            <w:tcW w:w="1039" w:type="dxa"/>
            <w:tcBorders>
              <w:tl2br w:val="nil"/>
              <w:tr2bl w:val="nil"/>
            </w:tcBorders>
            <w:shd w:val="clear" w:color="auto" w:fill="FFFFFF"/>
            <w:vAlign w:val="center"/>
          </w:tcPr>
          <w:p w14:paraId="1CCA66FE">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95.75%</w:t>
            </w:r>
          </w:p>
        </w:tc>
      </w:tr>
      <w:tr w14:paraId="4E80A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9F5FEE2">
            <w:pPr>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5A0DA620">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3354A817">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资金使用合规性</w:t>
            </w:r>
          </w:p>
        </w:tc>
        <w:tc>
          <w:tcPr>
            <w:tcW w:w="898" w:type="dxa"/>
            <w:tcBorders>
              <w:tl2br w:val="nil"/>
              <w:tr2bl w:val="nil"/>
            </w:tcBorders>
            <w:shd w:val="clear" w:color="000000" w:fill="FFFFFF"/>
            <w:vAlign w:val="center"/>
          </w:tcPr>
          <w:p w14:paraId="1074BCD0">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4FF558C4">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3</w:t>
            </w:r>
          </w:p>
        </w:tc>
        <w:tc>
          <w:tcPr>
            <w:tcW w:w="1039" w:type="dxa"/>
            <w:tcBorders>
              <w:tl2br w:val="nil"/>
              <w:tr2bl w:val="nil"/>
            </w:tcBorders>
            <w:shd w:val="clear" w:color="000000" w:fill="FFFFFF"/>
            <w:vAlign w:val="center"/>
          </w:tcPr>
          <w:p w14:paraId="35F764A0">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37927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516DE33">
            <w:pPr>
              <w:ind w:firstLine="0" w:firstLineChars="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25860173">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组织实施</w:t>
            </w:r>
          </w:p>
        </w:tc>
        <w:tc>
          <w:tcPr>
            <w:tcW w:w="2693" w:type="dxa"/>
            <w:tcBorders>
              <w:tl2br w:val="nil"/>
              <w:tr2bl w:val="nil"/>
            </w:tcBorders>
            <w:shd w:val="clear" w:color="auto" w:fill="FFFFFF"/>
            <w:vAlign w:val="center"/>
          </w:tcPr>
          <w:p w14:paraId="614B855E">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管理制度健全性</w:t>
            </w:r>
          </w:p>
        </w:tc>
        <w:tc>
          <w:tcPr>
            <w:tcW w:w="898" w:type="dxa"/>
            <w:tcBorders>
              <w:tl2br w:val="nil"/>
              <w:tr2bl w:val="nil"/>
            </w:tcBorders>
            <w:shd w:val="clear" w:color="000000" w:fill="FFFFFF"/>
            <w:vAlign w:val="center"/>
          </w:tcPr>
          <w:p w14:paraId="77FA2BD9">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47B35022">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3</w:t>
            </w:r>
          </w:p>
        </w:tc>
        <w:tc>
          <w:tcPr>
            <w:tcW w:w="1039" w:type="dxa"/>
            <w:tcBorders>
              <w:tl2br w:val="nil"/>
              <w:tr2bl w:val="nil"/>
            </w:tcBorders>
            <w:shd w:val="clear" w:color="000000" w:fill="FFFFFF"/>
            <w:vAlign w:val="center"/>
          </w:tcPr>
          <w:p w14:paraId="4F89C59F">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4CAC4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76CB2AB">
            <w:pPr>
              <w:widowControl/>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52047794">
            <w:pPr>
              <w:widowControl/>
              <w:ind w:firstLine="0" w:firstLineChars="0"/>
              <w:jc w:val="center"/>
              <w:rPr>
                <w:rFonts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37F32501">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制度执行有效性</w:t>
            </w:r>
          </w:p>
        </w:tc>
        <w:tc>
          <w:tcPr>
            <w:tcW w:w="898" w:type="dxa"/>
            <w:tcBorders>
              <w:tl2br w:val="nil"/>
              <w:tr2bl w:val="nil"/>
            </w:tcBorders>
            <w:shd w:val="clear" w:color="000000" w:fill="FFFFFF"/>
            <w:vAlign w:val="center"/>
          </w:tcPr>
          <w:p w14:paraId="0472D39D">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898" w:type="dxa"/>
            <w:tcBorders>
              <w:tl2br w:val="nil"/>
              <w:tr2bl w:val="nil"/>
            </w:tcBorders>
            <w:shd w:val="clear" w:color="000000" w:fill="FFFFFF"/>
            <w:vAlign w:val="center"/>
          </w:tcPr>
          <w:p w14:paraId="66A38B4F">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4</w:t>
            </w:r>
          </w:p>
        </w:tc>
        <w:tc>
          <w:tcPr>
            <w:tcW w:w="1039" w:type="dxa"/>
            <w:tcBorders>
              <w:tl2br w:val="nil"/>
              <w:tr2bl w:val="nil"/>
            </w:tcBorders>
            <w:shd w:val="clear" w:color="000000" w:fill="FFFFFF"/>
            <w:vAlign w:val="center"/>
          </w:tcPr>
          <w:p w14:paraId="4B164809">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728D05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 w:hRule="atLeast"/>
          <w:jc w:val="center"/>
        </w:trPr>
        <w:tc>
          <w:tcPr>
            <w:tcW w:w="1550" w:type="dxa"/>
            <w:vMerge w:val="restart"/>
            <w:tcBorders>
              <w:tl2br w:val="nil"/>
              <w:tr2bl w:val="nil"/>
            </w:tcBorders>
            <w:shd w:val="clear" w:color="auto" w:fill="FFFFFF"/>
            <w:vAlign w:val="center"/>
          </w:tcPr>
          <w:p w14:paraId="29D5857D">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产出</w:t>
            </w:r>
          </w:p>
        </w:tc>
        <w:tc>
          <w:tcPr>
            <w:tcW w:w="1984" w:type="dxa"/>
            <w:vMerge w:val="restart"/>
            <w:tcBorders>
              <w:tl2br w:val="nil"/>
              <w:tr2bl w:val="nil"/>
            </w:tcBorders>
            <w:shd w:val="clear" w:color="auto" w:fill="FFFFFF"/>
            <w:vAlign w:val="center"/>
          </w:tcPr>
          <w:p w14:paraId="15AB8F9E">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数量指标</w:t>
            </w:r>
          </w:p>
        </w:tc>
        <w:tc>
          <w:tcPr>
            <w:tcW w:w="2693" w:type="dxa"/>
            <w:tcBorders>
              <w:tl2br w:val="nil"/>
              <w:tr2bl w:val="nil"/>
            </w:tcBorders>
            <w:shd w:val="clear" w:color="auto" w:fill="FFFFFF"/>
          </w:tcPr>
          <w:p w14:paraId="6F4B5EC8">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委托第三方开展监测类别</w:t>
            </w:r>
          </w:p>
        </w:tc>
        <w:tc>
          <w:tcPr>
            <w:tcW w:w="898" w:type="dxa"/>
            <w:tcBorders>
              <w:tl2br w:val="nil"/>
              <w:tr2bl w:val="nil"/>
            </w:tcBorders>
            <w:shd w:val="clear" w:color="000000" w:fill="FFFFFF"/>
            <w:vAlign w:val="center"/>
          </w:tcPr>
          <w:p w14:paraId="3CE14E0B">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w:t>
            </w:r>
          </w:p>
        </w:tc>
        <w:tc>
          <w:tcPr>
            <w:tcW w:w="898" w:type="dxa"/>
            <w:tcBorders>
              <w:bottom w:val="single" w:color="auto" w:sz="4" w:space="0"/>
              <w:tl2br w:val="nil"/>
              <w:tr2bl w:val="nil"/>
            </w:tcBorders>
            <w:shd w:val="clear" w:color="000000" w:fill="FFFFFF"/>
            <w:vAlign w:val="center"/>
          </w:tcPr>
          <w:p w14:paraId="3ED53D64">
            <w:pPr>
              <w:widowControl/>
              <w:ind w:firstLine="0" w:firstLineChars="0"/>
              <w:jc w:val="center"/>
              <w:rPr>
                <w:rFonts w:hint="default"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10</w:t>
            </w:r>
          </w:p>
        </w:tc>
        <w:tc>
          <w:tcPr>
            <w:tcW w:w="1039" w:type="dxa"/>
            <w:tcBorders>
              <w:bottom w:val="single" w:color="auto" w:sz="4" w:space="0"/>
              <w:tl2br w:val="nil"/>
              <w:tr2bl w:val="nil"/>
            </w:tcBorders>
            <w:shd w:val="clear" w:color="000000" w:fill="FFFFFF"/>
            <w:vAlign w:val="center"/>
          </w:tcPr>
          <w:p w14:paraId="60F11454">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7EFBF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216A22C5">
            <w:pPr>
              <w:widowControl/>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2C44A0CB">
            <w:pPr>
              <w:widowControl/>
              <w:ind w:firstLine="0" w:firstLineChars="0"/>
              <w:jc w:val="center"/>
              <w:rPr>
                <w:rFonts w:hint="eastAsia" w:ascii="仿宋_GB2312" w:hAnsi="宋体" w:cs="宋体"/>
                <w:color w:val="auto"/>
                <w:kern w:val="0"/>
                <w:sz w:val="24"/>
                <w:szCs w:val="24"/>
                <w:highlight w:val="none"/>
              </w:rPr>
            </w:pPr>
          </w:p>
        </w:tc>
        <w:tc>
          <w:tcPr>
            <w:tcW w:w="2693" w:type="dxa"/>
            <w:tcBorders>
              <w:tl2br w:val="nil"/>
              <w:tr2bl w:val="nil"/>
            </w:tcBorders>
            <w:shd w:val="clear" w:color="auto" w:fill="FFFFFF"/>
          </w:tcPr>
          <w:p w14:paraId="4C47DA84">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委托第三方开展环境执法检测数量</w:t>
            </w:r>
          </w:p>
        </w:tc>
        <w:tc>
          <w:tcPr>
            <w:tcW w:w="898" w:type="dxa"/>
            <w:tcBorders>
              <w:tl2br w:val="nil"/>
              <w:tr2bl w:val="nil"/>
            </w:tcBorders>
            <w:shd w:val="clear" w:color="000000" w:fill="FFFFFF"/>
            <w:vAlign w:val="center"/>
          </w:tcPr>
          <w:p w14:paraId="71959C67">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5</w:t>
            </w:r>
          </w:p>
        </w:tc>
        <w:tc>
          <w:tcPr>
            <w:tcW w:w="898" w:type="dxa"/>
            <w:tcBorders>
              <w:top w:val="single" w:color="auto" w:sz="4" w:space="0"/>
              <w:bottom w:val="single" w:color="auto" w:sz="4" w:space="0"/>
              <w:tl2br w:val="nil"/>
              <w:tr2bl w:val="nil"/>
            </w:tcBorders>
            <w:shd w:val="clear" w:color="000000" w:fill="FFFFFF"/>
            <w:vAlign w:val="center"/>
          </w:tcPr>
          <w:p w14:paraId="717F6812">
            <w:pPr>
              <w:widowControl/>
              <w:ind w:firstLine="0" w:firstLineChars="0"/>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5</w:t>
            </w:r>
          </w:p>
        </w:tc>
        <w:tc>
          <w:tcPr>
            <w:tcW w:w="1039" w:type="dxa"/>
            <w:tcBorders>
              <w:top w:val="single" w:color="auto" w:sz="4" w:space="0"/>
              <w:bottom w:val="single" w:color="auto" w:sz="4" w:space="0"/>
              <w:tl2br w:val="nil"/>
              <w:tr2bl w:val="nil"/>
            </w:tcBorders>
            <w:shd w:val="clear" w:color="000000" w:fill="FFFFFF"/>
            <w:vAlign w:val="center"/>
          </w:tcPr>
          <w:p w14:paraId="048F7163">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116AA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7D4EEBC5">
            <w:pPr>
              <w:widowControl/>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31F224ED">
            <w:pPr>
              <w:widowControl/>
              <w:ind w:firstLine="0" w:firstLineChars="0"/>
              <w:jc w:val="center"/>
              <w:rPr>
                <w:rFonts w:hint="eastAsia" w:ascii="仿宋_GB2312" w:hAnsi="宋体" w:cs="宋体"/>
                <w:color w:val="auto"/>
                <w:kern w:val="0"/>
                <w:sz w:val="24"/>
                <w:szCs w:val="24"/>
                <w:highlight w:val="none"/>
              </w:rPr>
            </w:pPr>
          </w:p>
        </w:tc>
        <w:tc>
          <w:tcPr>
            <w:tcW w:w="2693" w:type="dxa"/>
            <w:tcBorders>
              <w:tl2br w:val="nil"/>
              <w:tr2bl w:val="nil"/>
            </w:tcBorders>
            <w:shd w:val="clear" w:color="auto" w:fill="FFFFFF"/>
          </w:tcPr>
          <w:p w14:paraId="742DCE01">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覆盖生态环境检查区域</w:t>
            </w:r>
          </w:p>
        </w:tc>
        <w:tc>
          <w:tcPr>
            <w:tcW w:w="898" w:type="dxa"/>
            <w:tcBorders>
              <w:tl2br w:val="nil"/>
              <w:tr2bl w:val="nil"/>
            </w:tcBorders>
            <w:shd w:val="clear" w:color="000000" w:fill="FFFFFF"/>
            <w:vAlign w:val="center"/>
          </w:tcPr>
          <w:p w14:paraId="5AD0E3B2">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5</w:t>
            </w:r>
          </w:p>
        </w:tc>
        <w:tc>
          <w:tcPr>
            <w:tcW w:w="898" w:type="dxa"/>
            <w:tcBorders>
              <w:top w:val="single" w:color="auto" w:sz="4" w:space="0"/>
              <w:bottom w:val="single" w:color="auto" w:sz="4" w:space="0"/>
              <w:tl2br w:val="nil"/>
              <w:tr2bl w:val="nil"/>
            </w:tcBorders>
            <w:shd w:val="clear" w:color="000000" w:fill="FFFFFF"/>
            <w:vAlign w:val="center"/>
          </w:tcPr>
          <w:p w14:paraId="5E626121">
            <w:pPr>
              <w:widowControl/>
              <w:ind w:firstLine="0" w:firstLineChars="0"/>
              <w:jc w:val="center"/>
              <w:rPr>
                <w:rFonts w:hint="default"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5</w:t>
            </w:r>
          </w:p>
        </w:tc>
        <w:tc>
          <w:tcPr>
            <w:tcW w:w="1039" w:type="dxa"/>
            <w:tcBorders>
              <w:top w:val="single" w:color="auto" w:sz="4" w:space="0"/>
              <w:bottom w:val="single" w:color="auto" w:sz="4" w:space="0"/>
              <w:tl2br w:val="nil"/>
              <w:tr2bl w:val="nil"/>
            </w:tcBorders>
            <w:shd w:val="clear" w:color="000000" w:fill="FFFFFF"/>
            <w:vAlign w:val="center"/>
          </w:tcPr>
          <w:p w14:paraId="5158E004">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74D7D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B59049E">
            <w:pPr>
              <w:widowControl/>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58D72DD1">
            <w:pPr>
              <w:widowControl/>
              <w:ind w:firstLine="0" w:firstLineChars="0"/>
              <w:jc w:val="center"/>
              <w:rPr>
                <w:rFonts w:hint="eastAsia"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2874EEFE">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重点排污单位抽测次数</w:t>
            </w:r>
          </w:p>
        </w:tc>
        <w:tc>
          <w:tcPr>
            <w:tcW w:w="898" w:type="dxa"/>
            <w:tcBorders>
              <w:tl2br w:val="nil"/>
              <w:tr2bl w:val="nil"/>
            </w:tcBorders>
            <w:shd w:val="clear" w:color="000000" w:fill="FFFFFF"/>
            <w:vAlign w:val="center"/>
          </w:tcPr>
          <w:p w14:paraId="5A1CC0EB">
            <w:pPr>
              <w:widowControl/>
              <w:ind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898" w:type="dxa"/>
            <w:tcBorders>
              <w:top w:val="single" w:color="auto" w:sz="4" w:space="0"/>
              <w:tl2br w:val="nil"/>
              <w:tr2bl w:val="nil"/>
            </w:tcBorders>
            <w:shd w:val="clear" w:color="000000" w:fill="FFFFFF"/>
            <w:vAlign w:val="center"/>
          </w:tcPr>
          <w:p w14:paraId="3B5478C1">
            <w:pPr>
              <w:widowControl/>
              <w:ind w:firstLine="0" w:firstLineChars="0"/>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5</w:t>
            </w:r>
          </w:p>
        </w:tc>
        <w:tc>
          <w:tcPr>
            <w:tcW w:w="1039" w:type="dxa"/>
            <w:tcBorders>
              <w:top w:val="single" w:color="auto" w:sz="4" w:space="0"/>
              <w:tl2br w:val="nil"/>
              <w:tr2bl w:val="nil"/>
            </w:tcBorders>
            <w:shd w:val="clear" w:color="000000" w:fill="FFFFFF"/>
            <w:vAlign w:val="center"/>
          </w:tcPr>
          <w:p w14:paraId="6CAD714D">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2E506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jc w:val="center"/>
        </w:trPr>
        <w:tc>
          <w:tcPr>
            <w:tcW w:w="1550" w:type="dxa"/>
            <w:vMerge w:val="continue"/>
            <w:tcBorders>
              <w:tl2br w:val="nil"/>
              <w:tr2bl w:val="nil"/>
            </w:tcBorders>
            <w:shd w:val="clear" w:color="auto" w:fill="FFFFFF"/>
            <w:vAlign w:val="center"/>
          </w:tcPr>
          <w:p w14:paraId="0865185B">
            <w:pPr>
              <w:ind w:firstLine="0" w:firstLineChars="0"/>
              <w:jc w:val="center"/>
              <w:rPr>
                <w:rFonts w:ascii="仿宋_GB2312" w:hAnsi="宋体" w:cs="宋体"/>
                <w:color w:val="auto"/>
                <w:kern w:val="0"/>
                <w:sz w:val="24"/>
                <w:szCs w:val="24"/>
                <w:highlight w:val="none"/>
              </w:rPr>
            </w:pPr>
          </w:p>
        </w:tc>
        <w:tc>
          <w:tcPr>
            <w:tcW w:w="1984" w:type="dxa"/>
            <w:tcBorders>
              <w:tl2br w:val="nil"/>
              <w:tr2bl w:val="nil"/>
            </w:tcBorders>
            <w:shd w:val="clear" w:color="auto" w:fill="FFFFFF"/>
            <w:vAlign w:val="center"/>
          </w:tcPr>
          <w:p w14:paraId="71D825CB">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质量指标</w:t>
            </w:r>
          </w:p>
        </w:tc>
        <w:tc>
          <w:tcPr>
            <w:tcW w:w="2693" w:type="dxa"/>
            <w:tcBorders>
              <w:tl2br w:val="nil"/>
              <w:tr2bl w:val="nil"/>
            </w:tcBorders>
            <w:shd w:val="clear" w:color="auto" w:fill="FFFFFF"/>
            <w:vAlign w:val="center"/>
          </w:tcPr>
          <w:p w14:paraId="14307510">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检测结果准确率</w:t>
            </w:r>
          </w:p>
        </w:tc>
        <w:tc>
          <w:tcPr>
            <w:tcW w:w="898" w:type="dxa"/>
            <w:tcBorders>
              <w:tl2br w:val="nil"/>
              <w:tr2bl w:val="nil"/>
            </w:tcBorders>
            <w:shd w:val="clear" w:color="000000" w:fill="FFFFFF"/>
            <w:vAlign w:val="center"/>
          </w:tcPr>
          <w:p w14:paraId="6DDDB758">
            <w:pPr>
              <w:widowControl/>
              <w:ind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898" w:type="dxa"/>
            <w:tcBorders>
              <w:bottom w:val="single" w:color="auto" w:sz="4" w:space="0"/>
              <w:tl2br w:val="nil"/>
              <w:tr2bl w:val="nil"/>
            </w:tcBorders>
            <w:shd w:val="clear" w:color="000000" w:fill="FFFFFF"/>
            <w:vAlign w:val="center"/>
          </w:tcPr>
          <w:p w14:paraId="38AAADB0">
            <w:pPr>
              <w:widowControl/>
              <w:ind w:firstLine="0" w:firstLineChars="0"/>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5</w:t>
            </w:r>
          </w:p>
        </w:tc>
        <w:tc>
          <w:tcPr>
            <w:tcW w:w="1039" w:type="dxa"/>
            <w:tcBorders>
              <w:bottom w:val="single" w:color="auto" w:sz="4" w:space="0"/>
              <w:tl2br w:val="nil"/>
              <w:tr2bl w:val="nil"/>
            </w:tcBorders>
            <w:shd w:val="clear" w:color="000000" w:fill="FFFFFF"/>
            <w:vAlign w:val="center"/>
          </w:tcPr>
          <w:p w14:paraId="4A8F72AB">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53929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jc w:val="center"/>
        </w:trPr>
        <w:tc>
          <w:tcPr>
            <w:tcW w:w="1550" w:type="dxa"/>
            <w:vMerge w:val="continue"/>
            <w:tcBorders>
              <w:tl2br w:val="nil"/>
              <w:tr2bl w:val="nil"/>
            </w:tcBorders>
            <w:shd w:val="clear" w:color="auto" w:fill="FFFFFF"/>
            <w:vAlign w:val="center"/>
          </w:tcPr>
          <w:p w14:paraId="46D8F0D5">
            <w:pPr>
              <w:ind w:firstLine="0" w:firstLineChars="0"/>
              <w:jc w:val="center"/>
              <w:rPr>
                <w:rFonts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295144CE">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时效指标</w:t>
            </w:r>
          </w:p>
        </w:tc>
        <w:tc>
          <w:tcPr>
            <w:tcW w:w="2693" w:type="dxa"/>
            <w:tcBorders>
              <w:tl2br w:val="nil"/>
              <w:tr2bl w:val="nil"/>
            </w:tcBorders>
            <w:shd w:val="clear" w:color="auto" w:fill="FFFFFF"/>
            <w:vAlign w:val="center"/>
          </w:tcPr>
          <w:p w14:paraId="1A4FC101">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“双随机</w:t>
            </w:r>
            <w:r>
              <w:rPr>
                <w:rFonts w:hint="eastAsia" w:ascii="仿宋_GB2312" w:hAnsi="宋体" w:cs="宋体"/>
                <w:color w:val="auto"/>
                <w:kern w:val="0"/>
                <w:sz w:val="24"/>
                <w:szCs w:val="24"/>
                <w:highlight w:val="none"/>
                <w:lang w:val="en-US" w:eastAsia="zh-CN"/>
              </w:rPr>
              <w:t xml:space="preserve"> 一公开</w:t>
            </w:r>
            <w:r>
              <w:rPr>
                <w:rFonts w:hint="eastAsia" w:ascii="仿宋_GB2312" w:hAnsi="宋体" w:cs="宋体"/>
                <w:color w:val="auto"/>
                <w:kern w:val="0"/>
                <w:sz w:val="24"/>
                <w:szCs w:val="24"/>
                <w:highlight w:val="none"/>
                <w:lang w:eastAsia="zh-CN"/>
              </w:rPr>
              <w:t>”及时率</w:t>
            </w:r>
          </w:p>
        </w:tc>
        <w:tc>
          <w:tcPr>
            <w:tcW w:w="898" w:type="dxa"/>
            <w:tcBorders>
              <w:tl2br w:val="nil"/>
              <w:tr2bl w:val="nil"/>
            </w:tcBorders>
            <w:shd w:val="clear" w:color="000000" w:fill="FFFFFF"/>
            <w:vAlign w:val="center"/>
          </w:tcPr>
          <w:p w14:paraId="7329307D">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5</w:t>
            </w:r>
          </w:p>
        </w:tc>
        <w:tc>
          <w:tcPr>
            <w:tcW w:w="898" w:type="dxa"/>
            <w:tcBorders>
              <w:top w:val="single" w:color="auto" w:sz="4" w:space="0"/>
              <w:tl2br w:val="nil"/>
              <w:tr2bl w:val="nil"/>
            </w:tcBorders>
            <w:shd w:val="clear" w:color="000000" w:fill="FFFFFF"/>
            <w:vAlign w:val="center"/>
          </w:tcPr>
          <w:p w14:paraId="1F6A0D10">
            <w:pPr>
              <w:widowControl/>
              <w:ind w:firstLine="0" w:firstLineChars="0"/>
              <w:jc w:val="center"/>
              <w:rPr>
                <w:rFonts w:hint="default"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5</w:t>
            </w:r>
          </w:p>
        </w:tc>
        <w:tc>
          <w:tcPr>
            <w:tcW w:w="1039" w:type="dxa"/>
            <w:tcBorders>
              <w:top w:val="single" w:color="auto" w:sz="4" w:space="0"/>
              <w:bottom w:val="single" w:color="auto" w:sz="4" w:space="0"/>
              <w:tl2br w:val="nil"/>
              <w:tr2bl w:val="nil"/>
            </w:tcBorders>
            <w:shd w:val="clear" w:color="000000" w:fill="FFFFFF"/>
            <w:vAlign w:val="center"/>
          </w:tcPr>
          <w:p w14:paraId="3A2A5319">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255BD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jc w:val="center"/>
        </w:trPr>
        <w:tc>
          <w:tcPr>
            <w:tcW w:w="1550" w:type="dxa"/>
            <w:vMerge w:val="continue"/>
            <w:tcBorders>
              <w:tl2br w:val="nil"/>
              <w:tr2bl w:val="nil"/>
            </w:tcBorders>
            <w:shd w:val="clear" w:color="auto" w:fill="FFFFFF"/>
            <w:vAlign w:val="center"/>
          </w:tcPr>
          <w:p w14:paraId="65DC8666">
            <w:pPr>
              <w:ind w:firstLine="0" w:firstLineChars="0"/>
              <w:jc w:val="center"/>
              <w:rPr>
                <w:rFonts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33AA1775">
            <w:pPr>
              <w:widowControl/>
              <w:ind w:firstLine="0" w:firstLineChars="0"/>
              <w:jc w:val="center"/>
              <w:rPr>
                <w:rFonts w:hint="eastAsia" w:ascii="仿宋_GB2312" w:hAnsi="宋体" w:cs="宋体"/>
                <w:color w:val="auto"/>
                <w:kern w:val="0"/>
                <w:sz w:val="24"/>
                <w:szCs w:val="24"/>
                <w:highlight w:val="none"/>
                <w:lang w:eastAsia="zh-CN"/>
              </w:rPr>
            </w:pPr>
          </w:p>
        </w:tc>
        <w:tc>
          <w:tcPr>
            <w:tcW w:w="2693" w:type="dxa"/>
            <w:tcBorders>
              <w:tl2br w:val="nil"/>
              <w:tr2bl w:val="nil"/>
            </w:tcBorders>
            <w:shd w:val="clear" w:color="auto" w:fill="FFFFFF"/>
            <w:vAlign w:val="center"/>
          </w:tcPr>
          <w:p w14:paraId="54DDC3F4">
            <w:pPr>
              <w:widowControl/>
              <w:ind w:firstLine="0" w:firstLineChars="0"/>
              <w:jc w:val="center"/>
              <w:rPr>
                <w:rFonts w:hint="eastAsia" w:ascii="仿宋_GB2312" w:hAnsi="宋体" w:cs="宋体"/>
                <w:color w:val="auto"/>
                <w:kern w:val="0"/>
                <w:sz w:val="24"/>
                <w:szCs w:val="24"/>
                <w:highlight w:val="none"/>
                <w:lang w:eastAsia="zh-CN"/>
              </w:rPr>
            </w:pPr>
            <w:r>
              <w:rPr>
                <w:rFonts w:hint="eastAsia" w:ascii="仿宋_GB2312" w:hAnsi="宋体" w:cs="宋体"/>
                <w:color w:val="auto"/>
                <w:kern w:val="0"/>
                <w:sz w:val="24"/>
                <w:szCs w:val="24"/>
                <w:highlight w:val="none"/>
                <w:lang w:eastAsia="zh-CN"/>
              </w:rPr>
              <w:t>检测报告出具及时率</w:t>
            </w:r>
          </w:p>
        </w:tc>
        <w:tc>
          <w:tcPr>
            <w:tcW w:w="898" w:type="dxa"/>
            <w:tcBorders>
              <w:tl2br w:val="nil"/>
              <w:tr2bl w:val="nil"/>
            </w:tcBorders>
            <w:shd w:val="clear" w:color="000000" w:fill="FFFFFF"/>
            <w:vAlign w:val="center"/>
          </w:tcPr>
          <w:p w14:paraId="6F664476">
            <w:pPr>
              <w:widowControl/>
              <w:ind w:firstLine="0" w:firstLineChars="0"/>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5</w:t>
            </w:r>
          </w:p>
        </w:tc>
        <w:tc>
          <w:tcPr>
            <w:tcW w:w="898" w:type="dxa"/>
            <w:tcBorders>
              <w:top w:val="single" w:color="auto" w:sz="4" w:space="0"/>
              <w:tl2br w:val="nil"/>
              <w:tr2bl w:val="nil"/>
            </w:tcBorders>
            <w:shd w:val="clear" w:color="000000" w:fill="FFFFFF"/>
            <w:vAlign w:val="center"/>
          </w:tcPr>
          <w:p w14:paraId="6D7385BD">
            <w:pPr>
              <w:widowControl/>
              <w:ind w:firstLine="0" w:firstLineChars="0"/>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5</w:t>
            </w:r>
          </w:p>
        </w:tc>
        <w:tc>
          <w:tcPr>
            <w:tcW w:w="1039" w:type="dxa"/>
            <w:tcBorders>
              <w:top w:val="single" w:color="auto" w:sz="4" w:space="0"/>
              <w:tl2br w:val="nil"/>
              <w:tr2bl w:val="nil"/>
            </w:tcBorders>
            <w:shd w:val="clear" w:color="000000" w:fill="FFFFFF"/>
            <w:vAlign w:val="center"/>
          </w:tcPr>
          <w:p w14:paraId="32BEC415">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r w14:paraId="31019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tcBorders>
              <w:tl2br w:val="nil"/>
              <w:tr2bl w:val="nil"/>
            </w:tcBorders>
            <w:shd w:val="clear" w:color="auto" w:fill="FFFFFF"/>
            <w:vAlign w:val="center"/>
          </w:tcPr>
          <w:p w14:paraId="5A01161B">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rPr>
              <w:t>效益</w:t>
            </w:r>
          </w:p>
        </w:tc>
        <w:tc>
          <w:tcPr>
            <w:tcW w:w="1984" w:type="dxa"/>
            <w:tcBorders>
              <w:tl2br w:val="nil"/>
              <w:tr2bl w:val="nil"/>
            </w:tcBorders>
            <w:shd w:val="clear" w:color="auto" w:fill="FFFFFF"/>
            <w:vAlign w:val="center"/>
          </w:tcPr>
          <w:p w14:paraId="22347EF6">
            <w:pPr>
              <w:widowControl/>
              <w:ind w:firstLine="0" w:firstLineChars="0"/>
              <w:jc w:val="center"/>
              <w:rPr>
                <w:rFonts w:hint="eastAsia" w:ascii="仿宋_GB2312" w:hAnsi="宋体" w:cs="宋体"/>
                <w:color w:val="auto"/>
                <w:kern w:val="0"/>
                <w:sz w:val="24"/>
                <w:szCs w:val="24"/>
                <w:highlight w:val="none"/>
              </w:rPr>
            </w:pPr>
            <w:r>
              <w:rPr>
                <w:rFonts w:hint="eastAsia" w:ascii="仿宋_GB2312" w:hAnsi="宋体" w:cs="宋体"/>
                <w:color w:val="auto"/>
                <w:kern w:val="0"/>
                <w:sz w:val="24"/>
                <w:szCs w:val="24"/>
                <w:highlight w:val="none"/>
                <w:lang w:eastAsia="zh-CN"/>
              </w:rPr>
              <w:t>社会效益指标</w:t>
            </w:r>
          </w:p>
        </w:tc>
        <w:tc>
          <w:tcPr>
            <w:tcW w:w="2693" w:type="dxa"/>
            <w:tcBorders>
              <w:tl2br w:val="nil"/>
              <w:tr2bl w:val="nil"/>
            </w:tcBorders>
            <w:shd w:val="clear" w:color="auto" w:fill="FFFFFF"/>
            <w:vAlign w:val="center"/>
          </w:tcPr>
          <w:p w14:paraId="0B544A12">
            <w:pPr>
              <w:widowControl/>
              <w:ind w:firstLine="0" w:firstLineChars="0"/>
              <w:jc w:val="center"/>
              <w:rPr>
                <w:rFonts w:hint="eastAsia" w:ascii="仿宋_GB2312" w:hAnsi="宋体" w:cs="宋体"/>
                <w:color w:val="auto"/>
                <w:kern w:val="0"/>
                <w:sz w:val="24"/>
                <w:szCs w:val="24"/>
                <w:highlight w:val="none"/>
              </w:rPr>
            </w:pPr>
            <w:r>
              <w:rPr>
                <w:rFonts w:hint="eastAsia" w:ascii="仿宋_GB2312" w:hAnsi="宋体" w:cs="宋体"/>
                <w:color w:val="auto"/>
                <w:kern w:val="0"/>
                <w:sz w:val="24"/>
                <w:szCs w:val="24"/>
                <w:highlight w:val="none"/>
              </w:rPr>
              <w:t>为全市大气、水、土壤污染防治行动计划实施提供基础依据</w:t>
            </w:r>
          </w:p>
        </w:tc>
        <w:tc>
          <w:tcPr>
            <w:tcW w:w="898" w:type="dxa"/>
            <w:tcBorders>
              <w:tl2br w:val="nil"/>
              <w:tr2bl w:val="nil"/>
            </w:tcBorders>
            <w:shd w:val="clear" w:color="auto" w:fill="FFFFFF"/>
            <w:vAlign w:val="center"/>
          </w:tcPr>
          <w:p w14:paraId="3D3A190F">
            <w:pPr>
              <w:widowControl/>
              <w:ind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20</w:t>
            </w:r>
          </w:p>
        </w:tc>
        <w:tc>
          <w:tcPr>
            <w:tcW w:w="898" w:type="dxa"/>
            <w:tcBorders>
              <w:tl2br w:val="nil"/>
              <w:tr2bl w:val="nil"/>
            </w:tcBorders>
            <w:shd w:val="clear" w:color="auto" w:fill="FFFFFF"/>
            <w:vAlign w:val="center"/>
          </w:tcPr>
          <w:p w14:paraId="48C97F93">
            <w:pPr>
              <w:widowControl/>
              <w:ind w:firstLine="0" w:firstLineChars="0"/>
              <w:jc w:val="center"/>
              <w:rPr>
                <w:rFonts w:hint="default" w:ascii="仿宋_GB2312" w:hAnsi="宋体" w:eastAsia="仿宋_GB2312" w:cs="宋体"/>
                <w:color w:val="auto"/>
                <w:kern w:val="0"/>
                <w:sz w:val="24"/>
                <w:szCs w:val="24"/>
                <w:highlight w:val="none"/>
                <w:lang w:val="en-US" w:eastAsia="zh-CN" w:bidi="ar-SA"/>
              </w:rPr>
            </w:pPr>
            <w:r>
              <w:rPr>
                <w:rFonts w:hint="eastAsia" w:ascii="仿宋_GB2312" w:hAnsi="宋体" w:cs="宋体"/>
                <w:color w:val="auto"/>
                <w:kern w:val="0"/>
                <w:sz w:val="24"/>
                <w:szCs w:val="24"/>
                <w:highlight w:val="none"/>
                <w:lang w:val="en-US" w:eastAsia="zh-CN"/>
              </w:rPr>
              <w:t>20</w:t>
            </w:r>
          </w:p>
        </w:tc>
        <w:tc>
          <w:tcPr>
            <w:tcW w:w="1039" w:type="dxa"/>
            <w:tcBorders>
              <w:tl2br w:val="nil"/>
              <w:tr2bl w:val="nil"/>
            </w:tcBorders>
            <w:shd w:val="clear" w:color="auto" w:fill="FFFFFF"/>
            <w:vAlign w:val="center"/>
          </w:tcPr>
          <w:p w14:paraId="6FE237E9">
            <w:pPr>
              <w:widowControl/>
              <w:ind w:firstLine="0" w:firstLineChars="0"/>
              <w:jc w:val="center"/>
              <w:rPr>
                <w:rFonts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p>
        </w:tc>
      </w:tr>
    </w:tbl>
    <w:p w14:paraId="10CC36E2">
      <w:pPr>
        <w:pStyle w:val="3"/>
        <w:ind w:firstLine="643"/>
        <w:rPr>
          <w:rFonts w:ascii="仿宋" w:hAnsi="仿宋" w:eastAsia="仿宋"/>
          <w:color w:val="auto"/>
          <w:highlight w:val="none"/>
          <w:lang w:bidi="en-US"/>
        </w:rPr>
      </w:pPr>
      <w:bookmarkStart w:id="31" w:name="_Toc67911610"/>
      <w:bookmarkStart w:id="32" w:name="_Toc12970"/>
      <w:r>
        <w:rPr>
          <w:rFonts w:hint="eastAsia" w:ascii="仿宋" w:hAnsi="仿宋" w:eastAsia="仿宋"/>
          <w:color w:val="auto"/>
          <w:highlight w:val="none"/>
          <w:lang w:bidi="en-US"/>
        </w:rPr>
        <w:t>（二）主要绩效</w:t>
      </w:r>
      <w:bookmarkEnd w:id="31"/>
      <w:bookmarkEnd w:id="32"/>
    </w:p>
    <w:p w14:paraId="2750A6EF">
      <w:pPr>
        <w:spacing w:line="360" w:lineRule="auto"/>
        <w:ind w:firstLine="548" w:firstLineChars="196"/>
        <w:rPr>
          <w:rFonts w:hint="default" w:ascii="仿宋_GB2312"/>
          <w:bCs/>
          <w:color w:val="auto"/>
          <w:szCs w:val="28"/>
          <w:highlight w:val="none"/>
          <w:lang w:val="en-US" w:eastAsia="zh-CN"/>
        </w:rPr>
      </w:pPr>
      <w:r>
        <w:rPr>
          <w:rFonts w:hint="eastAsia" w:ascii="仿宋_GB2312"/>
          <w:bCs/>
          <w:color w:val="auto"/>
          <w:szCs w:val="28"/>
          <w:highlight w:val="none"/>
        </w:rPr>
        <w:t>该项目资金区财政及时拨付，单位在此次评价期间内，有序完成设定目标的部分工作任务</w:t>
      </w:r>
      <w:r>
        <w:rPr>
          <w:rFonts w:hint="eastAsia" w:ascii="仿宋_GB2312"/>
          <w:bCs/>
          <w:color w:val="auto"/>
          <w:szCs w:val="28"/>
          <w:highlight w:val="none"/>
          <w:lang w:eastAsia="zh-CN"/>
        </w:rPr>
        <w:t>。</w:t>
      </w:r>
      <w:r>
        <w:rPr>
          <w:rFonts w:hint="eastAsia" w:ascii="仿宋_GB2312"/>
          <w:b/>
          <w:bCs w:val="0"/>
          <w:color w:val="auto"/>
          <w:szCs w:val="28"/>
          <w:highlight w:val="none"/>
          <w:lang w:eastAsia="zh-CN"/>
        </w:rPr>
        <w:t>一是</w:t>
      </w:r>
      <w:r>
        <w:rPr>
          <w:rFonts w:hint="eastAsia" w:ascii="仿宋_GB2312"/>
          <w:bCs/>
          <w:color w:val="auto"/>
          <w:szCs w:val="28"/>
          <w:highlight w:val="none"/>
          <w:lang w:eastAsia="zh-CN"/>
        </w:rPr>
        <w:t>重点聚焦全市重点排污单位，委托第三方开展执法监测，废水监测</w:t>
      </w:r>
      <w:r>
        <w:rPr>
          <w:rFonts w:hint="eastAsia" w:ascii="仿宋_GB2312"/>
          <w:bCs/>
          <w:color w:val="auto"/>
          <w:szCs w:val="28"/>
          <w:highlight w:val="none"/>
          <w:lang w:val="en-US" w:eastAsia="zh-CN"/>
        </w:rPr>
        <w:t>71家次</w:t>
      </w:r>
      <w:r>
        <w:rPr>
          <w:rFonts w:hint="eastAsia" w:ascii="仿宋_GB2312"/>
          <w:bCs/>
          <w:color w:val="auto"/>
          <w:szCs w:val="28"/>
          <w:highlight w:val="none"/>
          <w:lang w:eastAsia="zh-CN"/>
        </w:rPr>
        <w:t>、废气</w:t>
      </w:r>
      <w:r>
        <w:rPr>
          <w:rFonts w:hint="eastAsia" w:ascii="仿宋_GB2312"/>
          <w:bCs/>
          <w:color w:val="auto"/>
          <w:szCs w:val="28"/>
          <w:highlight w:val="none"/>
          <w:lang w:val="en-US" w:eastAsia="zh-CN"/>
        </w:rPr>
        <w:t>100家次</w:t>
      </w:r>
      <w:r>
        <w:rPr>
          <w:rFonts w:hint="eastAsia" w:ascii="仿宋_GB2312"/>
          <w:bCs/>
          <w:color w:val="auto"/>
          <w:szCs w:val="28"/>
          <w:highlight w:val="none"/>
          <w:lang w:eastAsia="zh-CN"/>
        </w:rPr>
        <w:t>、土壤监测</w:t>
      </w:r>
      <w:r>
        <w:rPr>
          <w:rFonts w:hint="eastAsia" w:ascii="仿宋_GB2312"/>
          <w:bCs/>
          <w:color w:val="auto"/>
          <w:szCs w:val="28"/>
          <w:highlight w:val="none"/>
          <w:lang w:val="en-US" w:eastAsia="zh-CN"/>
        </w:rPr>
        <w:t>2家次</w:t>
      </w:r>
      <w:r>
        <w:rPr>
          <w:rFonts w:hint="eastAsia" w:ascii="仿宋_GB2312"/>
          <w:bCs/>
          <w:color w:val="auto"/>
          <w:szCs w:val="28"/>
          <w:highlight w:val="none"/>
          <w:lang w:eastAsia="zh-CN"/>
        </w:rPr>
        <w:t>，对企业的污染物排放情况实现掌控，为生态环境执法提供了坚实、可靠的依据。</w:t>
      </w:r>
      <w:r>
        <w:rPr>
          <w:rFonts w:hint="eastAsia" w:ascii="仿宋_GB2312"/>
          <w:b/>
          <w:bCs w:val="0"/>
          <w:color w:val="auto"/>
          <w:szCs w:val="28"/>
          <w:highlight w:val="none"/>
          <w:lang w:eastAsia="zh-CN"/>
        </w:rPr>
        <w:t>二是</w:t>
      </w:r>
      <w:r>
        <w:rPr>
          <w:rFonts w:hint="eastAsia" w:ascii="仿宋_GB2312"/>
          <w:bCs/>
          <w:color w:val="auto"/>
          <w:szCs w:val="28"/>
          <w:highlight w:val="none"/>
          <w:lang w:eastAsia="zh-CN"/>
        </w:rPr>
        <w:t>通过执法监测共发现环境违法行为</w:t>
      </w:r>
      <w:r>
        <w:rPr>
          <w:rFonts w:hint="eastAsia" w:ascii="仿宋_GB2312"/>
          <w:bCs/>
          <w:color w:val="auto"/>
          <w:szCs w:val="28"/>
          <w:highlight w:val="none"/>
          <w:lang w:val="en-US" w:eastAsia="zh-CN"/>
        </w:rPr>
        <w:t>3起，作出行政处罚决定3件，处罚金额累计967890元。对违法企业起到了震慑作用，促使企业增强环保意识，自觉遵守环保法律法规。通过对环境违法行为的查处，有效遏制了污染物的非法排放，减少了对环境污染和破坏。</w:t>
      </w:r>
      <w:r>
        <w:rPr>
          <w:rFonts w:hint="eastAsia" w:ascii="仿宋_GB2312"/>
          <w:b/>
          <w:bCs w:val="0"/>
          <w:color w:val="auto"/>
          <w:szCs w:val="28"/>
          <w:highlight w:val="none"/>
          <w:lang w:val="en-US" w:eastAsia="zh-CN"/>
        </w:rPr>
        <w:t>三是</w:t>
      </w:r>
      <w:r>
        <w:rPr>
          <w:rFonts w:hint="eastAsia" w:ascii="仿宋_GB2312"/>
          <w:bCs/>
          <w:color w:val="auto"/>
          <w:szCs w:val="28"/>
          <w:highlight w:val="none"/>
          <w:lang w:val="en-US" w:eastAsia="zh-CN"/>
        </w:rPr>
        <w:t>严格落实“双随机 一公开”制度，建立了本行政区域污染源日常监管动态信息库，抽取“双随机”任务1163家·次，并及时将检查结果在乌鲁木齐市人民政府门户网站进行公示。</w:t>
      </w:r>
      <w:r>
        <w:rPr>
          <w:rFonts w:hint="eastAsia" w:ascii="仿宋_GB2312"/>
          <w:b/>
          <w:bCs w:val="0"/>
          <w:color w:val="auto"/>
          <w:szCs w:val="28"/>
          <w:highlight w:val="none"/>
          <w:lang w:val="en-US" w:eastAsia="zh-CN"/>
        </w:rPr>
        <w:t>四是</w:t>
      </w:r>
      <w:r>
        <w:rPr>
          <w:rFonts w:hint="eastAsia" w:ascii="仿宋_GB2312"/>
          <w:bCs/>
          <w:color w:val="auto"/>
          <w:szCs w:val="28"/>
          <w:highlight w:val="none"/>
          <w:lang w:val="en-US" w:eastAsia="zh-CN"/>
        </w:rPr>
        <w:t>通过对生态环境有效监管，2024年4-5月我市连续两个月挺进全国168个重点城市前20位。2024年我市空气质量优良天数312天，同比增加13天，空气质量优良天数首次突破300天，多项指标均创历史同期最好水平。</w:t>
      </w:r>
    </w:p>
    <w:p w14:paraId="2198CABF">
      <w:pPr>
        <w:pStyle w:val="2"/>
        <w:ind w:firstLine="0" w:firstLineChars="0"/>
        <w:jc w:val="left"/>
        <w:rPr>
          <w:rFonts w:ascii="仿宋" w:hAnsi="仿宋" w:eastAsia="仿宋"/>
          <w:color w:val="auto"/>
          <w:sz w:val="36"/>
          <w:szCs w:val="36"/>
          <w:highlight w:val="none"/>
          <w:lang w:bidi="en-US"/>
        </w:rPr>
      </w:pPr>
      <w:bookmarkStart w:id="33" w:name="_Toc67911611"/>
      <w:bookmarkStart w:id="34" w:name="_Toc11683"/>
      <w:r>
        <w:rPr>
          <w:rFonts w:hint="eastAsia" w:ascii="仿宋" w:hAnsi="仿宋" w:eastAsia="仿宋"/>
          <w:color w:val="auto"/>
          <w:sz w:val="36"/>
          <w:szCs w:val="36"/>
          <w:highlight w:val="none"/>
          <w:lang w:bidi="en-US"/>
        </w:rPr>
        <w:t>四、绩效评价指标分析</w:t>
      </w:r>
      <w:bookmarkEnd w:id="33"/>
      <w:bookmarkEnd w:id="34"/>
    </w:p>
    <w:p w14:paraId="2D750C81">
      <w:pPr>
        <w:pStyle w:val="3"/>
        <w:ind w:firstLine="643"/>
        <w:rPr>
          <w:rFonts w:ascii="仿宋" w:hAnsi="仿宋" w:eastAsia="仿宋"/>
          <w:color w:val="auto"/>
          <w:highlight w:val="none"/>
          <w:lang w:bidi="en-US"/>
        </w:rPr>
      </w:pPr>
      <w:bookmarkStart w:id="35" w:name="_Toc67911612"/>
      <w:bookmarkStart w:id="36" w:name="_Toc6942"/>
      <w:r>
        <w:rPr>
          <w:rFonts w:hint="eastAsia" w:ascii="仿宋" w:hAnsi="仿宋" w:eastAsia="仿宋"/>
          <w:color w:val="auto"/>
          <w:highlight w:val="none"/>
          <w:lang w:bidi="en-US"/>
        </w:rPr>
        <w:t>（一）项目决策情况</w:t>
      </w:r>
      <w:bookmarkEnd w:id="35"/>
      <w:bookmarkEnd w:id="36"/>
    </w:p>
    <w:p w14:paraId="05EB3474">
      <w:pPr>
        <w:spacing w:line="360" w:lineRule="auto"/>
        <w:ind w:firstLine="560"/>
        <w:rPr>
          <w:rFonts w:ascii="仿宋_GB2312"/>
          <w:color w:val="auto"/>
          <w:szCs w:val="28"/>
          <w:highlight w:val="none"/>
        </w:rPr>
      </w:pPr>
      <w:r>
        <w:rPr>
          <w:rFonts w:hint="eastAsia" w:ascii="仿宋_GB2312"/>
          <w:color w:val="auto"/>
          <w:szCs w:val="28"/>
          <w:highlight w:val="none"/>
        </w:rPr>
        <w:t>项目决算指标由3个二级指标和6个三级指标构成，权重为</w:t>
      </w:r>
      <w:r>
        <w:rPr>
          <w:rFonts w:ascii="仿宋_GB2312"/>
          <w:color w:val="auto"/>
          <w:szCs w:val="28"/>
          <w:highlight w:val="none"/>
        </w:rPr>
        <w:t>20</w:t>
      </w:r>
      <w:r>
        <w:rPr>
          <w:rFonts w:hint="eastAsia" w:ascii="仿宋_GB2312"/>
          <w:color w:val="auto"/>
          <w:szCs w:val="28"/>
          <w:highlight w:val="none"/>
        </w:rPr>
        <w:t>分，实际得分</w:t>
      </w:r>
      <w:r>
        <w:rPr>
          <w:rFonts w:hint="eastAsia" w:ascii="仿宋_GB2312"/>
          <w:color w:val="auto"/>
          <w:szCs w:val="28"/>
          <w:highlight w:val="none"/>
          <w:lang w:val="en-US" w:eastAsia="zh-CN"/>
        </w:rPr>
        <w:t>20</w:t>
      </w:r>
      <w:r>
        <w:rPr>
          <w:rFonts w:hint="eastAsia" w:ascii="仿宋_GB2312"/>
          <w:color w:val="auto"/>
          <w:szCs w:val="28"/>
          <w:highlight w:val="none"/>
        </w:rPr>
        <w:t>分。</w:t>
      </w:r>
    </w:p>
    <w:p w14:paraId="40D186EB">
      <w:pPr>
        <w:pStyle w:val="4"/>
        <w:ind w:firstLine="643"/>
        <w:rPr>
          <w:color w:val="auto"/>
          <w:highlight w:val="none"/>
        </w:rPr>
      </w:pPr>
      <w:bookmarkStart w:id="37" w:name="_Toc18990"/>
      <w:r>
        <w:rPr>
          <w:color w:val="auto"/>
          <w:highlight w:val="none"/>
        </w:rPr>
        <w:t>1.</w:t>
      </w:r>
      <w:r>
        <w:rPr>
          <w:rFonts w:hint="eastAsia"/>
          <w:color w:val="auto"/>
          <w:highlight w:val="none"/>
        </w:rPr>
        <w:t>项目立项</w:t>
      </w:r>
      <w:bookmarkEnd w:id="37"/>
    </w:p>
    <w:p w14:paraId="69B89B49">
      <w:pPr>
        <w:spacing w:line="360" w:lineRule="auto"/>
        <w:ind w:firstLine="562"/>
        <w:rPr>
          <w:rFonts w:hint="eastAsia" w:ascii="仿宋_GB2312"/>
          <w:color w:val="auto"/>
          <w:szCs w:val="28"/>
          <w:highlight w:val="none"/>
          <w:lang w:eastAsia="zh-CN"/>
        </w:rPr>
      </w:pPr>
      <w:r>
        <w:rPr>
          <w:rFonts w:hint="eastAsia" w:ascii="仿宋_GB2312"/>
          <w:b/>
          <w:bCs/>
          <w:color w:val="auto"/>
          <w:szCs w:val="28"/>
          <w:highlight w:val="none"/>
        </w:rPr>
        <w:t>立项依据充分性：</w:t>
      </w:r>
      <w:r>
        <w:rPr>
          <w:rFonts w:hint="eastAsia" w:ascii="仿宋_GB2312"/>
          <w:color w:val="auto"/>
          <w:szCs w:val="28"/>
          <w:highlight w:val="none"/>
          <w:lang w:eastAsia="zh-CN"/>
        </w:rPr>
        <w:t>本项目立项符合</w:t>
      </w:r>
      <w:r>
        <w:rPr>
          <w:rFonts w:hint="eastAsia" w:ascii="仿宋_GB2312"/>
          <w:color w:val="auto"/>
          <w:szCs w:val="28"/>
          <w:highlight w:val="none"/>
        </w:rPr>
        <w:t>根据国家生态环境部《关于优化生态环境保护执法方式提高执法效能的指导意见》（环执法〔2021〕1号）、自治区环保厅关于印发《自治区优化生态环境保护执法方式提高执法效能的实施方案》（新环执法发〔2021〕56号、《关于印发&lt;2024年全国生态环境保护执法大练兵活动方案&gt;的通知》（环办执法〔2024〕714号）、《关于印发&lt;2024年新疆维吾尔自治区生态环境保护执法大练兵技能比武竞赛活动方案&gt;的通知》（新环执法发〔2024〕76号）、《关于印发&lt;2024年乌鲁木齐市生态环境保护执法大练兵技能比武竞赛活动方案&gt;的通知》（乌环发〔2024〕16号）、《“乌-昌-石”“奎-独-乌”重点区域空气质量改善兵地联合监督帮扶暨实战比武》《乌鲁木齐市今冬明春大气污染防治暨重污染天气应对“百日攻坚”工作方案》等文件要求</w:t>
      </w:r>
      <w:r>
        <w:rPr>
          <w:rFonts w:hint="eastAsia" w:ascii="仿宋_GB2312"/>
          <w:color w:val="auto"/>
          <w:szCs w:val="28"/>
          <w:highlight w:val="none"/>
          <w:lang w:eastAsia="zh-CN"/>
        </w:rPr>
        <w:t>。</w:t>
      </w:r>
    </w:p>
    <w:p w14:paraId="39A66FEB">
      <w:pPr>
        <w:spacing w:line="360" w:lineRule="auto"/>
        <w:ind w:firstLine="562"/>
        <w:rPr>
          <w:rFonts w:hint="eastAsia" w:ascii="仿宋_GB2312"/>
          <w:color w:val="auto"/>
          <w:szCs w:val="28"/>
          <w:highlight w:val="none"/>
          <w:lang w:eastAsia="zh-CN"/>
        </w:rPr>
      </w:pPr>
      <w:r>
        <w:rPr>
          <w:rFonts w:hint="eastAsia" w:ascii="仿宋_GB2312"/>
          <w:color w:val="auto"/>
          <w:szCs w:val="28"/>
          <w:highlight w:val="none"/>
          <w:lang w:eastAsia="zh-CN"/>
        </w:rPr>
        <w:t>本指标满分为4分，根据评分标准得4分，本项目立项依据充分。</w:t>
      </w:r>
    </w:p>
    <w:p w14:paraId="703EE886">
      <w:pPr>
        <w:spacing w:line="360" w:lineRule="auto"/>
        <w:ind w:firstLine="562"/>
        <w:rPr>
          <w:rFonts w:hint="eastAsia" w:ascii="仿宋_GB2312"/>
          <w:color w:val="auto"/>
          <w:szCs w:val="28"/>
          <w:highlight w:val="none"/>
        </w:rPr>
      </w:pPr>
      <w:r>
        <w:rPr>
          <w:rFonts w:hint="eastAsia" w:ascii="仿宋_GB2312"/>
          <w:b/>
          <w:bCs/>
          <w:color w:val="auto"/>
          <w:szCs w:val="28"/>
          <w:highlight w:val="none"/>
        </w:rPr>
        <w:t>立项程序规范性</w:t>
      </w:r>
      <w:r>
        <w:rPr>
          <w:rFonts w:ascii="仿宋_GB2312"/>
          <w:b/>
          <w:bCs/>
          <w:color w:val="auto"/>
          <w:szCs w:val="28"/>
          <w:highlight w:val="none"/>
        </w:rPr>
        <w:t>:</w:t>
      </w:r>
      <w:r>
        <w:rPr>
          <w:rFonts w:hint="eastAsia"/>
          <w:color w:val="auto"/>
          <w:highlight w:val="none"/>
        </w:rPr>
        <w:t xml:space="preserve"> </w:t>
      </w:r>
      <w:r>
        <w:rPr>
          <w:rFonts w:hint="eastAsia" w:ascii="仿宋_GB2312"/>
          <w:color w:val="auto"/>
          <w:szCs w:val="28"/>
          <w:highlight w:val="none"/>
        </w:rPr>
        <w:t>结合项目实际，准确分析项目立项的时间，所履行的程序，以及形成的立项依据文件，以及实施过程已经过必要的可行性研究、专家论证、风险评估、绩效评估、集体决策等。</w:t>
      </w:r>
    </w:p>
    <w:p w14:paraId="3C83624A">
      <w:pPr>
        <w:spacing w:line="360" w:lineRule="auto"/>
        <w:ind w:firstLine="560"/>
        <w:rPr>
          <w:rFonts w:hint="eastAsia" w:ascii="仿宋_GB2312"/>
          <w:color w:val="auto"/>
          <w:szCs w:val="28"/>
          <w:highlight w:val="none"/>
        </w:rPr>
      </w:pPr>
      <w:r>
        <w:rPr>
          <w:rFonts w:hint="eastAsia" w:ascii="仿宋_GB2312"/>
          <w:color w:val="auto"/>
          <w:szCs w:val="28"/>
          <w:highlight w:val="none"/>
        </w:rPr>
        <w:t>本指标满分为4分，根据评分标准得4分，本项目立项程序规范。</w:t>
      </w:r>
    </w:p>
    <w:p w14:paraId="114C7026">
      <w:pPr>
        <w:autoSpaceDE w:val="0"/>
        <w:spacing w:line="600" w:lineRule="exact"/>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8</w:t>
      </w:r>
      <w:r>
        <w:rPr>
          <w:rFonts w:hint="eastAsia" w:ascii="仿宋_GB2312" w:hAnsi="仿宋" w:cs="宋体"/>
          <w:b/>
          <w:color w:val="auto"/>
          <w:kern w:val="0"/>
          <w:szCs w:val="28"/>
          <w:highlight w:val="none"/>
        </w:rPr>
        <w:t>分，得分</w:t>
      </w:r>
      <w:r>
        <w:rPr>
          <w:rFonts w:hint="eastAsia" w:ascii="仿宋_GB2312" w:hAnsi="仿宋" w:cs="宋体"/>
          <w:b/>
          <w:color w:val="auto"/>
          <w:kern w:val="0"/>
          <w:szCs w:val="28"/>
          <w:highlight w:val="none"/>
          <w:lang w:val="en-US" w:eastAsia="zh-CN"/>
        </w:rPr>
        <w:t>8</w:t>
      </w:r>
      <w:r>
        <w:rPr>
          <w:rFonts w:hint="eastAsia" w:ascii="仿宋_GB2312" w:hAnsi="仿宋" w:cs="宋体"/>
          <w:b/>
          <w:color w:val="auto"/>
          <w:kern w:val="0"/>
          <w:szCs w:val="28"/>
          <w:highlight w:val="none"/>
        </w:rPr>
        <w:t>分。</w:t>
      </w:r>
    </w:p>
    <w:p w14:paraId="138A4196">
      <w:pPr>
        <w:pStyle w:val="4"/>
        <w:ind w:firstLine="643"/>
        <w:rPr>
          <w:color w:val="auto"/>
          <w:highlight w:val="none"/>
        </w:rPr>
      </w:pPr>
      <w:bookmarkStart w:id="38" w:name="_Toc24170"/>
      <w:r>
        <w:rPr>
          <w:rFonts w:hint="eastAsia"/>
          <w:color w:val="auto"/>
          <w:highlight w:val="none"/>
        </w:rPr>
        <w:t>2</w:t>
      </w:r>
      <w:r>
        <w:rPr>
          <w:color w:val="auto"/>
          <w:highlight w:val="none"/>
        </w:rPr>
        <w:t>.</w:t>
      </w:r>
      <w:r>
        <w:rPr>
          <w:rFonts w:hint="eastAsia"/>
          <w:color w:val="auto"/>
          <w:highlight w:val="none"/>
        </w:rPr>
        <w:t>绩效目标</w:t>
      </w:r>
      <w:bookmarkEnd w:id="38"/>
    </w:p>
    <w:p w14:paraId="7591C6F5">
      <w:pPr>
        <w:spacing w:line="360" w:lineRule="auto"/>
        <w:ind w:firstLine="562"/>
        <w:rPr>
          <w:rFonts w:ascii="仿宋_GB2312"/>
          <w:color w:val="auto"/>
          <w:szCs w:val="28"/>
          <w:highlight w:val="none"/>
        </w:rPr>
      </w:pPr>
      <w:r>
        <w:rPr>
          <w:rFonts w:hint="eastAsia" w:ascii="仿宋_GB2312"/>
          <w:b/>
          <w:bCs/>
          <w:color w:val="auto"/>
          <w:szCs w:val="28"/>
          <w:highlight w:val="none"/>
        </w:rPr>
        <w:t>绩效目标合理性：</w:t>
      </w:r>
      <w:r>
        <w:rPr>
          <w:rFonts w:hint="eastAsia" w:ascii="仿宋_GB2312"/>
          <w:color w:val="auto"/>
          <w:szCs w:val="28"/>
          <w:highlight w:val="none"/>
        </w:rPr>
        <w:t>本项目的绩效目标按照产出、效益和满意度构建绩效评价指标，且具有明确性、可衡量性、可实现性、相关性和时限性等特点，能较为全面地反映本项目的产出和效益，故绩效目标合理性指标得分</w:t>
      </w:r>
      <w:r>
        <w:rPr>
          <w:rFonts w:ascii="仿宋_GB2312"/>
          <w:color w:val="auto"/>
          <w:szCs w:val="28"/>
          <w:highlight w:val="none"/>
        </w:rPr>
        <w:t>3</w:t>
      </w:r>
      <w:r>
        <w:rPr>
          <w:rFonts w:hint="eastAsia" w:ascii="仿宋_GB2312"/>
          <w:color w:val="auto"/>
          <w:szCs w:val="28"/>
          <w:highlight w:val="none"/>
        </w:rPr>
        <w:t>分。</w:t>
      </w:r>
    </w:p>
    <w:p w14:paraId="4A363907">
      <w:pPr>
        <w:autoSpaceDE w:val="0"/>
        <w:spacing w:line="600" w:lineRule="exact"/>
        <w:ind w:firstLine="562"/>
        <w:rPr>
          <w:rFonts w:hint="eastAsia" w:ascii="仿宋_GB2312"/>
          <w:color w:val="auto"/>
          <w:szCs w:val="28"/>
          <w:highlight w:val="none"/>
          <w:lang w:val="en-US" w:eastAsia="zh-CN"/>
        </w:rPr>
      </w:pPr>
      <w:r>
        <w:rPr>
          <w:rFonts w:hint="eastAsia" w:ascii="仿宋_GB2312" w:hAnsi="仿宋" w:cs="宋体"/>
          <w:b/>
          <w:color w:val="auto"/>
          <w:kern w:val="0"/>
          <w:szCs w:val="28"/>
          <w:highlight w:val="none"/>
        </w:rPr>
        <w:t>绩效目标明确性：</w:t>
      </w:r>
      <w:r>
        <w:rPr>
          <w:rFonts w:hint="eastAsia" w:ascii="仿宋_GB2312"/>
          <w:color w:val="auto"/>
          <w:szCs w:val="28"/>
          <w:highlight w:val="none"/>
        </w:rPr>
        <w:t>本项目绩效目标已细化为具体的指标并进行量化。</w:t>
      </w:r>
      <w:r>
        <w:rPr>
          <w:rFonts w:hint="eastAsia" w:ascii="仿宋_GB2312"/>
          <w:color w:val="auto"/>
          <w:szCs w:val="28"/>
          <w:highlight w:val="none"/>
          <w:lang w:eastAsia="zh-CN"/>
        </w:rPr>
        <w:t>（</w:t>
      </w:r>
      <w:r>
        <w:rPr>
          <w:rFonts w:hint="eastAsia" w:ascii="仿宋_GB2312"/>
          <w:color w:val="auto"/>
          <w:szCs w:val="28"/>
          <w:highlight w:val="none"/>
          <w:lang w:val="en-US" w:eastAsia="zh-CN"/>
        </w:rPr>
        <w:t>1</w:t>
      </w:r>
      <w:r>
        <w:rPr>
          <w:rFonts w:hint="eastAsia" w:ascii="仿宋_GB2312"/>
          <w:color w:val="auto"/>
          <w:szCs w:val="28"/>
          <w:highlight w:val="none"/>
          <w:lang w:eastAsia="zh-CN"/>
        </w:rPr>
        <w:t>）数量指标：分别从委托第三方开展监测类别、委托第三方开展环境执法检测数量、覆盖生态环境检查区域、重点排污单位抽测次数等</w:t>
      </w:r>
      <w:r>
        <w:rPr>
          <w:rFonts w:hint="eastAsia" w:ascii="仿宋_GB2312"/>
          <w:color w:val="auto"/>
          <w:szCs w:val="28"/>
          <w:highlight w:val="none"/>
          <w:lang w:val="en-US" w:eastAsia="zh-CN"/>
        </w:rPr>
        <w:t>4个方面进行量化；（2）质量指标：从检测结果准确率进行了明确；（3）时效指标：从“双随机 一公开”及时率、检测报告出具及时率等2个方面进行量化；（4）社会效益指标：从为全市大气、水、土壤污染防治行动计划实施提供基础依据体现。各项指标均能在现实条件下通过执法检测报告、情况说明、图片展示等方式向项目技术单位新疆点点星光检测技术有限公司、新疆坤诚检测技术有限公司、新疆新能源（集团）环境检测有限公司、全国污染源监测数据管理系统与共享平台、新疆生态环境执法一体化平台、乌鲁木齐市人民政府网站、乌鲁木齐市生态环境保护综合行政执法支队收集到相关数据进行佐证，并与当年项目年度计划相对应，故绩效目标明确性指标得分3分。</w:t>
      </w:r>
    </w:p>
    <w:p w14:paraId="4D3F642A">
      <w:pPr>
        <w:autoSpaceDE w:val="0"/>
        <w:spacing w:line="600" w:lineRule="exact"/>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6</w:t>
      </w:r>
      <w:r>
        <w:rPr>
          <w:rFonts w:hint="eastAsia" w:ascii="仿宋_GB2312" w:hAnsi="仿宋" w:cs="宋体"/>
          <w:b/>
          <w:color w:val="auto"/>
          <w:kern w:val="0"/>
          <w:szCs w:val="28"/>
          <w:highlight w:val="none"/>
        </w:rPr>
        <w:t>分，得分</w:t>
      </w:r>
      <w:r>
        <w:rPr>
          <w:rFonts w:hint="eastAsia" w:ascii="仿宋_GB2312" w:hAnsi="仿宋" w:cs="宋体"/>
          <w:b/>
          <w:color w:val="auto"/>
          <w:kern w:val="0"/>
          <w:szCs w:val="28"/>
          <w:highlight w:val="none"/>
          <w:lang w:val="en-US" w:eastAsia="zh-CN"/>
        </w:rPr>
        <w:t>6</w:t>
      </w:r>
      <w:r>
        <w:rPr>
          <w:rFonts w:hint="eastAsia" w:ascii="仿宋_GB2312" w:hAnsi="仿宋" w:cs="宋体"/>
          <w:b/>
          <w:color w:val="auto"/>
          <w:kern w:val="0"/>
          <w:szCs w:val="28"/>
          <w:highlight w:val="none"/>
        </w:rPr>
        <w:t>分。</w:t>
      </w:r>
    </w:p>
    <w:p w14:paraId="251F79A4">
      <w:pPr>
        <w:pStyle w:val="4"/>
        <w:ind w:firstLine="643"/>
        <w:rPr>
          <w:color w:val="auto"/>
          <w:highlight w:val="none"/>
        </w:rPr>
      </w:pPr>
      <w:bookmarkStart w:id="39" w:name="_Toc26016"/>
      <w:r>
        <w:rPr>
          <w:rFonts w:hint="eastAsia"/>
          <w:color w:val="auto"/>
          <w:highlight w:val="none"/>
        </w:rPr>
        <w:t>3.资金投入</w:t>
      </w:r>
      <w:bookmarkEnd w:id="39"/>
    </w:p>
    <w:p w14:paraId="04258080">
      <w:pPr>
        <w:autoSpaceDE w:val="0"/>
        <w:spacing w:line="600" w:lineRule="exact"/>
        <w:ind w:firstLine="562"/>
        <w:rPr>
          <w:rFonts w:hint="eastAsia" w:ascii="仿宋_GB2312" w:hAnsi="仿宋" w:cs="宋体"/>
          <w:color w:val="auto"/>
          <w:kern w:val="0"/>
          <w:szCs w:val="28"/>
          <w:highlight w:val="none"/>
        </w:rPr>
      </w:pPr>
      <w:r>
        <w:rPr>
          <w:rFonts w:hint="eastAsia" w:ascii="仿宋_GB2312" w:hAnsi="仿宋" w:cs="宋体"/>
          <w:b/>
          <w:color w:val="auto"/>
          <w:kern w:val="0"/>
          <w:szCs w:val="28"/>
          <w:highlight w:val="none"/>
        </w:rPr>
        <w:t>预算编制科学性</w:t>
      </w:r>
    </w:p>
    <w:p w14:paraId="13A82917">
      <w:pPr>
        <w:spacing w:line="360" w:lineRule="auto"/>
        <w:ind w:firstLine="560"/>
        <w:rPr>
          <w:rFonts w:hint="eastAsia" w:ascii="仿宋_GB2312"/>
          <w:color w:val="auto"/>
          <w:szCs w:val="28"/>
          <w:highlight w:val="none"/>
        </w:rPr>
      </w:pPr>
      <w:r>
        <w:rPr>
          <w:rFonts w:hint="eastAsia" w:ascii="仿宋_GB2312"/>
          <w:color w:val="auto"/>
          <w:szCs w:val="28"/>
          <w:highlight w:val="none"/>
        </w:rPr>
        <w:t>本项目预算编制较科学且经过论证；</w:t>
      </w:r>
    </w:p>
    <w:p w14:paraId="3075B092">
      <w:pPr>
        <w:spacing w:line="360" w:lineRule="auto"/>
        <w:ind w:firstLine="560"/>
        <w:rPr>
          <w:rFonts w:hint="eastAsia" w:ascii="仿宋_GB2312"/>
          <w:color w:val="auto"/>
          <w:szCs w:val="28"/>
          <w:highlight w:val="none"/>
        </w:rPr>
      </w:pPr>
      <w:r>
        <w:rPr>
          <w:rFonts w:hint="eastAsia" w:ascii="仿宋_GB2312"/>
          <w:color w:val="auto"/>
          <w:szCs w:val="28"/>
          <w:highlight w:val="none"/>
        </w:rPr>
        <w:t>本项目预算申请共计</w:t>
      </w:r>
      <w:r>
        <w:rPr>
          <w:rFonts w:hint="eastAsia" w:ascii="仿宋_GB2312"/>
          <w:color w:val="auto"/>
          <w:szCs w:val="28"/>
          <w:highlight w:val="none"/>
          <w:lang w:val="en-US" w:eastAsia="zh-CN"/>
        </w:rPr>
        <w:t>136.44</w:t>
      </w:r>
      <w:r>
        <w:rPr>
          <w:rFonts w:hint="eastAsia" w:ascii="仿宋_GB2312"/>
          <w:color w:val="auto"/>
          <w:szCs w:val="28"/>
          <w:highlight w:val="none"/>
        </w:rPr>
        <w:t>万元</w:t>
      </w:r>
      <w:r>
        <w:rPr>
          <w:rFonts w:hint="eastAsia" w:ascii="仿宋_GB2312"/>
          <w:color w:val="auto"/>
          <w:szCs w:val="28"/>
          <w:highlight w:val="none"/>
          <w:lang w:val="en-US" w:eastAsia="zh-CN"/>
        </w:rPr>
        <w:t>,</w:t>
      </w:r>
      <w:r>
        <w:rPr>
          <w:rFonts w:hint="eastAsia" w:ascii="仿宋_GB2312"/>
          <w:color w:val="auto"/>
          <w:szCs w:val="28"/>
          <w:highlight w:val="none"/>
        </w:rPr>
        <w:t>用于支付第三方机构提供的环境检测服务，包括废气检测、废水检测、土壤检测、噪声检测等。根据《新疆维吾尔自治区环境监测和技术有偿服务收费管理办法》，计算公式“总价=单点/单次因子（采样分析）价格×点位×频次+开机费用+人工费用”，按照工作实际如：A企业测大气（NOX，SO2，颗粒物）根据检测技术规范要求，该企业有3个排口，每个排口测四个点位，一个点位测3次。NOX，SO2断面·项·次收费标准为300元，颗粒物点·次·项收费标准50元，即总价=采样分析费用（300+300+50）×4×3+开机费用50+人工费用50=7900元。具体费用根据工作实际开展的水、气、土、噪声检测情况计算产生。所有费用计算过程均包含了税费。我单位在预算申请中严格按照项目实施内容及测算标准进行核算。预算确定资金量与实际工作任务相匹配。本项目预算额度测算依据充分，严格按照标准编制，预算确定资金量与实际工作任务相匹配。</w:t>
      </w:r>
    </w:p>
    <w:p w14:paraId="73D5F4D6">
      <w:pPr>
        <w:spacing w:line="360" w:lineRule="auto"/>
        <w:ind w:firstLine="560"/>
        <w:rPr>
          <w:rFonts w:hint="eastAsia" w:ascii="仿宋_GB2312"/>
          <w:color w:val="auto"/>
          <w:szCs w:val="28"/>
          <w:highlight w:val="none"/>
        </w:rPr>
      </w:pPr>
      <w:r>
        <w:rPr>
          <w:rFonts w:hint="eastAsia" w:ascii="仿宋_GB2312"/>
          <w:color w:val="auto"/>
          <w:szCs w:val="28"/>
          <w:highlight w:val="none"/>
        </w:rPr>
        <w:t>故预算编制科学性指标得分3分。</w:t>
      </w:r>
    </w:p>
    <w:p w14:paraId="5D4F8F63">
      <w:pPr>
        <w:spacing w:line="360" w:lineRule="auto"/>
        <w:ind w:firstLine="562"/>
        <w:rPr>
          <w:color w:val="auto"/>
          <w:highlight w:val="none"/>
        </w:rPr>
      </w:pPr>
      <w:r>
        <w:rPr>
          <w:rFonts w:hint="eastAsia"/>
          <w:b/>
          <w:bCs/>
          <w:color w:val="auto"/>
          <w:highlight w:val="none"/>
        </w:rPr>
        <w:t>资金分配合理性</w:t>
      </w:r>
      <w:r>
        <w:rPr>
          <w:rFonts w:hint="eastAsia"/>
          <w:color w:val="auto"/>
          <w:highlight w:val="none"/>
        </w:rPr>
        <w:t>：</w:t>
      </w:r>
    </w:p>
    <w:p w14:paraId="50CBC318">
      <w:pPr>
        <w:spacing w:line="360" w:lineRule="auto"/>
        <w:ind w:firstLine="560"/>
        <w:rPr>
          <w:rFonts w:hint="eastAsia" w:ascii="仿宋_GB2312" w:hAnsi="仿宋" w:cs="宋体"/>
          <w:color w:val="auto"/>
          <w:kern w:val="0"/>
          <w:szCs w:val="28"/>
          <w:highlight w:val="none"/>
        </w:rPr>
      </w:pPr>
      <w:r>
        <w:rPr>
          <w:rFonts w:hint="eastAsia" w:ascii="仿宋_GB2312" w:hAnsi="仿宋" w:cs="宋体"/>
          <w:color w:val="auto"/>
          <w:kern w:val="0"/>
          <w:szCs w:val="28"/>
          <w:highlight w:val="none"/>
          <w:lang w:eastAsia="zh-CN"/>
        </w:rPr>
        <w:t>本次资金分配主要遵循以下原则：（</w:t>
      </w:r>
      <w:r>
        <w:rPr>
          <w:rFonts w:hint="eastAsia" w:ascii="仿宋_GB2312" w:hAnsi="仿宋" w:cs="宋体"/>
          <w:color w:val="auto"/>
          <w:kern w:val="0"/>
          <w:szCs w:val="28"/>
          <w:highlight w:val="none"/>
          <w:lang w:val="en-US" w:eastAsia="zh-CN"/>
        </w:rPr>
        <w:t>1</w:t>
      </w:r>
      <w:r>
        <w:rPr>
          <w:rFonts w:hint="eastAsia" w:ascii="仿宋_GB2312" w:hAnsi="仿宋" w:cs="宋体"/>
          <w:color w:val="auto"/>
          <w:kern w:val="0"/>
          <w:szCs w:val="28"/>
          <w:highlight w:val="none"/>
          <w:lang w:eastAsia="zh-CN"/>
        </w:rPr>
        <w:t>）需求导向原则：根据不同的环境要素（水、大气、土壤）的监测需求和重要性（涉嫌超标执法监测、信访投诉执法监测，自治区考核名单执法监测）进行资金分配，优先保障重点领域和关键环节的监测工作。（</w:t>
      </w:r>
      <w:r>
        <w:rPr>
          <w:rFonts w:hint="eastAsia" w:ascii="仿宋_GB2312" w:hAnsi="仿宋" w:cs="宋体"/>
          <w:color w:val="auto"/>
          <w:kern w:val="0"/>
          <w:szCs w:val="28"/>
          <w:highlight w:val="none"/>
          <w:lang w:val="en-US" w:eastAsia="zh-CN"/>
        </w:rPr>
        <w:t>2</w:t>
      </w:r>
      <w:r>
        <w:rPr>
          <w:rFonts w:hint="eastAsia" w:ascii="仿宋_GB2312" w:hAnsi="仿宋" w:cs="宋体"/>
          <w:color w:val="auto"/>
          <w:kern w:val="0"/>
          <w:szCs w:val="28"/>
          <w:highlight w:val="none"/>
          <w:lang w:eastAsia="zh-CN"/>
        </w:rPr>
        <w:t>）成本效益原则：综合考虑监测工作的成本和预期效益，确保资金投入能够获得最大的环境效益。</w:t>
      </w:r>
      <w:r>
        <w:rPr>
          <w:rFonts w:hint="eastAsia" w:ascii="仿宋_GB2312" w:hAnsi="仿宋" w:cs="宋体"/>
          <w:color w:val="auto"/>
          <w:kern w:val="0"/>
          <w:szCs w:val="28"/>
          <w:highlight w:val="none"/>
        </w:rPr>
        <w:t>综上所述，本指标满分为3分，根据评分标准得3分，本项目资金分配合理。</w:t>
      </w:r>
    </w:p>
    <w:p w14:paraId="7E04AABC">
      <w:pPr>
        <w:spacing w:line="360" w:lineRule="auto"/>
        <w:ind w:firstLine="560"/>
        <w:rPr>
          <w:rFonts w:hint="eastAsia" w:ascii="仿宋_GB2312" w:hAnsi="仿宋" w:cs="宋体"/>
          <w:color w:val="auto"/>
          <w:kern w:val="0"/>
          <w:szCs w:val="28"/>
          <w:highlight w:val="none"/>
        </w:rPr>
      </w:pPr>
      <w:r>
        <w:rPr>
          <w:rFonts w:hint="eastAsia" w:ascii="仿宋_GB2312" w:hAnsi="仿宋" w:cs="宋体"/>
          <w:color w:val="auto"/>
          <w:kern w:val="0"/>
          <w:szCs w:val="28"/>
          <w:highlight w:val="none"/>
          <w:lang w:eastAsia="zh-CN"/>
        </w:rPr>
        <w:t>资金分配情况：</w:t>
      </w:r>
      <w:r>
        <w:rPr>
          <w:rFonts w:hint="eastAsia" w:ascii="仿宋_GB2312"/>
          <w:bCs/>
          <w:color w:val="auto"/>
          <w:szCs w:val="28"/>
          <w:highlight w:val="none"/>
          <w:lang w:eastAsia="zh-CN"/>
        </w:rPr>
        <w:t>废水监测共开展</w:t>
      </w:r>
      <w:r>
        <w:rPr>
          <w:rFonts w:hint="eastAsia" w:ascii="仿宋_GB2312"/>
          <w:bCs/>
          <w:color w:val="auto"/>
          <w:szCs w:val="28"/>
          <w:highlight w:val="none"/>
          <w:lang w:val="en-US" w:eastAsia="zh-CN"/>
        </w:rPr>
        <w:t>71家次，分配资金57.044万元，占总资金的43.7%；</w:t>
      </w:r>
      <w:r>
        <w:rPr>
          <w:rFonts w:hint="eastAsia" w:ascii="仿宋_GB2312"/>
          <w:bCs/>
          <w:color w:val="auto"/>
          <w:szCs w:val="28"/>
          <w:highlight w:val="none"/>
          <w:lang w:eastAsia="zh-CN"/>
        </w:rPr>
        <w:t>废气监测开展</w:t>
      </w:r>
      <w:r>
        <w:rPr>
          <w:rFonts w:hint="eastAsia" w:ascii="仿宋_GB2312"/>
          <w:bCs/>
          <w:color w:val="auto"/>
          <w:szCs w:val="28"/>
          <w:highlight w:val="none"/>
          <w:lang w:val="en-US" w:eastAsia="zh-CN"/>
        </w:rPr>
        <w:t>100家次，分配资金71.916万元，占总资金的55%；</w:t>
      </w:r>
      <w:r>
        <w:rPr>
          <w:rFonts w:hint="eastAsia" w:ascii="仿宋_GB2312"/>
          <w:bCs/>
          <w:color w:val="auto"/>
          <w:szCs w:val="28"/>
          <w:highlight w:val="none"/>
          <w:lang w:eastAsia="zh-CN"/>
        </w:rPr>
        <w:t>土壤监测开展</w:t>
      </w:r>
      <w:r>
        <w:rPr>
          <w:rFonts w:hint="eastAsia" w:ascii="仿宋_GB2312"/>
          <w:bCs/>
          <w:color w:val="auto"/>
          <w:szCs w:val="28"/>
          <w:highlight w:val="none"/>
          <w:lang w:val="en-US" w:eastAsia="zh-CN"/>
        </w:rPr>
        <w:t>2家次，分配资金1.68万元，占总资金的1.3%。环境运行监测和冬季大气污染防治工作经费项目计划使用金额130.64万元，执行金额130.64万元，资金执行率达100%。</w:t>
      </w:r>
      <w:r>
        <w:rPr>
          <w:rFonts w:hint="eastAsia" w:ascii="仿宋_GB2312" w:hAnsi="仿宋" w:cs="宋体"/>
          <w:color w:val="auto"/>
          <w:kern w:val="0"/>
          <w:szCs w:val="28"/>
          <w:highlight w:val="none"/>
        </w:rPr>
        <w:t>资金分配额度合理，与我单位实际需求相适应。</w:t>
      </w:r>
    </w:p>
    <w:p w14:paraId="71FEC404">
      <w:pPr>
        <w:spacing w:line="360" w:lineRule="auto"/>
        <w:ind w:firstLine="560"/>
        <w:rPr>
          <w:rFonts w:hint="eastAsia" w:ascii="仿宋_GB2312" w:hAnsi="仿宋" w:cs="宋体"/>
          <w:color w:val="auto"/>
          <w:kern w:val="0"/>
          <w:szCs w:val="28"/>
          <w:highlight w:val="none"/>
        </w:rPr>
      </w:pPr>
      <w:r>
        <w:rPr>
          <w:rFonts w:hint="eastAsia" w:ascii="仿宋_GB2312" w:hAnsi="仿宋" w:cs="宋体"/>
          <w:color w:val="auto"/>
          <w:kern w:val="0"/>
          <w:szCs w:val="28"/>
          <w:highlight w:val="none"/>
        </w:rPr>
        <w:t>综上所述，本指标满分为3分，根据评分标准得3分，本项目资金分配合理。</w:t>
      </w:r>
    </w:p>
    <w:p w14:paraId="5CFFE983">
      <w:pPr>
        <w:autoSpaceDE w:val="0"/>
        <w:spacing w:line="600" w:lineRule="exact"/>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6</w:t>
      </w:r>
      <w:r>
        <w:rPr>
          <w:rFonts w:hint="eastAsia" w:ascii="仿宋_GB2312" w:hAnsi="仿宋" w:cs="宋体"/>
          <w:b/>
          <w:color w:val="auto"/>
          <w:kern w:val="0"/>
          <w:szCs w:val="28"/>
          <w:highlight w:val="none"/>
        </w:rPr>
        <w:t>分，得分6分。</w:t>
      </w:r>
    </w:p>
    <w:p w14:paraId="36341F5F">
      <w:pPr>
        <w:autoSpaceDE w:val="0"/>
        <w:spacing w:line="600" w:lineRule="exact"/>
        <w:ind w:firstLine="562"/>
        <w:rPr>
          <w:rFonts w:ascii="仿宋_GB2312" w:hAnsi="仿宋" w:cs="宋体"/>
          <w:bCs/>
          <w:color w:val="auto"/>
          <w:kern w:val="0"/>
          <w:szCs w:val="28"/>
          <w:highlight w:val="none"/>
        </w:rPr>
      </w:pPr>
    </w:p>
    <w:p w14:paraId="26347066">
      <w:pPr>
        <w:autoSpaceDE w:val="0"/>
        <w:spacing w:line="600" w:lineRule="exact"/>
        <w:ind w:firstLine="0" w:firstLineChars="0"/>
        <w:rPr>
          <w:rFonts w:ascii="仿宋_GB2312" w:hAnsi="仿宋" w:cs="宋体"/>
          <w:bCs/>
          <w:color w:val="auto"/>
          <w:kern w:val="0"/>
          <w:szCs w:val="28"/>
          <w:highlight w:val="none"/>
        </w:rPr>
      </w:pPr>
    </w:p>
    <w:p w14:paraId="0217DF6E">
      <w:pPr>
        <w:pStyle w:val="3"/>
        <w:ind w:firstLine="643"/>
        <w:rPr>
          <w:rFonts w:ascii="仿宋" w:hAnsi="仿宋" w:eastAsia="仿宋"/>
          <w:color w:val="auto"/>
          <w:highlight w:val="none"/>
          <w:lang w:bidi="en-US"/>
        </w:rPr>
      </w:pPr>
      <w:bookmarkStart w:id="40" w:name="_Toc19373"/>
      <w:bookmarkStart w:id="41" w:name="_Toc67911613"/>
      <w:r>
        <w:rPr>
          <w:rFonts w:hint="eastAsia" w:ascii="仿宋" w:hAnsi="仿宋" w:eastAsia="仿宋"/>
          <w:color w:val="auto"/>
          <w:highlight w:val="none"/>
          <w:lang w:bidi="en-US"/>
        </w:rPr>
        <w:t>（二）项目过程情况</w:t>
      </w:r>
      <w:bookmarkEnd w:id="40"/>
      <w:bookmarkEnd w:id="41"/>
    </w:p>
    <w:p w14:paraId="3C35250D">
      <w:pPr>
        <w:spacing w:line="360" w:lineRule="auto"/>
        <w:ind w:firstLine="560"/>
        <w:rPr>
          <w:rFonts w:ascii="仿宋_GB2312"/>
          <w:color w:val="auto"/>
          <w:szCs w:val="28"/>
          <w:highlight w:val="none"/>
        </w:rPr>
      </w:pPr>
      <w:r>
        <w:rPr>
          <w:rFonts w:hint="eastAsia" w:ascii="仿宋_GB2312"/>
          <w:color w:val="auto"/>
          <w:szCs w:val="28"/>
          <w:highlight w:val="none"/>
        </w:rPr>
        <w:t>项目过程指标由2个二级指标和</w:t>
      </w:r>
      <w:r>
        <w:rPr>
          <w:rFonts w:ascii="仿宋_GB2312"/>
          <w:color w:val="auto"/>
          <w:szCs w:val="28"/>
          <w:highlight w:val="none"/>
        </w:rPr>
        <w:t>5</w:t>
      </w:r>
      <w:r>
        <w:rPr>
          <w:rFonts w:hint="eastAsia" w:ascii="仿宋_GB2312"/>
          <w:color w:val="auto"/>
          <w:szCs w:val="28"/>
          <w:highlight w:val="none"/>
        </w:rPr>
        <w:t>个三级指标构成，权重为</w:t>
      </w:r>
      <w:r>
        <w:rPr>
          <w:rFonts w:ascii="仿宋_GB2312"/>
          <w:color w:val="auto"/>
          <w:szCs w:val="28"/>
          <w:highlight w:val="none"/>
        </w:rPr>
        <w:t>20</w:t>
      </w:r>
      <w:r>
        <w:rPr>
          <w:rFonts w:hint="eastAsia" w:ascii="仿宋_GB2312"/>
          <w:color w:val="auto"/>
          <w:szCs w:val="28"/>
          <w:highlight w:val="none"/>
        </w:rPr>
        <w:t>分，实际得分</w:t>
      </w:r>
      <w:r>
        <w:rPr>
          <w:rFonts w:hint="eastAsia" w:ascii="仿宋_GB2312"/>
          <w:color w:val="auto"/>
          <w:szCs w:val="28"/>
          <w:highlight w:val="none"/>
          <w:lang w:val="en-US" w:eastAsia="zh-CN"/>
        </w:rPr>
        <w:t>19.58</w:t>
      </w:r>
      <w:r>
        <w:rPr>
          <w:rFonts w:hint="eastAsia" w:ascii="仿宋_GB2312"/>
          <w:color w:val="auto"/>
          <w:szCs w:val="28"/>
          <w:highlight w:val="none"/>
        </w:rPr>
        <w:t>分。</w:t>
      </w:r>
    </w:p>
    <w:p w14:paraId="31B4D667">
      <w:pPr>
        <w:pStyle w:val="4"/>
        <w:ind w:firstLine="643"/>
        <w:rPr>
          <w:color w:val="auto"/>
          <w:highlight w:val="none"/>
        </w:rPr>
      </w:pPr>
      <w:bookmarkStart w:id="42" w:name="_Toc4138"/>
      <w:r>
        <w:rPr>
          <w:color w:val="auto"/>
          <w:highlight w:val="none"/>
        </w:rPr>
        <w:t>1.</w:t>
      </w:r>
      <w:r>
        <w:rPr>
          <w:rFonts w:hint="eastAsia"/>
          <w:color w:val="auto"/>
          <w:highlight w:val="none"/>
        </w:rPr>
        <w:t>资金管理</w:t>
      </w:r>
      <w:bookmarkEnd w:id="42"/>
    </w:p>
    <w:p w14:paraId="19E818A5">
      <w:pPr>
        <w:spacing w:line="360" w:lineRule="auto"/>
        <w:ind w:firstLine="562"/>
        <w:rPr>
          <w:rFonts w:ascii="仿宋_GB2312"/>
          <w:color w:val="auto"/>
          <w:szCs w:val="28"/>
          <w:highlight w:val="none"/>
        </w:rPr>
      </w:pPr>
      <w:r>
        <w:rPr>
          <w:rFonts w:hint="eastAsia" w:ascii="仿宋_GB2312"/>
          <w:b/>
          <w:bCs/>
          <w:color w:val="auto"/>
          <w:szCs w:val="28"/>
          <w:highlight w:val="none"/>
        </w:rPr>
        <w:t>资金到位率：</w:t>
      </w:r>
      <w:r>
        <w:rPr>
          <w:rFonts w:hint="eastAsia"/>
          <w:color w:val="auto"/>
          <w:highlight w:val="none"/>
        </w:rPr>
        <w:t>该项目资金投入情况：经《关于2024年市本级部门预算的批复号文件批准》（乌财资环【2024】1号），项目系2024年本级资金，共安排预算136.44万元，实际到位</w:t>
      </w:r>
      <w:r>
        <w:rPr>
          <w:rFonts w:hint="eastAsia"/>
          <w:color w:val="auto"/>
          <w:highlight w:val="none"/>
          <w:lang w:val="en-US" w:eastAsia="zh-CN"/>
        </w:rPr>
        <w:t>130.64</w:t>
      </w:r>
      <w:r>
        <w:rPr>
          <w:rFonts w:hint="eastAsia"/>
          <w:color w:val="auto"/>
          <w:highlight w:val="none"/>
        </w:rPr>
        <w:t>万元，到位率95.75%。</w:t>
      </w:r>
      <w:r>
        <w:rPr>
          <w:rFonts w:hint="eastAsia" w:ascii="仿宋_GB2312" w:hAnsi="仿宋" w:cs="宋体"/>
          <w:color w:val="auto"/>
          <w:kern w:val="0"/>
          <w:szCs w:val="28"/>
          <w:highlight w:val="none"/>
        </w:rPr>
        <w:t>故资金到位率指标得分</w:t>
      </w:r>
      <w:r>
        <w:rPr>
          <w:rFonts w:hint="eastAsia" w:ascii="仿宋_GB2312" w:hAnsi="仿宋" w:cs="宋体"/>
          <w:color w:val="auto"/>
          <w:kern w:val="0"/>
          <w:szCs w:val="28"/>
          <w:highlight w:val="none"/>
          <w:lang w:val="en-US" w:eastAsia="zh-CN"/>
        </w:rPr>
        <w:t>4.79</w:t>
      </w:r>
      <w:r>
        <w:rPr>
          <w:rFonts w:hint="eastAsia" w:ascii="仿宋_GB2312" w:hAnsi="仿宋" w:cs="宋体"/>
          <w:color w:val="auto"/>
          <w:kern w:val="0"/>
          <w:szCs w:val="28"/>
          <w:highlight w:val="none"/>
        </w:rPr>
        <w:t>分。</w:t>
      </w:r>
    </w:p>
    <w:p w14:paraId="506FE2A1">
      <w:pPr>
        <w:spacing w:line="360" w:lineRule="auto"/>
        <w:ind w:firstLine="560"/>
        <w:rPr>
          <w:rFonts w:ascii="仿宋_GB2312"/>
          <w:color w:val="auto"/>
          <w:szCs w:val="28"/>
          <w:highlight w:val="none"/>
        </w:rPr>
      </w:pPr>
    </w:p>
    <w:p w14:paraId="4EB0A47E">
      <w:pPr>
        <w:spacing w:line="360" w:lineRule="auto"/>
        <w:ind w:firstLine="562"/>
        <w:rPr>
          <w:rFonts w:ascii="仿宋_GB2312"/>
          <w:color w:val="auto"/>
          <w:szCs w:val="28"/>
          <w:highlight w:val="none"/>
        </w:rPr>
      </w:pPr>
      <w:r>
        <w:rPr>
          <w:rFonts w:hint="eastAsia" w:ascii="仿宋_GB2312"/>
          <w:b/>
          <w:bCs/>
          <w:color w:val="auto"/>
          <w:szCs w:val="28"/>
          <w:highlight w:val="none"/>
        </w:rPr>
        <w:t>预算执行率：</w:t>
      </w:r>
      <w:r>
        <w:rPr>
          <w:rFonts w:hint="eastAsia" w:ascii="仿宋_GB2312"/>
          <w:color w:val="auto"/>
          <w:szCs w:val="28"/>
          <w:highlight w:val="none"/>
        </w:rPr>
        <w:t>项目资金由财政拨付</w:t>
      </w:r>
      <w:r>
        <w:rPr>
          <w:rFonts w:hint="eastAsia" w:ascii="仿宋_GB2312"/>
          <w:color w:val="auto"/>
          <w:szCs w:val="28"/>
          <w:highlight w:val="none"/>
          <w:lang w:eastAsia="zh-CN"/>
        </w:rPr>
        <w:t>，项目预算136.44万元，</w:t>
      </w:r>
      <w:r>
        <w:rPr>
          <w:rFonts w:hint="eastAsia" w:ascii="仿宋_GB2312"/>
          <w:color w:val="auto"/>
          <w:szCs w:val="28"/>
          <w:highlight w:val="none"/>
          <w:lang w:val="en-US" w:eastAsia="zh-CN"/>
        </w:rPr>
        <w:t>2024年累计</w:t>
      </w:r>
      <w:r>
        <w:rPr>
          <w:rFonts w:hint="eastAsia" w:ascii="仿宋_GB2312"/>
          <w:color w:val="auto"/>
          <w:szCs w:val="28"/>
          <w:highlight w:val="none"/>
          <w:lang w:eastAsia="zh-CN"/>
        </w:rPr>
        <w:t>支付130.64万元，总资金执行率达95.75%</w:t>
      </w:r>
      <w:r>
        <w:rPr>
          <w:rFonts w:hint="eastAsia" w:ascii="仿宋_GB2312"/>
          <w:b/>
          <w:bCs/>
          <w:color w:val="auto"/>
          <w:szCs w:val="28"/>
          <w:highlight w:val="none"/>
        </w:rPr>
        <w:t>。</w:t>
      </w:r>
      <w:r>
        <w:rPr>
          <w:rFonts w:hint="eastAsia" w:ascii="仿宋_GB2312"/>
          <w:color w:val="auto"/>
          <w:szCs w:val="28"/>
          <w:highlight w:val="none"/>
        </w:rPr>
        <w:t>故预算执行率得分为</w:t>
      </w:r>
      <w:r>
        <w:rPr>
          <w:rFonts w:hint="eastAsia" w:ascii="仿宋_GB2312"/>
          <w:color w:val="auto"/>
          <w:szCs w:val="28"/>
          <w:highlight w:val="none"/>
          <w:lang w:val="en-US" w:eastAsia="zh-CN"/>
        </w:rPr>
        <w:t>4.79</w:t>
      </w:r>
      <w:r>
        <w:rPr>
          <w:rFonts w:hint="eastAsia" w:ascii="仿宋_GB2312"/>
          <w:color w:val="auto"/>
          <w:szCs w:val="28"/>
          <w:highlight w:val="none"/>
        </w:rPr>
        <w:t>分。</w:t>
      </w:r>
    </w:p>
    <w:p w14:paraId="3216143B">
      <w:pPr>
        <w:spacing w:line="360" w:lineRule="auto"/>
        <w:ind w:firstLine="562"/>
        <w:rPr>
          <w:rFonts w:ascii="仿宋_GB2312"/>
          <w:b/>
          <w:bCs/>
          <w:color w:val="auto"/>
          <w:szCs w:val="28"/>
          <w:highlight w:val="none"/>
        </w:rPr>
      </w:pPr>
    </w:p>
    <w:p w14:paraId="347D99E5">
      <w:pPr>
        <w:spacing w:line="360" w:lineRule="auto"/>
        <w:ind w:firstLine="562"/>
        <w:rPr>
          <w:rFonts w:ascii="仿宋_GB2312"/>
          <w:color w:val="auto"/>
          <w:szCs w:val="28"/>
          <w:highlight w:val="none"/>
        </w:rPr>
      </w:pPr>
      <w:r>
        <w:rPr>
          <w:rFonts w:hint="eastAsia" w:ascii="仿宋_GB2312"/>
          <w:b/>
          <w:bCs/>
          <w:color w:val="auto"/>
          <w:szCs w:val="28"/>
          <w:highlight w:val="none"/>
        </w:rPr>
        <w:t>资金使用合规性：</w:t>
      </w:r>
      <w:r>
        <w:rPr>
          <w:rFonts w:hint="eastAsia" w:ascii="仿宋_GB2312"/>
          <w:color w:val="auto"/>
          <w:szCs w:val="28"/>
          <w:highlight w:val="none"/>
        </w:rPr>
        <w:t>本项目资金的使用符合《政府会计制度》</w:t>
      </w:r>
      <w:r>
        <w:rPr>
          <w:rFonts w:hint="eastAsia" w:ascii="仿宋_GB2312"/>
          <w:color w:val="auto"/>
          <w:szCs w:val="28"/>
          <w:highlight w:val="none"/>
          <w:lang w:eastAsia="zh-CN"/>
        </w:rPr>
        <w:t>及《中华人民共和国预算法》等国家相关财经法规和财务管理制度以及有关专项资金管理办法的相关规定。同时，资金的拨付有完整的审批程序和手续，符合项目预算批复或合同规定的用途，不存在截留、挤占、挪用、虚列支出等情况</w:t>
      </w:r>
      <w:r>
        <w:rPr>
          <w:rFonts w:hint="eastAsia" w:ascii="仿宋_GB2312"/>
          <w:color w:val="auto"/>
          <w:szCs w:val="28"/>
          <w:highlight w:val="none"/>
        </w:rPr>
        <w:t>故资金使用合规性得分为3分。</w:t>
      </w:r>
    </w:p>
    <w:p w14:paraId="0AC7ACB1">
      <w:pPr>
        <w:autoSpaceDE w:val="0"/>
        <w:spacing w:line="600" w:lineRule="exact"/>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13</w:t>
      </w:r>
      <w:r>
        <w:rPr>
          <w:rFonts w:hint="eastAsia" w:ascii="仿宋_GB2312" w:hAnsi="仿宋" w:cs="宋体"/>
          <w:b/>
          <w:color w:val="auto"/>
          <w:kern w:val="0"/>
          <w:szCs w:val="28"/>
          <w:highlight w:val="none"/>
        </w:rPr>
        <w:t>分，得分</w:t>
      </w:r>
      <w:r>
        <w:rPr>
          <w:rFonts w:hint="eastAsia" w:ascii="仿宋_GB2312" w:hAnsi="仿宋" w:cs="宋体"/>
          <w:b/>
          <w:color w:val="auto"/>
          <w:kern w:val="0"/>
          <w:szCs w:val="28"/>
          <w:highlight w:val="none"/>
          <w:lang w:val="en-US" w:eastAsia="zh-CN"/>
        </w:rPr>
        <w:t>12.58</w:t>
      </w:r>
      <w:r>
        <w:rPr>
          <w:rFonts w:hint="eastAsia" w:ascii="仿宋_GB2312" w:hAnsi="仿宋" w:cs="宋体"/>
          <w:b/>
          <w:color w:val="auto"/>
          <w:kern w:val="0"/>
          <w:szCs w:val="28"/>
          <w:highlight w:val="none"/>
        </w:rPr>
        <w:t>分。</w:t>
      </w:r>
    </w:p>
    <w:p w14:paraId="0B12AE1B">
      <w:pPr>
        <w:pStyle w:val="4"/>
        <w:ind w:firstLine="643"/>
        <w:rPr>
          <w:color w:val="auto"/>
          <w:highlight w:val="none"/>
        </w:rPr>
      </w:pPr>
      <w:bookmarkStart w:id="43" w:name="_Toc25015"/>
      <w:r>
        <w:rPr>
          <w:color w:val="auto"/>
          <w:highlight w:val="none"/>
        </w:rPr>
        <w:t>2.</w:t>
      </w:r>
      <w:r>
        <w:rPr>
          <w:rFonts w:hint="eastAsia"/>
          <w:color w:val="auto"/>
          <w:highlight w:val="none"/>
        </w:rPr>
        <w:t>组织实施</w:t>
      </w:r>
      <w:bookmarkEnd w:id="43"/>
    </w:p>
    <w:p w14:paraId="40E57669">
      <w:pPr>
        <w:spacing w:line="360" w:lineRule="auto"/>
        <w:ind w:firstLine="562"/>
        <w:rPr>
          <w:rFonts w:ascii="仿宋_GB2312"/>
          <w:color w:val="auto"/>
          <w:szCs w:val="28"/>
          <w:highlight w:val="none"/>
        </w:rPr>
      </w:pPr>
      <w:r>
        <w:rPr>
          <w:rFonts w:hint="eastAsia" w:ascii="仿宋_GB2312"/>
          <w:b/>
          <w:bCs/>
          <w:color w:val="auto"/>
          <w:szCs w:val="28"/>
          <w:highlight w:val="none"/>
        </w:rPr>
        <w:t>管理制度健全性</w:t>
      </w:r>
      <w:r>
        <w:rPr>
          <w:rFonts w:hint="eastAsia" w:ascii="仿宋_GB2312"/>
          <w:color w:val="auto"/>
          <w:szCs w:val="28"/>
          <w:highlight w:val="none"/>
        </w:rPr>
        <w:t>：乌鲁木齐市生态环境保护综合行政执法支队已制定相应的</w:t>
      </w:r>
      <w:r>
        <w:rPr>
          <w:rFonts w:hint="eastAsia" w:ascii="仿宋_GB2312"/>
          <w:color w:val="auto"/>
          <w:szCs w:val="28"/>
          <w:highlight w:val="none"/>
          <w:lang w:eastAsia="zh-CN"/>
        </w:rPr>
        <w:t>《</w:t>
      </w:r>
      <w:r>
        <w:rPr>
          <w:rFonts w:hint="eastAsia" w:ascii="仿宋_GB2312"/>
          <w:color w:val="auto"/>
          <w:szCs w:val="28"/>
          <w:highlight w:val="none"/>
        </w:rPr>
        <w:t>乌鲁木齐市生态环境保护综合行政执法支队</w:t>
      </w:r>
      <w:r>
        <w:rPr>
          <w:rFonts w:hint="eastAsia" w:ascii="仿宋_GB2312"/>
          <w:color w:val="auto"/>
          <w:szCs w:val="28"/>
          <w:highlight w:val="none"/>
          <w:lang w:eastAsia="zh-CN"/>
        </w:rPr>
        <w:t>内控管理制度》中的</w:t>
      </w:r>
      <w:r>
        <w:rPr>
          <w:rFonts w:hint="eastAsia" w:ascii="仿宋_GB2312"/>
          <w:color w:val="auto"/>
          <w:szCs w:val="28"/>
          <w:highlight w:val="none"/>
        </w:rPr>
        <w:t>业务管理制度，</w:t>
      </w:r>
      <w:r>
        <w:rPr>
          <w:rFonts w:hint="eastAsia" w:ascii="仿宋_GB2312"/>
          <w:color w:val="auto"/>
          <w:szCs w:val="28"/>
          <w:highlight w:val="none"/>
          <w:lang w:eastAsia="zh-CN"/>
        </w:rPr>
        <w:t>该制度对项目进行管理，从明确职责分工，确保项目各环节责任到人，严格的审批流程把控项目预算、进度和质量，同时规范采购、招投标等关键环节，保障项目公平公正开展，提升资金利用效率，确保项目顺利完成。</w:t>
      </w:r>
      <w:r>
        <w:rPr>
          <w:rFonts w:hint="eastAsia" w:ascii="仿宋_GB2312"/>
          <w:color w:val="auto"/>
          <w:szCs w:val="28"/>
          <w:highlight w:val="none"/>
        </w:rPr>
        <w:t>制度合法、合规、完整，为项目顺利实施提供重要保障。故管理制度健全性得分为3分。</w:t>
      </w:r>
    </w:p>
    <w:p w14:paraId="7B77519B">
      <w:pPr>
        <w:spacing w:line="360" w:lineRule="auto"/>
        <w:ind w:firstLine="562"/>
        <w:rPr>
          <w:rFonts w:ascii="仿宋_GB2312"/>
          <w:color w:val="auto"/>
          <w:szCs w:val="28"/>
          <w:highlight w:val="none"/>
        </w:rPr>
      </w:pPr>
      <w:r>
        <w:rPr>
          <w:rFonts w:hint="eastAsia" w:ascii="仿宋_GB2312"/>
          <w:b/>
          <w:bCs/>
          <w:color w:val="auto"/>
          <w:szCs w:val="28"/>
          <w:highlight w:val="none"/>
        </w:rPr>
        <w:t>制度执行有效性：</w:t>
      </w:r>
      <w:r>
        <w:rPr>
          <w:rFonts w:hint="eastAsia" w:ascii="仿宋_GB2312"/>
          <w:color w:val="auto"/>
          <w:szCs w:val="28"/>
          <w:highlight w:val="none"/>
        </w:rPr>
        <w:t>根据评价小组核查情况，</w:t>
      </w:r>
      <w:r>
        <w:rPr>
          <w:rFonts w:hint="eastAsia" w:ascii="仿宋_GB2312"/>
          <w:color w:val="auto"/>
          <w:szCs w:val="28"/>
          <w:highlight w:val="none"/>
          <w:lang w:eastAsia="zh-CN"/>
        </w:rPr>
        <w:t>我单位</w:t>
      </w:r>
      <w:r>
        <w:rPr>
          <w:rFonts w:hint="eastAsia" w:ascii="仿宋_GB2312"/>
          <w:color w:val="auto"/>
          <w:szCs w:val="28"/>
          <w:highlight w:val="none"/>
        </w:rPr>
        <w:t>严格遵守相关法律法规和相关管理规定，项目调整及支出调整手续完备，整体管理合理有序，项目完成后，及时将会计凭证、固定资产入库单等相关资料分类归档，制度执行有效。故制度执行有效性指标得分</w:t>
      </w:r>
      <w:r>
        <w:rPr>
          <w:rFonts w:ascii="仿宋_GB2312"/>
          <w:color w:val="auto"/>
          <w:szCs w:val="28"/>
          <w:highlight w:val="none"/>
        </w:rPr>
        <w:t>4</w:t>
      </w:r>
      <w:r>
        <w:rPr>
          <w:rFonts w:hint="eastAsia" w:ascii="仿宋_GB2312"/>
          <w:color w:val="auto"/>
          <w:szCs w:val="28"/>
          <w:highlight w:val="none"/>
        </w:rPr>
        <w:t>分。</w:t>
      </w:r>
    </w:p>
    <w:p w14:paraId="1359142C">
      <w:pPr>
        <w:autoSpaceDE w:val="0"/>
        <w:spacing w:line="600" w:lineRule="exact"/>
        <w:ind w:firstLine="562"/>
        <w:rPr>
          <w:rFonts w:ascii="仿宋_GB2312" w:hAnsi="仿宋" w:cs="宋体"/>
          <w:b/>
          <w:color w:val="auto"/>
          <w:kern w:val="0"/>
          <w:szCs w:val="28"/>
          <w:highlight w:val="none"/>
        </w:rPr>
      </w:pPr>
      <w:bookmarkStart w:id="44" w:name="_Hlk67670213"/>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7</w:t>
      </w:r>
      <w:r>
        <w:rPr>
          <w:rFonts w:hint="eastAsia" w:ascii="仿宋_GB2312" w:hAnsi="仿宋" w:cs="宋体"/>
          <w:b/>
          <w:color w:val="auto"/>
          <w:kern w:val="0"/>
          <w:szCs w:val="28"/>
          <w:highlight w:val="none"/>
        </w:rPr>
        <w:t>分，得分</w:t>
      </w:r>
      <w:r>
        <w:rPr>
          <w:rFonts w:ascii="仿宋_GB2312" w:hAnsi="仿宋" w:cs="宋体"/>
          <w:b/>
          <w:color w:val="auto"/>
          <w:kern w:val="0"/>
          <w:szCs w:val="28"/>
          <w:highlight w:val="none"/>
        </w:rPr>
        <w:t>7</w:t>
      </w:r>
      <w:r>
        <w:rPr>
          <w:rFonts w:hint="eastAsia" w:ascii="仿宋_GB2312" w:hAnsi="仿宋" w:cs="宋体"/>
          <w:b/>
          <w:color w:val="auto"/>
          <w:kern w:val="0"/>
          <w:szCs w:val="28"/>
          <w:highlight w:val="none"/>
        </w:rPr>
        <w:t>分。</w:t>
      </w:r>
      <w:bookmarkEnd w:id="44"/>
    </w:p>
    <w:p w14:paraId="62428788">
      <w:pPr>
        <w:pStyle w:val="3"/>
        <w:ind w:firstLine="643"/>
        <w:rPr>
          <w:rFonts w:ascii="仿宋" w:hAnsi="仿宋" w:eastAsia="仿宋"/>
          <w:color w:val="auto"/>
          <w:highlight w:val="none"/>
          <w:lang w:bidi="en-US"/>
        </w:rPr>
      </w:pPr>
      <w:bookmarkStart w:id="45" w:name="_Toc67911614"/>
      <w:bookmarkStart w:id="46" w:name="_Toc18228"/>
      <w:r>
        <w:rPr>
          <w:rFonts w:hint="eastAsia" w:ascii="仿宋" w:hAnsi="仿宋" w:eastAsia="仿宋"/>
          <w:color w:val="auto"/>
          <w:highlight w:val="none"/>
          <w:lang w:bidi="en-US"/>
        </w:rPr>
        <w:t>（三）项目产出情况</w:t>
      </w:r>
      <w:bookmarkEnd w:id="45"/>
      <w:bookmarkEnd w:id="46"/>
    </w:p>
    <w:p w14:paraId="70D07D9D">
      <w:pPr>
        <w:spacing w:line="360" w:lineRule="auto"/>
        <w:ind w:firstLine="560"/>
        <w:rPr>
          <w:rFonts w:ascii="仿宋_GB2312"/>
          <w:color w:val="auto"/>
          <w:szCs w:val="28"/>
          <w:highlight w:val="none"/>
        </w:rPr>
      </w:pPr>
      <w:r>
        <w:rPr>
          <w:rFonts w:hint="eastAsia" w:ascii="仿宋_GB2312"/>
          <w:color w:val="auto"/>
          <w:szCs w:val="28"/>
          <w:highlight w:val="none"/>
        </w:rPr>
        <w:t>项目产出指标由</w:t>
      </w:r>
      <w:r>
        <w:rPr>
          <w:rFonts w:hint="eastAsia" w:ascii="仿宋_GB2312"/>
          <w:color w:val="auto"/>
          <w:szCs w:val="28"/>
          <w:highlight w:val="none"/>
          <w:lang w:val="en-US" w:eastAsia="zh-CN"/>
        </w:rPr>
        <w:t>3</w:t>
      </w:r>
      <w:r>
        <w:rPr>
          <w:rFonts w:hint="eastAsia" w:ascii="仿宋_GB2312"/>
          <w:color w:val="auto"/>
          <w:szCs w:val="28"/>
          <w:highlight w:val="none"/>
        </w:rPr>
        <w:t>个二级指标和</w:t>
      </w:r>
      <w:r>
        <w:rPr>
          <w:rFonts w:hint="eastAsia" w:ascii="仿宋_GB2312"/>
          <w:color w:val="auto"/>
          <w:szCs w:val="28"/>
          <w:highlight w:val="none"/>
          <w:lang w:val="en-US" w:eastAsia="zh-CN"/>
        </w:rPr>
        <w:t>7</w:t>
      </w:r>
      <w:r>
        <w:rPr>
          <w:rFonts w:hint="eastAsia" w:ascii="仿宋_GB2312"/>
          <w:color w:val="auto"/>
          <w:szCs w:val="28"/>
          <w:highlight w:val="none"/>
        </w:rPr>
        <w:t>个三级指标构成，权重为</w:t>
      </w:r>
      <w:r>
        <w:rPr>
          <w:rFonts w:hint="eastAsia" w:ascii="仿宋_GB2312"/>
          <w:color w:val="auto"/>
          <w:szCs w:val="28"/>
          <w:highlight w:val="none"/>
          <w:lang w:val="en-US" w:eastAsia="zh-CN"/>
        </w:rPr>
        <w:t>40</w:t>
      </w:r>
      <w:r>
        <w:rPr>
          <w:rFonts w:hint="eastAsia" w:ascii="仿宋_GB2312"/>
          <w:color w:val="auto"/>
          <w:szCs w:val="28"/>
          <w:highlight w:val="none"/>
        </w:rPr>
        <w:t>分，实际得分</w:t>
      </w:r>
      <w:r>
        <w:rPr>
          <w:rFonts w:hint="eastAsia" w:ascii="仿宋_GB2312"/>
          <w:color w:val="auto"/>
          <w:szCs w:val="28"/>
          <w:highlight w:val="none"/>
          <w:lang w:val="en-US" w:eastAsia="zh-CN"/>
        </w:rPr>
        <w:t>40</w:t>
      </w:r>
      <w:r>
        <w:rPr>
          <w:rFonts w:hint="eastAsia" w:ascii="仿宋_GB2312"/>
          <w:color w:val="auto"/>
          <w:szCs w:val="28"/>
          <w:highlight w:val="none"/>
        </w:rPr>
        <w:t>分。</w:t>
      </w:r>
    </w:p>
    <w:p w14:paraId="0C066DE1">
      <w:pPr>
        <w:pStyle w:val="4"/>
        <w:ind w:firstLine="643"/>
        <w:rPr>
          <w:color w:val="auto"/>
          <w:highlight w:val="none"/>
        </w:rPr>
      </w:pPr>
      <w:bookmarkStart w:id="47" w:name="_Toc8898"/>
      <w:r>
        <w:rPr>
          <w:rFonts w:hint="eastAsia"/>
          <w:color w:val="auto"/>
          <w:highlight w:val="none"/>
        </w:rPr>
        <w:t>1</w:t>
      </w:r>
      <w:r>
        <w:rPr>
          <w:color w:val="auto"/>
          <w:highlight w:val="none"/>
        </w:rPr>
        <w:t>.</w:t>
      </w:r>
      <w:r>
        <w:rPr>
          <w:rFonts w:hint="eastAsia"/>
          <w:color w:val="auto"/>
          <w:highlight w:val="none"/>
        </w:rPr>
        <w:t>产出数量</w:t>
      </w:r>
      <w:bookmarkEnd w:id="47"/>
    </w:p>
    <w:p w14:paraId="1CD960D5">
      <w:pPr>
        <w:spacing w:line="360" w:lineRule="auto"/>
        <w:ind w:firstLine="560"/>
        <w:rPr>
          <w:rFonts w:ascii="仿宋_GB2312"/>
          <w:color w:val="auto"/>
          <w:szCs w:val="28"/>
          <w:highlight w:val="none"/>
        </w:rPr>
      </w:pPr>
      <w:r>
        <w:rPr>
          <w:rFonts w:hint="eastAsia" w:ascii="仿宋_GB2312"/>
          <w:bCs/>
          <w:color w:val="auto"/>
          <w:szCs w:val="28"/>
          <w:highlight w:val="none"/>
        </w:rPr>
        <w:t>数量指标 “委托第三方开展监测类别”的目标值是</w:t>
      </w:r>
      <w:r>
        <w:rPr>
          <w:rFonts w:hint="eastAsia" w:ascii="仿宋_GB2312"/>
          <w:bCs/>
          <w:color w:val="auto"/>
          <w:szCs w:val="28"/>
          <w:highlight w:val="none"/>
          <w:lang w:eastAsia="zh-CN"/>
        </w:rPr>
        <w:t>≥</w:t>
      </w:r>
      <w:r>
        <w:rPr>
          <w:rFonts w:hint="eastAsia" w:ascii="仿宋_GB2312"/>
          <w:bCs/>
          <w:color w:val="auto"/>
          <w:szCs w:val="28"/>
          <w:highlight w:val="none"/>
          <w:lang w:val="en-US" w:eastAsia="zh-CN"/>
        </w:rPr>
        <w:t>3类</w:t>
      </w:r>
      <w:r>
        <w:rPr>
          <w:rFonts w:hint="eastAsia" w:ascii="仿宋_GB2312"/>
          <w:bCs/>
          <w:color w:val="auto"/>
          <w:szCs w:val="28"/>
          <w:highlight w:val="none"/>
        </w:rPr>
        <w:t>，2024</w:t>
      </w:r>
      <w:r>
        <w:rPr>
          <w:rFonts w:ascii="仿宋_GB2312"/>
          <w:bCs/>
          <w:color w:val="auto"/>
          <w:szCs w:val="28"/>
          <w:highlight w:val="none"/>
        </w:rPr>
        <w:t>年度我单位实际完成</w:t>
      </w:r>
      <w:r>
        <w:rPr>
          <w:rFonts w:hint="eastAsia" w:ascii="仿宋_GB2312"/>
          <w:bCs/>
          <w:color w:val="auto"/>
          <w:szCs w:val="28"/>
          <w:highlight w:val="none"/>
          <w:lang w:val="en-US" w:eastAsia="zh-CN"/>
        </w:rPr>
        <w:t>3</w:t>
      </w:r>
      <w:r>
        <w:rPr>
          <w:rFonts w:hint="eastAsia" w:ascii="仿宋_GB2312"/>
          <w:bCs/>
          <w:color w:val="auto"/>
          <w:szCs w:val="28"/>
          <w:highlight w:val="none"/>
          <w:lang w:eastAsia="zh-CN"/>
        </w:rPr>
        <w:t>类。</w:t>
      </w:r>
      <w:r>
        <w:rPr>
          <w:rFonts w:hint="eastAsia" w:ascii="仿宋_GB2312"/>
          <w:b/>
          <w:bCs/>
          <w:color w:val="auto"/>
          <w:szCs w:val="28"/>
          <w:highlight w:val="none"/>
        </w:rPr>
        <w:t>实际完成率：</w:t>
      </w:r>
      <w:r>
        <w:rPr>
          <w:rFonts w:hint="eastAsia" w:ascii="仿宋_GB2312"/>
          <w:color w:val="auto"/>
          <w:szCs w:val="28"/>
          <w:highlight w:val="none"/>
          <w:lang w:val="en-US" w:eastAsia="zh-CN"/>
        </w:rPr>
        <w:t>100%</w:t>
      </w:r>
      <w:r>
        <w:rPr>
          <w:rFonts w:hint="eastAsia" w:ascii="仿宋_GB2312"/>
          <w:color w:val="auto"/>
          <w:szCs w:val="28"/>
          <w:highlight w:val="none"/>
        </w:rPr>
        <w:t>，</w:t>
      </w:r>
      <w:r>
        <w:rPr>
          <w:rFonts w:hint="eastAsia" w:ascii="仿宋_GB2312"/>
          <w:color w:val="auto"/>
          <w:szCs w:val="28"/>
          <w:highlight w:val="none"/>
          <w:lang w:eastAsia="zh-CN"/>
        </w:rPr>
        <w:t>故</w:t>
      </w:r>
      <w:r>
        <w:rPr>
          <w:rFonts w:hint="eastAsia" w:ascii="仿宋_GB2312"/>
          <w:color w:val="auto"/>
          <w:szCs w:val="28"/>
          <w:highlight w:val="none"/>
        </w:rPr>
        <w:t>实际完成率得分为</w:t>
      </w:r>
      <w:r>
        <w:rPr>
          <w:rFonts w:hint="eastAsia" w:ascii="仿宋_GB2312"/>
          <w:color w:val="auto"/>
          <w:szCs w:val="28"/>
          <w:highlight w:val="none"/>
          <w:lang w:val="en-US" w:eastAsia="zh-CN"/>
        </w:rPr>
        <w:t>10</w:t>
      </w:r>
      <w:r>
        <w:rPr>
          <w:rFonts w:hint="eastAsia" w:ascii="仿宋_GB2312"/>
          <w:color w:val="auto"/>
          <w:szCs w:val="28"/>
          <w:highlight w:val="none"/>
        </w:rPr>
        <w:t>分。</w:t>
      </w:r>
    </w:p>
    <w:p w14:paraId="54255916">
      <w:pPr>
        <w:spacing w:line="360" w:lineRule="auto"/>
        <w:ind w:firstLine="560"/>
        <w:rPr>
          <w:rFonts w:ascii="仿宋_GB2312"/>
          <w:bCs/>
          <w:color w:val="auto"/>
          <w:szCs w:val="28"/>
          <w:highlight w:val="none"/>
        </w:rPr>
      </w:pPr>
      <w:r>
        <w:rPr>
          <w:rFonts w:hint="eastAsia" w:ascii="仿宋_GB2312"/>
          <w:bCs/>
          <w:color w:val="auto"/>
          <w:szCs w:val="28"/>
          <w:highlight w:val="none"/>
        </w:rPr>
        <w:t>数量指标“委托第三方开展环境执法检测数量”的目标值是</w:t>
      </w:r>
      <w:r>
        <w:rPr>
          <w:rFonts w:hint="eastAsia" w:ascii="仿宋_GB2312"/>
          <w:bCs/>
          <w:color w:val="auto"/>
          <w:szCs w:val="28"/>
          <w:highlight w:val="none"/>
          <w:lang w:eastAsia="zh-CN"/>
        </w:rPr>
        <w:t>≥</w:t>
      </w:r>
      <w:r>
        <w:rPr>
          <w:rFonts w:hint="eastAsia" w:ascii="仿宋_GB2312"/>
          <w:bCs/>
          <w:color w:val="auto"/>
          <w:szCs w:val="28"/>
          <w:highlight w:val="none"/>
          <w:lang w:val="en-US" w:eastAsia="zh-CN"/>
        </w:rPr>
        <w:t>150家次，</w:t>
      </w:r>
      <w:r>
        <w:rPr>
          <w:rFonts w:hint="eastAsia" w:ascii="仿宋_GB2312"/>
          <w:bCs/>
          <w:color w:val="auto"/>
          <w:szCs w:val="28"/>
          <w:highlight w:val="none"/>
        </w:rPr>
        <w:t>2024</w:t>
      </w:r>
      <w:r>
        <w:rPr>
          <w:rFonts w:ascii="仿宋_GB2312"/>
          <w:bCs/>
          <w:color w:val="auto"/>
          <w:szCs w:val="28"/>
          <w:highlight w:val="none"/>
        </w:rPr>
        <w:t>年度我单位实际完成</w:t>
      </w:r>
      <w:r>
        <w:rPr>
          <w:rFonts w:hint="eastAsia" w:ascii="仿宋_GB2312"/>
          <w:bCs/>
          <w:color w:val="auto"/>
          <w:szCs w:val="28"/>
          <w:highlight w:val="none"/>
          <w:lang w:val="en-US" w:eastAsia="zh-CN"/>
        </w:rPr>
        <w:t>173</w:t>
      </w:r>
      <w:r>
        <w:rPr>
          <w:rFonts w:hint="eastAsia" w:ascii="仿宋_GB2312"/>
          <w:bCs/>
          <w:color w:val="auto"/>
          <w:szCs w:val="28"/>
          <w:highlight w:val="none"/>
          <w:lang w:eastAsia="zh-CN"/>
        </w:rPr>
        <w:t>家次。</w:t>
      </w:r>
      <w:r>
        <w:rPr>
          <w:rFonts w:hint="eastAsia" w:ascii="仿宋_GB2312"/>
          <w:bCs/>
          <w:color w:val="auto"/>
          <w:szCs w:val="28"/>
          <w:highlight w:val="none"/>
          <w:lang w:val="en-US" w:eastAsia="zh-CN"/>
        </w:rPr>
        <w:t>因信访投诉及区（县）大队执法需求动态变化故</w:t>
      </w:r>
      <w:r>
        <w:rPr>
          <w:rFonts w:hint="eastAsia" w:ascii="仿宋_GB2312"/>
          <w:bCs/>
          <w:color w:val="auto"/>
          <w:szCs w:val="28"/>
          <w:highlight w:val="none"/>
        </w:rPr>
        <w:t>委托第三方开展环境执法检测数量</w:t>
      </w:r>
      <w:r>
        <w:rPr>
          <w:rFonts w:hint="eastAsia" w:ascii="仿宋_GB2312"/>
          <w:bCs/>
          <w:color w:val="auto"/>
          <w:szCs w:val="28"/>
          <w:highlight w:val="none"/>
          <w:lang w:eastAsia="zh-CN"/>
        </w:rPr>
        <w:t>增加。</w:t>
      </w:r>
      <w:r>
        <w:rPr>
          <w:rFonts w:hint="eastAsia" w:ascii="仿宋_GB2312"/>
          <w:b/>
          <w:bCs/>
          <w:color w:val="auto"/>
          <w:szCs w:val="28"/>
          <w:highlight w:val="none"/>
        </w:rPr>
        <w:t>实际完成率：</w:t>
      </w:r>
      <w:r>
        <w:rPr>
          <w:rFonts w:hint="eastAsia" w:ascii="仿宋_GB2312"/>
          <w:color w:val="auto"/>
          <w:szCs w:val="28"/>
          <w:highlight w:val="none"/>
          <w:lang w:val="en-US" w:eastAsia="zh-CN"/>
        </w:rPr>
        <w:t>115.3%</w:t>
      </w:r>
      <w:r>
        <w:rPr>
          <w:rFonts w:hint="eastAsia" w:ascii="仿宋_GB2312"/>
          <w:color w:val="auto"/>
          <w:szCs w:val="28"/>
          <w:highlight w:val="none"/>
        </w:rPr>
        <w:t>，</w:t>
      </w:r>
      <w:r>
        <w:rPr>
          <w:rFonts w:hint="eastAsia" w:ascii="仿宋_GB2312"/>
          <w:color w:val="auto"/>
          <w:szCs w:val="28"/>
          <w:highlight w:val="none"/>
          <w:lang w:eastAsia="zh-CN"/>
        </w:rPr>
        <w:t>故</w:t>
      </w:r>
      <w:r>
        <w:rPr>
          <w:rFonts w:hint="eastAsia" w:ascii="仿宋_GB2312"/>
          <w:color w:val="auto"/>
          <w:szCs w:val="28"/>
          <w:highlight w:val="none"/>
        </w:rPr>
        <w:t>实际完成率得分为</w:t>
      </w:r>
      <w:r>
        <w:rPr>
          <w:rFonts w:hint="eastAsia" w:ascii="仿宋_GB2312"/>
          <w:color w:val="auto"/>
          <w:szCs w:val="28"/>
          <w:highlight w:val="none"/>
          <w:lang w:val="en-US" w:eastAsia="zh-CN"/>
        </w:rPr>
        <w:t>5</w:t>
      </w:r>
      <w:r>
        <w:rPr>
          <w:rFonts w:hint="eastAsia" w:ascii="仿宋_GB2312"/>
          <w:color w:val="auto"/>
          <w:szCs w:val="28"/>
          <w:highlight w:val="none"/>
        </w:rPr>
        <w:t>分。</w:t>
      </w:r>
    </w:p>
    <w:p w14:paraId="110714CE">
      <w:pPr>
        <w:spacing w:line="360" w:lineRule="auto"/>
        <w:ind w:firstLine="560"/>
        <w:rPr>
          <w:rFonts w:hint="eastAsia" w:ascii="仿宋_GB2312"/>
          <w:color w:val="auto"/>
          <w:szCs w:val="28"/>
          <w:highlight w:val="none"/>
        </w:rPr>
      </w:pPr>
      <w:r>
        <w:rPr>
          <w:rFonts w:hint="eastAsia" w:ascii="仿宋_GB2312"/>
          <w:bCs/>
          <w:color w:val="auto"/>
          <w:szCs w:val="28"/>
          <w:highlight w:val="none"/>
        </w:rPr>
        <w:t>数量指标“覆盖生态环境检查区域”的目标值是</w:t>
      </w:r>
      <w:r>
        <w:rPr>
          <w:rFonts w:hint="eastAsia" w:ascii="仿宋_GB2312"/>
          <w:bCs/>
          <w:color w:val="auto"/>
          <w:szCs w:val="28"/>
          <w:highlight w:val="none"/>
          <w:lang w:eastAsia="zh-CN"/>
        </w:rPr>
        <w:t>≥</w:t>
      </w:r>
      <w:r>
        <w:rPr>
          <w:rFonts w:hint="eastAsia" w:ascii="仿宋_GB2312"/>
          <w:bCs/>
          <w:color w:val="auto"/>
          <w:szCs w:val="28"/>
          <w:highlight w:val="none"/>
          <w:lang w:val="en-US" w:eastAsia="zh-CN"/>
        </w:rPr>
        <w:t>7个</w:t>
      </w:r>
      <w:r>
        <w:rPr>
          <w:rFonts w:hint="eastAsia" w:ascii="仿宋_GB2312"/>
          <w:bCs/>
          <w:color w:val="auto"/>
          <w:szCs w:val="28"/>
          <w:highlight w:val="none"/>
        </w:rPr>
        <w:t>，</w:t>
      </w:r>
      <w:r>
        <w:rPr>
          <w:rFonts w:ascii="仿宋_GB2312"/>
          <w:bCs/>
          <w:color w:val="auto"/>
          <w:szCs w:val="28"/>
          <w:highlight w:val="none"/>
        </w:rPr>
        <w:t>2024年度我单位实际完成</w:t>
      </w:r>
      <w:r>
        <w:rPr>
          <w:rFonts w:hint="eastAsia" w:ascii="仿宋_GB2312"/>
          <w:bCs/>
          <w:color w:val="auto"/>
          <w:szCs w:val="28"/>
          <w:highlight w:val="none"/>
          <w:lang w:val="en-US" w:eastAsia="zh-CN"/>
        </w:rPr>
        <w:t>7个。</w:t>
      </w:r>
      <w:r>
        <w:rPr>
          <w:rFonts w:hint="eastAsia" w:ascii="仿宋_GB2312"/>
          <w:b/>
          <w:bCs/>
          <w:color w:val="auto"/>
          <w:szCs w:val="28"/>
          <w:highlight w:val="none"/>
        </w:rPr>
        <w:t>实际完成率：</w:t>
      </w:r>
      <w:r>
        <w:rPr>
          <w:rFonts w:hint="eastAsia" w:ascii="仿宋_GB2312"/>
          <w:color w:val="auto"/>
          <w:szCs w:val="28"/>
          <w:highlight w:val="none"/>
          <w:lang w:val="en-US" w:eastAsia="zh-CN"/>
        </w:rPr>
        <w:t>100%</w:t>
      </w:r>
      <w:r>
        <w:rPr>
          <w:rFonts w:hint="eastAsia" w:ascii="仿宋_GB2312"/>
          <w:color w:val="auto"/>
          <w:szCs w:val="28"/>
          <w:highlight w:val="none"/>
        </w:rPr>
        <w:t>，</w:t>
      </w:r>
      <w:r>
        <w:rPr>
          <w:rFonts w:hint="eastAsia" w:ascii="仿宋_GB2312"/>
          <w:color w:val="auto"/>
          <w:szCs w:val="28"/>
          <w:highlight w:val="none"/>
          <w:lang w:eastAsia="zh-CN"/>
        </w:rPr>
        <w:t>故</w:t>
      </w:r>
      <w:r>
        <w:rPr>
          <w:rFonts w:hint="eastAsia" w:ascii="仿宋_GB2312"/>
          <w:color w:val="auto"/>
          <w:szCs w:val="28"/>
          <w:highlight w:val="none"/>
        </w:rPr>
        <w:t>实际完成率得分为</w:t>
      </w:r>
      <w:r>
        <w:rPr>
          <w:rFonts w:hint="eastAsia" w:ascii="仿宋_GB2312"/>
          <w:color w:val="auto"/>
          <w:szCs w:val="28"/>
          <w:highlight w:val="none"/>
          <w:lang w:val="en-US" w:eastAsia="zh-CN"/>
        </w:rPr>
        <w:t>5</w:t>
      </w:r>
      <w:r>
        <w:rPr>
          <w:rFonts w:hint="eastAsia" w:ascii="仿宋_GB2312"/>
          <w:color w:val="auto"/>
          <w:szCs w:val="28"/>
          <w:highlight w:val="none"/>
        </w:rPr>
        <w:t>分。</w:t>
      </w:r>
    </w:p>
    <w:p w14:paraId="4EAD92C4">
      <w:pPr>
        <w:spacing w:line="360" w:lineRule="auto"/>
        <w:ind w:firstLine="560"/>
        <w:rPr>
          <w:rFonts w:ascii="仿宋_GB2312"/>
          <w:color w:val="auto"/>
          <w:szCs w:val="28"/>
          <w:highlight w:val="none"/>
        </w:rPr>
      </w:pPr>
      <w:r>
        <w:rPr>
          <w:rFonts w:hint="eastAsia" w:ascii="仿宋_GB2312"/>
          <w:bCs/>
          <w:color w:val="auto"/>
          <w:szCs w:val="28"/>
          <w:highlight w:val="none"/>
        </w:rPr>
        <w:t>数量指标“重点排污单位抽测次数”的目标值是</w:t>
      </w:r>
      <w:r>
        <w:rPr>
          <w:rFonts w:hint="eastAsia" w:ascii="仿宋_GB2312"/>
          <w:bCs/>
          <w:color w:val="auto"/>
          <w:szCs w:val="28"/>
          <w:highlight w:val="none"/>
          <w:lang w:eastAsia="zh-CN"/>
        </w:rPr>
        <w:t>≥</w:t>
      </w:r>
      <w:r>
        <w:rPr>
          <w:rFonts w:hint="eastAsia" w:ascii="仿宋_GB2312"/>
          <w:bCs/>
          <w:color w:val="auto"/>
          <w:szCs w:val="28"/>
          <w:highlight w:val="none"/>
          <w:lang w:val="en-US" w:eastAsia="zh-CN"/>
        </w:rPr>
        <w:t>30家次</w:t>
      </w:r>
      <w:r>
        <w:rPr>
          <w:rFonts w:hint="eastAsia" w:ascii="仿宋_GB2312"/>
          <w:bCs/>
          <w:color w:val="auto"/>
          <w:szCs w:val="28"/>
          <w:highlight w:val="none"/>
        </w:rPr>
        <w:t>，</w:t>
      </w:r>
      <w:r>
        <w:rPr>
          <w:rFonts w:ascii="仿宋_GB2312"/>
          <w:bCs/>
          <w:color w:val="auto"/>
          <w:szCs w:val="28"/>
          <w:highlight w:val="none"/>
        </w:rPr>
        <w:t>2024年度我单位实际完成</w:t>
      </w:r>
      <w:r>
        <w:rPr>
          <w:rFonts w:hint="eastAsia" w:ascii="仿宋_GB2312"/>
          <w:bCs/>
          <w:color w:val="auto"/>
          <w:szCs w:val="28"/>
          <w:highlight w:val="none"/>
          <w:lang w:val="en-US" w:eastAsia="zh-CN"/>
        </w:rPr>
        <w:t>35家次。</w:t>
      </w:r>
      <w:r>
        <w:rPr>
          <w:rFonts w:hint="eastAsia" w:ascii="仿宋_GB2312"/>
          <w:bCs/>
          <w:color w:val="auto"/>
          <w:szCs w:val="28"/>
          <w:highlight w:val="none"/>
        </w:rPr>
        <w:t>因自治区生态环境厅《关于印发〈2024年自治区生态环境监测方案〉的通知》（新环办监测〔2024〕36号）考核要求，部分重点排污单位需开展多类别多频次检测</w:t>
      </w:r>
      <w:r>
        <w:rPr>
          <w:rFonts w:hint="eastAsia" w:ascii="仿宋_GB2312"/>
          <w:bCs/>
          <w:color w:val="auto"/>
          <w:szCs w:val="28"/>
          <w:highlight w:val="none"/>
          <w:lang w:eastAsia="zh-CN"/>
        </w:rPr>
        <w:t>故</w:t>
      </w:r>
      <w:r>
        <w:rPr>
          <w:rFonts w:hint="eastAsia" w:ascii="仿宋_GB2312"/>
          <w:bCs/>
          <w:color w:val="auto"/>
          <w:szCs w:val="28"/>
          <w:highlight w:val="none"/>
        </w:rPr>
        <w:t>重点排污单位抽测次数</w:t>
      </w:r>
      <w:r>
        <w:rPr>
          <w:rFonts w:hint="eastAsia" w:ascii="仿宋_GB2312"/>
          <w:bCs/>
          <w:color w:val="auto"/>
          <w:szCs w:val="28"/>
          <w:highlight w:val="none"/>
          <w:lang w:eastAsia="zh-CN"/>
        </w:rPr>
        <w:t>增加。</w:t>
      </w:r>
      <w:r>
        <w:rPr>
          <w:rFonts w:hint="eastAsia" w:ascii="仿宋_GB2312"/>
          <w:b/>
          <w:bCs/>
          <w:color w:val="auto"/>
          <w:szCs w:val="28"/>
          <w:highlight w:val="none"/>
        </w:rPr>
        <w:t>实际完成率：</w:t>
      </w:r>
      <w:r>
        <w:rPr>
          <w:rFonts w:hint="eastAsia" w:ascii="仿宋_GB2312"/>
          <w:color w:val="auto"/>
          <w:szCs w:val="28"/>
          <w:highlight w:val="none"/>
          <w:lang w:val="en-US" w:eastAsia="zh-CN"/>
        </w:rPr>
        <w:t>116.6%</w:t>
      </w:r>
      <w:r>
        <w:rPr>
          <w:rFonts w:hint="eastAsia" w:ascii="仿宋_GB2312"/>
          <w:color w:val="auto"/>
          <w:szCs w:val="28"/>
          <w:highlight w:val="none"/>
        </w:rPr>
        <w:t>，</w:t>
      </w:r>
      <w:r>
        <w:rPr>
          <w:rFonts w:hint="eastAsia" w:ascii="仿宋_GB2312"/>
          <w:color w:val="auto"/>
          <w:szCs w:val="28"/>
          <w:highlight w:val="none"/>
          <w:lang w:eastAsia="zh-CN"/>
        </w:rPr>
        <w:t>故</w:t>
      </w:r>
      <w:r>
        <w:rPr>
          <w:rFonts w:hint="eastAsia" w:ascii="仿宋_GB2312"/>
          <w:color w:val="auto"/>
          <w:szCs w:val="28"/>
          <w:highlight w:val="none"/>
        </w:rPr>
        <w:t>实际完成率得分为</w:t>
      </w:r>
      <w:r>
        <w:rPr>
          <w:rFonts w:hint="eastAsia" w:ascii="仿宋_GB2312"/>
          <w:color w:val="auto"/>
          <w:szCs w:val="28"/>
          <w:highlight w:val="none"/>
          <w:lang w:val="en-US" w:eastAsia="zh-CN"/>
        </w:rPr>
        <w:t>5</w:t>
      </w:r>
      <w:r>
        <w:rPr>
          <w:rFonts w:hint="eastAsia" w:ascii="仿宋_GB2312"/>
          <w:color w:val="auto"/>
          <w:szCs w:val="28"/>
          <w:highlight w:val="none"/>
        </w:rPr>
        <w:t>分。</w:t>
      </w:r>
    </w:p>
    <w:p w14:paraId="1959617E">
      <w:pPr>
        <w:spacing w:line="360" w:lineRule="auto"/>
        <w:ind w:left="0" w:leftChars="0" w:firstLine="560" w:firstLineChars="200"/>
        <w:rPr>
          <w:rFonts w:ascii="仿宋_GB2312"/>
          <w:bCs/>
          <w:color w:val="auto"/>
          <w:szCs w:val="28"/>
          <w:highlight w:val="none"/>
        </w:rPr>
      </w:pPr>
      <w:r>
        <w:rPr>
          <w:rFonts w:ascii="仿宋_GB2312"/>
          <w:color w:val="auto"/>
          <w:szCs w:val="28"/>
          <w:highlight w:val="none"/>
        </w:rPr>
        <w:t>综上，数量指标得分为</w:t>
      </w:r>
      <w:r>
        <w:rPr>
          <w:rFonts w:hint="eastAsia" w:ascii="仿宋_GB2312"/>
          <w:color w:val="auto"/>
          <w:szCs w:val="28"/>
          <w:highlight w:val="none"/>
          <w:lang w:val="en-US" w:eastAsia="zh-CN"/>
        </w:rPr>
        <w:t>25</w:t>
      </w:r>
      <w:r>
        <w:rPr>
          <w:rFonts w:ascii="仿宋_GB2312"/>
          <w:color w:val="auto"/>
          <w:szCs w:val="28"/>
          <w:highlight w:val="none"/>
        </w:rPr>
        <w:t>分。</w:t>
      </w:r>
    </w:p>
    <w:p w14:paraId="60318933">
      <w:pPr>
        <w:pStyle w:val="4"/>
        <w:ind w:firstLine="643"/>
        <w:rPr>
          <w:color w:val="auto"/>
          <w:highlight w:val="none"/>
        </w:rPr>
      </w:pPr>
      <w:bookmarkStart w:id="48" w:name="_Toc23736"/>
      <w:r>
        <w:rPr>
          <w:rFonts w:hint="eastAsia"/>
          <w:color w:val="auto"/>
          <w:highlight w:val="none"/>
        </w:rPr>
        <w:t>2</w:t>
      </w:r>
      <w:r>
        <w:rPr>
          <w:color w:val="auto"/>
          <w:highlight w:val="none"/>
        </w:rPr>
        <w:t>.</w:t>
      </w:r>
      <w:r>
        <w:rPr>
          <w:rFonts w:hint="eastAsia"/>
          <w:color w:val="auto"/>
          <w:highlight w:val="none"/>
        </w:rPr>
        <w:t>产出质量</w:t>
      </w:r>
      <w:bookmarkEnd w:id="48"/>
    </w:p>
    <w:p w14:paraId="1AB9C5B1">
      <w:pPr>
        <w:spacing w:line="360" w:lineRule="auto"/>
        <w:ind w:firstLine="560"/>
        <w:rPr>
          <w:rFonts w:hint="eastAsia" w:ascii="仿宋_GB2312"/>
          <w:bCs/>
          <w:color w:val="auto"/>
          <w:szCs w:val="28"/>
          <w:highlight w:val="none"/>
          <w:lang w:val="en-US" w:eastAsia="zh-CN"/>
        </w:rPr>
      </w:pPr>
      <w:r>
        <w:rPr>
          <w:rFonts w:hint="eastAsia" w:ascii="仿宋_GB2312"/>
          <w:bCs/>
          <w:color w:val="auto"/>
          <w:szCs w:val="28"/>
          <w:highlight w:val="none"/>
        </w:rPr>
        <w:t>质量指标“检测结果准确率”的目标值是</w:t>
      </w:r>
      <w:r>
        <w:rPr>
          <w:rFonts w:hint="eastAsia" w:ascii="仿宋_GB2312"/>
          <w:bCs/>
          <w:color w:val="auto"/>
          <w:szCs w:val="28"/>
          <w:highlight w:val="none"/>
          <w:lang w:eastAsia="zh-CN"/>
        </w:rPr>
        <w:t>≥</w:t>
      </w:r>
      <w:r>
        <w:rPr>
          <w:rFonts w:hint="eastAsia" w:ascii="仿宋_GB2312"/>
          <w:bCs/>
          <w:color w:val="auto"/>
          <w:szCs w:val="28"/>
          <w:highlight w:val="none"/>
          <w:lang w:val="en-US" w:eastAsia="zh-CN"/>
        </w:rPr>
        <w:t>95</w:t>
      </w:r>
      <w:r>
        <w:rPr>
          <w:rFonts w:hint="eastAsia" w:ascii="仿宋_GB2312"/>
          <w:bCs/>
          <w:color w:val="auto"/>
          <w:szCs w:val="28"/>
          <w:highlight w:val="none"/>
        </w:rPr>
        <w:t>%，2024</w:t>
      </w:r>
      <w:r>
        <w:rPr>
          <w:rFonts w:ascii="仿宋_GB2312"/>
          <w:bCs/>
          <w:color w:val="auto"/>
          <w:szCs w:val="28"/>
          <w:highlight w:val="none"/>
        </w:rPr>
        <w:t>年度我单位实际完成</w:t>
      </w:r>
      <w:r>
        <w:rPr>
          <w:rFonts w:hint="eastAsia" w:ascii="仿宋_GB2312"/>
          <w:bCs/>
          <w:color w:val="auto"/>
          <w:szCs w:val="28"/>
          <w:highlight w:val="none"/>
          <w:lang w:val="en-US" w:eastAsia="zh-CN"/>
        </w:rPr>
        <w:t>95%。</w:t>
      </w:r>
    </w:p>
    <w:p w14:paraId="269948A4">
      <w:pPr>
        <w:spacing w:line="360" w:lineRule="auto"/>
        <w:ind w:firstLine="560"/>
        <w:rPr>
          <w:rFonts w:hint="eastAsia" w:ascii="仿宋_GB2312"/>
          <w:bCs/>
          <w:color w:val="auto"/>
          <w:szCs w:val="28"/>
          <w:highlight w:val="none"/>
        </w:rPr>
      </w:pPr>
      <w:r>
        <w:rPr>
          <w:rFonts w:hint="eastAsia" w:ascii="仿宋_GB2312"/>
          <w:bCs/>
          <w:color w:val="auto"/>
          <w:szCs w:val="28"/>
          <w:highlight w:val="none"/>
        </w:rPr>
        <w:t>质量达标率得分为</w:t>
      </w:r>
      <w:r>
        <w:rPr>
          <w:rFonts w:hint="eastAsia" w:ascii="仿宋_GB2312"/>
          <w:bCs/>
          <w:color w:val="auto"/>
          <w:szCs w:val="28"/>
          <w:highlight w:val="none"/>
          <w:lang w:val="en-US" w:eastAsia="zh-CN"/>
        </w:rPr>
        <w:t>5</w:t>
      </w:r>
      <w:r>
        <w:rPr>
          <w:rFonts w:hint="eastAsia" w:ascii="仿宋_GB2312"/>
          <w:bCs/>
          <w:color w:val="auto"/>
          <w:szCs w:val="28"/>
          <w:highlight w:val="none"/>
        </w:rPr>
        <w:t>分。</w:t>
      </w:r>
    </w:p>
    <w:p w14:paraId="659E4E2E">
      <w:pPr>
        <w:pStyle w:val="4"/>
        <w:ind w:firstLine="643"/>
        <w:rPr>
          <w:color w:val="auto"/>
          <w:highlight w:val="none"/>
        </w:rPr>
      </w:pPr>
      <w:bookmarkStart w:id="49" w:name="_Toc14046"/>
      <w:r>
        <w:rPr>
          <w:rFonts w:hint="eastAsia"/>
          <w:color w:val="auto"/>
          <w:highlight w:val="none"/>
        </w:rPr>
        <w:t>3</w:t>
      </w:r>
      <w:r>
        <w:rPr>
          <w:color w:val="auto"/>
          <w:highlight w:val="none"/>
        </w:rPr>
        <w:t>.</w:t>
      </w:r>
      <w:r>
        <w:rPr>
          <w:rFonts w:hint="eastAsia"/>
          <w:color w:val="auto"/>
          <w:highlight w:val="none"/>
        </w:rPr>
        <w:t>产出时效</w:t>
      </w:r>
      <w:bookmarkEnd w:id="49"/>
    </w:p>
    <w:p w14:paraId="594B1E67">
      <w:pPr>
        <w:spacing w:line="360" w:lineRule="auto"/>
        <w:ind w:firstLine="560"/>
        <w:rPr>
          <w:rFonts w:hint="eastAsia" w:ascii="仿宋_GB2312"/>
          <w:color w:val="auto"/>
          <w:szCs w:val="28"/>
          <w:highlight w:val="none"/>
        </w:rPr>
      </w:pPr>
      <w:bookmarkStart w:id="50" w:name="_Toc67911615"/>
      <w:r>
        <w:rPr>
          <w:rFonts w:hint="eastAsia" w:ascii="仿宋_GB2312"/>
          <w:bCs/>
          <w:color w:val="auto"/>
          <w:szCs w:val="28"/>
          <w:highlight w:val="none"/>
        </w:rPr>
        <w:t>时效指标 “</w:t>
      </w:r>
      <w:r>
        <w:rPr>
          <w:rFonts w:hint="eastAsia" w:ascii="仿宋_GB2312"/>
          <w:bCs/>
          <w:color w:val="auto"/>
          <w:szCs w:val="28"/>
          <w:highlight w:val="none"/>
          <w:lang w:eastAsia="zh-CN"/>
        </w:rPr>
        <w:t>‘</w:t>
      </w:r>
      <w:r>
        <w:rPr>
          <w:rFonts w:hint="eastAsia" w:ascii="仿宋_GB2312"/>
          <w:bCs/>
          <w:color w:val="auto"/>
          <w:szCs w:val="28"/>
          <w:highlight w:val="none"/>
        </w:rPr>
        <w:t>双随机 一公开</w:t>
      </w:r>
      <w:r>
        <w:rPr>
          <w:rFonts w:hint="eastAsia" w:ascii="仿宋_GB2312"/>
          <w:bCs/>
          <w:color w:val="auto"/>
          <w:szCs w:val="28"/>
          <w:highlight w:val="none"/>
          <w:lang w:eastAsia="zh-CN"/>
        </w:rPr>
        <w:t>’</w:t>
      </w:r>
      <w:r>
        <w:rPr>
          <w:rFonts w:hint="eastAsia" w:ascii="仿宋_GB2312"/>
          <w:bCs/>
          <w:color w:val="auto"/>
          <w:szCs w:val="28"/>
          <w:highlight w:val="none"/>
        </w:rPr>
        <w:t>及时率”的目标值是</w:t>
      </w:r>
      <w:r>
        <w:rPr>
          <w:rFonts w:hint="eastAsia" w:ascii="仿宋_GB2312"/>
          <w:bCs/>
          <w:color w:val="auto"/>
          <w:szCs w:val="28"/>
          <w:highlight w:val="none"/>
          <w:lang w:eastAsia="zh-CN"/>
        </w:rPr>
        <w:t>≥</w:t>
      </w:r>
      <w:r>
        <w:rPr>
          <w:rFonts w:hint="eastAsia" w:ascii="仿宋_GB2312"/>
          <w:bCs/>
          <w:color w:val="auto"/>
          <w:szCs w:val="28"/>
          <w:highlight w:val="none"/>
          <w:lang w:val="en-US" w:eastAsia="zh-CN"/>
        </w:rPr>
        <w:t>95%</w:t>
      </w:r>
      <w:r>
        <w:rPr>
          <w:rFonts w:hint="eastAsia" w:ascii="仿宋_GB2312"/>
          <w:bCs/>
          <w:color w:val="auto"/>
          <w:szCs w:val="28"/>
          <w:highlight w:val="none"/>
        </w:rPr>
        <w:t>，2024</w:t>
      </w:r>
      <w:r>
        <w:rPr>
          <w:rFonts w:ascii="仿宋_GB2312"/>
          <w:bCs/>
          <w:color w:val="auto"/>
          <w:szCs w:val="28"/>
          <w:highlight w:val="none"/>
        </w:rPr>
        <w:t>年度我单位实际完成</w:t>
      </w:r>
      <w:r>
        <w:rPr>
          <w:rFonts w:hint="eastAsia" w:ascii="仿宋_GB2312"/>
          <w:bCs/>
          <w:color w:val="auto"/>
          <w:szCs w:val="28"/>
          <w:highlight w:val="none"/>
          <w:lang w:val="en-US" w:eastAsia="zh-CN"/>
        </w:rPr>
        <w:t>95%。</w:t>
      </w:r>
      <w:r>
        <w:rPr>
          <w:rFonts w:hint="eastAsia" w:ascii="仿宋_GB2312"/>
          <w:b/>
          <w:bCs/>
          <w:color w:val="auto"/>
          <w:szCs w:val="28"/>
          <w:highlight w:val="none"/>
        </w:rPr>
        <w:t>实际完成率：</w:t>
      </w:r>
      <w:r>
        <w:rPr>
          <w:rFonts w:hint="eastAsia" w:ascii="仿宋_GB2312"/>
          <w:color w:val="auto"/>
          <w:szCs w:val="28"/>
          <w:highlight w:val="none"/>
          <w:lang w:val="en-US" w:eastAsia="zh-CN"/>
        </w:rPr>
        <w:t>100%</w:t>
      </w:r>
      <w:r>
        <w:rPr>
          <w:rFonts w:hint="eastAsia" w:ascii="仿宋_GB2312"/>
          <w:color w:val="auto"/>
          <w:szCs w:val="28"/>
          <w:highlight w:val="none"/>
        </w:rPr>
        <w:t>，故实际完成率得分为</w:t>
      </w:r>
      <w:r>
        <w:rPr>
          <w:rFonts w:hint="eastAsia" w:ascii="仿宋_GB2312"/>
          <w:color w:val="auto"/>
          <w:szCs w:val="28"/>
          <w:highlight w:val="none"/>
          <w:lang w:val="en-US" w:eastAsia="zh-CN"/>
        </w:rPr>
        <w:t>5</w:t>
      </w:r>
      <w:r>
        <w:rPr>
          <w:rFonts w:hint="eastAsia" w:ascii="仿宋_GB2312"/>
          <w:color w:val="auto"/>
          <w:szCs w:val="28"/>
          <w:highlight w:val="none"/>
        </w:rPr>
        <w:t>分。</w:t>
      </w:r>
    </w:p>
    <w:p w14:paraId="1307FC2C">
      <w:pPr>
        <w:spacing w:line="360" w:lineRule="auto"/>
        <w:ind w:firstLine="560"/>
        <w:rPr>
          <w:rFonts w:hint="eastAsia" w:ascii="仿宋_GB2312"/>
          <w:color w:val="auto"/>
          <w:szCs w:val="28"/>
          <w:highlight w:val="none"/>
        </w:rPr>
      </w:pPr>
      <w:r>
        <w:rPr>
          <w:rFonts w:hint="eastAsia" w:ascii="仿宋_GB2312"/>
          <w:bCs/>
          <w:color w:val="auto"/>
          <w:szCs w:val="28"/>
          <w:highlight w:val="none"/>
        </w:rPr>
        <w:t>时效指标 “</w:t>
      </w:r>
      <w:r>
        <w:rPr>
          <w:rFonts w:hint="eastAsia" w:ascii="仿宋_GB2312"/>
          <w:bCs/>
          <w:color w:val="auto"/>
          <w:szCs w:val="28"/>
          <w:highlight w:val="none"/>
          <w:lang w:eastAsia="zh-CN"/>
        </w:rPr>
        <w:t>检测报告出具及时率</w:t>
      </w:r>
      <w:r>
        <w:rPr>
          <w:rFonts w:hint="eastAsia" w:ascii="仿宋_GB2312"/>
          <w:bCs/>
          <w:color w:val="auto"/>
          <w:szCs w:val="28"/>
          <w:highlight w:val="none"/>
        </w:rPr>
        <w:t>”的目标值是</w:t>
      </w:r>
      <w:r>
        <w:rPr>
          <w:rFonts w:hint="eastAsia" w:ascii="仿宋_GB2312"/>
          <w:bCs/>
          <w:color w:val="auto"/>
          <w:szCs w:val="28"/>
          <w:highlight w:val="none"/>
          <w:lang w:eastAsia="zh-CN"/>
        </w:rPr>
        <w:t>≥</w:t>
      </w:r>
      <w:r>
        <w:rPr>
          <w:rFonts w:hint="eastAsia" w:ascii="仿宋_GB2312"/>
          <w:bCs/>
          <w:color w:val="auto"/>
          <w:szCs w:val="28"/>
          <w:highlight w:val="none"/>
          <w:lang w:val="en-US" w:eastAsia="zh-CN"/>
        </w:rPr>
        <w:t>95%</w:t>
      </w:r>
      <w:r>
        <w:rPr>
          <w:rFonts w:hint="eastAsia" w:ascii="仿宋_GB2312"/>
          <w:bCs/>
          <w:color w:val="auto"/>
          <w:szCs w:val="28"/>
          <w:highlight w:val="none"/>
        </w:rPr>
        <w:t>，2024</w:t>
      </w:r>
      <w:r>
        <w:rPr>
          <w:rFonts w:ascii="仿宋_GB2312"/>
          <w:bCs/>
          <w:color w:val="auto"/>
          <w:szCs w:val="28"/>
          <w:highlight w:val="none"/>
        </w:rPr>
        <w:t>年度我单位实际完成</w:t>
      </w:r>
      <w:r>
        <w:rPr>
          <w:rFonts w:hint="eastAsia" w:ascii="仿宋_GB2312"/>
          <w:bCs/>
          <w:color w:val="auto"/>
          <w:szCs w:val="28"/>
          <w:highlight w:val="none"/>
          <w:lang w:val="en-US" w:eastAsia="zh-CN"/>
        </w:rPr>
        <w:t>95%</w:t>
      </w:r>
      <w:r>
        <w:rPr>
          <w:rFonts w:hint="eastAsia" w:ascii="仿宋_GB2312"/>
          <w:bCs/>
          <w:color w:val="auto"/>
          <w:szCs w:val="28"/>
          <w:highlight w:val="none"/>
          <w:lang w:eastAsia="zh-CN"/>
        </w:rPr>
        <w:t>。</w:t>
      </w:r>
      <w:r>
        <w:rPr>
          <w:rFonts w:hint="eastAsia" w:ascii="仿宋_GB2312"/>
          <w:b/>
          <w:bCs/>
          <w:color w:val="auto"/>
          <w:szCs w:val="28"/>
          <w:highlight w:val="none"/>
        </w:rPr>
        <w:t>际完成率：</w:t>
      </w:r>
      <w:r>
        <w:rPr>
          <w:rFonts w:hint="eastAsia" w:ascii="仿宋_GB2312"/>
          <w:color w:val="auto"/>
          <w:szCs w:val="28"/>
          <w:highlight w:val="none"/>
          <w:lang w:val="en-US" w:eastAsia="zh-CN"/>
        </w:rPr>
        <w:t>100%</w:t>
      </w:r>
      <w:r>
        <w:rPr>
          <w:rFonts w:hint="eastAsia" w:ascii="仿宋_GB2312"/>
          <w:color w:val="auto"/>
          <w:szCs w:val="28"/>
          <w:highlight w:val="none"/>
        </w:rPr>
        <w:t>，故实际完成率得分为</w:t>
      </w:r>
      <w:r>
        <w:rPr>
          <w:rFonts w:hint="eastAsia" w:ascii="仿宋_GB2312"/>
          <w:color w:val="auto"/>
          <w:szCs w:val="28"/>
          <w:highlight w:val="none"/>
          <w:lang w:val="en-US" w:eastAsia="zh-CN"/>
        </w:rPr>
        <w:t>5</w:t>
      </w:r>
      <w:r>
        <w:rPr>
          <w:rFonts w:hint="eastAsia" w:ascii="仿宋_GB2312"/>
          <w:color w:val="auto"/>
          <w:szCs w:val="28"/>
          <w:highlight w:val="none"/>
        </w:rPr>
        <w:t>分。</w:t>
      </w:r>
    </w:p>
    <w:p w14:paraId="08C3B647">
      <w:pPr>
        <w:spacing w:line="360" w:lineRule="auto"/>
        <w:ind w:firstLine="560"/>
        <w:rPr>
          <w:rFonts w:hint="eastAsia" w:ascii="仿宋_GB2312"/>
          <w:color w:val="auto"/>
          <w:szCs w:val="28"/>
          <w:highlight w:val="none"/>
        </w:rPr>
      </w:pPr>
      <w:r>
        <w:rPr>
          <w:rFonts w:hint="eastAsia" w:ascii="仿宋_GB2312"/>
          <w:color w:val="auto"/>
          <w:szCs w:val="28"/>
          <w:highlight w:val="none"/>
        </w:rPr>
        <w:t>故完成及时性得分为</w:t>
      </w:r>
      <w:r>
        <w:rPr>
          <w:rFonts w:hint="eastAsia" w:ascii="仿宋_GB2312"/>
          <w:color w:val="auto"/>
          <w:szCs w:val="28"/>
          <w:highlight w:val="none"/>
          <w:lang w:val="en-US" w:eastAsia="zh-CN"/>
        </w:rPr>
        <w:t>10</w:t>
      </w:r>
      <w:r>
        <w:rPr>
          <w:rFonts w:hint="eastAsia" w:ascii="仿宋_GB2312"/>
          <w:color w:val="auto"/>
          <w:szCs w:val="28"/>
          <w:highlight w:val="none"/>
        </w:rPr>
        <w:t>分。</w:t>
      </w:r>
      <w:bookmarkEnd w:id="50"/>
    </w:p>
    <w:p w14:paraId="20C5B793">
      <w:pPr>
        <w:pStyle w:val="3"/>
        <w:ind w:firstLine="643"/>
        <w:rPr>
          <w:rFonts w:ascii="仿宋" w:hAnsi="仿宋" w:eastAsia="仿宋"/>
          <w:color w:val="auto"/>
          <w:highlight w:val="none"/>
          <w:lang w:bidi="en-US"/>
        </w:rPr>
      </w:pPr>
      <w:bookmarkStart w:id="51" w:name="_Toc1669"/>
      <w:r>
        <w:rPr>
          <w:rFonts w:ascii="仿宋" w:hAnsi="仿宋" w:eastAsia="仿宋"/>
          <w:color w:val="auto"/>
          <w:highlight w:val="none"/>
          <w:lang w:bidi="en-US"/>
        </w:rPr>
        <w:t>（</w:t>
      </w:r>
      <w:r>
        <w:rPr>
          <w:rFonts w:hint="eastAsia" w:ascii="仿宋" w:hAnsi="仿宋" w:eastAsia="仿宋"/>
          <w:color w:val="auto"/>
          <w:highlight w:val="none"/>
          <w:lang w:eastAsia="zh-CN" w:bidi="en-US"/>
        </w:rPr>
        <w:t>四</w:t>
      </w:r>
      <w:r>
        <w:rPr>
          <w:rFonts w:ascii="仿宋" w:hAnsi="仿宋" w:eastAsia="仿宋"/>
          <w:color w:val="auto"/>
          <w:highlight w:val="none"/>
          <w:lang w:bidi="en-US"/>
        </w:rPr>
        <w:t>）项目效益</w:t>
      </w:r>
      <w:bookmarkEnd w:id="51"/>
    </w:p>
    <w:p w14:paraId="6252DF45">
      <w:pPr>
        <w:spacing w:line="360" w:lineRule="auto"/>
        <w:ind w:firstLine="560"/>
        <w:rPr>
          <w:rFonts w:ascii="仿宋_GB2312"/>
          <w:color w:val="auto"/>
          <w:szCs w:val="28"/>
          <w:highlight w:val="none"/>
        </w:rPr>
      </w:pPr>
      <w:r>
        <w:rPr>
          <w:rFonts w:hint="eastAsia" w:ascii="仿宋_GB2312"/>
          <w:color w:val="auto"/>
          <w:szCs w:val="28"/>
          <w:highlight w:val="none"/>
        </w:rPr>
        <w:t>项目效益指标由</w:t>
      </w:r>
      <w:r>
        <w:rPr>
          <w:rFonts w:ascii="仿宋_GB2312"/>
          <w:color w:val="auto"/>
          <w:szCs w:val="28"/>
          <w:highlight w:val="none"/>
        </w:rPr>
        <w:t>1</w:t>
      </w:r>
      <w:r>
        <w:rPr>
          <w:rFonts w:hint="eastAsia" w:ascii="仿宋_GB2312"/>
          <w:color w:val="auto"/>
          <w:szCs w:val="28"/>
          <w:highlight w:val="none"/>
        </w:rPr>
        <w:t>个二级指标和</w:t>
      </w:r>
      <w:r>
        <w:rPr>
          <w:rFonts w:hint="eastAsia" w:ascii="仿宋_GB2312"/>
          <w:color w:val="auto"/>
          <w:szCs w:val="28"/>
          <w:highlight w:val="none"/>
          <w:lang w:val="en-US" w:eastAsia="zh-CN"/>
        </w:rPr>
        <w:t>1</w:t>
      </w:r>
      <w:r>
        <w:rPr>
          <w:rFonts w:hint="eastAsia" w:ascii="仿宋_GB2312"/>
          <w:color w:val="auto"/>
          <w:szCs w:val="28"/>
          <w:highlight w:val="none"/>
        </w:rPr>
        <w:t>个三级指标构成，权重为</w:t>
      </w:r>
      <w:r>
        <w:rPr>
          <w:rFonts w:hint="eastAsia" w:ascii="仿宋_GB2312"/>
          <w:color w:val="auto"/>
          <w:szCs w:val="28"/>
          <w:highlight w:val="none"/>
          <w:lang w:val="en-US" w:eastAsia="zh-CN"/>
        </w:rPr>
        <w:t>20</w:t>
      </w:r>
      <w:r>
        <w:rPr>
          <w:rFonts w:hint="eastAsia" w:ascii="仿宋_GB2312"/>
          <w:color w:val="auto"/>
          <w:szCs w:val="28"/>
          <w:highlight w:val="none"/>
        </w:rPr>
        <w:t>分，实际得分</w:t>
      </w:r>
      <w:r>
        <w:rPr>
          <w:rFonts w:hint="eastAsia" w:ascii="仿宋_GB2312"/>
          <w:color w:val="auto"/>
          <w:szCs w:val="28"/>
          <w:highlight w:val="none"/>
          <w:lang w:val="en-US" w:eastAsia="zh-CN"/>
        </w:rPr>
        <w:t>20</w:t>
      </w:r>
      <w:r>
        <w:rPr>
          <w:rFonts w:hint="eastAsia" w:ascii="仿宋_GB2312"/>
          <w:color w:val="auto"/>
          <w:szCs w:val="28"/>
          <w:highlight w:val="none"/>
        </w:rPr>
        <w:t>分。</w:t>
      </w:r>
      <w:r>
        <w:rPr>
          <w:rFonts w:ascii="仿宋_GB2312"/>
          <w:color w:val="auto"/>
          <w:szCs w:val="28"/>
          <w:highlight w:val="none"/>
        </w:rPr>
        <w:t xml:space="preserve"> </w:t>
      </w:r>
    </w:p>
    <w:p w14:paraId="64CC9E57">
      <w:pPr>
        <w:spacing w:line="360" w:lineRule="auto"/>
        <w:ind w:firstLine="560"/>
        <w:rPr>
          <w:rFonts w:hint="eastAsia" w:ascii="仿宋_GB2312" w:eastAsia="仿宋_GB2312"/>
          <w:color w:val="auto"/>
          <w:szCs w:val="28"/>
          <w:highlight w:val="none"/>
          <w:lang w:val="en-US" w:eastAsia="zh-CN"/>
        </w:rPr>
      </w:pPr>
      <w:r>
        <w:rPr>
          <w:rFonts w:hint="eastAsia" w:ascii="仿宋_GB2312"/>
          <w:color w:val="auto"/>
          <w:szCs w:val="28"/>
          <w:highlight w:val="none"/>
          <w:lang w:val="en-US" w:eastAsia="zh-CN"/>
        </w:rPr>
        <w:t>经济效益指标：不适用。</w:t>
      </w:r>
    </w:p>
    <w:p w14:paraId="3649BA2F">
      <w:pPr>
        <w:spacing w:line="360" w:lineRule="auto"/>
        <w:ind w:firstLine="551" w:firstLineChars="196"/>
        <w:rPr>
          <w:rFonts w:hint="eastAsia" w:ascii="仿宋_GB2312"/>
          <w:color w:val="auto"/>
          <w:szCs w:val="28"/>
          <w:highlight w:val="none"/>
        </w:rPr>
      </w:pPr>
      <w:r>
        <w:rPr>
          <w:rFonts w:hint="eastAsia" w:ascii="仿宋_GB2312"/>
          <w:b/>
          <w:bCs/>
          <w:color w:val="auto"/>
          <w:szCs w:val="28"/>
          <w:highlight w:val="none"/>
        </w:rPr>
        <w:t>社会效益指标</w:t>
      </w:r>
      <w:r>
        <w:rPr>
          <w:rFonts w:hint="eastAsia" w:ascii="仿宋_GB2312"/>
          <w:color w:val="auto"/>
          <w:szCs w:val="28"/>
          <w:highlight w:val="none"/>
        </w:rPr>
        <w:t>：评价指标“为全市大气、水、土壤污染防治行动计划实施提供基础依据”，指标值：</w:t>
      </w:r>
      <w:r>
        <w:rPr>
          <w:rFonts w:hint="eastAsia" w:ascii="仿宋_GB2312"/>
          <w:color w:val="auto"/>
          <w:szCs w:val="28"/>
          <w:highlight w:val="none"/>
          <w:lang w:eastAsia="zh-CN"/>
        </w:rPr>
        <w:t>显著支撑</w:t>
      </w:r>
      <w:r>
        <w:rPr>
          <w:rFonts w:hint="eastAsia" w:ascii="仿宋_GB2312"/>
          <w:color w:val="auto"/>
          <w:szCs w:val="28"/>
          <w:highlight w:val="none"/>
        </w:rPr>
        <w:t>，实际完成值：</w:t>
      </w:r>
      <w:r>
        <w:rPr>
          <w:rFonts w:hint="eastAsia" w:ascii="仿宋_GB2312"/>
          <w:bCs/>
          <w:color w:val="auto"/>
          <w:szCs w:val="28"/>
          <w:highlight w:val="none"/>
          <w:lang w:val="en-US" w:eastAsia="zh-CN"/>
        </w:rPr>
        <w:t>通过对生态环境有效监管，2024年4-5月我市连续两个月挺进全国168个重点城市前20位。2024年我市空气质量优良天数312天，同比增加13天，空气质量优良天数首次突破300天，多项指标均创历史同期最好水平。</w:t>
      </w:r>
      <w:r>
        <w:rPr>
          <w:rFonts w:hint="eastAsia" w:ascii="仿宋_GB2312"/>
          <w:color w:val="auto"/>
          <w:szCs w:val="28"/>
          <w:highlight w:val="none"/>
          <w:lang w:eastAsia="zh-CN"/>
        </w:rPr>
        <w:t>显著支撑</w:t>
      </w:r>
      <w:r>
        <w:rPr>
          <w:rFonts w:hint="eastAsia" w:ascii="仿宋_GB2312"/>
          <w:color w:val="auto"/>
          <w:szCs w:val="28"/>
          <w:highlight w:val="none"/>
        </w:rPr>
        <w:t>。</w:t>
      </w:r>
    </w:p>
    <w:p w14:paraId="080833D2">
      <w:pPr>
        <w:spacing w:line="360" w:lineRule="auto"/>
        <w:ind w:firstLine="562"/>
        <w:rPr>
          <w:rFonts w:hint="eastAsia" w:ascii="仿宋_GB2312" w:eastAsia="仿宋_GB2312"/>
          <w:color w:val="auto"/>
          <w:szCs w:val="28"/>
          <w:highlight w:val="none"/>
          <w:lang w:val="en-US" w:eastAsia="zh-CN"/>
        </w:rPr>
      </w:pPr>
      <w:r>
        <w:rPr>
          <w:rFonts w:hint="eastAsia" w:ascii="仿宋_GB2312"/>
          <w:color w:val="auto"/>
          <w:szCs w:val="28"/>
          <w:highlight w:val="none"/>
          <w:lang w:val="en-US" w:eastAsia="zh-CN"/>
        </w:rPr>
        <w:t>生态效益指标：不适用。</w:t>
      </w:r>
    </w:p>
    <w:p w14:paraId="7B7E5F90">
      <w:pPr>
        <w:autoSpaceDE w:val="0"/>
        <w:spacing w:line="600" w:lineRule="exact"/>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综上，该指标满分</w:t>
      </w:r>
      <w:r>
        <w:rPr>
          <w:rFonts w:hint="eastAsia" w:ascii="仿宋_GB2312" w:hAnsi="仿宋" w:cs="宋体"/>
          <w:b/>
          <w:color w:val="auto"/>
          <w:kern w:val="0"/>
          <w:szCs w:val="28"/>
          <w:highlight w:val="none"/>
          <w:lang w:val="en-US" w:eastAsia="zh-CN"/>
        </w:rPr>
        <w:t>20</w:t>
      </w:r>
      <w:r>
        <w:rPr>
          <w:rFonts w:hint="eastAsia" w:ascii="仿宋_GB2312" w:hAnsi="仿宋" w:cs="宋体"/>
          <w:b/>
          <w:color w:val="auto"/>
          <w:kern w:val="0"/>
          <w:szCs w:val="28"/>
          <w:highlight w:val="none"/>
        </w:rPr>
        <w:t>分，得分</w:t>
      </w:r>
      <w:r>
        <w:rPr>
          <w:rFonts w:hint="eastAsia" w:ascii="仿宋_GB2312" w:hAnsi="仿宋" w:cs="宋体"/>
          <w:b/>
          <w:color w:val="auto"/>
          <w:kern w:val="0"/>
          <w:szCs w:val="28"/>
          <w:highlight w:val="none"/>
          <w:lang w:val="en-US" w:eastAsia="zh-CN"/>
        </w:rPr>
        <w:t>20</w:t>
      </w:r>
      <w:r>
        <w:rPr>
          <w:rFonts w:hint="eastAsia" w:ascii="仿宋_GB2312" w:hAnsi="仿宋" w:cs="宋体"/>
          <w:b/>
          <w:color w:val="auto"/>
          <w:kern w:val="0"/>
          <w:szCs w:val="28"/>
          <w:highlight w:val="none"/>
        </w:rPr>
        <w:t>分。</w:t>
      </w:r>
    </w:p>
    <w:p w14:paraId="35356889">
      <w:pPr>
        <w:pStyle w:val="2"/>
        <w:ind w:firstLine="0" w:firstLineChars="0"/>
        <w:jc w:val="left"/>
        <w:rPr>
          <w:rFonts w:ascii="仿宋" w:hAnsi="仿宋" w:eastAsia="仿宋"/>
          <w:color w:val="auto"/>
          <w:sz w:val="36"/>
          <w:szCs w:val="36"/>
          <w:highlight w:val="none"/>
          <w:lang w:bidi="en-US"/>
        </w:rPr>
      </w:pPr>
      <w:bookmarkStart w:id="52" w:name="_Toc23224"/>
      <w:bookmarkStart w:id="53" w:name="_Toc67911617"/>
      <w:r>
        <w:rPr>
          <w:rFonts w:hint="eastAsia" w:ascii="仿宋" w:hAnsi="仿宋" w:eastAsia="仿宋"/>
          <w:color w:val="auto"/>
          <w:sz w:val="36"/>
          <w:szCs w:val="36"/>
          <w:highlight w:val="none"/>
          <w:lang w:bidi="en-US"/>
        </w:rPr>
        <w:t>五、主要经验及做法、存在的问题及原因分析</w:t>
      </w:r>
      <w:bookmarkEnd w:id="52"/>
      <w:bookmarkEnd w:id="53"/>
    </w:p>
    <w:p w14:paraId="2FA21D59">
      <w:pPr>
        <w:pStyle w:val="3"/>
        <w:ind w:firstLine="643"/>
        <w:rPr>
          <w:rFonts w:ascii="仿宋" w:hAnsi="仿宋" w:eastAsia="仿宋"/>
          <w:color w:val="auto"/>
          <w:highlight w:val="none"/>
          <w:lang w:bidi="en-US"/>
        </w:rPr>
      </w:pPr>
      <w:bookmarkStart w:id="54" w:name="_Toc15452"/>
      <w:bookmarkStart w:id="55" w:name="_Toc67911618"/>
      <w:r>
        <w:rPr>
          <w:rFonts w:hint="eastAsia" w:ascii="仿宋" w:hAnsi="仿宋" w:eastAsia="仿宋"/>
          <w:color w:val="auto"/>
          <w:highlight w:val="none"/>
          <w:lang w:bidi="en-US"/>
        </w:rPr>
        <w:t>（一）主要经验及做法</w:t>
      </w:r>
      <w:bookmarkEnd w:id="54"/>
      <w:bookmarkEnd w:id="55"/>
    </w:p>
    <w:p w14:paraId="19DE3CB7">
      <w:pPr>
        <w:spacing w:line="360" w:lineRule="auto"/>
        <w:ind w:firstLine="560" w:firstLineChars="0"/>
        <w:rPr>
          <w:rFonts w:hint="eastAsia" w:ascii="仿宋_GB2312"/>
          <w:color w:val="auto"/>
          <w:highlight w:val="none"/>
          <w:lang w:val="en-US" w:eastAsia="zh-CN"/>
        </w:rPr>
      </w:pPr>
      <w:r>
        <w:rPr>
          <w:rFonts w:hint="eastAsia" w:ascii="仿宋_GB2312" w:hAnsi="仿宋" w:cs="宋体"/>
          <w:color w:val="auto"/>
          <w:kern w:val="0"/>
          <w:szCs w:val="28"/>
          <w:highlight w:val="none"/>
        </w:rPr>
        <w:t>协调区（县）分局（大队）执法人员现场执法监测，协调第三方环境保护服务机构派人员现场采样及分析出具合格的检测报告按照法律法规为环境执法提供依据。</w:t>
      </w:r>
      <w:r>
        <w:rPr>
          <w:rFonts w:hint="eastAsia" w:ascii="仿宋_GB2312" w:hAnsi="仿宋" w:cs="宋体"/>
          <w:color w:val="auto"/>
          <w:kern w:val="0"/>
          <w:szCs w:val="28"/>
          <w:highlight w:val="none"/>
          <w:lang w:eastAsia="zh-CN"/>
        </w:rPr>
        <w:t>结合“双随机</w:t>
      </w:r>
      <w:r>
        <w:rPr>
          <w:rFonts w:hint="eastAsia" w:ascii="仿宋_GB2312" w:hAnsi="仿宋" w:cs="宋体"/>
          <w:color w:val="auto"/>
          <w:kern w:val="0"/>
          <w:szCs w:val="28"/>
          <w:highlight w:val="none"/>
          <w:lang w:val="en-US" w:eastAsia="zh-CN"/>
        </w:rPr>
        <w:t xml:space="preserve"> 一公开</w:t>
      </w:r>
      <w:r>
        <w:rPr>
          <w:rFonts w:hint="eastAsia" w:ascii="仿宋_GB2312" w:hAnsi="仿宋" w:cs="宋体"/>
          <w:color w:val="auto"/>
          <w:kern w:val="0"/>
          <w:szCs w:val="28"/>
          <w:highlight w:val="none"/>
          <w:lang w:eastAsia="zh-CN"/>
        </w:rPr>
        <w:t>”制度，对本市重点排污单位开展执法检查，根据</w:t>
      </w:r>
      <w:r>
        <w:rPr>
          <w:rFonts w:hint="eastAsia" w:ascii="仿宋_GB2312"/>
          <w:color w:val="auto"/>
          <w:highlight w:val="none"/>
          <w:lang w:val="en-US" w:eastAsia="zh-CN"/>
        </w:rPr>
        <w:t>《2024年乌鲁木齐市生态环境监测工作方案》（乌环发〔2024〕17号）工作任务要求，全面落实水、大气、土壤监管责任。</w:t>
      </w:r>
    </w:p>
    <w:p w14:paraId="18D16FB5">
      <w:pPr>
        <w:spacing w:line="360" w:lineRule="auto"/>
        <w:ind w:firstLine="560" w:firstLineChars="0"/>
        <w:rPr>
          <w:rFonts w:hint="eastAsia" w:ascii="仿宋_GB2312" w:hAnsi="仿宋" w:cs="宋体"/>
          <w:color w:val="auto"/>
          <w:kern w:val="0"/>
          <w:szCs w:val="28"/>
          <w:highlight w:val="none"/>
        </w:rPr>
      </w:pPr>
      <w:r>
        <w:rPr>
          <w:rFonts w:hint="eastAsia" w:ascii="仿宋_GB2312"/>
          <w:color w:val="auto"/>
          <w:highlight w:val="none"/>
          <w:lang w:val="en-US" w:eastAsia="zh-CN"/>
        </w:rPr>
        <w:t>一是强化执法与监测结合。通过非现场监管，发现问题线索，有针对性的开展执法监测工作，提高执法精准度，实现高效执法的同时，</w:t>
      </w:r>
      <w:r>
        <w:rPr>
          <w:rFonts w:hint="eastAsia" w:ascii="仿宋_GB2312" w:hAnsi="仿宋" w:cs="宋体"/>
          <w:color w:val="auto"/>
          <w:kern w:val="0"/>
          <w:szCs w:val="28"/>
          <w:highlight w:val="none"/>
          <w:lang w:eastAsia="zh-CN"/>
        </w:rPr>
        <w:t>确保资金投入能够获得最大的环境效益，</w:t>
      </w:r>
      <w:r>
        <w:rPr>
          <w:rFonts w:hint="eastAsia" w:ascii="仿宋_GB2312" w:hAnsi="仿宋" w:cs="宋体"/>
          <w:color w:val="auto"/>
          <w:kern w:val="0"/>
          <w:szCs w:val="28"/>
          <w:highlight w:val="none"/>
        </w:rPr>
        <w:t>实现环境效益与执法效能双提升。</w:t>
      </w:r>
    </w:p>
    <w:p w14:paraId="3D5059B4">
      <w:pPr>
        <w:spacing w:line="360" w:lineRule="auto"/>
        <w:ind w:firstLine="560" w:firstLineChars="0"/>
        <w:rPr>
          <w:rFonts w:hint="eastAsia" w:ascii="仿宋_GB2312" w:hAnsi="仿宋" w:cs="宋体"/>
          <w:color w:val="auto"/>
          <w:kern w:val="0"/>
          <w:szCs w:val="28"/>
          <w:highlight w:val="none"/>
          <w:lang w:eastAsia="zh-CN"/>
        </w:rPr>
      </w:pPr>
      <w:r>
        <w:rPr>
          <w:rFonts w:hint="eastAsia" w:ascii="仿宋_GB2312" w:hAnsi="仿宋" w:cs="宋体"/>
          <w:color w:val="auto"/>
          <w:kern w:val="0"/>
          <w:szCs w:val="28"/>
          <w:highlight w:val="none"/>
          <w:lang w:eastAsia="zh-CN"/>
        </w:rPr>
        <w:t>二是深化部门协作，形成监管合力。加强与市监测站、税务、林草局等多部门的协作配合，在信息共享、线索转移等方面密切协作，提升了执法效果。</w:t>
      </w:r>
    </w:p>
    <w:p w14:paraId="29E2A660">
      <w:pPr>
        <w:spacing w:line="360" w:lineRule="auto"/>
        <w:ind w:firstLine="560" w:firstLineChars="0"/>
        <w:rPr>
          <w:rFonts w:hint="eastAsia" w:ascii="仿宋_GB2312" w:hAnsi="仿宋" w:cs="宋体"/>
          <w:color w:val="auto"/>
          <w:kern w:val="0"/>
          <w:szCs w:val="28"/>
          <w:highlight w:val="none"/>
          <w:lang w:eastAsia="zh-CN"/>
        </w:rPr>
      </w:pPr>
      <w:r>
        <w:rPr>
          <w:rFonts w:hint="eastAsia" w:ascii="仿宋_GB2312" w:hAnsi="仿宋" w:cs="宋体"/>
          <w:color w:val="auto"/>
          <w:kern w:val="0"/>
          <w:szCs w:val="28"/>
          <w:highlight w:val="none"/>
          <w:lang w:eastAsia="zh-CN"/>
        </w:rPr>
        <w:t>三是加强信访投诉件处理力度，提升群众幸福感。针对重复投诉的企业重点开展执法监测，有效遏制违法行为，切实提升群众生活幸福感。</w:t>
      </w:r>
    </w:p>
    <w:p w14:paraId="3A07CF9C">
      <w:pPr>
        <w:pStyle w:val="3"/>
        <w:ind w:firstLine="643"/>
        <w:rPr>
          <w:rFonts w:ascii="仿宋" w:hAnsi="仿宋" w:eastAsia="仿宋"/>
          <w:color w:val="auto"/>
          <w:highlight w:val="none"/>
          <w:lang w:bidi="en-US"/>
        </w:rPr>
      </w:pPr>
      <w:bookmarkStart w:id="56" w:name="_Toc17831"/>
      <w:r>
        <w:rPr>
          <w:rFonts w:hint="eastAsia" w:ascii="仿宋" w:hAnsi="仿宋" w:eastAsia="仿宋"/>
          <w:color w:val="auto"/>
          <w:highlight w:val="none"/>
          <w:lang w:bidi="en-US"/>
        </w:rPr>
        <w:t>（二）存在的问题及原因分析</w:t>
      </w:r>
      <w:bookmarkEnd w:id="56"/>
    </w:p>
    <w:p w14:paraId="5504A6E3">
      <w:pPr>
        <w:spacing w:line="360" w:lineRule="auto"/>
        <w:ind w:firstLine="560"/>
        <w:rPr>
          <w:rFonts w:hint="eastAsia" w:ascii="仿宋_GB2312" w:hAnsi="仿宋" w:cs="宋体"/>
          <w:color w:val="auto"/>
          <w:kern w:val="0"/>
          <w:szCs w:val="28"/>
          <w:highlight w:val="none"/>
        </w:rPr>
      </w:pPr>
      <w:r>
        <w:rPr>
          <w:rFonts w:hint="eastAsia" w:ascii="仿宋_GB2312" w:hAnsi="仿宋" w:cs="宋体"/>
          <w:color w:val="auto"/>
          <w:kern w:val="0"/>
          <w:szCs w:val="28"/>
          <w:highlight w:val="none"/>
          <w:lang w:eastAsia="zh-CN"/>
        </w:rPr>
        <w:t>（</w:t>
      </w:r>
      <w:r>
        <w:rPr>
          <w:rFonts w:hint="eastAsia" w:ascii="仿宋_GB2312" w:hAnsi="仿宋" w:cs="宋体"/>
          <w:color w:val="auto"/>
          <w:kern w:val="0"/>
          <w:szCs w:val="28"/>
          <w:highlight w:val="none"/>
          <w:lang w:val="en-US" w:eastAsia="zh-CN"/>
        </w:rPr>
        <w:t>1</w:t>
      </w:r>
      <w:r>
        <w:rPr>
          <w:rFonts w:hint="eastAsia" w:ascii="仿宋_GB2312" w:hAnsi="仿宋" w:cs="宋体"/>
          <w:color w:val="auto"/>
          <w:kern w:val="0"/>
          <w:szCs w:val="28"/>
          <w:highlight w:val="none"/>
          <w:lang w:eastAsia="zh-CN"/>
        </w:rPr>
        <w:t>）</w:t>
      </w:r>
      <w:r>
        <w:rPr>
          <w:rFonts w:hint="eastAsia" w:ascii="仿宋_GB2312" w:hAnsi="仿宋" w:cs="宋体"/>
          <w:color w:val="auto"/>
          <w:kern w:val="0"/>
          <w:szCs w:val="28"/>
          <w:highlight w:val="none"/>
        </w:rPr>
        <w:t>重点排污单位检测涉及类别较多，导致重点排污单位检测次数增加。</w:t>
      </w:r>
    </w:p>
    <w:p w14:paraId="11C2F55A">
      <w:pPr>
        <w:spacing w:line="360" w:lineRule="auto"/>
        <w:ind w:firstLine="560"/>
        <w:rPr>
          <w:rFonts w:hint="eastAsia" w:ascii="仿宋_GB2312" w:hAnsi="仿宋" w:cs="宋体"/>
          <w:color w:val="auto"/>
          <w:kern w:val="0"/>
          <w:szCs w:val="28"/>
          <w:highlight w:val="none"/>
        </w:rPr>
      </w:pPr>
      <w:r>
        <w:rPr>
          <w:rFonts w:hint="eastAsia" w:ascii="仿宋_GB2312" w:hAnsi="仿宋" w:cs="宋体"/>
          <w:color w:val="auto"/>
          <w:kern w:val="0"/>
          <w:szCs w:val="28"/>
          <w:highlight w:val="none"/>
          <w:lang w:eastAsia="zh-CN"/>
        </w:rPr>
        <w:t>原因分析：</w:t>
      </w:r>
      <w:r>
        <w:rPr>
          <w:rFonts w:hint="eastAsia" w:ascii="仿宋_GB2312" w:hAnsi="仿宋" w:cs="宋体"/>
          <w:color w:val="auto"/>
          <w:kern w:val="0"/>
          <w:szCs w:val="28"/>
          <w:highlight w:val="none"/>
        </w:rPr>
        <w:t>依据新修订的《生态环境行政处罚办法》第二十九条第一款规定，“生态环境主管部门现场检查时，可以按照相关技术规范要求现场采样，获取的监测（检测）数据可以作为认定案件事实的证据。”此款对执法监测提出要求。根据最新要求检测频次、点位均有增加。</w:t>
      </w:r>
    </w:p>
    <w:p w14:paraId="4797668D">
      <w:pPr>
        <w:rPr>
          <w:rFonts w:hint="eastAsia"/>
          <w:highlight w:val="none"/>
          <w:lang w:eastAsia="zh-CN"/>
        </w:rPr>
      </w:pPr>
      <w:r>
        <w:rPr>
          <w:rFonts w:hint="eastAsia" w:ascii="仿宋_GB2312" w:hAnsi="仿宋" w:cs="宋体"/>
          <w:color w:val="auto"/>
          <w:kern w:val="0"/>
          <w:szCs w:val="28"/>
          <w:highlight w:val="none"/>
          <w:lang w:eastAsia="zh-CN"/>
        </w:rPr>
        <w:t>（</w:t>
      </w:r>
      <w:r>
        <w:rPr>
          <w:rFonts w:hint="eastAsia" w:ascii="仿宋_GB2312" w:hAnsi="仿宋" w:cs="宋体"/>
          <w:color w:val="auto"/>
          <w:kern w:val="0"/>
          <w:szCs w:val="28"/>
          <w:highlight w:val="none"/>
          <w:lang w:val="en-US" w:eastAsia="zh-CN"/>
        </w:rPr>
        <w:t>2</w:t>
      </w:r>
      <w:r>
        <w:rPr>
          <w:rFonts w:hint="eastAsia" w:ascii="仿宋_GB2312" w:hAnsi="仿宋" w:cs="宋体"/>
          <w:color w:val="auto"/>
          <w:kern w:val="0"/>
          <w:szCs w:val="28"/>
          <w:highlight w:val="none"/>
          <w:lang w:eastAsia="zh-CN"/>
        </w:rPr>
        <w:t>）</w:t>
      </w:r>
      <w:r>
        <w:rPr>
          <w:rFonts w:hint="eastAsia"/>
          <w:highlight w:val="none"/>
          <w:lang w:eastAsia="zh-CN"/>
        </w:rPr>
        <w:t>监测技术手段有限。</w:t>
      </w:r>
    </w:p>
    <w:p w14:paraId="2B895464">
      <w:pPr>
        <w:spacing w:line="360" w:lineRule="auto"/>
        <w:ind w:firstLine="560"/>
        <w:rPr>
          <w:rFonts w:hint="eastAsia" w:ascii="仿宋_GB2312" w:hAnsi="仿宋" w:cs="宋体"/>
          <w:color w:val="auto"/>
          <w:kern w:val="0"/>
          <w:szCs w:val="28"/>
          <w:highlight w:val="none"/>
          <w:lang w:eastAsia="zh-CN"/>
        </w:rPr>
      </w:pPr>
      <w:r>
        <w:rPr>
          <w:rFonts w:hint="eastAsia" w:ascii="仿宋_GB2312" w:hAnsi="仿宋" w:cs="宋体"/>
          <w:color w:val="auto"/>
          <w:kern w:val="0"/>
          <w:szCs w:val="28"/>
          <w:highlight w:val="none"/>
          <w:lang w:eastAsia="zh-CN"/>
        </w:rPr>
        <w:t>原因分析：我市采用传统监测手法，自动化、智能化水平较低，难以满足复杂环境下的监测需求。</w:t>
      </w:r>
    </w:p>
    <w:p w14:paraId="2B97EEEC">
      <w:pPr>
        <w:numPr>
          <w:ilvl w:val="0"/>
          <w:numId w:val="1"/>
        </w:numPr>
        <w:spacing w:line="360" w:lineRule="auto"/>
        <w:ind w:left="0" w:leftChars="0" w:firstLine="560" w:firstLineChars="200"/>
        <w:rPr>
          <w:rFonts w:hint="eastAsia" w:ascii="仿宋_GB2312" w:hAnsi="仿宋" w:cs="宋体"/>
          <w:color w:val="auto"/>
          <w:kern w:val="0"/>
          <w:szCs w:val="28"/>
          <w:highlight w:val="none"/>
          <w:lang w:eastAsia="zh-CN"/>
        </w:rPr>
      </w:pPr>
      <w:r>
        <w:rPr>
          <w:rFonts w:hint="eastAsia" w:ascii="仿宋_GB2312" w:hAnsi="仿宋" w:cs="宋体"/>
          <w:color w:val="auto"/>
          <w:kern w:val="0"/>
          <w:szCs w:val="28"/>
          <w:highlight w:val="none"/>
          <w:lang w:eastAsia="zh-CN"/>
        </w:rPr>
        <w:t>监测数量动态变化，具有不确定性。</w:t>
      </w:r>
    </w:p>
    <w:p w14:paraId="042A665F">
      <w:pPr>
        <w:spacing w:line="360" w:lineRule="auto"/>
        <w:ind w:firstLine="560"/>
        <w:rPr>
          <w:rFonts w:hint="eastAsia" w:ascii="仿宋_GB2312" w:hAnsi="仿宋" w:cs="宋体"/>
          <w:color w:val="auto"/>
          <w:kern w:val="0"/>
          <w:szCs w:val="28"/>
          <w:highlight w:val="none"/>
          <w:lang w:eastAsia="zh-CN"/>
        </w:rPr>
      </w:pPr>
      <w:r>
        <w:rPr>
          <w:rFonts w:hint="eastAsia" w:ascii="仿宋_GB2312" w:hAnsi="仿宋" w:cs="宋体"/>
          <w:color w:val="auto"/>
          <w:kern w:val="0"/>
          <w:szCs w:val="28"/>
          <w:highlight w:val="none"/>
          <w:lang w:eastAsia="zh-CN"/>
        </w:rPr>
        <w:t>原因分析：区（县）大队执法需求、信访投诉受理具有突发性、不确定性，导致执法监测数量动态变化。</w:t>
      </w:r>
    </w:p>
    <w:p w14:paraId="3DD525D9">
      <w:pPr>
        <w:pStyle w:val="2"/>
        <w:numPr>
          <w:ilvl w:val="0"/>
          <w:numId w:val="2"/>
        </w:numPr>
        <w:ind w:firstLine="0" w:firstLineChars="0"/>
        <w:jc w:val="left"/>
        <w:rPr>
          <w:rFonts w:ascii="仿宋" w:hAnsi="仿宋" w:eastAsia="仿宋"/>
          <w:color w:val="auto"/>
          <w:sz w:val="36"/>
          <w:szCs w:val="36"/>
          <w:highlight w:val="none"/>
          <w:lang w:bidi="en-US"/>
        </w:rPr>
      </w:pPr>
      <w:bookmarkStart w:id="57" w:name="_Toc1104"/>
      <w:bookmarkStart w:id="58" w:name="_Toc67911620"/>
      <w:bookmarkStart w:id="59" w:name="_Toc67911619"/>
      <w:r>
        <w:rPr>
          <w:rFonts w:hint="eastAsia" w:ascii="仿宋" w:hAnsi="仿宋" w:eastAsia="仿宋"/>
          <w:color w:val="auto"/>
          <w:sz w:val="36"/>
          <w:szCs w:val="36"/>
          <w:highlight w:val="none"/>
          <w:lang w:bidi="en-US"/>
        </w:rPr>
        <w:t>有</w:t>
      </w:r>
      <w:r>
        <w:rPr>
          <w:rFonts w:hint="eastAsia" w:ascii="仿宋" w:hAnsi="仿宋" w:eastAsia="仿宋"/>
          <w:color w:val="auto"/>
          <w:sz w:val="36"/>
          <w:szCs w:val="36"/>
          <w:highlight w:val="none"/>
          <w:lang w:eastAsia="zh-CN" w:bidi="en-US"/>
        </w:rPr>
        <w:t>关键</w:t>
      </w:r>
      <w:r>
        <w:rPr>
          <w:rFonts w:hint="eastAsia" w:ascii="仿宋" w:hAnsi="仿宋" w:eastAsia="仿宋"/>
          <w:color w:val="auto"/>
          <w:sz w:val="36"/>
          <w:szCs w:val="36"/>
          <w:highlight w:val="none"/>
          <w:lang w:bidi="en-US"/>
        </w:rPr>
        <w:t>议</w:t>
      </w:r>
      <w:bookmarkEnd w:id="57"/>
      <w:bookmarkEnd w:id="58"/>
    </w:p>
    <w:p w14:paraId="0C49C33F">
      <w:pPr>
        <w:spacing w:line="360" w:lineRule="auto"/>
        <w:ind w:firstLine="560"/>
        <w:rPr>
          <w:rFonts w:hint="eastAsia" w:ascii="仿宋_GB2312" w:hAnsi="仿宋" w:cs="宋体"/>
          <w:color w:val="auto"/>
          <w:kern w:val="0"/>
          <w:szCs w:val="28"/>
          <w:highlight w:val="none"/>
          <w:lang w:val="en-US" w:eastAsia="zh-CN"/>
        </w:rPr>
      </w:pPr>
      <w:r>
        <w:rPr>
          <w:rFonts w:hint="eastAsia" w:ascii="仿宋_GB2312" w:hAnsi="仿宋" w:cs="宋体"/>
          <w:color w:val="auto"/>
          <w:kern w:val="0"/>
          <w:szCs w:val="28"/>
          <w:highlight w:val="none"/>
          <w:lang w:val="en-US" w:eastAsia="zh-CN"/>
        </w:rPr>
        <w:t>（1）对项目决策的建议：在生态环境监测工作方案、执法监测目录印发之前和市局相关科室做好沟通，各部门深度参与、做好项目可行性分析，避免决策失误。</w:t>
      </w:r>
    </w:p>
    <w:p w14:paraId="52F356CD">
      <w:pPr>
        <w:spacing w:line="360" w:lineRule="auto"/>
        <w:ind w:firstLine="560"/>
        <w:rPr>
          <w:rFonts w:hint="eastAsia" w:ascii="仿宋_GB2312" w:hAnsi="仿宋" w:cs="宋体"/>
          <w:color w:val="auto"/>
          <w:kern w:val="0"/>
          <w:szCs w:val="28"/>
          <w:highlight w:val="none"/>
          <w:lang w:val="en-US" w:eastAsia="zh-CN"/>
        </w:rPr>
      </w:pPr>
      <w:r>
        <w:rPr>
          <w:rFonts w:hint="eastAsia" w:ascii="仿宋_GB2312" w:hAnsi="仿宋" w:cs="宋体"/>
          <w:color w:val="auto"/>
          <w:kern w:val="0"/>
          <w:szCs w:val="28"/>
          <w:highlight w:val="none"/>
          <w:lang w:val="en-US" w:eastAsia="zh-CN"/>
        </w:rPr>
        <w:t>（2）对预算安排与执行建议：根据往年执法检测工作实际及第三方收费标准，在制定检测之前做好预算工作，合理分配入河排污口、重点污染源、燃气锅炉、</w:t>
      </w:r>
      <w:r>
        <w:rPr>
          <w:rFonts w:hint="default" w:ascii="仿宋_GB2312" w:hAnsi="仿宋" w:cs="宋体"/>
          <w:color w:val="auto"/>
          <w:kern w:val="0"/>
          <w:szCs w:val="28"/>
          <w:highlight w:val="none"/>
          <w:lang w:val="en-US" w:eastAsia="zh-CN"/>
        </w:rPr>
        <w:t>信访投诉</w:t>
      </w:r>
      <w:r>
        <w:rPr>
          <w:rFonts w:hint="eastAsia" w:ascii="仿宋_GB2312" w:hAnsi="仿宋" w:cs="宋体"/>
          <w:color w:val="auto"/>
          <w:kern w:val="0"/>
          <w:szCs w:val="28"/>
          <w:highlight w:val="none"/>
          <w:lang w:val="en-US" w:eastAsia="zh-CN"/>
        </w:rPr>
        <w:t>、日常执法预算，资源合理调配应对应急执法检测，保障全年度执法检测工作顺利开展。</w:t>
      </w:r>
    </w:p>
    <w:p w14:paraId="4F476FD0">
      <w:pPr>
        <w:spacing w:line="360" w:lineRule="auto"/>
        <w:ind w:firstLine="560"/>
        <w:rPr>
          <w:rFonts w:hint="eastAsia" w:ascii="仿宋_GB2312" w:hAnsi="仿宋" w:cs="宋体"/>
          <w:color w:val="auto"/>
          <w:kern w:val="0"/>
          <w:szCs w:val="28"/>
          <w:highlight w:val="none"/>
          <w:lang w:val="en-US" w:eastAsia="zh-CN"/>
        </w:rPr>
      </w:pPr>
      <w:r>
        <w:rPr>
          <w:rFonts w:hint="eastAsia" w:ascii="仿宋_GB2312" w:hAnsi="仿宋" w:cs="宋体"/>
          <w:color w:val="auto"/>
          <w:kern w:val="0"/>
          <w:szCs w:val="28"/>
          <w:highlight w:val="none"/>
          <w:lang w:val="en-US" w:eastAsia="zh-CN"/>
        </w:rPr>
        <w:t>（3）对资金管理的建议：根据工作实际动态管理项目资金，避免发生年底预算不足，或者出现预算过剩被国库收回的问题。</w:t>
      </w:r>
    </w:p>
    <w:p w14:paraId="06EB121C">
      <w:pPr>
        <w:spacing w:line="360" w:lineRule="auto"/>
        <w:ind w:firstLine="560"/>
        <w:rPr>
          <w:rFonts w:hint="eastAsia" w:ascii="仿宋_GB2312" w:hAnsi="仿宋" w:cs="宋体"/>
          <w:color w:val="auto"/>
          <w:kern w:val="0"/>
          <w:szCs w:val="28"/>
          <w:highlight w:val="none"/>
          <w:lang w:val="en-US" w:eastAsia="zh-CN"/>
        </w:rPr>
      </w:pPr>
      <w:r>
        <w:rPr>
          <w:rFonts w:hint="eastAsia" w:ascii="仿宋_GB2312" w:hAnsi="仿宋" w:cs="宋体"/>
          <w:color w:val="auto"/>
          <w:kern w:val="0"/>
          <w:szCs w:val="28"/>
          <w:highlight w:val="none"/>
          <w:lang w:val="en-US" w:eastAsia="zh-CN"/>
        </w:rPr>
        <w:t>（4）对项目管理的建议：充分运用好项目资金尽可能满足各部门执法监测需求，充分发挥执法监测效益，为环境违法行为的识别提供技术支撑，积极对接局办公室、科技教育与财务科（生态环境监测科）确保招投标过程合法合规。</w:t>
      </w:r>
    </w:p>
    <w:p w14:paraId="2971CB6F">
      <w:pPr>
        <w:rPr>
          <w:color w:val="auto"/>
          <w:highlight w:val="none"/>
        </w:rPr>
      </w:pPr>
    </w:p>
    <w:p w14:paraId="7EC24437">
      <w:pPr>
        <w:pStyle w:val="2"/>
        <w:ind w:firstLine="0" w:firstLineChars="0"/>
        <w:jc w:val="left"/>
        <w:rPr>
          <w:rFonts w:ascii="仿宋" w:hAnsi="仿宋" w:eastAsia="仿宋"/>
          <w:color w:val="auto"/>
          <w:sz w:val="36"/>
          <w:szCs w:val="36"/>
          <w:highlight w:val="none"/>
          <w:lang w:bidi="en-US"/>
        </w:rPr>
      </w:pPr>
      <w:bookmarkStart w:id="60" w:name="_Toc18730"/>
      <w:r>
        <w:rPr>
          <w:rFonts w:hint="eastAsia" w:ascii="仿宋" w:hAnsi="仿宋" w:eastAsia="仿宋"/>
          <w:color w:val="auto"/>
          <w:sz w:val="36"/>
          <w:szCs w:val="36"/>
          <w:highlight w:val="none"/>
          <w:lang w:bidi="en-US"/>
        </w:rPr>
        <w:t>七、其他需要说明的问题</w:t>
      </w:r>
      <w:bookmarkEnd w:id="59"/>
      <w:bookmarkEnd w:id="60"/>
    </w:p>
    <w:p w14:paraId="003EC962">
      <w:pPr>
        <w:spacing w:line="360" w:lineRule="auto"/>
        <w:ind w:firstLine="560"/>
        <w:rPr>
          <w:rFonts w:hint="eastAsia" w:ascii="仿宋_GB2312"/>
          <w:color w:val="auto"/>
          <w:szCs w:val="28"/>
          <w:highlight w:val="none"/>
        </w:rPr>
      </w:pPr>
      <w:r>
        <w:rPr>
          <w:rFonts w:hint="eastAsia" w:ascii="仿宋_GB2312"/>
          <w:color w:val="auto"/>
          <w:szCs w:val="28"/>
          <w:highlight w:val="none"/>
        </w:rPr>
        <w:t>1</w:t>
      </w:r>
      <w:r>
        <w:rPr>
          <w:rFonts w:ascii="仿宋_GB2312"/>
          <w:color w:val="auto"/>
          <w:szCs w:val="28"/>
          <w:highlight w:val="none"/>
        </w:rPr>
        <w:t>.</w:t>
      </w:r>
      <w:r>
        <w:rPr>
          <w:rFonts w:hint="eastAsia" w:ascii="仿宋_GB2312"/>
          <w:color w:val="auto"/>
          <w:szCs w:val="28"/>
          <w:highlight w:val="none"/>
        </w:rPr>
        <w:t>项目支出政策和路径设计科学，符合实际需要；</w:t>
      </w:r>
    </w:p>
    <w:p w14:paraId="091C7B6B">
      <w:pPr>
        <w:spacing w:line="360" w:lineRule="auto"/>
        <w:ind w:firstLine="560"/>
        <w:rPr>
          <w:rFonts w:hint="default" w:ascii="仿宋_GB2312" w:eastAsia="仿宋_GB2312"/>
          <w:color w:val="auto"/>
          <w:szCs w:val="28"/>
          <w:highlight w:val="none"/>
          <w:lang w:val="en-US" w:eastAsia="zh-CN"/>
        </w:rPr>
      </w:pPr>
      <w:r>
        <w:rPr>
          <w:rFonts w:hint="eastAsia" w:ascii="仿宋_GB2312"/>
          <w:color w:val="auto"/>
          <w:szCs w:val="28"/>
          <w:highlight w:val="none"/>
          <w:lang w:eastAsia="zh-CN"/>
        </w:rPr>
        <w:t>在项目实施过程中，项目支出战线科学性，根据生态环境执法工作实际需求，为项目的顺利推进提供了合理的指导，确保资源得到有效配置。</w:t>
      </w:r>
    </w:p>
    <w:p w14:paraId="132DF6DC">
      <w:pPr>
        <w:spacing w:line="360" w:lineRule="auto"/>
        <w:ind w:firstLine="560"/>
        <w:rPr>
          <w:rFonts w:hint="eastAsia" w:ascii="仿宋_GB2312"/>
          <w:color w:val="auto"/>
          <w:szCs w:val="28"/>
          <w:highlight w:val="none"/>
        </w:rPr>
      </w:pPr>
      <w:r>
        <w:rPr>
          <w:rFonts w:ascii="仿宋_GB2312"/>
          <w:color w:val="auto"/>
          <w:szCs w:val="28"/>
          <w:highlight w:val="none"/>
        </w:rPr>
        <w:t>2.</w:t>
      </w:r>
      <w:r>
        <w:rPr>
          <w:rFonts w:hint="eastAsia" w:ascii="仿宋_GB2312"/>
          <w:color w:val="auto"/>
          <w:szCs w:val="28"/>
          <w:highlight w:val="none"/>
        </w:rPr>
        <w:t>项目安排准确，未发现背离项目立项初衷的情况；</w:t>
      </w:r>
    </w:p>
    <w:p w14:paraId="67274778">
      <w:pPr>
        <w:spacing w:line="360" w:lineRule="auto"/>
        <w:ind w:firstLine="560" w:firstLineChars="0"/>
        <w:rPr>
          <w:rFonts w:hint="eastAsia" w:ascii="仿宋_GB2312" w:eastAsia="仿宋_GB2312"/>
          <w:color w:val="auto"/>
          <w:szCs w:val="28"/>
          <w:highlight w:val="none"/>
          <w:lang w:eastAsia="zh-CN"/>
        </w:rPr>
      </w:pPr>
      <w:r>
        <w:rPr>
          <w:rFonts w:hint="eastAsia" w:ascii="仿宋_GB2312"/>
          <w:color w:val="auto"/>
          <w:szCs w:val="28"/>
          <w:highlight w:val="none"/>
          <w:lang w:eastAsia="zh-CN"/>
        </w:rPr>
        <w:t>项目安排符合</w:t>
      </w:r>
      <w:r>
        <w:rPr>
          <w:rFonts w:hint="eastAsia" w:ascii="仿宋_GB2312"/>
          <w:color w:val="auto"/>
          <w:highlight w:val="none"/>
          <w:lang w:val="en-US" w:eastAsia="zh-CN"/>
        </w:rPr>
        <w:t>《2024年乌鲁木齐市生态环境监测工作方案》（乌环发〔2024〕17号）、</w:t>
      </w:r>
      <w:r>
        <w:rPr>
          <w:rFonts w:hint="eastAsia" w:ascii="仿宋_GB2312"/>
          <w:color w:val="auto"/>
          <w:highlight w:val="none"/>
        </w:rPr>
        <w:t>《关于印发&lt;2024年乌鲁木齐市生态环境保护执法大练兵技能比武竞赛活动方案&gt;的通知》（乌环发〔2024〕16号）</w:t>
      </w:r>
      <w:r>
        <w:rPr>
          <w:rFonts w:hint="eastAsia" w:ascii="仿宋_GB2312"/>
          <w:color w:val="auto"/>
          <w:highlight w:val="none"/>
          <w:lang w:eastAsia="zh-CN"/>
        </w:rPr>
        <w:t>等文件要求，严格遵循立项时的目标，未出现偏离立项初衷的情形。</w:t>
      </w:r>
    </w:p>
    <w:p w14:paraId="0DB3BBFE">
      <w:pPr>
        <w:spacing w:line="360" w:lineRule="auto"/>
        <w:ind w:firstLine="560"/>
        <w:rPr>
          <w:rFonts w:ascii="仿宋_GB2312"/>
          <w:color w:val="auto"/>
          <w:szCs w:val="28"/>
          <w:highlight w:val="none"/>
        </w:rPr>
      </w:pPr>
      <w:r>
        <w:rPr>
          <w:rFonts w:ascii="仿宋_GB2312"/>
          <w:color w:val="auto"/>
          <w:szCs w:val="28"/>
          <w:highlight w:val="none"/>
        </w:rPr>
        <w:t>3.</w:t>
      </w:r>
      <w:r>
        <w:rPr>
          <w:rFonts w:hint="eastAsia" w:ascii="仿宋_GB2312"/>
          <w:color w:val="auto"/>
          <w:szCs w:val="28"/>
          <w:highlight w:val="none"/>
        </w:rPr>
        <w:t>项目的申报、审核机制完善；</w:t>
      </w:r>
    </w:p>
    <w:p w14:paraId="57DB7A51">
      <w:pPr>
        <w:spacing w:line="360" w:lineRule="auto"/>
        <w:ind w:firstLine="560"/>
        <w:rPr>
          <w:rFonts w:ascii="仿宋_GB2312"/>
          <w:color w:val="auto"/>
          <w:szCs w:val="28"/>
          <w:highlight w:val="none"/>
        </w:rPr>
      </w:pPr>
      <w:r>
        <w:rPr>
          <w:rFonts w:ascii="仿宋_GB2312"/>
          <w:color w:val="auto"/>
          <w:szCs w:val="28"/>
          <w:highlight w:val="none"/>
        </w:rPr>
        <w:t>4.</w:t>
      </w:r>
      <w:r>
        <w:rPr>
          <w:rFonts w:hint="eastAsia" w:ascii="仿宋_GB2312"/>
          <w:color w:val="auto"/>
          <w:szCs w:val="28"/>
          <w:highlight w:val="none"/>
        </w:rPr>
        <w:t>未发现虚假行为和骗取财政资金的问题。</w:t>
      </w:r>
    </w:p>
    <w:p w14:paraId="6AEE8F9D">
      <w:pPr>
        <w:spacing w:line="360" w:lineRule="auto"/>
        <w:ind w:firstLine="560"/>
        <w:rPr>
          <w:rFonts w:ascii="仿宋_GB2312"/>
          <w:color w:val="auto"/>
          <w:szCs w:val="28"/>
          <w:highlight w:val="none"/>
        </w:rPr>
      </w:pPr>
    </w:p>
    <w:p w14:paraId="41422D4D"/>
    <w:sectPr>
      <w:headerReference r:id="rId13" w:type="default"/>
      <w:footerReference r:id="rId14" w:type="default"/>
      <w:footnotePr>
        <w:numFmt w:val="decimalEnclosedCircleChinese"/>
        <w:numRestart w:val="eachPage"/>
      </w:footnotePr>
      <w:type w:val="continuous"/>
      <w:pgSz w:w="11906" w:h="16838"/>
      <w:pgMar w:top="1440" w:right="1800" w:bottom="1440" w:left="1800" w:header="992"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Gungsuh">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9F4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594F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F64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0569622"/>
      <w:docPartObj>
        <w:docPartGallery w:val="autotext"/>
      </w:docPartObj>
    </w:sdtPr>
    <w:sdtEndPr>
      <w:rPr>
        <w:rFonts w:hint="eastAsia" w:ascii="仿宋_GB2312" w:eastAsia="仿宋_GB2312"/>
        <w:sz w:val="21"/>
        <w:szCs w:val="21"/>
      </w:rPr>
    </w:sdtEndPr>
    <w:sdtContent>
      <w:p w14:paraId="17C5324C">
        <w:pPr>
          <w:pStyle w:val="6"/>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11</w:t>
        </w:r>
        <w:r>
          <w:rPr>
            <w:rFonts w:hint="eastAsia" w:ascii="仿宋_GB2312" w:eastAsia="仿宋_GB2312"/>
            <w:sz w:val="21"/>
            <w:szCs w:val="21"/>
          </w:rPr>
          <w:fldChar w:fldCharType="end"/>
        </w:r>
      </w:p>
    </w:sdtContent>
  </w:sdt>
  <w:p w14:paraId="42777913">
    <w:pPr>
      <w:pStyle w:val="6"/>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85562"/>
      <w:docPartObj>
        <w:docPartGallery w:val="autotext"/>
      </w:docPartObj>
    </w:sdtPr>
    <w:sdtEndPr>
      <w:rPr>
        <w:rFonts w:hint="eastAsia" w:ascii="仿宋_GB2312" w:eastAsia="仿宋_GB2312"/>
        <w:sz w:val="21"/>
        <w:szCs w:val="21"/>
      </w:rPr>
    </w:sdtEndPr>
    <w:sdtContent>
      <w:p w14:paraId="498FBC77">
        <w:pPr>
          <w:pStyle w:val="6"/>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18</w:t>
        </w:r>
        <w:r>
          <w:rPr>
            <w:rFonts w:hint="eastAsia" w:ascii="仿宋_GB2312" w:eastAsia="仿宋_GB2312"/>
            <w:sz w:val="21"/>
            <w:szCs w:val="21"/>
          </w:rPr>
          <w:fldChar w:fldCharType="end"/>
        </w:r>
      </w:p>
    </w:sdtContent>
  </w:sdt>
  <w:p w14:paraId="1A8DCAC3">
    <w:pPr>
      <w:pStyle w:val="6"/>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560"/>
      </w:pPr>
      <w:r>
        <w:separator/>
      </w:r>
    </w:p>
  </w:footnote>
  <w:footnote w:type="continuationSeparator" w:id="5">
    <w:p>
      <w:pPr>
        <w:ind w:firstLine="560"/>
      </w:pPr>
      <w:r>
        <w:continuationSeparator/>
      </w:r>
    </w:p>
  </w:footnote>
  <w:footnote w:id="0">
    <w:p w14:paraId="73775732">
      <w:pPr>
        <w:pStyle w:val="9"/>
        <w:ind w:firstLine="0" w:firstLineChars="0"/>
        <w:jc w:val="both"/>
        <w:rPr>
          <w:rFonts w:ascii="仿宋_GB2312"/>
        </w:rPr>
      </w:pPr>
      <w:r>
        <w:rPr>
          <w:rStyle w:val="13"/>
          <w:rFonts w:hint="eastAsia" w:ascii="仿宋_GB2312"/>
        </w:rPr>
        <w:footnoteRef/>
      </w:r>
      <w:r>
        <w:rPr>
          <w:rFonts w:hint="eastAsia" w:ascii="仿宋_GB2312"/>
        </w:rPr>
        <w:t xml:space="preserve"> 前期准备主要包括实地调研和认真研读相关文件，根据绩效评价的基本原理、原则和项目特点，结合项目绩效目标，项目绩效评组制定了评价指标体系、评分标准、评价方法和相关的工作程序及步骤，形成评价初步方案。</w:t>
      </w:r>
    </w:p>
  </w:footnote>
  <w:footnote w:id="1">
    <w:p w14:paraId="60AE062B">
      <w:pPr>
        <w:pStyle w:val="9"/>
        <w:ind w:firstLine="0" w:firstLineChars="0"/>
        <w:jc w:val="both"/>
        <w:rPr>
          <w:rFonts w:ascii="仿宋_GB2312"/>
        </w:rPr>
      </w:pPr>
      <w:r>
        <w:rPr>
          <w:rFonts w:hint="eastAsia" w:ascii="仿宋_GB2312"/>
        </w:rPr>
        <w:t>本次绩效评价结果实施百分制和四级分类，其中90（含）-100分为优、80（含）-90分为良、</w:t>
      </w:r>
      <w:r>
        <w:rPr>
          <w:rFonts w:ascii="仿宋_GB2312"/>
        </w:rPr>
        <w:t>7</w:t>
      </w:r>
      <w:r>
        <w:rPr>
          <w:rFonts w:hint="eastAsia" w:ascii="仿宋_GB2312"/>
        </w:rPr>
        <w:t>0（含）-80分为中、</w:t>
      </w:r>
      <w:r>
        <w:rPr>
          <w:rFonts w:ascii="仿宋_GB2312"/>
        </w:rPr>
        <w:t>7</w:t>
      </w:r>
      <w:r>
        <w:rPr>
          <w:rFonts w:hint="eastAsia" w:ascii="仿宋_GB2312"/>
        </w:rPr>
        <w:t>0分以下为差。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ABDB">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011A9">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A012">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4CB1">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EB229">
    <w:pPr>
      <w:pStyle w:val="7"/>
      <w:ind w:firstLine="560"/>
      <w:jc w:val="right"/>
      <w:rPr>
        <w:rFonts w:ascii="仿宋_GB2312" w:eastAsia="仿宋_GB2312"/>
        <w:sz w:val="21"/>
        <w:szCs w:val="21"/>
      </w:rPr>
    </w:pPr>
    <w:r>
      <w:rPr>
        <w:rFonts w:hint="eastAsia" w:ascii="仿宋_GB2312" w:eastAsia="仿宋_GB2312"/>
        <w:sz w:val="21"/>
        <w:szCs w:val="21"/>
      </w:rPr>
      <w:t>部门项目报告模板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9028F"/>
    <w:multiLevelType w:val="singleLevel"/>
    <w:tmpl w:val="9DD9028F"/>
    <w:lvl w:ilvl="0" w:tentative="0">
      <w:start w:val="2"/>
      <w:numFmt w:val="decimal"/>
      <w:suff w:val="nothing"/>
      <w:lvlText w:val="（%1）"/>
      <w:lvlJc w:val="left"/>
    </w:lvl>
  </w:abstractNum>
  <w:abstractNum w:abstractNumId="1">
    <w:nsid w:val="7E704D7D"/>
    <w:multiLevelType w:val="singleLevel"/>
    <w:tmpl w:val="7E704D7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82C47"/>
    <w:rsid w:val="38A82C47"/>
    <w:rsid w:val="49432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unhideWhenUsed/>
    <w:qFormat/>
    <w:uiPriority w:val="99"/>
    <w:pPr>
      <w:tabs>
        <w:tab w:val="center" w:pos="4153"/>
        <w:tab w:val="right" w:pos="8306"/>
      </w:tabs>
      <w:snapToGrid w:val="0"/>
      <w:ind w:firstLine="0" w:firstLineChars="0"/>
      <w:jc w:val="left"/>
    </w:pPr>
    <w:rPr>
      <w:rFonts w:asciiTheme="minorHAnsi" w:hAnsiTheme="minorHAnsi" w:eastAsiaTheme="minorEastAsia" w:cstheme="minorBidi"/>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sz w:val="18"/>
      <w:szCs w:val="18"/>
    </w:rPr>
  </w:style>
  <w:style w:type="paragraph" w:styleId="8">
    <w:name w:val="toc 1"/>
    <w:basedOn w:val="1"/>
    <w:next w:val="1"/>
    <w:unhideWhenUsed/>
    <w:qFormat/>
    <w:uiPriority w:val="39"/>
  </w:style>
  <w:style w:type="paragraph" w:styleId="9">
    <w:name w:val="footnote text"/>
    <w:basedOn w:val="1"/>
    <w:semiHidden/>
    <w:unhideWhenUsed/>
    <w:qFormat/>
    <w:uiPriority w:val="99"/>
    <w:pPr>
      <w:snapToGrid w:val="0"/>
      <w:jc w:val="left"/>
    </w:pPr>
    <w:rPr>
      <w:sz w:val="18"/>
      <w:szCs w:val="18"/>
    </w:rPr>
  </w:style>
  <w:style w:type="paragraph" w:styleId="10">
    <w:name w:val="toc 2"/>
    <w:basedOn w:val="1"/>
    <w:next w:val="1"/>
    <w:unhideWhenUsed/>
    <w:qFormat/>
    <w:uiPriority w:val="39"/>
    <w:pPr>
      <w:ind w:left="420" w:leftChars="200"/>
    </w:pPr>
  </w:style>
  <w:style w:type="character" w:styleId="13">
    <w:name w:val="footnote reference"/>
    <w:basedOn w:val="12"/>
    <w:semiHidden/>
    <w:unhideWhenUsed/>
    <w:qFormat/>
    <w:uiPriority w:val="99"/>
    <w:rPr>
      <w:vertAlign w:val="superscript"/>
    </w:rPr>
  </w:style>
  <w:style w:type="paragraph" w:customStyle="1" w:styleId="14">
    <w:name w:val="TOC Heading"/>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15">
    <w:name w:val="Comment Reference"/>
    <w:basedOn w:val="12"/>
    <w:semiHidden/>
    <w:unhideWhenUsed/>
    <w:qFormat/>
    <w:uiPriority w:val="99"/>
    <w:rPr>
      <w:sz w:val="21"/>
      <w:szCs w:val="21"/>
    </w:rPr>
  </w:style>
  <w:style w:type="paragraph" w:customStyle="1" w:styleId="16">
    <w:name w:val="Comment Text"/>
    <w:basedOn w:val="1"/>
    <w:unhideWhenUsed/>
    <w:qFormat/>
    <w:uiPriority w:val="99"/>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2025-09-17T08:15:00Z</dcterms:created>
  <dc:creator>努力变得更好</dc:creator>
  <cp:lastModifiedBy>cn</cp:lastModifiedBy>
  <dcterms:modified xsi:type="dcterms:W3CDTF">2025-10-09T03:37:12Z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C43DCABB612D4442B3057892A7A6EF6B_11</vt:lpwstr>
  </property>
  <property fmtid="{D5CDD505-2E9C-101B-9397-08002B2CF9AE}" pid="4" name="KSOTemplateDocerSaveRecord">
    <vt:lpwstr>eyJoZGlkIjoiMzdjOWJjZmNjOWQ4ZmEyNzQ1OWI1NGVmNTM4MzA5Y2EiLCJ1c2VySWQiOiIzMTIxODE3MjAifQ==</vt:lpwstr>
  </property>
</Properties>
</file>