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3196D0"/>
    <w:p w14:paraId="05E12CFB"/>
    <w:p w14:paraId="48CC69A9">
      <w:pPr>
        <w:spacing w:line="480" w:lineRule="auto"/>
        <w:ind w:firstLine="0" w:firstLineChars="0"/>
        <w:rPr>
          <w:rFonts w:ascii="Times New Roman" w:hAnsi="Times New Roman" w:eastAsia="黑体" w:cs="Times New Roman"/>
          <w:b/>
          <w:kern w:val="0"/>
          <w:sz w:val="50"/>
          <w:szCs w:val="50"/>
          <w:lang w:bidi="en-US"/>
        </w:rPr>
      </w:pPr>
    </w:p>
    <w:p w14:paraId="52967381">
      <w:pPr>
        <w:spacing w:line="480" w:lineRule="auto"/>
        <w:ind w:firstLine="0" w:firstLineChars="0"/>
        <w:rPr>
          <w:rFonts w:ascii="Times New Roman" w:hAnsi="Times New Roman" w:eastAsia="黑体" w:cs="Times New Roman"/>
          <w:b/>
          <w:kern w:val="0"/>
          <w:sz w:val="50"/>
          <w:szCs w:val="50"/>
          <w:lang w:bidi="en-US"/>
        </w:rPr>
      </w:pPr>
    </w:p>
    <w:p w14:paraId="5BF3ACCC">
      <w:pPr>
        <w:spacing w:line="480" w:lineRule="auto"/>
        <w:ind w:firstLine="0" w:firstLineChars="0"/>
        <w:jc w:val="center"/>
        <w:rPr>
          <w:rFonts w:ascii="Times New Roman" w:hAnsi="Times New Roman" w:eastAsia="黑体" w:cs="Times New Roman"/>
          <w:b/>
          <w:kern w:val="0"/>
          <w:sz w:val="50"/>
          <w:szCs w:val="50"/>
          <w:lang w:bidi="en-US"/>
        </w:rPr>
      </w:pPr>
    </w:p>
    <w:p w14:paraId="4130067E">
      <w:pPr>
        <w:spacing w:before="120" w:after="120" w:line="480" w:lineRule="auto"/>
        <w:ind w:firstLine="0" w:firstLineChars="0"/>
        <w:jc w:val="center"/>
        <w:rPr>
          <w:rFonts w:ascii="仿宋_GB2312" w:hAnsi="Arial"/>
          <w:b/>
          <w:sz w:val="44"/>
          <w:szCs w:val="44"/>
        </w:rPr>
      </w:pPr>
      <w:r>
        <w:rPr>
          <w:rFonts w:hint="eastAsia" w:ascii="仿宋_GB2312" w:hAnsi="Arial"/>
          <w:b/>
          <w:sz w:val="44"/>
          <w:szCs w:val="44"/>
        </w:rPr>
        <w:t>财政项目支出绩效评价报告</w:t>
      </w:r>
    </w:p>
    <w:p w14:paraId="68DF62FF">
      <w:pPr>
        <w:spacing w:line="480" w:lineRule="auto"/>
        <w:ind w:firstLine="0" w:firstLineChars="0"/>
        <w:jc w:val="center"/>
        <w:rPr>
          <w:rFonts w:ascii="Times New Roman" w:hAnsi="Times New Roman" w:eastAsia="黑体" w:cs="Times New Roman"/>
          <w:b/>
          <w:kern w:val="0"/>
          <w:sz w:val="50"/>
          <w:szCs w:val="50"/>
          <w:lang w:bidi="en-US"/>
        </w:rPr>
      </w:pPr>
    </w:p>
    <w:p w14:paraId="095BD752">
      <w:pPr>
        <w:spacing w:line="480" w:lineRule="auto"/>
        <w:ind w:firstLine="0" w:firstLineChars="0"/>
        <w:jc w:val="center"/>
        <w:rPr>
          <w:rFonts w:ascii="Times New Roman" w:hAnsi="Times New Roman" w:eastAsia="黑体" w:cs="Times New Roman"/>
          <w:b/>
          <w:kern w:val="0"/>
          <w:sz w:val="50"/>
          <w:szCs w:val="50"/>
          <w:lang w:bidi="en-US"/>
        </w:rPr>
      </w:pPr>
    </w:p>
    <w:p w14:paraId="6570EC3D">
      <w:pPr>
        <w:spacing w:line="480" w:lineRule="auto"/>
        <w:ind w:firstLine="0" w:firstLineChars="0"/>
        <w:jc w:val="center"/>
        <w:rPr>
          <w:rFonts w:ascii="Times New Roman" w:hAnsi="Times New Roman" w:eastAsia="黑体" w:cs="Times New Roman"/>
          <w:b/>
          <w:kern w:val="0"/>
          <w:sz w:val="50"/>
          <w:szCs w:val="50"/>
          <w:lang w:bidi="en-US"/>
        </w:rPr>
      </w:pPr>
    </w:p>
    <w:p w14:paraId="5080A72B">
      <w:pPr>
        <w:spacing w:line="480" w:lineRule="auto"/>
        <w:ind w:firstLine="0" w:firstLineChars="0"/>
        <w:jc w:val="center"/>
        <w:rPr>
          <w:rFonts w:ascii="Times New Roman" w:hAnsi="Times New Roman" w:eastAsia="黑体" w:cs="Times New Roman"/>
          <w:b/>
          <w:kern w:val="0"/>
          <w:sz w:val="50"/>
          <w:szCs w:val="50"/>
          <w:lang w:bidi="en-US"/>
        </w:rPr>
      </w:pPr>
    </w:p>
    <w:p w14:paraId="657EE078">
      <w:pPr>
        <w:spacing w:line="480" w:lineRule="auto"/>
        <w:ind w:firstLine="0" w:firstLineChars="0"/>
        <w:jc w:val="center"/>
        <w:rPr>
          <w:rFonts w:ascii="Times New Roman" w:hAnsi="Times New Roman" w:eastAsia="黑体" w:cs="Times New Roman"/>
          <w:b/>
          <w:kern w:val="0"/>
          <w:sz w:val="50"/>
          <w:szCs w:val="50"/>
          <w:lang w:bidi="en-US"/>
        </w:rPr>
      </w:pPr>
    </w:p>
    <w:p w14:paraId="77B03650">
      <w:pPr>
        <w:spacing w:line="480" w:lineRule="auto"/>
        <w:ind w:firstLine="0" w:firstLineChars="0"/>
        <w:jc w:val="center"/>
        <w:rPr>
          <w:rFonts w:ascii="Times New Roman" w:hAnsi="Times New Roman" w:eastAsia="黑体" w:cs="Times New Roman"/>
          <w:b/>
          <w:kern w:val="0"/>
          <w:sz w:val="50"/>
          <w:szCs w:val="50"/>
          <w:lang w:bidi="en-US"/>
        </w:rPr>
      </w:pPr>
    </w:p>
    <w:p w14:paraId="33B60906">
      <w:pPr>
        <w:spacing w:line="480" w:lineRule="auto"/>
        <w:ind w:firstLine="0" w:firstLineChars="0"/>
        <w:jc w:val="center"/>
        <w:rPr>
          <w:rFonts w:ascii="仿宋_GB2312" w:hAnsi="Times New Roman" w:cs="Times New Roman"/>
          <w:kern w:val="0"/>
          <w:sz w:val="30"/>
          <w:szCs w:val="30"/>
          <w:lang w:bidi="en-US"/>
        </w:rPr>
      </w:pPr>
    </w:p>
    <w:p w14:paraId="31A22A9E">
      <w:pPr>
        <w:spacing w:line="480" w:lineRule="auto"/>
        <w:ind w:firstLine="1411" w:firstLineChars="4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项目名称：采供血业务运行经费-非政采</w:t>
      </w:r>
    </w:p>
    <w:p w14:paraId="76892C6F">
      <w:pPr>
        <w:spacing w:line="480" w:lineRule="auto"/>
        <w:ind w:left="280" w:leftChars="100" w:firstLine="1091" w:firstLineChars="3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项目单位：乌鲁木齐市血液中心</w:t>
      </w:r>
    </w:p>
    <w:p w14:paraId="64620CE3">
      <w:pPr>
        <w:spacing w:line="480" w:lineRule="auto"/>
        <w:ind w:left="280" w:leftChars="100" w:firstLine="1091" w:firstLineChars="3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主管部门：乌鲁木齐市卫生健康委员会</w:t>
      </w:r>
    </w:p>
    <w:p w14:paraId="6EB2EC9A">
      <w:pPr>
        <w:spacing w:line="480" w:lineRule="auto"/>
        <w:ind w:firstLine="1411" w:firstLineChars="441"/>
        <w:jc w:val="left"/>
        <w:rPr>
          <w:rFonts w:ascii="仿宋_GB2312" w:hAnsi="Times New Roman" w:cs="Times New Roman"/>
          <w:kern w:val="0"/>
          <w:sz w:val="32"/>
          <w:szCs w:val="32"/>
          <w:lang w:bidi="en-US"/>
        </w:rPr>
      </w:pPr>
    </w:p>
    <w:p w14:paraId="420D5720">
      <w:pPr>
        <w:spacing w:line="480" w:lineRule="auto"/>
        <w:ind w:firstLine="0" w:firstLineChars="0"/>
        <w:rPr>
          <w:rFonts w:ascii="黑体" w:hAnsi="Times New Roman" w:eastAsia="黑体" w:cs="Times New Roman"/>
          <w:b/>
          <w:kern w:val="0"/>
          <w:sz w:val="32"/>
          <w:szCs w:val="32"/>
          <w:lang w:bidi="en-US"/>
        </w:rPr>
      </w:pPr>
    </w:p>
    <w:p w14:paraId="1BD45ABE">
      <w:pPr>
        <w:spacing w:line="480" w:lineRule="auto"/>
        <w:ind w:firstLine="0" w:firstLineChars="0"/>
        <w:rPr>
          <w:rFonts w:ascii="黑体" w:hAnsi="Times New Roman" w:eastAsia="黑体" w:cs="Times New Roman"/>
          <w:b/>
          <w:kern w:val="0"/>
          <w:sz w:val="32"/>
          <w:szCs w:val="32"/>
          <w:lang w:bidi="en-US"/>
        </w:rPr>
      </w:pPr>
    </w:p>
    <w:p w14:paraId="2D65864F">
      <w:pPr>
        <w:spacing w:line="480" w:lineRule="auto"/>
        <w:ind w:firstLine="0" w:firstLineChars="0"/>
        <w:jc w:val="center"/>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202</w:t>
      </w:r>
      <w:r>
        <w:rPr>
          <w:rFonts w:ascii="仿宋_GB2312" w:hAnsi="Times New Roman" w:cs="Times New Roman"/>
          <w:kern w:val="0"/>
          <w:sz w:val="32"/>
          <w:szCs w:val="32"/>
          <w:lang w:bidi="en-US"/>
        </w:rPr>
        <w:t>5</w:t>
      </w:r>
      <w:r>
        <w:rPr>
          <w:rFonts w:hint="eastAsia" w:ascii="仿宋_GB2312" w:hAnsi="Times New Roman" w:cs="Times New Roman"/>
          <w:kern w:val="0"/>
          <w:sz w:val="32"/>
          <w:szCs w:val="32"/>
          <w:lang w:bidi="en-US"/>
        </w:rPr>
        <w:t>年0</w:t>
      </w:r>
      <w:r>
        <w:rPr>
          <w:rFonts w:ascii="仿宋_GB2312" w:hAnsi="Times New Roman" w:cs="Times New Roman"/>
          <w:kern w:val="0"/>
          <w:sz w:val="32"/>
          <w:szCs w:val="32"/>
          <w:lang w:bidi="en-US"/>
        </w:rPr>
        <w:t>4</w:t>
      </w:r>
      <w:r>
        <w:rPr>
          <w:rFonts w:hint="eastAsia" w:ascii="仿宋_GB2312" w:hAnsi="Times New Roman" w:cs="Times New Roman"/>
          <w:kern w:val="0"/>
          <w:sz w:val="32"/>
          <w:szCs w:val="32"/>
          <w:lang w:bidi="en-US"/>
        </w:rPr>
        <w:t>月</w:t>
      </w:r>
    </w:p>
    <w:p w14:paraId="4FC1CE4C">
      <w:pPr>
        <w:spacing w:line="480" w:lineRule="auto"/>
        <w:ind w:firstLine="0" w:firstLineChars="0"/>
        <w:jc w:val="center"/>
        <w:rPr>
          <w:rFonts w:ascii="仿宋_GB2312" w:hAnsi="Times New Roman" w:cs="Times New Roman"/>
          <w:kern w:val="0"/>
          <w:sz w:val="32"/>
          <w:szCs w:val="32"/>
          <w:lang w:bidi="en-US"/>
        </w:rPr>
      </w:pPr>
    </w:p>
    <w:p w14:paraId="05CFEB37">
      <w:pPr>
        <w:tabs>
          <w:tab w:val="left" w:pos="3324"/>
        </w:tabs>
        <w:spacing w:line="480" w:lineRule="auto"/>
        <w:ind w:firstLine="0" w:firstLineChars="0"/>
        <w:rPr>
          <w:rFonts w:ascii="仿宋_GB2312" w:hAnsi="Times New Roman" w:cs="Times New Roman"/>
          <w:kern w:val="0"/>
          <w:sz w:val="32"/>
          <w:szCs w:val="32"/>
          <w:lang w:bidi="en-US"/>
        </w:rPr>
      </w:pPr>
      <w:r>
        <w:rPr>
          <w:rFonts w:ascii="仿宋_GB2312" w:hAnsi="Times New Roman" w:cs="Times New Roman"/>
          <w:kern w:val="0"/>
          <w:sz w:val="32"/>
          <w:szCs w:val="32"/>
          <w:lang w:bidi="en-US"/>
        </w:rPr>
        <w:tab/>
      </w:r>
    </w:p>
    <w:p w14:paraId="6008E618">
      <w:pPr>
        <w:ind w:firstLine="640"/>
        <w:rPr>
          <w:rFonts w:ascii="仿宋_GB2312" w:hAnsi="Times New Roman" w:cs="Times New Roman"/>
          <w:kern w:val="0"/>
          <w:sz w:val="32"/>
          <w:szCs w:val="32"/>
          <w:lang w:bidi="en-US"/>
        </w:rPr>
      </w:pPr>
    </w:p>
    <w:sdt>
      <w:sdtPr>
        <w:rPr>
          <w:rFonts w:ascii="Calibri" w:hAnsi="Calibri" w:eastAsia="仿宋_GB2312" w:cs="黑体"/>
          <w:color w:val="auto"/>
          <w:kern w:val="2"/>
          <w:sz w:val="28"/>
          <w:szCs w:val="22"/>
          <w:lang w:val="zh-CN"/>
        </w:rPr>
        <w:id w:val="-1822651860"/>
        <w:docPartObj>
          <w:docPartGallery w:val="Table of Contents"/>
          <w:docPartUnique/>
        </w:docPartObj>
      </w:sdtPr>
      <w:sdtEndPr>
        <w:rPr>
          <w:rFonts w:ascii="Calibri" w:hAnsi="Calibri" w:eastAsia="仿宋_GB2312" w:cs="黑体"/>
          <w:b/>
          <w:bCs/>
          <w:color w:val="auto"/>
          <w:kern w:val="2"/>
          <w:sz w:val="28"/>
          <w:szCs w:val="22"/>
          <w:lang w:val="zh-CN"/>
        </w:rPr>
      </w:sdtEndPr>
      <w:sdtContent>
        <w:p w14:paraId="213494C9">
          <w:pPr>
            <w:pStyle w:val="30"/>
            <w:ind w:firstLine="560"/>
            <w:jc w:val="center"/>
            <w:rPr>
              <w:color w:val="auto"/>
            </w:rPr>
          </w:pPr>
          <w:r>
            <w:rPr>
              <w:color w:val="auto"/>
              <w:lang w:val="zh-CN"/>
            </w:rPr>
            <w:t>目录</w:t>
          </w:r>
        </w:p>
        <w:p w14:paraId="01ADFFE8">
          <w:pPr>
            <w:pStyle w:val="10"/>
            <w:tabs>
              <w:tab w:val="right" w:leader="dot" w:pos="8306"/>
            </w:tabs>
            <w:rPr>
              <w:highlight w:val="none"/>
            </w:rPr>
          </w:pPr>
          <w:r>
            <w:fldChar w:fldCharType="begin"/>
          </w:r>
          <w:r>
            <w:instrText xml:space="preserve">TOC \o "1-3" \h \z \u</w:instrText>
          </w:r>
          <w:r>
            <w:fldChar w:fldCharType="separate"/>
          </w:r>
          <w:r>
            <w:fldChar w:fldCharType="begin"/>
          </w:r>
          <w:r>
            <w:instrText xml:space="preserve"> HYPERLINK \l "_Toc16149" </w:instrText>
          </w:r>
          <w:r>
            <w:fldChar w:fldCharType="separate"/>
          </w:r>
          <w:r>
            <w:rPr>
              <w:rFonts w:hint="eastAsia" w:ascii="仿宋" w:hAnsi="仿宋" w:eastAsia="仿宋"/>
              <w:szCs w:val="36"/>
              <w:highlight w:val="none"/>
              <w:lang w:bidi="en-US"/>
            </w:rPr>
            <w:t>一、基本情况</w:t>
          </w:r>
          <w:r>
            <w:rPr>
              <w:highlight w:val="none"/>
            </w:rPr>
            <w:tab/>
          </w:r>
          <w:r>
            <w:rPr>
              <w:highlight w:val="none"/>
            </w:rPr>
            <w:fldChar w:fldCharType="begin"/>
          </w:r>
          <w:r>
            <w:rPr>
              <w:highlight w:val="none"/>
            </w:rPr>
            <w:instrText xml:space="preserve"> PAGEREF _Toc16149 \h </w:instrText>
          </w:r>
          <w:r>
            <w:rPr>
              <w:highlight w:val="none"/>
            </w:rPr>
            <w:fldChar w:fldCharType="separate"/>
          </w:r>
          <w:r>
            <w:rPr>
              <w:highlight w:val="none"/>
            </w:rPr>
            <w:t>1</w:t>
          </w:r>
          <w:r>
            <w:rPr>
              <w:highlight w:val="none"/>
            </w:rPr>
            <w:fldChar w:fldCharType="end"/>
          </w:r>
          <w:r>
            <w:rPr>
              <w:highlight w:val="none"/>
            </w:rPr>
            <w:fldChar w:fldCharType="end"/>
          </w:r>
        </w:p>
        <w:p w14:paraId="7C4D6F47">
          <w:pPr>
            <w:pStyle w:val="12"/>
            <w:tabs>
              <w:tab w:val="right" w:leader="dot" w:pos="8306"/>
            </w:tabs>
            <w:rPr>
              <w:highlight w:val="none"/>
            </w:rPr>
          </w:pPr>
          <w:r>
            <w:fldChar w:fldCharType="begin"/>
          </w:r>
          <w:r>
            <w:instrText xml:space="preserve"> HYPERLINK \l "_Toc12035" </w:instrText>
          </w:r>
          <w:r>
            <w:fldChar w:fldCharType="separate"/>
          </w:r>
          <w:r>
            <w:rPr>
              <w:rFonts w:hint="eastAsia" w:ascii="仿宋" w:hAnsi="仿宋" w:eastAsia="仿宋"/>
              <w:highlight w:val="none"/>
              <w:lang w:bidi="en-US"/>
            </w:rPr>
            <w:t>（一）项目概况：</w:t>
          </w:r>
          <w:r>
            <w:rPr>
              <w:highlight w:val="none"/>
            </w:rPr>
            <w:tab/>
          </w:r>
          <w:r>
            <w:rPr>
              <w:highlight w:val="none"/>
            </w:rPr>
            <w:fldChar w:fldCharType="begin"/>
          </w:r>
          <w:r>
            <w:rPr>
              <w:highlight w:val="none"/>
            </w:rPr>
            <w:instrText xml:space="preserve"> PAGEREF _Toc12035 \h </w:instrText>
          </w:r>
          <w:r>
            <w:rPr>
              <w:highlight w:val="none"/>
            </w:rPr>
            <w:fldChar w:fldCharType="separate"/>
          </w:r>
          <w:r>
            <w:rPr>
              <w:highlight w:val="none"/>
            </w:rPr>
            <w:t>1</w:t>
          </w:r>
          <w:r>
            <w:rPr>
              <w:highlight w:val="none"/>
            </w:rPr>
            <w:fldChar w:fldCharType="end"/>
          </w:r>
          <w:r>
            <w:rPr>
              <w:highlight w:val="none"/>
            </w:rPr>
            <w:fldChar w:fldCharType="end"/>
          </w:r>
        </w:p>
        <w:p w14:paraId="7C88AC09">
          <w:pPr>
            <w:pStyle w:val="5"/>
            <w:tabs>
              <w:tab w:val="right" w:leader="dot" w:pos="8306"/>
            </w:tabs>
            <w:rPr>
              <w:highlight w:val="none"/>
            </w:rPr>
          </w:pPr>
          <w:r>
            <w:fldChar w:fldCharType="begin"/>
          </w:r>
          <w:r>
            <w:instrText xml:space="preserve"> HYPERLINK \l "_Toc17060" </w:instrText>
          </w:r>
          <w:r>
            <w:fldChar w:fldCharType="separate"/>
          </w:r>
          <w:r>
            <w:rPr>
              <w:rFonts w:hint="eastAsia"/>
              <w:highlight w:val="none"/>
            </w:rPr>
            <w:t>1．项目背景、主要内容及实施情况</w:t>
          </w:r>
          <w:r>
            <w:rPr>
              <w:highlight w:val="none"/>
            </w:rPr>
            <w:tab/>
          </w:r>
          <w:r>
            <w:rPr>
              <w:highlight w:val="none"/>
            </w:rPr>
            <w:fldChar w:fldCharType="begin"/>
          </w:r>
          <w:r>
            <w:rPr>
              <w:highlight w:val="none"/>
            </w:rPr>
            <w:instrText xml:space="preserve"> PAGEREF _Toc17060 \h </w:instrText>
          </w:r>
          <w:r>
            <w:rPr>
              <w:highlight w:val="none"/>
            </w:rPr>
            <w:fldChar w:fldCharType="separate"/>
          </w:r>
          <w:r>
            <w:rPr>
              <w:highlight w:val="none"/>
            </w:rPr>
            <w:t>1</w:t>
          </w:r>
          <w:r>
            <w:rPr>
              <w:highlight w:val="none"/>
            </w:rPr>
            <w:fldChar w:fldCharType="end"/>
          </w:r>
          <w:r>
            <w:rPr>
              <w:highlight w:val="none"/>
            </w:rPr>
            <w:fldChar w:fldCharType="end"/>
          </w:r>
        </w:p>
        <w:p w14:paraId="5D1C75C6">
          <w:pPr>
            <w:pStyle w:val="5"/>
            <w:tabs>
              <w:tab w:val="right" w:leader="dot" w:pos="8306"/>
            </w:tabs>
            <w:rPr>
              <w:highlight w:val="none"/>
            </w:rPr>
          </w:pPr>
          <w:r>
            <w:fldChar w:fldCharType="begin"/>
          </w:r>
          <w:r>
            <w:instrText xml:space="preserve"> HYPERLINK \l "_Toc12786" </w:instrText>
          </w:r>
          <w:r>
            <w:fldChar w:fldCharType="separate"/>
          </w:r>
          <w:r>
            <w:rPr>
              <w:rFonts w:hint="eastAsia"/>
              <w:highlight w:val="none"/>
            </w:rPr>
            <w:t>2</w:t>
          </w:r>
          <w:r>
            <w:rPr>
              <w:highlight w:val="none"/>
            </w:rPr>
            <w:t>.资金投入和使用情况</w:t>
          </w:r>
          <w:r>
            <w:rPr>
              <w:highlight w:val="none"/>
            </w:rPr>
            <w:tab/>
          </w:r>
          <w:r>
            <w:rPr>
              <w:highlight w:val="none"/>
            </w:rPr>
            <w:fldChar w:fldCharType="begin"/>
          </w:r>
          <w:r>
            <w:rPr>
              <w:highlight w:val="none"/>
            </w:rPr>
            <w:instrText xml:space="preserve"> PAGEREF _Toc12786 \h </w:instrText>
          </w:r>
          <w:r>
            <w:rPr>
              <w:highlight w:val="none"/>
            </w:rPr>
            <w:fldChar w:fldCharType="separate"/>
          </w:r>
          <w:r>
            <w:rPr>
              <w:highlight w:val="none"/>
            </w:rPr>
            <w:t>3</w:t>
          </w:r>
          <w:r>
            <w:rPr>
              <w:highlight w:val="none"/>
            </w:rPr>
            <w:fldChar w:fldCharType="end"/>
          </w:r>
          <w:r>
            <w:rPr>
              <w:highlight w:val="none"/>
            </w:rPr>
            <w:fldChar w:fldCharType="end"/>
          </w:r>
        </w:p>
        <w:p w14:paraId="16485D29">
          <w:pPr>
            <w:pStyle w:val="12"/>
            <w:tabs>
              <w:tab w:val="right" w:leader="dot" w:pos="8306"/>
            </w:tabs>
            <w:rPr>
              <w:highlight w:val="none"/>
            </w:rPr>
          </w:pPr>
          <w:r>
            <w:fldChar w:fldCharType="begin"/>
          </w:r>
          <w:r>
            <w:instrText xml:space="preserve"> HYPERLINK \l "_Toc10278" </w:instrText>
          </w:r>
          <w:r>
            <w:fldChar w:fldCharType="separate"/>
          </w:r>
          <w:r>
            <w:rPr>
              <w:rFonts w:hint="eastAsia" w:ascii="仿宋" w:hAnsi="仿宋" w:eastAsia="仿宋"/>
              <w:highlight w:val="none"/>
              <w:lang w:bidi="en-US"/>
            </w:rPr>
            <w:t>（二）项目绩效目标：</w:t>
          </w:r>
          <w:r>
            <w:rPr>
              <w:highlight w:val="none"/>
            </w:rPr>
            <w:tab/>
          </w:r>
          <w:r>
            <w:rPr>
              <w:highlight w:val="none"/>
            </w:rPr>
            <w:fldChar w:fldCharType="begin"/>
          </w:r>
          <w:r>
            <w:rPr>
              <w:highlight w:val="none"/>
            </w:rPr>
            <w:instrText xml:space="preserve"> PAGEREF _Toc10278 \h </w:instrText>
          </w:r>
          <w:r>
            <w:rPr>
              <w:highlight w:val="none"/>
            </w:rPr>
            <w:fldChar w:fldCharType="separate"/>
          </w:r>
          <w:r>
            <w:rPr>
              <w:highlight w:val="none"/>
            </w:rPr>
            <w:t>4</w:t>
          </w:r>
          <w:r>
            <w:rPr>
              <w:highlight w:val="none"/>
            </w:rPr>
            <w:fldChar w:fldCharType="end"/>
          </w:r>
          <w:r>
            <w:rPr>
              <w:highlight w:val="none"/>
            </w:rPr>
            <w:fldChar w:fldCharType="end"/>
          </w:r>
        </w:p>
        <w:p w14:paraId="329DFDEB">
          <w:pPr>
            <w:pStyle w:val="10"/>
            <w:tabs>
              <w:tab w:val="right" w:leader="dot" w:pos="8306"/>
            </w:tabs>
            <w:rPr>
              <w:highlight w:val="none"/>
            </w:rPr>
          </w:pPr>
          <w:r>
            <w:fldChar w:fldCharType="begin"/>
          </w:r>
          <w:r>
            <w:instrText xml:space="preserve"> HYPERLINK \l "_Toc28961" </w:instrText>
          </w:r>
          <w:r>
            <w:fldChar w:fldCharType="separate"/>
          </w:r>
          <w:r>
            <w:rPr>
              <w:rFonts w:hint="eastAsia" w:ascii="仿宋" w:hAnsi="仿宋" w:eastAsia="仿宋"/>
              <w:szCs w:val="36"/>
              <w:highlight w:val="none"/>
              <w:lang w:bidi="en-US"/>
            </w:rPr>
            <w:t>二、绩效评价工作开展情况</w:t>
          </w:r>
          <w:r>
            <w:rPr>
              <w:highlight w:val="none"/>
            </w:rPr>
            <w:tab/>
          </w:r>
          <w:r>
            <w:rPr>
              <w:highlight w:val="none"/>
            </w:rPr>
            <w:fldChar w:fldCharType="begin"/>
          </w:r>
          <w:r>
            <w:rPr>
              <w:highlight w:val="none"/>
            </w:rPr>
            <w:instrText xml:space="preserve"> PAGEREF _Toc28961 \h </w:instrText>
          </w:r>
          <w:r>
            <w:rPr>
              <w:highlight w:val="none"/>
            </w:rPr>
            <w:fldChar w:fldCharType="separate"/>
          </w:r>
          <w:r>
            <w:rPr>
              <w:highlight w:val="none"/>
            </w:rPr>
            <w:t>5</w:t>
          </w:r>
          <w:r>
            <w:rPr>
              <w:highlight w:val="none"/>
            </w:rPr>
            <w:fldChar w:fldCharType="end"/>
          </w:r>
          <w:r>
            <w:rPr>
              <w:highlight w:val="none"/>
            </w:rPr>
            <w:fldChar w:fldCharType="end"/>
          </w:r>
        </w:p>
        <w:p w14:paraId="7B59FA66">
          <w:pPr>
            <w:pStyle w:val="12"/>
            <w:tabs>
              <w:tab w:val="right" w:leader="dot" w:pos="8306"/>
            </w:tabs>
            <w:rPr>
              <w:highlight w:val="none"/>
            </w:rPr>
          </w:pPr>
          <w:r>
            <w:fldChar w:fldCharType="begin"/>
          </w:r>
          <w:r>
            <w:instrText xml:space="preserve"> HYPERLINK \l "_Toc27544" </w:instrText>
          </w:r>
          <w:r>
            <w:fldChar w:fldCharType="separate"/>
          </w:r>
          <w:r>
            <w:rPr>
              <w:rFonts w:hint="eastAsia" w:ascii="仿宋" w:hAnsi="仿宋" w:eastAsia="仿宋"/>
              <w:highlight w:val="none"/>
              <w:lang w:bidi="en-US"/>
            </w:rPr>
            <w:t>（一）绩效评价目的、对象和范围</w:t>
          </w:r>
          <w:r>
            <w:rPr>
              <w:highlight w:val="none"/>
            </w:rPr>
            <w:tab/>
          </w:r>
          <w:r>
            <w:rPr>
              <w:highlight w:val="none"/>
            </w:rPr>
            <w:fldChar w:fldCharType="begin"/>
          </w:r>
          <w:r>
            <w:rPr>
              <w:highlight w:val="none"/>
            </w:rPr>
            <w:instrText xml:space="preserve"> PAGEREF _Toc27544 \h </w:instrText>
          </w:r>
          <w:r>
            <w:rPr>
              <w:highlight w:val="none"/>
            </w:rPr>
            <w:fldChar w:fldCharType="separate"/>
          </w:r>
          <w:r>
            <w:rPr>
              <w:highlight w:val="none"/>
            </w:rPr>
            <w:t>5</w:t>
          </w:r>
          <w:r>
            <w:rPr>
              <w:highlight w:val="none"/>
            </w:rPr>
            <w:fldChar w:fldCharType="end"/>
          </w:r>
          <w:r>
            <w:rPr>
              <w:highlight w:val="none"/>
            </w:rPr>
            <w:fldChar w:fldCharType="end"/>
          </w:r>
        </w:p>
        <w:p w14:paraId="40A0465C">
          <w:pPr>
            <w:pStyle w:val="5"/>
            <w:tabs>
              <w:tab w:val="right" w:leader="dot" w:pos="8306"/>
            </w:tabs>
            <w:rPr>
              <w:highlight w:val="none"/>
            </w:rPr>
          </w:pPr>
          <w:r>
            <w:fldChar w:fldCharType="begin"/>
          </w:r>
          <w:r>
            <w:instrText xml:space="preserve"> HYPERLINK \l "_Toc13165" </w:instrText>
          </w:r>
          <w:r>
            <w:fldChar w:fldCharType="separate"/>
          </w:r>
          <w:r>
            <w:rPr>
              <w:rFonts w:hint="eastAsia"/>
              <w:highlight w:val="none"/>
            </w:rPr>
            <w:t>1</w:t>
          </w:r>
          <w:r>
            <w:rPr>
              <w:highlight w:val="none"/>
            </w:rPr>
            <w:t>.绩效评价完整性</w:t>
          </w:r>
          <w:r>
            <w:rPr>
              <w:highlight w:val="none"/>
            </w:rPr>
            <w:tab/>
          </w:r>
          <w:r>
            <w:rPr>
              <w:highlight w:val="none"/>
            </w:rPr>
            <w:fldChar w:fldCharType="begin"/>
          </w:r>
          <w:r>
            <w:rPr>
              <w:highlight w:val="none"/>
            </w:rPr>
            <w:instrText xml:space="preserve"> PAGEREF _Toc13165 \h </w:instrText>
          </w:r>
          <w:r>
            <w:rPr>
              <w:highlight w:val="none"/>
            </w:rPr>
            <w:fldChar w:fldCharType="separate"/>
          </w:r>
          <w:r>
            <w:rPr>
              <w:highlight w:val="none"/>
            </w:rPr>
            <w:t>5</w:t>
          </w:r>
          <w:r>
            <w:rPr>
              <w:highlight w:val="none"/>
            </w:rPr>
            <w:fldChar w:fldCharType="end"/>
          </w:r>
          <w:r>
            <w:rPr>
              <w:highlight w:val="none"/>
            </w:rPr>
            <w:fldChar w:fldCharType="end"/>
          </w:r>
        </w:p>
        <w:p w14:paraId="6E8A8069">
          <w:pPr>
            <w:pStyle w:val="5"/>
            <w:tabs>
              <w:tab w:val="right" w:leader="dot" w:pos="8306"/>
            </w:tabs>
            <w:rPr>
              <w:highlight w:val="none"/>
            </w:rPr>
          </w:pPr>
          <w:r>
            <w:fldChar w:fldCharType="begin"/>
          </w:r>
          <w:r>
            <w:instrText xml:space="preserve"> HYPERLINK \l "_Toc20463" </w:instrText>
          </w:r>
          <w:r>
            <w:fldChar w:fldCharType="separate"/>
          </w:r>
          <w:r>
            <w:rPr>
              <w:highlight w:val="none"/>
            </w:rPr>
            <w:t>2</w:t>
          </w:r>
          <w:r>
            <w:rPr>
              <w:rFonts w:hint="eastAsia"/>
              <w:highlight w:val="none"/>
            </w:rPr>
            <w:t>.评价目的</w:t>
          </w:r>
          <w:r>
            <w:rPr>
              <w:highlight w:val="none"/>
            </w:rPr>
            <w:tab/>
          </w:r>
          <w:r>
            <w:rPr>
              <w:highlight w:val="none"/>
            </w:rPr>
            <w:fldChar w:fldCharType="begin"/>
          </w:r>
          <w:r>
            <w:rPr>
              <w:highlight w:val="none"/>
            </w:rPr>
            <w:instrText xml:space="preserve"> PAGEREF _Toc20463 \h </w:instrText>
          </w:r>
          <w:r>
            <w:rPr>
              <w:highlight w:val="none"/>
            </w:rPr>
            <w:fldChar w:fldCharType="separate"/>
          </w:r>
          <w:r>
            <w:rPr>
              <w:highlight w:val="none"/>
            </w:rPr>
            <w:t>6</w:t>
          </w:r>
          <w:r>
            <w:rPr>
              <w:highlight w:val="none"/>
            </w:rPr>
            <w:fldChar w:fldCharType="end"/>
          </w:r>
          <w:r>
            <w:rPr>
              <w:highlight w:val="none"/>
            </w:rPr>
            <w:fldChar w:fldCharType="end"/>
          </w:r>
        </w:p>
        <w:p w14:paraId="04E106E4">
          <w:pPr>
            <w:pStyle w:val="5"/>
            <w:tabs>
              <w:tab w:val="right" w:leader="dot" w:pos="8306"/>
            </w:tabs>
            <w:rPr>
              <w:highlight w:val="none"/>
            </w:rPr>
          </w:pPr>
          <w:r>
            <w:fldChar w:fldCharType="begin"/>
          </w:r>
          <w:r>
            <w:instrText xml:space="preserve"> HYPERLINK \l "_Toc4441" </w:instrText>
          </w:r>
          <w:r>
            <w:fldChar w:fldCharType="separate"/>
          </w:r>
          <w:r>
            <w:rPr>
              <w:highlight w:val="none"/>
            </w:rPr>
            <w:t>3</w:t>
          </w:r>
          <w:r>
            <w:rPr>
              <w:rFonts w:hint="eastAsia"/>
              <w:highlight w:val="none"/>
            </w:rPr>
            <w:t>.评价对象</w:t>
          </w:r>
          <w:r>
            <w:rPr>
              <w:highlight w:val="none"/>
            </w:rPr>
            <w:tab/>
          </w:r>
          <w:r>
            <w:rPr>
              <w:highlight w:val="none"/>
            </w:rPr>
            <w:fldChar w:fldCharType="begin"/>
          </w:r>
          <w:r>
            <w:rPr>
              <w:highlight w:val="none"/>
            </w:rPr>
            <w:instrText xml:space="preserve"> PAGEREF _Toc4441 \h </w:instrText>
          </w:r>
          <w:r>
            <w:rPr>
              <w:highlight w:val="none"/>
            </w:rPr>
            <w:fldChar w:fldCharType="separate"/>
          </w:r>
          <w:r>
            <w:rPr>
              <w:highlight w:val="none"/>
            </w:rPr>
            <w:t>7</w:t>
          </w:r>
          <w:r>
            <w:rPr>
              <w:highlight w:val="none"/>
            </w:rPr>
            <w:fldChar w:fldCharType="end"/>
          </w:r>
          <w:r>
            <w:rPr>
              <w:highlight w:val="none"/>
            </w:rPr>
            <w:fldChar w:fldCharType="end"/>
          </w:r>
        </w:p>
        <w:p w14:paraId="02C74027">
          <w:pPr>
            <w:pStyle w:val="5"/>
            <w:tabs>
              <w:tab w:val="right" w:leader="dot" w:pos="8306"/>
            </w:tabs>
            <w:rPr>
              <w:highlight w:val="none"/>
            </w:rPr>
          </w:pPr>
          <w:r>
            <w:fldChar w:fldCharType="begin"/>
          </w:r>
          <w:r>
            <w:instrText xml:space="preserve"> HYPERLINK \l "_Toc28539" </w:instrText>
          </w:r>
          <w:r>
            <w:fldChar w:fldCharType="separate"/>
          </w:r>
          <w:r>
            <w:rPr>
              <w:rFonts w:hint="eastAsia"/>
              <w:highlight w:val="none"/>
            </w:rPr>
            <w:t>4</w:t>
          </w:r>
          <w:r>
            <w:rPr>
              <w:highlight w:val="none"/>
            </w:rPr>
            <w:t>.</w:t>
          </w:r>
          <w:r>
            <w:rPr>
              <w:rFonts w:hint="eastAsia"/>
              <w:highlight w:val="none"/>
            </w:rPr>
            <w:t>绩效评价范围</w:t>
          </w:r>
          <w:r>
            <w:rPr>
              <w:highlight w:val="none"/>
            </w:rPr>
            <w:tab/>
          </w:r>
          <w:r>
            <w:rPr>
              <w:highlight w:val="none"/>
            </w:rPr>
            <w:fldChar w:fldCharType="begin"/>
          </w:r>
          <w:r>
            <w:rPr>
              <w:highlight w:val="none"/>
            </w:rPr>
            <w:instrText xml:space="preserve"> PAGEREF _Toc28539 \h </w:instrText>
          </w:r>
          <w:r>
            <w:rPr>
              <w:highlight w:val="none"/>
            </w:rPr>
            <w:fldChar w:fldCharType="separate"/>
          </w:r>
          <w:r>
            <w:rPr>
              <w:highlight w:val="none"/>
            </w:rPr>
            <w:t>7</w:t>
          </w:r>
          <w:r>
            <w:rPr>
              <w:highlight w:val="none"/>
            </w:rPr>
            <w:fldChar w:fldCharType="end"/>
          </w:r>
          <w:r>
            <w:rPr>
              <w:highlight w:val="none"/>
            </w:rPr>
            <w:fldChar w:fldCharType="end"/>
          </w:r>
        </w:p>
        <w:p w14:paraId="0EC33134">
          <w:pPr>
            <w:pStyle w:val="12"/>
            <w:tabs>
              <w:tab w:val="right" w:leader="dot" w:pos="8306"/>
            </w:tabs>
            <w:rPr>
              <w:highlight w:val="none"/>
            </w:rPr>
          </w:pPr>
          <w:r>
            <w:fldChar w:fldCharType="begin"/>
          </w:r>
          <w:r>
            <w:instrText xml:space="preserve"> HYPERLINK \l "_Toc30822" </w:instrText>
          </w:r>
          <w:r>
            <w:fldChar w:fldCharType="separate"/>
          </w:r>
          <w:r>
            <w:rPr>
              <w:rFonts w:hint="eastAsia" w:ascii="仿宋" w:hAnsi="仿宋" w:eastAsia="仿宋"/>
              <w:highlight w:val="none"/>
              <w:lang w:bidi="en-US"/>
            </w:rPr>
            <w:t>（二）绩效评价原则、指标体系、方法及标准</w:t>
          </w:r>
          <w:r>
            <w:rPr>
              <w:highlight w:val="none"/>
            </w:rPr>
            <w:tab/>
          </w:r>
          <w:r>
            <w:rPr>
              <w:highlight w:val="none"/>
            </w:rPr>
            <w:fldChar w:fldCharType="begin"/>
          </w:r>
          <w:r>
            <w:rPr>
              <w:highlight w:val="none"/>
            </w:rPr>
            <w:instrText xml:space="preserve"> PAGEREF _Toc30822 \h </w:instrText>
          </w:r>
          <w:r>
            <w:rPr>
              <w:highlight w:val="none"/>
            </w:rPr>
            <w:fldChar w:fldCharType="separate"/>
          </w:r>
          <w:r>
            <w:rPr>
              <w:highlight w:val="none"/>
            </w:rPr>
            <w:t>8</w:t>
          </w:r>
          <w:r>
            <w:rPr>
              <w:highlight w:val="none"/>
            </w:rPr>
            <w:fldChar w:fldCharType="end"/>
          </w:r>
          <w:r>
            <w:rPr>
              <w:highlight w:val="none"/>
            </w:rPr>
            <w:fldChar w:fldCharType="end"/>
          </w:r>
        </w:p>
        <w:p w14:paraId="7500CDE2">
          <w:pPr>
            <w:pStyle w:val="5"/>
            <w:tabs>
              <w:tab w:val="right" w:leader="dot" w:pos="8306"/>
            </w:tabs>
            <w:rPr>
              <w:highlight w:val="none"/>
            </w:rPr>
          </w:pPr>
          <w:r>
            <w:fldChar w:fldCharType="begin"/>
          </w:r>
          <w:r>
            <w:instrText xml:space="preserve"> HYPERLINK \l "_Toc5220" </w:instrText>
          </w:r>
          <w:r>
            <w:fldChar w:fldCharType="separate"/>
          </w:r>
          <w:r>
            <w:rPr>
              <w:rFonts w:hint="eastAsia"/>
              <w:highlight w:val="none"/>
            </w:rPr>
            <w:t>1</w:t>
          </w:r>
          <w:r>
            <w:rPr>
              <w:highlight w:val="none"/>
            </w:rPr>
            <w:t>.</w:t>
          </w:r>
          <w:r>
            <w:rPr>
              <w:rFonts w:hint="eastAsia"/>
              <w:highlight w:val="none"/>
            </w:rPr>
            <w:t>评价原则</w:t>
          </w:r>
          <w:r>
            <w:rPr>
              <w:highlight w:val="none"/>
            </w:rPr>
            <w:tab/>
          </w:r>
          <w:r>
            <w:rPr>
              <w:highlight w:val="none"/>
            </w:rPr>
            <w:fldChar w:fldCharType="begin"/>
          </w:r>
          <w:r>
            <w:rPr>
              <w:highlight w:val="none"/>
            </w:rPr>
            <w:instrText xml:space="preserve"> PAGEREF _Toc5220 \h </w:instrText>
          </w:r>
          <w:r>
            <w:rPr>
              <w:highlight w:val="none"/>
            </w:rPr>
            <w:fldChar w:fldCharType="separate"/>
          </w:r>
          <w:r>
            <w:rPr>
              <w:highlight w:val="none"/>
            </w:rPr>
            <w:t>8</w:t>
          </w:r>
          <w:r>
            <w:rPr>
              <w:highlight w:val="none"/>
            </w:rPr>
            <w:fldChar w:fldCharType="end"/>
          </w:r>
          <w:r>
            <w:rPr>
              <w:highlight w:val="none"/>
            </w:rPr>
            <w:fldChar w:fldCharType="end"/>
          </w:r>
        </w:p>
        <w:p w14:paraId="25C6C92E">
          <w:pPr>
            <w:pStyle w:val="5"/>
            <w:tabs>
              <w:tab w:val="right" w:leader="dot" w:pos="8306"/>
            </w:tabs>
            <w:rPr>
              <w:highlight w:val="none"/>
            </w:rPr>
          </w:pPr>
          <w:r>
            <w:fldChar w:fldCharType="begin"/>
          </w:r>
          <w:r>
            <w:instrText xml:space="preserve"> HYPERLINK \l "_Toc31261" </w:instrText>
          </w:r>
          <w:r>
            <w:fldChar w:fldCharType="separate"/>
          </w:r>
          <w:r>
            <w:rPr>
              <w:highlight w:val="none"/>
            </w:rPr>
            <w:t>2.</w:t>
          </w:r>
          <w:r>
            <w:rPr>
              <w:rFonts w:hint="eastAsia"/>
              <w:highlight w:val="none"/>
            </w:rPr>
            <w:t>评价指标体系</w:t>
          </w:r>
          <w:r>
            <w:rPr>
              <w:highlight w:val="none"/>
            </w:rPr>
            <w:tab/>
          </w:r>
          <w:r>
            <w:rPr>
              <w:highlight w:val="none"/>
            </w:rPr>
            <w:fldChar w:fldCharType="begin"/>
          </w:r>
          <w:r>
            <w:rPr>
              <w:highlight w:val="none"/>
            </w:rPr>
            <w:instrText xml:space="preserve"> PAGEREF _Toc31261 \h </w:instrText>
          </w:r>
          <w:r>
            <w:rPr>
              <w:highlight w:val="none"/>
            </w:rPr>
            <w:fldChar w:fldCharType="separate"/>
          </w:r>
          <w:r>
            <w:rPr>
              <w:highlight w:val="none"/>
            </w:rPr>
            <w:t>9</w:t>
          </w:r>
          <w:r>
            <w:rPr>
              <w:highlight w:val="none"/>
            </w:rPr>
            <w:fldChar w:fldCharType="end"/>
          </w:r>
          <w:r>
            <w:rPr>
              <w:highlight w:val="none"/>
            </w:rPr>
            <w:fldChar w:fldCharType="end"/>
          </w:r>
        </w:p>
        <w:p w14:paraId="527DE124">
          <w:pPr>
            <w:pStyle w:val="5"/>
            <w:tabs>
              <w:tab w:val="right" w:leader="dot" w:pos="8306"/>
            </w:tabs>
            <w:rPr>
              <w:highlight w:val="none"/>
            </w:rPr>
          </w:pPr>
          <w:r>
            <w:fldChar w:fldCharType="begin"/>
          </w:r>
          <w:r>
            <w:instrText xml:space="preserve"> HYPERLINK \l "_Toc16903" </w:instrText>
          </w:r>
          <w:r>
            <w:fldChar w:fldCharType="separate"/>
          </w:r>
          <w:r>
            <w:rPr>
              <w:highlight w:val="none"/>
            </w:rPr>
            <w:t>3.</w:t>
          </w:r>
          <w:r>
            <w:rPr>
              <w:rFonts w:hint="eastAsia"/>
              <w:highlight w:val="none"/>
            </w:rPr>
            <w:t>评价方法</w:t>
          </w:r>
          <w:r>
            <w:rPr>
              <w:highlight w:val="none"/>
            </w:rPr>
            <w:tab/>
          </w:r>
          <w:r>
            <w:rPr>
              <w:highlight w:val="none"/>
            </w:rPr>
            <w:fldChar w:fldCharType="begin"/>
          </w:r>
          <w:r>
            <w:rPr>
              <w:highlight w:val="none"/>
            </w:rPr>
            <w:instrText xml:space="preserve"> PAGEREF _Toc16903 \h </w:instrText>
          </w:r>
          <w:r>
            <w:rPr>
              <w:highlight w:val="none"/>
            </w:rPr>
            <w:fldChar w:fldCharType="separate"/>
          </w:r>
          <w:r>
            <w:rPr>
              <w:highlight w:val="none"/>
            </w:rPr>
            <w:t>16</w:t>
          </w:r>
          <w:r>
            <w:rPr>
              <w:highlight w:val="none"/>
            </w:rPr>
            <w:fldChar w:fldCharType="end"/>
          </w:r>
          <w:r>
            <w:rPr>
              <w:highlight w:val="none"/>
            </w:rPr>
            <w:fldChar w:fldCharType="end"/>
          </w:r>
        </w:p>
        <w:p w14:paraId="61D00977">
          <w:pPr>
            <w:pStyle w:val="5"/>
            <w:tabs>
              <w:tab w:val="right" w:leader="dot" w:pos="8306"/>
            </w:tabs>
            <w:rPr>
              <w:highlight w:val="none"/>
            </w:rPr>
          </w:pPr>
          <w:r>
            <w:fldChar w:fldCharType="begin"/>
          </w:r>
          <w:r>
            <w:instrText xml:space="preserve"> HYPERLINK \l "_Toc19577" </w:instrText>
          </w:r>
          <w:r>
            <w:fldChar w:fldCharType="separate"/>
          </w:r>
          <w:r>
            <w:rPr>
              <w:highlight w:val="none"/>
            </w:rPr>
            <w:t>4.</w:t>
          </w:r>
          <w:r>
            <w:rPr>
              <w:rFonts w:hint="eastAsia"/>
              <w:highlight w:val="none"/>
            </w:rPr>
            <w:t>评价标准</w:t>
          </w:r>
          <w:r>
            <w:rPr>
              <w:highlight w:val="none"/>
            </w:rPr>
            <w:tab/>
          </w:r>
          <w:r>
            <w:rPr>
              <w:highlight w:val="none"/>
            </w:rPr>
            <w:fldChar w:fldCharType="begin"/>
          </w:r>
          <w:r>
            <w:rPr>
              <w:highlight w:val="none"/>
            </w:rPr>
            <w:instrText xml:space="preserve"> PAGEREF _Toc19577 \h </w:instrText>
          </w:r>
          <w:r>
            <w:rPr>
              <w:highlight w:val="none"/>
            </w:rPr>
            <w:fldChar w:fldCharType="separate"/>
          </w:r>
          <w:r>
            <w:rPr>
              <w:highlight w:val="none"/>
            </w:rPr>
            <w:t>17</w:t>
          </w:r>
          <w:r>
            <w:rPr>
              <w:highlight w:val="none"/>
            </w:rPr>
            <w:fldChar w:fldCharType="end"/>
          </w:r>
          <w:r>
            <w:rPr>
              <w:highlight w:val="none"/>
            </w:rPr>
            <w:fldChar w:fldCharType="end"/>
          </w:r>
        </w:p>
        <w:p w14:paraId="674BE122">
          <w:pPr>
            <w:pStyle w:val="12"/>
            <w:tabs>
              <w:tab w:val="right" w:leader="dot" w:pos="8306"/>
            </w:tabs>
            <w:rPr>
              <w:highlight w:val="none"/>
            </w:rPr>
          </w:pPr>
          <w:r>
            <w:fldChar w:fldCharType="begin"/>
          </w:r>
          <w:r>
            <w:instrText xml:space="preserve"> HYPERLINK \l "_Toc24125" </w:instrText>
          </w:r>
          <w:r>
            <w:fldChar w:fldCharType="separate"/>
          </w:r>
          <w:r>
            <w:rPr>
              <w:rFonts w:hint="eastAsia" w:ascii="仿宋" w:hAnsi="仿宋" w:eastAsia="仿宋"/>
              <w:highlight w:val="none"/>
              <w:lang w:bidi="en-US"/>
            </w:rPr>
            <w:t>（三）绩效评价工作过程</w:t>
          </w:r>
          <w:r>
            <w:rPr>
              <w:highlight w:val="none"/>
            </w:rPr>
            <w:tab/>
          </w:r>
          <w:r>
            <w:rPr>
              <w:highlight w:val="none"/>
            </w:rPr>
            <w:fldChar w:fldCharType="begin"/>
          </w:r>
          <w:r>
            <w:rPr>
              <w:highlight w:val="none"/>
            </w:rPr>
            <w:instrText xml:space="preserve"> PAGEREF _Toc24125 \h </w:instrText>
          </w:r>
          <w:r>
            <w:rPr>
              <w:highlight w:val="none"/>
            </w:rPr>
            <w:fldChar w:fldCharType="separate"/>
          </w:r>
          <w:r>
            <w:rPr>
              <w:highlight w:val="none"/>
            </w:rPr>
            <w:t>18</w:t>
          </w:r>
          <w:r>
            <w:rPr>
              <w:highlight w:val="none"/>
            </w:rPr>
            <w:fldChar w:fldCharType="end"/>
          </w:r>
          <w:r>
            <w:rPr>
              <w:highlight w:val="none"/>
            </w:rPr>
            <w:fldChar w:fldCharType="end"/>
          </w:r>
        </w:p>
        <w:p w14:paraId="23B4EA1C">
          <w:pPr>
            <w:pStyle w:val="10"/>
            <w:tabs>
              <w:tab w:val="right" w:leader="dot" w:pos="8306"/>
            </w:tabs>
            <w:rPr>
              <w:highlight w:val="none"/>
            </w:rPr>
          </w:pPr>
          <w:r>
            <w:fldChar w:fldCharType="begin"/>
          </w:r>
          <w:r>
            <w:instrText xml:space="preserve"> HYPERLINK \l "_Toc20119" </w:instrText>
          </w:r>
          <w:r>
            <w:fldChar w:fldCharType="separate"/>
          </w:r>
          <w:r>
            <w:rPr>
              <w:rFonts w:hint="eastAsia" w:ascii="仿宋" w:hAnsi="仿宋" w:eastAsia="仿宋"/>
              <w:szCs w:val="36"/>
              <w:highlight w:val="none"/>
              <w:lang w:bidi="en-US"/>
            </w:rPr>
            <w:t>三、综合评价情况及评价结论</w:t>
          </w:r>
          <w:r>
            <w:rPr>
              <w:highlight w:val="none"/>
            </w:rPr>
            <w:tab/>
          </w:r>
          <w:r>
            <w:rPr>
              <w:highlight w:val="none"/>
            </w:rPr>
            <w:fldChar w:fldCharType="begin"/>
          </w:r>
          <w:r>
            <w:rPr>
              <w:highlight w:val="none"/>
            </w:rPr>
            <w:instrText xml:space="preserve"> PAGEREF _Toc20119 \h </w:instrText>
          </w:r>
          <w:r>
            <w:rPr>
              <w:highlight w:val="none"/>
            </w:rPr>
            <w:fldChar w:fldCharType="separate"/>
          </w:r>
          <w:r>
            <w:rPr>
              <w:highlight w:val="none"/>
            </w:rPr>
            <w:t>18</w:t>
          </w:r>
          <w:r>
            <w:rPr>
              <w:highlight w:val="none"/>
            </w:rPr>
            <w:fldChar w:fldCharType="end"/>
          </w:r>
          <w:r>
            <w:rPr>
              <w:highlight w:val="none"/>
            </w:rPr>
            <w:fldChar w:fldCharType="end"/>
          </w:r>
        </w:p>
        <w:p w14:paraId="7CFFDC82">
          <w:pPr>
            <w:pStyle w:val="12"/>
            <w:tabs>
              <w:tab w:val="right" w:leader="dot" w:pos="8306"/>
            </w:tabs>
            <w:rPr>
              <w:highlight w:val="none"/>
            </w:rPr>
          </w:pPr>
          <w:r>
            <w:fldChar w:fldCharType="begin"/>
          </w:r>
          <w:r>
            <w:instrText xml:space="preserve"> HYPERLINK \l "_Toc8653" </w:instrText>
          </w:r>
          <w:r>
            <w:fldChar w:fldCharType="separate"/>
          </w:r>
          <w:r>
            <w:rPr>
              <w:rFonts w:hint="eastAsia" w:ascii="仿宋" w:hAnsi="仿宋" w:eastAsia="仿宋"/>
              <w:highlight w:val="none"/>
              <w:lang w:bidi="en-US"/>
            </w:rPr>
            <w:t>（一）评价结论</w:t>
          </w:r>
          <w:r>
            <w:rPr>
              <w:highlight w:val="none"/>
            </w:rPr>
            <w:tab/>
          </w:r>
          <w:r>
            <w:rPr>
              <w:highlight w:val="none"/>
            </w:rPr>
            <w:fldChar w:fldCharType="begin"/>
          </w:r>
          <w:r>
            <w:rPr>
              <w:highlight w:val="none"/>
            </w:rPr>
            <w:instrText xml:space="preserve"> PAGEREF _Toc8653 \h </w:instrText>
          </w:r>
          <w:r>
            <w:rPr>
              <w:highlight w:val="none"/>
            </w:rPr>
            <w:fldChar w:fldCharType="separate"/>
          </w:r>
          <w:r>
            <w:rPr>
              <w:highlight w:val="none"/>
            </w:rPr>
            <w:t>18</w:t>
          </w:r>
          <w:r>
            <w:rPr>
              <w:highlight w:val="none"/>
            </w:rPr>
            <w:fldChar w:fldCharType="end"/>
          </w:r>
          <w:r>
            <w:rPr>
              <w:highlight w:val="none"/>
            </w:rPr>
            <w:fldChar w:fldCharType="end"/>
          </w:r>
        </w:p>
        <w:p w14:paraId="2656C79C">
          <w:pPr>
            <w:pStyle w:val="12"/>
            <w:tabs>
              <w:tab w:val="right" w:leader="dot" w:pos="8306"/>
            </w:tabs>
            <w:rPr>
              <w:highlight w:val="none"/>
            </w:rPr>
          </w:pPr>
          <w:r>
            <w:fldChar w:fldCharType="begin"/>
          </w:r>
          <w:r>
            <w:instrText xml:space="preserve"> HYPERLINK \l "_Toc15305" </w:instrText>
          </w:r>
          <w:r>
            <w:fldChar w:fldCharType="separate"/>
          </w:r>
          <w:r>
            <w:rPr>
              <w:rFonts w:hint="eastAsia" w:ascii="仿宋" w:hAnsi="仿宋" w:eastAsia="仿宋"/>
              <w:highlight w:val="none"/>
              <w:lang w:bidi="en-US"/>
            </w:rPr>
            <w:t>（二）主要绩效</w:t>
          </w:r>
          <w:r>
            <w:rPr>
              <w:highlight w:val="none"/>
            </w:rPr>
            <w:tab/>
          </w:r>
          <w:r>
            <w:rPr>
              <w:highlight w:val="none"/>
            </w:rPr>
            <w:fldChar w:fldCharType="begin"/>
          </w:r>
          <w:r>
            <w:rPr>
              <w:highlight w:val="none"/>
            </w:rPr>
            <w:instrText xml:space="preserve"> PAGEREF _Toc15305 \h </w:instrText>
          </w:r>
          <w:r>
            <w:rPr>
              <w:highlight w:val="none"/>
            </w:rPr>
            <w:fldChar w:fldCharType="separate"/>
          </w:r>
          <w:r>
            <w:rPr>
              <w:highlight w:val="none"/>
            </w:rPr>
            <w:t>20</w:t>
          </w:r>
          <w:r>
            <w:rPr>
              <w:highlight w:val="none"/>
            </w:rPr>
            <w:fldChar w:fldCharType="end"/>
          </w:r>
          <w:r>
            <w:rPr>
              <w:highlight w:val="none"/>
            </w:rPr>
            <w:fldChar w:fldCharType="end"/>
          </w:r>
        </w:p>
        <w:p w14:paraId="3B36CB0E">
          <w:pPr>
            <w:pStyle w:val="10"/>
            <w:tabs>
              <w:tab w:val="right" w:leader="dot" w:pos="8306"/>
            </w:tabs>
            <w:rPr>
              <w:highlight w:val="none"/>
            </w:rPr>
          </w:pPr>
          <w:r>
            <w:fldChar w:fldCharType="begin"/>
          </w:r>
          <w:r>
            <w:instrText xml:space="preserve"> HYPERLINK \l "_Toc29094" </w:instrText>
          </w:r>
          <w:r>
            <w:fldChar w:fldCharType="separate"/>
          </w:r>
          <w:r>
            <w:rPr>
              <w:rFonts w:hint="eastAsia" w:ascii="仿宋" w:hAnsi="仿宋" w:eastAsia="仿宋"/>
              <w:szCs w:val="36"/>
              <w:highlight w:val="none"/>
              <w:lang w:bidi="en-US"/>
            </w:rPr>
            <w:t>四、绩效评价指标分析</w:t>
          </w:r>
          <w:r>
            <w:rPr>
              <w:highlight w:val="none"/>
            </w:rPr>
            <w:tab/>
          </w:r>
          <w:r>
            <w:rPr>
              <w:highlight w:val="none"/>
            </w:rPr>
            <w:fldChar w:fldCharType="begin"/>
          </w:r>
          <w:r>
            <w:rPr>
              <w:highlight w:val="none"/>
            </w:rPr>
            <w:instrText xml:space="preserve"> PAGEREF _Toc29094 \h </w:instrText>
          </w:r>
          <w:r>
            <w:rPr>
              <w:highlight w:val="none"/>
            </w:rPr>
            <w:fldChar w:fldCharType="separate"/>
          </w:r>
          <w:r>
            <w:rPr>
              <w:highlight w:val="none"/>
            </w:rPr>
            <w:t>20</w:t>
          </w:r>
          <w:r>
            <w:rPr>
              <w:highlight w:val="none"/>
            </w:rPr>
            <w:fldChar w:fldCharType="end"/>
          </w:r>
          <w:r>
            <w:rPr>
              <w:highlight w:val="none"/>
            </w:rPr>
            <w:fldChar w:fldCharType="end"/>
          </w:r>
        </w:p>
        <w:p w14:paraId="7D371B30">
          <w:pPr>
            <w:pStyle w:val="12"/>
            <w:tabs>
              <w:tab w:val="right" w:leader="dot" w:pos="8306"/>
            </w:tabs>
            <w:rPr>
              <w:highlight w:val="none"/>
            </w:rPr>
          </w:pPr>
          <w:r>
            <w:fldChar w:fldCharType="begin"/>
          </w:r>
          <w:r>
            <w:instrText xml:space="preserve"> HYPERLINK \l "_Toc18575" </w:instrText>
          </w:r>
          <w:r>
            <w:fldChar w:fldCharType="separate"/>
          </w:r>
          <w:r>
            <w:rPr>
              <w:rFonts w:hint="eastAsia" w:ascii="仿宋" w:hAnsi="仿宋" w:eastAsia="仿宋"/>
              <w:highlight w:val="none"/>
              <w:lang w:bidi="en-US"/>
            </w:rPr>
            <w:t>（一）项目决策情况</w:t>
          </w:r>
          <w:r>
            <w:rPr>
              <w:highlight w:val="none"/>
            </w:rPr>
            <w:tab/>
          </w:r>
          <w:r>
            <w:rPr>
              <w:highlight w:val="none"/>
            </w:rPr>
            <w:fldChar w:fldCharType="begin"/>
          </w:r>
          <w:r>
            <w:rPr>
              <w:highlight w:val="none"/>
            </w:rPr>
            <w:instrText xml:space="preserve"> PAGEREF _Toc18575 \h </w:instrText>
          </w:r>
          <w:r>
            <w:rPr>
              <w:highlight w:val="none"/>
            </w:rPr>
            <w:fldChar w:fldCharType="separate"/>
          </w:r>
          <w:r>
            <w:rPr>
              <w:highlight w:val="none"/>
            </w:rPr>
            <w:t>20</w:t>
          </w:r>
          <w:r>
            <w:rPr>
              <w:highlight w:val="none"/>
            </w:rPr>
            <w:fldChar w:fldCharType="end"/>
          </w:r>
          <w:r>
            <w:rPr>
              <w:highlight w:val="none"/>
            </w:rPr>
            <w:fldChar w:fldCharType="end"/>
          </w:r>
        </w:p>
        <w:p w14:paraId="606807F6">
          <w:pPr>
            <w:pStyle w:val="5"/>
            <w:tabs>
              <w:tab w:val="right" w:leader="dot" w:pos="8306"/>
            </w:tabs>
            <w:rPr>
              <w:highlight w:val="none"/>
            </w:rPr>
          </w:pPr>
          <w:r>
            <w:fldChar w:fldCharType="begin"/>
          </w:r>
          <w:r>
            <w:instrText xml:space="preserve"> HYPERLINK \l "_Toc3717" </w:instrText>
          </w:r>
          <w:r>
            <w:fldChar w:fldCharType="separate"/>
          </w:r>
          <w:r>
            <w:rPr>
              <w:highlight w:val="none"/>
            </w:rPr>
            <w:t>1.</w:t>
          </w:r>
          <w:r>
            <w:rPr>
              <w:rFonts w:hint="eastAsia"/>
              <w:highlight w:val="none"/>
            </w:rPr>
            <w:t>项目立项</w:t>
          </w:r>
          <w:r>
            <w:rPr>
              <w:highlight w:val="none"/>
            </w:rPr>
            <w:tab/>
          </w:r>
          <w:r>
            <w:rPr>
              <w:highlight w:val="none"/>
            </w:rPr>
            <w:fldChar w:fldCharType="begin"/>
          </w:r>
          <w:r>
            <w:rPr>
              <w:highlight w:val="none"/>
            </w:rPr>
            <w:instrText xml:space="preserve"> PAGEREF _Toc3717 \h </w:instrText>
          </w:r>
          <w:r>
            <w:rPr>
              <w:highlight w:val="none"/>
            </w:rPr>
            <w:fldChar w:fldCharType="separate"/>
          </w:r>
          <w:r>
            <w:rPr>
              <w:highlight w:val="none"/>
            </w:rPr>
            <w:t>21</w:t>
          </w:r>
          <w:r>
            <w:rPr>
              <w:highlight w:val="none"/>
            </w:rPr>
            <w:fldChar w:fldCharType="end"/>
          </w:r>
          <w:r>
            <w:rPr>
              <w:highlight w:val="none"/>
            </w:rPr>
            <w:fldChar w:fldCharType="end"/>
          </w:r>
        </w:p>
        <w:p w14:paraId="0F517798">
          <w:pPr>
            <w:pStyle w:val="5"/>
            <w:tabs>
              <w:tab w:val="right" w:leader="dot" w:pos="8306"/>
            </w:tabs>
            <w:rPr>
              <w:highlight w:val="none"/>
            </w:rPr>
          </w:pPr>
          <w:r>
            <w:fldChar w:fldCharType="begin"/>
          </w:r>
          <w:r>
            <w:instrText xml:space="preserve"> HYPERLINK \l "_Toc32765" </w:instrText>
          </w:r>
          <w:r>
            <w:fldChar w:fldCharType="separate"/>
          </w:r>
          <w:r>
            <w:rPr>
              <w:rFonts w:hint="eastAsia"/>
              <w:highlight w:val="none"/>
            </w:rPr>
            <w:t>2</w:t>
          </w:r>
          <w:r>
            <w:rPr>
              <w:highlight w:val="none"/>
            </w:rPr>
            <w:t>.</w:t>
          </w:r>
          <w:r>
            <w:rPr>
              <w:rFonts w:hint="eastAsia"/>
              <w:highlight w:val="none"/>
            </w:rPr>
            <w:t>绩效目标</w:t>
          </w:r>
          <w:r>
            <w:rPr>
              <w:highlight w:val="none"/>
            </w:rPr>
            <w:tab/>
          </w:r>
          <w:r>
            <w:rPr>
              <w:highlight w:val="none"/>
            </w:rPr>
            <w:fldChar w:fldCharType="begin"/>
          </w:r>
          <w:r>
            <w:rPr>
              <w:highlight w:val="none"/>
            </w:rPr>
            <w:instrText xml:space="preserve"> PAGEREF _Toc32765 \h </w:instrText>
          </w:r>
          <w:r>
            <w:rPr>
              <w:highlight w:val="none"/>
            </w:rPr>
            <w:fldChar w:fldCharType="separate"/>
          </w:r>
          <w:r>
            <w:rPr>
              <w:highlight w:val="none"/>
            </w:rPr>
            <w:t>22</w:t>
          </w:r>
          <w:r>
            <w:rPr>
              <w:highlight w:val="none"/>
            </w:rPr>
            <w:fldChar w:fldCharType="end"/>
          </w:r>
          <w:r>
            <w:rPr>
              <w:highlight w:val="none"/>
            </w:rPr>
            <w:fldChar w:fldCharType="end"/>
          </w:r>
        </w:p>
        <w:p w14:paraId="789402BD">
          <w:pPr>
            <w:pStyle w:val="5"/>
            <w:tabs>
              <w:tab w:val="right" w:leader="dot" w:pos="8306"/>
            </w:tabs>
            <w:rPr>
              <w:highlight w:val="none"/>
            </w:rPr>
          </w:pPr>
          <w:r>
            <w:fldChar w:fldCharType="begin"/>
          </w:r>
          <w:r>
            <w:instrText xml:space="preserve"> HYPERLINK \l "_Toc14136" </w:instrText>
          </w:r>
          <w:r>
            <w:fldChar w:fldCharType="separate"/>
          </w:r>
          <w:r>
            <w:rPr>
              <w:rFonts w:hint="eastAsia"/>
              <w:highlight w:val="none"/>
            </w:rPr>
            <w:t>3.资金投入</w:t>
          </w:r>
          <w:r>
            <w:rPr>
              <w:highlight w:val="none"/>
            </w:rPr>
            <w:tab/>
          </w:r>
          <w:r>
            <w:rPr>
              <w:highlight w:val="none"/>
            </w:rPr>
            <w:fldChar w:fldCharType="begin"/>
          </w:r>
          <w:r>
            <w:rPr>
              <w:highlight w:val="none"/>
            </w:rPr>
            <w:instrText xml:space="preserve"> PAGEREF _Toc14136 \h </w:instrText>
          </w:r>
          <w:r>
            <w:rPr>
              <w:highlight w:val="none"/>
            </w:rPr>
            <w:fldChar w:fldCharType="separate"/>
          </w:r>
          <w:r>
            <w:rPr>
              <w:highlight w:val="none"/>
            </w:rPr>
            <w:t>22</w:t>
          </w:r>
          <w:r>
            <w:rPr>
              <w:highlight w:val="none"/>
            </w:rPr>
            <w:fldChar w:fldCharType="end"/>
          </w:r>
          <w:r>
            <w:rPr>
              <w:highlight w:val="none"/>
            </w:rPr>
            <w:fldChar w:fldCharType="end"/>
          </w:r>
        </w:p>
        <w:p w14:paraId="3F2B93B0">
          <w:pPr>
            <w:pStyle w:val="12"/>
            <w:tabs>
              <w:tab w:val="right" w:leader="dot" w:pos="8306"/>
            </w:tabs>
            <w:rPr>
              <w:highlight w:val="none"/>
            </w:rPr>
          </w:pPr>
          <w:r>
            <w:fldChar w:fldCharType="begin"/>
          </w:r>
          <w:r>
            <w:instrText xml:space="preserve"> HYPERLINK \l "_Toc11664" </w:instrText>
          </w:r>
          <w:r>
            <w:fldChar w:fldCharType="separate"/>
          </w:r>
          <w:r>
            <w:rPr>
              <w:rFonts w:hint="eastAsia" w:ascii="仿宋" w:hAnsi="仿宋" w:eastAsia="仿宋"/>
              <w:highlight w:val="none"/>
              <w:lang w:bidi="en-US"/>
            </w:rPr>
            <w:t>（二）项目过程情况</w:t>
          </w:r>
          <w:r>
            <w:rPr>
              <w:highlight w:val="none"/>
            </w:rPr>
            <w:tab/>
          </w:r>
          <w:r>
            <w:rPr>
              <w:highlight w:val="none"/>
            </w:rPr>
            <w:fldChar w:fldCharType="begin"/>
          </w:r>
          <w:r>
            <w:rPr>
              <w:highlight w:val="none"/>
            </w:rPr>
            <w:instrText xml:space="preserve"> PAGEREF _Toc11664 \h </w:instrText>
          </w:r>
          <w:r>
            <w:rPr>
              <w:highlight w:val="none"/>
            </w:rPr>
            <w:fldChar w:fldCharType="separate"/>
          </w:r>
          <w:r>
            <w:rPr>
              <w:highlight w:val="none"/>
            </w:rPr>
            <w:t>23</w:t>
          </w:r>
          <w:r>
            <w:rPr>
              <w:highlight w:val="none"/>
            </w:rPr>
            <w:fldChar w:fldCharType="end"/>
          </w:r>
          <w:r>
            <w:rPr>
              <w:highlight w:val="none"/>
            </w:rPr>
            <w:fldChar w:fldCharType="end"/>
          </w:r>
        </w:p>
        <w:p w14:paraId="1F7DD432">
          <w:pPr>
            <w:pStyle w:val="5"/>
            <w:tabs>
              <w:tab w:val="right" w:leader="dot" w:pos="8306"/>
            </w:tabs>
            <w:rPr>
              <w:highlight w:val="none"/>
            </w:rPr>
          </w:pPr>
          <w:r>
            <w:fldChar w:fldCharType="begin"/>
          </w:r>
          <w:r>
            <w:instrText xml:space="preserve"> HYPERLINK \l "_Toc31139" </w:instrText>
          </w:r>
          <w:r>
            <w:fldChar w:fldCharType="separate"/>
          </w:r>
          <w:r>
            <w:rPr>
              <w:highlight w:val="none"/>
            </w:rPr>
            <w:t>1.</w:t>
          </w:r>
          <w:r>
            <w:rPr>
              <w:rFonts w:hint="eastAsia"/>
              <w:highlight w:val="none"/>
            </w:rPr>
            <w:t>资金管理</w:t>
          </w:r>
          <w:r>
            <w:rPr>
              <w:highlight w:val="none"/>
            </w:rPr>
            <w:tab/>
          </w:r>
          <w:r>
            <w:rPr>
              <w:highlight w:val="none"/>
            </w:rPr>
            <w:fldChar w:fldCharType="begin"/>
          </w:r>
          <w:r>
            <w:rPr>
              <w:highlight w:val="none"/>
            </w:rPr>
            <w:instrText xml:space="preserve"> PAGEREF _Toc31139 \h </w:instrText>
          </w:r>
          <w:r>
            <w:rPr>
              <w:highlight w:val="none"/>
            </w:rPr>
            <w:fldChar w:fldCharType="separate"/>
          </w:r>
          <w:r>
            <w:rPr>
              <w:highlight w:val="none"/>
            </w:rPr>
            <w:t>24</w:t>
          </w:r>
          <w:r>
            <w:rPr>
              <w:highlight w:val="none"/>
            </w:rPr>
            <w:fldChar w:fldCharType="end"/>
          </w:r>
          <w:r>
            <w:rPr>
              <w:highlight w:val="none"/>
            </w:rPr>
            <w:fldChar w:fldCharType="end"/>
          </w:r>
        </w:p>
        <w:p w14:paraId="63EDA045">
          <w:pPr>
            <w:pStyle w:val="5"/>
            <w:tabs>
              <w:tab w:val="right" w:leader="dot" w:pos="8306"/>
            </w:tabs>
            <w:rPr>
              <w:highlight w:val="none"/>
            </w:rPr>
          </w:pPr>
          <w:r>
            <w:fldChar w:fldCharType="begin"/>
          </w:r>
          <w:r>
            <w:instrText xml:space="preserve"> HYPERLINK \l "_Toc16009" </w:instrText>
          </w:r>
          <w:r>
            <w:fldChar w:fldCharType="separate"/>
          </w:r>
          <w:r>
            <w:rPr>
              <w:highlight w:val="none"/>
            </w:rPr>
            <w:t>2.</w:t>
          </w:r>
          <w:r>
            <w:rPr>
              <w:rFonts w:hint="eastAsia"/>
              <w:highlight w:val="none"/>
            </w:rPr>
            <w:t>组织实施</w:t>
          </w:r>
          <w:r>
            <w:rPr>
              <w:highlight w:val="none"/>
            </w:rPr>
            <w:tab/>
          </w:r>
          <w:r>
            <w:rPr>
              <w:highlight w:val="none"/>
            </w:rPr>
            <w:fldChar w:fldCharType="begin"/>
          </w:r>
          <w:r>
            <w:rPr>
              <w:highlight w:val="none"/>
            </w:rPr>
            <w:instrText xml:space="preserve"> PAGEREF _Toc16009 \h </w:instrText>
          </w:r>
          <w:r>
            <w:rPr>
              <w:highlight w:val="none"/>
            </w:rPr>
            <w:fldChar w:fldCharType="separate"/>
          </w:r>
          <w:r>
            <w:rPr>
              <w:highlight w:val="none"/>
            </w:rPr>
            <w:t>27</w:t>
          </w:r>
          <w:r>
            <w:rPr>
              <w:highlight w:val="none"/>
            </w:rPr>
            <w:fldChar w:fldCharType="end"/>
          </w:r>
          <w:r>
            <w:rPr>
              <w:highlight w:val="none"/>
            </w:rPr>
            <w:fldChar w:fldCharType="end"/>
          </w:r>
        </w:p>
        <w:p w14:paraId="7190A507">
          <w:pPr>
            <w:pStyle w:val="12"/>
            <w:tabs>
              <w:tab w:val="right" w:leader="dot" w:pos="8306"/>
            </w:tabs>
            <w:rPr>
              <w:highlight w:val="none"/>
            </w:rPr>
          </w:pPr>
          <w:r>
            <w:fldChar w:fldCharType="begin"/>
          </w:r>
          <w:r>
            <w:instrText xml:space="preserve"> HYPERLINK \l "_Toc4392" </w:instrText>
          </w:r>
          <w:r>
            <w:fldChar w:fldCharType="separate"/>
          </w:r>
          <w:r>
            <w:rPr>
              <w:rFonts w:hint="eastAsia" w:ascii="仿宋" w:hAnsi="仿宋" w:eastAsia="仿宋"/>
              <w:highlight w:val="none"/>
              <w:lang w:bidi="en-US"/>
            </w:rPr>
            <w:t>（三）项目产出情况</w:t>
          </w:r>
          <w:r>
            <w:rPr>
              <w:highlight w:val="none"/>
            </w:rPr>
            <w:tab/>
          </w:r>
          <w:r>
            <w:rPr>
              <w:highlight w:val="none"/>
            </w:rPr>
            <w:fldChar w:fldCharType="begin"/>
          </w:r>
          <w:r>
            <w:rPr>
              <w:highlight w:val="none"/>
            </w:rPr>
            <w:instrText xml:space="preserve"> PAGEREF _Toc4392 \h </w:instrText>
          </w:r>
          <w:r>
            <w:rPr>
              <w:highlight w:val="none"/>
            </w:rPr>
            <w:fldChar w:fldCharType="separate"/>
          </w:r>
          <w:r>
            <w:rPr>
              <w:highlight w:val="none"/>
            </w:rPr>
            <w:t>27</w:t>
          </w:r>
          <w:r>
            <w:rPr>
              <w:highlight w:val="none"/>
            </w:rPr>
            <w:fldChar w:fldCharType="end"/>
          </w:r>
          <w:r>
            <w:rPr>
              <w:highlight w:val="none"/>
            </w:rPr>
            <w:fldChar w:fldCharType="end"/>
          </w:r>
        </w:p>
        <w:p w14:paraId="11F28449">
          <w:pPr>
            <w:pStyle w:val="5"/>
            <w:tabs>
              <w:tab w:val="right" w:leader="dot" w:pos="8306"/>
            </w:tabs>
            <w:rPr>
              <w:highlight w:val="none"/>
            </w:rPr>
          </w:pPr>
          <w:r>
            <w:fldChar w:fldCharType="begin"/>
          </w:r>
          <w:r>
            <w:instrText xml:space="preserve"> HYPERLINK \l "_Toc8006" </w:instrText>
          </w:r>
          <w:r>
            <w:fldChar w:fldCharType="separate"/>
          </w:r>
          <w:r>
            <w:rPr>
              <w:rFonts w:hint="eastAsia"/>
              <w:highlight w:val="none"/>
            </w:rPr>
            <w:t>1</w:t>
          </w:r>
          <w:r>
            <w:rPr>
              <w:highlight w:val="none"/>
            </w:rPr>
            <w:t>.</w:t>
          </w:r>
          <w:r>
            <w:rPr>
              <w:rFonts w:hint="eastAsia"/>
              <w:highlight w:val="none"/>
            </w:rPr>
            <w:t>产出数量</w:t>
          </w:r>
          <w:r>
            <w:rPr>
              <w:highlight w:val="none"/>
            </w:rPr>
            <w:tab/>
          </w:r>
          <w:r>
            <w:rPr>
              <w:highlight w:val="none"/>
            </w:rPr>
            <w:fldChar w:fldCharType="begin"/>
          </w:r>
          <w:r>
            <w:rPr>
              <w:highlight w:val="none"/>
            </w:rPr>
            <w:instrText xml:space="preserve"> PAGEREF _Toc8006 \h </w:instrText>
          </w:r>
          <w:r>
            <w:rPr>
              <w:highlight w:val="none"/>
            </w:rPr>
            <w:fldChar w:fldCharType="separate"/>
          </w:r>
          <w:r>
            <w:rPr>
              <w:highlight w:val="none"/>
            </w:rPr>
            <w:t>28</w:t>
          </w:r>
          <w:r>
            <w:rPr>
              <w:highlight w:val="none"/>
            </w:rPr>
            <w:fldChar w:fldCharType="end"/>
          </w:r>
          <w:r>
            <w:rPr>
              <w:highlight w:val="none"/>
            </w:rPr>
            <w:fldChar w:fldCharType="end"/>
          </w:r>
        </w:p>
        <w:p w14:paraId="68AAD8DD">
          <w:pPr>
            <w:pStyle w:val="5"/>
            <w:tabs>
              <w:tab w:val="right" w:leader="dot" w:pos="8306"/>
            </w:tabs>
            <w:rPr>
              <w:highlight w:val="none"/>
            </w:rPr>
          </w:pPr>
          <w:r>
            <w:fldChar w:fldCharType="begin"/>
          </w:r>
          <w:r>
            <w:instrText xml:space="preserve"> HYPERLINK \l "_Toc25899" </w:instrText>
          </w:r>
          <w:r>
            <w:fldChar w:fldCharType="separate"/>
          </w:r>
          <w:r>
            <w:rPr>
              <w:rFonts w:hint="eastAsia"/>
              <w:highlight w:val="none"/>
            </w:rPr>
            <w:t>2</w:t>
          </w:r>
          <w:r>
            <w:rPr>
              <w:highlight w:val="none"/>
            </w:rPr>
            <w:t>.</w:t>
          </w:r>
          <w:r>
            <w:rPr>
              <w:rFonts w:hint="eastAsia"/>
              <w:highlight w:val="none"/>
            </w:rPr>
            <w:t>产出质量</w:t>
          </w:r>
          <w:r>
            <w:rPr>
              <w:highlight w:val="none"/>
            </w:rPr>
            <w:tab/>
          </w:r>
          <w:r>
            <w:rPr>
              <w:highlight w:val="none"/>
            </w:rPr>
            <w:fldChar w:fldCharType="begin"/>
          </w:r>
          <w:r>
            <w:rPr>
              <w:highlight w:val="none"/>
            </w:rPr>
            <w:instrText xml:space="preserve"> PAGEREF _Toc25899 \h </w:instrText>
          </w:r>
          <w:r>
            <w:rPr>
              <w:highlight w:val="none"/>
            </w:rPr>
            <w:fldChar w:fldCharType="separate"/>
          </w:r>
          <w:r>
            <w:rPr>
              <w:highlight w:val="none"/>
            </w:rPr>
            <w:t>28</w:t>
          </w:r>
          <w:r>
            <w:rPr>
              <w:highlight w:val="none"/>
            </w:rPr>
            <w:fldChar w:fldCharType="end"/>
          </w:r>
          <w:r>
            <w:rPr>
              <w:highlight w:val="none"/>
            </w:rPr>
            <w:fldChar w:fldCharType="end"/>
          </w:r>
        </w:p>
        <w:p w14:paraId="61CBED2B">
          <w:pPr>
            <w:pStyle w:val="5"/>
            <w:tabs>
              <w:tab w:val="right" w:leader="dot" w:pos="8306"/>
            </w:tabs>
            <w:rPr>
              <w:highlight w:val="none"/>
            </w:rPr>
          </w:pPr>
          <w:r>
            <w:fldChar w:fldCharType="begin"/>
          </w:r>
          <w:r>
            <w:instrText xml:space="preserve"> HYPERLINK \l "_Toc31791" </w:instrText>
          </w:r>
          <w:r>
            <w:fldChar w:fldCharType="separate"/>
          </w:r>
          <w:r>
            <w:rPr>
              <w:rFonts w:hint="eastAsia"/>
              <w:highlight w:val="none"/>
            </w:rPr>
            <w:t>3.产出时效</w:t>
          </w:r>
          <w:r>
            <w:rPr>
              <w:highlight w:val="none"/>
            </w:rPr>
            <w:tab/>
          </w:r>
          <w:r>
            <w:rPr>
              <w:highlight w:val="none"/>
            </w:rPr>
            <w:fldChar w:fldCharType="begin"/>
          </w:r>
          <w:r>
            <w:rPr>
              <w:highlight w:val="none"/>
            </w:rPr>
            <w:instrText xml:space="preserve"> PAGEREF _Toc31791 \h </w:instrText>
          </w:r>
          <w:r>
            <w:rPr>
              <w:highlight w:val="none"/>
            </w:rPr>
            <w:fldChar w:fldCharType="separate"/>
          </w:r>
          <w:r>
            <w:rPr>
              <w:highlight w:val="none"/>
            </w:rPr>
            <w:t>29</w:t>
          </w:r>
          <w:r>
            <w:rPr>
              <w:highlight w:val="none"/>
            </w:rPr>
            <w:fldChar w:fldCharType="end"/>
          </w:r>
          <w:r>
            <w:rPr>
              <w:highlight w:val="none"/>
            </w:rPr>
            <w:fldChar w:fldCharType="end"/>
          </w:r>
        </w:p>
        <w:p w14:paraId="59BD4552">
          <w:pPr>
            <w:pStyle w:val="5"/>
            <w:tabs>
              <w:tab w:val="right" w:leader="dot" w:pos="8306"/>
            </w:tabs>
            <w:rPr>
              <w:highlight w:val="none"/>
            </w:rPr>
          </w:pPr>
          <w:r>
            <w:fldChar w:fldCharType="begin"/>
          </w:r>
          <w:r>
            <w:instrText xml:space="preserve"> HYPERLINK \l "_Toc4286" </w:instrText>
          </w:r>
          <w:r>
            <w:fldChar w:fldCharType="separate"/>
          </w:r>
          <w:r>
            <w:rPr>
              <w:rFonts w:hint="eastAsia"/>
              <w:highlight w:val="none"/>
            </w:rPr>
            <w:t>4.产出成本</w:t>
          </w:r>
          <w:r>
            <w:rPr>
              <w:highlight w:val="none"/>
            </w:rPr>
            <w:tab/>
          </w:r>
          <w:r>
            <w:rPr>
              <w:highlight w:val="none"/>
            </w:rPr>
            <w:fldChar w:fldCharType="begin"/>
          </w:r>
          <w:r>
            <w:rPr>
              <w:highlight w:val="none"/>
            </w:rPr>
            <w:instrText xml:space="preserve"> PAGEREF _Toc4286 \h </w:instrText>
          </w:r>
          <w:r>
            <w:rPr>
              <w:highlight w:val="none"/>
            </w:rPr>
            <w:fldChar w:fldCharType="separate"/>
          </w:r>
          <w:r>
            <w:rPr>
              <w:highlight w:val="none"/>
            </w:rPr>
            <w:t>29</w:t>
          </w:r>
          <w:r>
            <w:rPr>
              <w:highlight w:val="none"/>
            </w:rPr>
            <w:fldChar w:fldCharType="end"/>
          </w:r>
          <w:r>
            <w:rPr>
              <w:highlight w:val="none"/>
            </w:rPr>
            <w:fldChar w:fldCharType="end"/>
          </w:r>
        </w:p>
        <w:p w14:paraId="743A8F48">
          <w:pPr>
            <w:pStyle w:val="12"/>
            <w:tabs>
              <w:tab w:val="right" w:leader="dot" w:pos="8306"/>
            </w:tabs>
            <w:rPr>
              <w:highlight w:val="none"/>
            </w:rPr>
          </w:pPr>
          <w:r>
            <w:fldChar w:fldCharType="begin"/>
          </w:r>
          <w:r>
            <w:instrText xml:space="preserve"> HYPERLINK \l "_Toc19243" </w:instrText>
          </w:r>
          <w:r>
            <w:fldChar w:fldCharType="separate"/>
          </w:r>
          <w:r>
            <w:rPr>
              <w:rFonts w:ascii="仿宋" w:hAnsi="仿宋" w:eastAsia="仿宋"/>
              <w:highlight w:val="none"/>
              <w:lang w:bidi="en-US"/>
            </w:rPr>
            <w:t>（四）项目效益</w:t>
          </w:r>
          <w:r>
            <w:rPr>
              <w:highlight w:val="none"/>
            </w:rPr>
            <w:tab/>
          </w:r>
          <w:r>
            <w:rPr>
              <w:highlight w:val="none"/>
            </w:rPr>
            <w:fldChar w:fldCharType="begin"/>
          </w:r>
          <w:r>
            <w:rPr>
              <w:highlight w:val="none"/>
            </w:rPr>
            <w:instrText xml:space="preserve"> PAGEREF _Toc19243 \h </w:instrText>
          </w:r>
          <w:r>
            <w:rPr>
              <w:highlight w:val="none"/>
            </w:rPr>
            <w:fldChar w:fldCharType="separate"/>
          </w:r>
          <w:r>
            <w:rPr>
              <w:highlight w:val="none"/>
            </w:rPr>
            <w:t>31</w:t>
          </w:r>
          <w:r>
            <w:rPr>
              <w:highlight w:val="none"/>
            </w:rPr>
            <w:fldChar w:fldCharType="end"/>
          </w:r>
          <w:r>
            <w:rPr>
              <w:highlight w:val="none"/>
            </w:rPr>
            <w:fldChar w:fldCharType="end"/>
          </w:r>
        </w:p>
        <w:p w14:paraId="6B6C6F4E">
          <w:pPr>
            <w:pStyle w:val="12"/>
            <w:tabs>
              <w:tab w:val="right" w:leader="dot" w:pos="8306"/>
            </w:tabs>
            <w:rPr>
              <w:highlight w:val="none"/>
            </w:rPr>
          </w:pPr>
          <w:r>
            <w:fldChar w:fldCharType="begin"/>
          </w:r>
          <w:r>
            <w:instrText xml:space="preserve"> HYPERLINK \l "_Toc25797" </w:instrText>
          </w:r>
          <w:r>
            <w:fldChar w:fldCharType="separate"/>
          </w:r>
          <w:r>
            <w:rPr>
              <w:rFonts w:hint="eastAsia" w:ascii="仿宋" w:hAnsi="仿宋" w:eastAsia="仿宋"/>
              <w:highlight w:val="none"/>
              <w:lang w:bidi="en-US"/>
            </w:rPr>
            <w:t>（五）</w:t>
          </w:r>
          <w:r>
            <w:rPr>
              <w:rFonts w:ascii="仿宋" w:hAnsi="仿宋" w:eastAsia="仿宋"/>
              <w:highlight w:val="none"/>
              <w:lang w:bidi="en-US"/>
            </w:rPr>
            <w:t>满意度指标完成情况分析</w:t>
          </w:r>
          <w:r>
            <w:rPr>
              <w:highlight w:val="none"/>
            </w:rPr>
            <w:tab/>
          </w:r>
          <w:r>
            <w:rPr>
              <w:highlight w:val="none"/>
            </w:rPr>
            <w:fldChar w:fldCharType="begin"/>
          </w:r>
          <w:r>
            <w:rPr>
              <w:highlight w:val="none"/>
            </w:rPr>
            <w:instrText xml:space="preserve"> PAGEREF _Toc25797 \h </w:instrText>
          </w:r>
          <w:r>
            <w:rPr>
              <w:highlight w:val="none"/>
            </w:rPr>
            <w:fldChar w:fldCharType="separate"/>
          </w:r>
          <w:r>
            <w:rPr>
              <w:highlight w:val="none"/>
            </w:rPr>
            <w:t>31</w:t>
          </w:r>
          <w:r>
            <w:rPr>
              <w:highlight w:val="none"/>
            </w:rPr>
            <w:fldChar w:fldCharType="end"/>
          </w:r>
          <w:r>
            <w:rPr>
              <w:highlight w:val="none"/>
            </w:rPr>
            <w:fldChar w:fldCharType="end"/>
          </w:r>
        </w:p>
        <w:p w14:paraId="6DAED439">
          <w:pPr>
            <w:pStyle w:val="10"/>
            <w:tabs>
              <w:tab w:val="right" w:leader="dot" w:pos="8306"/>
            </w:tabs>
            <w:rPr>
              <w:highlight w:val="none"/>
            </w:rPr>
          </w:pPr>
          <w:r>
            <w:fldChar w:fldCharType="begin"/>
          </w:r>
          <w:r>
            <w:instrText xml:space="preserve"> HYPERLINK \l "_Toc27077" </w:instrText>
          </w:r>
          <w:r>
            <w:fldChar w:fldCharType="separate"/>
          </w:r>
          <w:r>
            <w:rPr>
              <w:rFonts w:hint="eastAsia" w:ascii="仿宋" w:hAnsi="仿宋" w:eastAsia="仿宋"/>
              <w:szCs w:val="36"/>
              <w:highlight w:val="none"/>
              <w:lang w:bidi="en-US"/>
            </w:rPr>
            <w:t>五、主要经验及做法、存在的问题及原因分析</w:t>
          </w:r>
          <w:r>
            <w:rPr>
              <w:highlight w:val="none"/>
            </w:rPr>
            <w:tab/>
          </w:r>
          <w:r>
            <w:rPr>
              <w:highlight w:val="none"/>
            </w:rPr>
            <w:fldChar w:fldCharType="begin"/>
          </w:r>
          <w:r>
            <w:rPr>
              <w:highlight w:val="none"/>
            </w:rPr>
            <w:instrText xml:space="preserve"> PAGEREF _Toc27077 \h </w:instrText>
          </w:r>
          <w:r>
            <w:rPr>
              <w:highlight w:val="none"/>
            </w:rPr>
            <w:fldChar w:fldCharType="separate"/>
          </w:r>
          <w:r>
            <w:rPr>
              <w:highlight w:val="none"/>
            </w:rPr>
            <w:t>32</w:t>
          </w:r>
          <w:r>
            <w:rPr>
              <w:highlight w:val="none"/>
            </w:rPr>
            <w:fldChar w:fldCharType="end"/>
          </w:r>
          <w:r>
            <w:rPr>
              <w:highlight w:val="none"/>
            </w:rPr>
            <w:fldChar w:fldCharType="end"/>
          </w:r>
        </w:p>
        <w:p w14:paraId="3E77F3EF">
          <w:pPr>
            <w:pStyle w:val="12"/>
            <w:tabs>
              <w:tab w:val="right" w:leader="dot" w:pos="8306"/>
            </w:tabs>
            <w:rPr>
              <w:highlight w:val="none"/>
            </w:rPr>
          </w:pPr>
          <w:r>
            <w:fldChar w:fldCharType="begin"/>
          </w:r>
          <w:r>
            <w:instrText xml:space="preserve"> HYPERLINK \l "_Toc8201" </w:instrText>
          </w:r>
          <w:r>
            <w:fldChar w:fldCharType="separate"/>
          </w:r>
          <w:r>
            <w:rPr>
              <w:rFonts w:hint="eastAsia" w:ascii="仿宋" w:hAnsi="仿宋" w:eastAsia="仿宋"/>
              <w:highlight w:val="none"/>
              <w:lang w:bidi="en-US"/>
            </w:rPr>
            <w:t>（一）主要经验及做法</w:t>
          </w:r>
          <w:r>
            <w:rPr>
              <w:highlight w:val="none"/>
            </w:rPr>
            <w:tab/>
          </w:r>
          <w:r>
            <w:rPr>
              <w:highlight w:val="none"/>
            </w:rPr>
            <w:fldChar w:fldCharType="begin"/>
          </w:r>
          <w:r>
            <w:rPr>
              <w:highlight w:val="none"/>
            </w:rPr>
            <w:instrText xml:space="preserve"> PAGEREF _Toc8201 \h </w:instrText>
          </w:r>
          <w:r>
            <w:rPr>
              <w:highlight w:val="none"/>
            </w:rPr>
            <w:fldChar w:fldCharType="separate"/>
          </w:r>
          <w:r>
            <w:rPr>
              <w:highlight w:val="none"/>
            </w:rPr>
            <w:t>32</w:t>
          </w:r>
          <w:r>
            <w:rPr>
              <w:highlight w:val="none"/>
            </w:rPr>
            <w:fldChar w:fldCharType="end"/>
          </w:r>
          <w:r>
            <w:rPr>
              <w:highlight w:val="none"/>
            </w:rPr>
            <w:fldChar w:fldCharType="end"/>
          </w:r>
        </w:p>
        <w:p w14:paraId="32D14CB6">
          <w:pPr>
            <w:pStyle w:val="12"/>
            <w:tabs>
              <w:tab w:val="right" w:leader="dot" w:pos="8306"/>
            </w:tabs>
            <w:rPr>
              <w:highlight w:val="none"/>
            </w:rPr>
          </w:pPr>
          <w:r>
            <w:fldChar w:fldCharType="begin"/>
          </w:r>
          <w:r>
            <w:instrText xml:space="preserve"> HYPERLINK \l "_Toc15715" </w:instrText>
          </w:r>
          <w:r>
            <w:fldChar w:fldCharType="separate"/>
          </w:r>
          <w:r>
            <w:rPr>
              <w:rFonts w:hint="eastAsia" w:ascii="仿宋" w:hAnsi="仿宋" w:eastAsia="仿宋"/>
              <w:highlight w:val="none"/>
              <w:lang w:bidi="en-US"/>
            </w:rPr>
            <w:t>（二）存在的问题及原因分析</w:t>
          </w:r>
          <w:r>
            <w:rPr>
              <w:highlight w:val="none"/>
            </w:rPr>
            <w:tab/>
          </w:r>
          <w:r>
            <w:rPr>
              <w:highlight w:val="none"/>
            </w:rPr>
            <w:fldChar w:fldCharType="begin"/>
          </w:r>
          <w:r>
            <w:rPr>
              <w:highlight w:val="none"/>
            </w:rPr>
            <w:instrText xml:space="preserve"> PAGEREF _Toc15715 \h </w:instrText>
          </w:r>
          <w:r>
            <w:rPr>
              <w:highlight w:val="none"/>
            </w:rPr>
            <w:fldChar w:fldCharType="separate"/>
          </w:r>
          <w:r>
            <w:rPr>
              <w:highlight w:val="none"/>
            </w:rPr>
            <w:t>33</w:t>
          </w:r>
          <w:r>
            <w:rPr>
              <w:highlight w:val="none"/>
            </w:rPr>
            <w:fldChar w:fldCharType="end"/>
          </w:r>
          <w:r>
            <w:rPr>
              <w:highlight w:val="none"/>
            </w:rPr>
            <w:fldChar w:fldCharType="end"/>
          </w:r>
        </w:p>
        <w:p w14:paraId="547CFB23">
          <w:pPr>
            <w:pStyle w:val="10"/>
            <w:tabs>
              <w:tab w:val="right" w:leader="dot" w:pos="8306"/>
            </w:tabs>
            <w:rPr>
              <w:highlight w:val="none"/>
            </w:rPr>
          </w:pPr>
          <w:r>
            <w:fldChar w:fldCharType="begin"/>
          </w:r>
          <w:r>
            <w:instrText xml:space="preserve"> HYPERLINK \l "_Toc13588" </w:instrText>
          </w:r>
          <w:r>
            <w:fldChar w:fldCharType="separate"/>
          </w:r>
          <w:r>
            <w:rPr>
              <w:rFonts w:hint="eastAsia" w:ascii="仿宋" w:hAnsi="仿宋" w:eastAsia="仿宋"/>
              <w:szCs w:val="36"/>
              <w:highlight w:val="none"/>
              <w:lang w:bidi="en-US"/>
            </w:rPr>
            <w:t>六、有关建议</w:t>
          </w:r>
          <w:r>
            <w:rPr>
              <w:highlight w:val="none"/>
            </w:rPr>
            <w:tab/>
          </w:r>
          <w:r>
            <w:rPr>
              <w:highlight w:val="none"/>
            </w:rPr>
            <w:fldChar w:fldCharType="begin"/>
          </w:r>
          <w:r>
            <w:rPr>
              <w:highlight w:val="none"/>
            </w:rPr>
            <w:instrText xml:space="preserve"> PAGEREF _Toc13588 \h </w:instrText>
          </w:r>
          <w:r>
            <w:rPr>
              <w:highlight w:val="none"/>
            </w:rPr>
            <w:fldChar w:fldCharType="separate"/>
          </w:r>
          <w:r>
            <w:rPr>
              <w:highlight w:val="none"/>
            </w:rPr>
            <w:t>33</w:t>
          </w:r>
          <w:r>
            <w:rPr>
              <w:highlight w:val="none"/>
            </w:rPr>
            <w:fldChar w:fldCharType="end"/>
          </w:r>
          <w:r>
            <w:rPr>
              <w:highlight w:val="none"/>
            </w:rPr>
            <w:fldChar w:fldCharType="end"/>
          </w:r>
        </w:p>
        <w:p w14:paraId="54FEAB0F">
          <w:pPr>
            <w:pStyle w:val="10"/>
            <w:tabs>
              <w:tab w:val="right" w:leader="dot" w:pos="8306"/>
            </w:tabs>
          </w:pPr>
          <w:r>
            <w:fldChar w:fldCharType="begin"/>
          </w:r>
          <w:r>
            <w:instrText xml:space="preserve"> HYPERLINK \l "_Toc29650" </w:instrText>
          </w:r>
          <w:r>
            <w:fldChar w:fldCharType="separate"/>
          </w:r>
          <w:r>
            <w:rPr>
              <w:rFonts w:hint="eastAsia" w:ascii="仿宋" w:hAnsi="仿宋" w:eastAsia="仿宋"/>
              <w:szCs w:val="36"/>
              <w:highlight w:val="none"/>
              <w:lang w:bidi="en-US"/>
            </w:rPr>
            <w:t>七、其他需要说明的问题</w:t>
          </w:r>
          <w:r>
            <w:rPr>
              <w:highlight w:val="none"/>
            </w:rPr>
            <w:tab/>
          </w:r>
          <w:r>
            <w:rPr>
              <w:highlight w:val="none"/>
            </w:rPr>
            <w:fldChar w:fldCharType="begin"/>
          </w:r>
          <w:r>
            <w:rPr>
              <w:highlight w:val="none"/>
            </w:rPr>
            <w:instrText xml:space="preserve"> PAGEREF _Toc29650 \h </w:instrText>
          </w:r>
          <w:r>
            <w:rPr>
              <w:highlight w:val="none"/>
            </w:rPr>
            <w:fldChar w:fldCharType="separate"/>
          </w:r>
          <w:r>
            <w:rPr>
              <w:highlight w:val="none"/>
            </w:rPr>
            <w:t>34</w:t>
          </w:r>
          <w:r>
            <w:rPr>
              <w:highlight w:val="none"/>
            </w:rPr>
            <w:fldChar w:fldCharType="end"/>
          </w:r>
          <w:r>
            <w:rPr>
              <w:highlight w:val="none"/>
            </w:rPr>
            <w:fldChar w:fldCharType="end"/>
          </w:r>
        </w:p>
        <w:p w14:paraId="44F11137">
          <w:pPr>
            <w:ind w:firstLine="562"/>
          </w:pPr>
          <w:r>
            <w:rPr>
              <w:bCs/>
              <w:lang w:val="zh-CN"/>
            </w:rPr>
            <w:fldChar w:fldCharType="end"/>
          </w:r>
        </w:p>
      </w:sdtContent>
    </w:sdt>
    <w:p w14:paraId="77028BE6">
      <w:pPr>
        <w:ind w:firstLine="598" w:firstLineChars="187"/>
        <w:rPr>
          <w:rFonts w:ascii="仿宋_GB2312" w:hAnsi="Times New Roman" w:cs="Times New Roman"/>
          <w:sz w:val="32"/>
          <w:szCs w:val="32"/>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14:paraId="53990A7C">
      <w:pPr>
        <w:pStyle w:val="2"/>
        <w:ind w:firstLine="0" w:firstLineChars="0"/>
        <w:jc w:val="left"/>
        <w:rPr>
          <w:rFonts w:ascii="仿宋" w:hAnsi="仿宋" w:eastAsia="仿宋"/>
          <w:sz w:val="36"/>
          <w:szCs w:val="36"/>
          <w:lang w:bidi="en-US"/>
        </w:rPr>
      </w:pPr>
      <w:bookmarkStart w:id="0" w:name="_Toc16149"/>
      <w:bookmarkStart w:id="1" w:name="_Toc67911601"/>
      <w:r>
        <w:rPr>
          <w:rFonts w:hint="eastAsia" w:ascii="仿宋" w:hAnsi="仿宋" w:eastAsia="仿宋"/>
          <w:sz w:val="36"/>
          <w:szCs w:val="36"/>
          <w:lang w:bidi="en-US"/>
        </w:rPr>
        <w:t>一、基本情况</w:t>
      </w:r>
      <w:bookmarkEnd w:id="0"/>
      <w:bookmarkEnd w:id="1"/>
    </w:p>
    <w:p w14:paraId="7E8F568B">
      <w:pPr>
        <w:pStyle w:val="3"/>
        <w:ind w:firstLine="643"/>
        <w:rPr>
          <w:rFonts w:ascii="仿宋" w:hAnsi="仿宋" w:eastAsia="仿宋"/>
          <w:lang w:bidi="en-US"/>
        </w:rPr>
      </w:pPr>
      <w:bookmarkStart w:id="2" w:name="_Toc12035"/>
      <w:bookmarkStart w:id="3" w:name="_Toc67911602"/>
      <w:r>
        <w:rPr>
          <w:rFonts w:hint="eastAsia" w:ascii="仿宋" w:hAnsi="仿宋" w:eastAsia="仿宋"/>
          <w:lang w:bidi="en-US"/>
        </w:rPr>
        <w:t>（一）项目概况：</w:t>
      </w:r>
      <w:bookmarkEnd w:id="2"/>
      <w:bookmarkEnd w:id="3"/>
    </w:p>
    <w:p w14:paraId="32429222">
      <w:pPr>
        <w:pStyle w:val="4"/>
        <w:ind w:firstLine="643"/>
      </w:pPr>
      <w:bookmarkStart w:id="4" w:name="_Toc17060"/>
      <w:r>
        <w:rPr>
          <w:rFonts w:hint="eastAsia"/>
        </w:rPr>
        <w:t>1．项目背景、主要内容及实施情况</w:t>
      </w:r>
      <w:bookmarkEnd w:id="4"/>
    </w:p>
    <w:p w14:paraId="5432E9D4">
      <w:pPr>
        <w:spacing w:line="360" w:lineRule="auto"/>
        <w:ind w:firstLine="560"/>
        <w:rPr>
          <w:rFonts w:hint="eastAsia" w:ascii="仿宋_GB2312"/>
        </w:rPr>
      </w:pPr>
      <w:r>
        <w:rPr>
          <w:rFonts w:hint="eastAsia" w:ascii="仿宋_GB2312"/>
          <w:highlight w:val="none"/>
        </w:rPr>
        <w:t>该项目实施背景：随着人口</w:t>
      </w:r>
      <w:r>
        <w:rPr>
          <w:rFonts w:hint="eastAsia" w:ascii="仿宋_GB2312"/>
        </w:rPr>
        <w:t>增长与医疗技术发展，手术、急救及慢性病治疗等临床用血需求激增，传统分散采血模式难以满足现代医疗对血液制品专业化、规模化的要求。20世纪80-90年代，有偿献血引发的血液安全危机暴露了监管漏洞和疾病传播风险，促使1998年《献血法》出台，推动无偿献血制度转型，以切断商业利益链条，保障血液来源安全。与此同时，公共卫生体系的整合需求催生了血站的系统化角色——通过统一标准采集、检测和调配血液，严控艾滋病、肝炎等血源性传染病扩散，成为疾病防控的关键环节。此外，自然灾害和突发公共卫生事件凸显血液应急储备的重要性，血站为快速响应提供了资源保障。社会公益意识的增强和国际经验借鉴进一步推动了无偿献血普及，使血站成为连接公众参与和医疗需求的纽带。通过专业化管理、技术升级和资源优化，血站不仅解决了历史遗留的安全隐患，更成为我国医疗现代化和公共卫生基础设施的核心支柱，实现了血液安全供应与社会健康福祉的双重目标。</w:t>
      </w:r>
    </w:p>
    <w:p w14:paraId="5E962B7B">
      <w:pPr>
        <w:spacing w:line="360" w:lineRule="auto"/>
        <w:ind w:firstLine="560"/>
        <w:rPr>
          <w:rFonts w:ascii="仿宋_GB2312"/>
        </w:rPr>
      </w:pPr>
      <w:r>
        <w:rPr>
          <w:rFonts w:ascii="仿宋_GB2312"/>
        </w:rPr>
        <w:t>项目</w:t>
      </w:r>
      <w:r>
        <w:rPr>
          <w:rFonts w:hint="eastAsia" w:ascii="仿宋_GB2312"/>
        </w:rPr>
        <w:t>2024</w:t>
      </w:r>
      <w:r>
        <w:rPr>
          <w:rFonts w:ascii="仿宋_GB2312"/>
        </w:rPr>
        <w:t>年的主要实施内容：</w:t>
      </w:r>
      <w:r>
        <w:rPr>
          <w:rFonts w:hint="eastAsia" w:ascii="仿宋_GB2312"/>
        </w:rPr>
        <w:t>①因采供血业务的特殊性，血库、检验、制备等设备需24小时用电</w:t>
      </w:r>
      <w:r>
        <w:rPr>
          <w:rFonts w:hint="eastAsia" w:ascii="仿宋_GB2312"/>
          <w:lang w:eastAsia="zh-CN"/>
        </w:rPr>
        <w:t>，</w:t>
      </w:r>
      <w:r>
        <w:rPr>
          <w:rFonts w:hint="eastAsia" w:ascii="仿宋_GB2312"/>
          <w:lang w:val="en-US" w:eastAsia="zh-CN"/>
        </w:rPr>
        <w:t>本项目负责保障我中心及各点位的用电，支付电费；</w:t>
      </w:r>
      <w:r>
        <w:rPr>
          <w:rFonts w:hint="eastAsia" w:ascii="仿宋_GB2312"/>
        </w:rPr>
        <w:t>②我单位业务科室使用较多专业设备用于血液制备、检验和存储，为保障单位正常运转、保证采供血职能，</w:t>
      </w:r>
      <w:r>
        <w:rPr>
          <w:rFonts w:hint="eastAsia" w:ascii="仿宋_GB2312"/>
          <w:lang w:val="en-US" w:eastAsia="zh-CN"/>
        </w:rPr>
        <w:t>需要对</w:t>
      </w:r>
      <w:r>
        <w:rPr>
          <w:rFonts w:hint="eastAsia" w:ascii="仿宋_GB2312"/>
        </w:rPr>
        <w:t>设备、电梯</w:t>
      </w:r>
      <w:r>
        <w:rPr>
          <w:rFonts w:hint="eastAsia" w:ascii="仿宋_GB2312"/>
          <w:lang w:val="en-US" w:eastAsia="zh-CN"/>
        </w:rPr>
        <w:t>进行</w:t>
      </w:r>
      <w:r>
        <w:rPr>
          <w:rFonts w:hint="eastAsia" w:ascii="仿宋_GB2312"/>
        </w:rPr>
        <w:t>维修、维保</w:t>
      </w:r>
      <w:r>
        <w:rPr>
          <w:rFonts w:hint="eastAsia" w:ascii="仿宋_GB2312"/>
          <w:lang w:eastAsia="zh-CN"/>
        </w:rPr>
        <w:t>；</w:t>
      </w:r>
      <w:r>
        <w:rPr>
          <w:rFonts w:hint="eastAsia" w:ascii="仿宋_GB2312"/>
        </w:rPr>
        <w:t>③我单位为临床医院提供RhD阴性确认试验、特殊血型鉴定、母婴血型不合引起的新生儿溶血病实验室检测、各种经血传播病毒的检测、输血反应查因、疑难输血检测服务、隐匿性乙型肝炎病毒复制相关基因甲基化水平的研究，服务于患者，满足临床用血机构的需求，保障用血安全</w:t>
      </w:r>
      <w:r>
        <w:rPr>
          <w:rFonts w:hint="eastAsia" w:ascii="仿宋_GB2312"/>
          <w:lang w:eastAsia="zh-CN"/>
        </w:rPr>
        <w:t>；</w:t>
      </w:r>
      <w:r>
        <w:rPr>
          <w:rFonts w:hint="eastAsia" w:ascii="仿宋_GB2312"/>
        </w:rPr>
        <w:t>④根据我单位实际业务需要，在职人员不能满足我单位的业务需求，需聘用人员补充人员空缺，聘用人员部分劳务费从该项目支出</w:t>
      </w:r>
      <w:r>
        <w:rPr>
          <w:rFonts w:hint="eastAsia" w:ascii="仿宋_GB2312"/>
          <w:lang w:eastAsia="zh-CN"/>
        </w:rPr>
        <w:t>；</w:t>
      </w:r>
      <w:r>
        <w:rPr>
          <w:rFonts w:hint="eastAsia" w:ascii="仿宋_GB2312"/>
        </w:rPr>
        <w:t>⑤献血者补贴、血费报销、医院奖励金等：为捐献机采血小板的献血者发放交通补助；根据《中华人民共和国献血法》</w:t>
      </w:r>
      <w:r>
        <w:rPr>
          <w:rFonts w:hint="eastAsia" w:ascii="仿宋_GB2312"/>
          <w:lang w:eastAsia="zh-CN"/>
        </w:rPr>
        <w:t>（</w:t>
      </w:r>
      <w:r>
        <w:rPr>
          <w:rFonts w:hint="eastAsia" w:ascii="仿宋_GB2312"/>
        </w:rPr>
        <w:t>自治区实施&lt;中华人民共和国献血法&gt;若干规定</w:t>
      </w:r>
      <w:r>
        <w:rPr>
          <w:rFonts w:hint="eastAsia" w:ascii="仿宋_GB2312"/>
          <w:lang w:eastAsia="zh-CN"/>
        </w:rPr>
        <w:t>）</w:t>
      </w:r>
      <w:r>
        <w:rPr>
          <w:rFonts w:hint="eastAsia" w:ascii="仿宋_GB2312"/>
        </w:rPr>
        <w:t>》，让无偿献血者享受到无偿献血的报销政策，让更多的人加入到无偿献血的队伍当中；为保证无偿献血工作的可持续发展，保障广大献血者的利益，调动医疗机构做好用血互助金的收取工作，为相关医院发放医院奖励金</w:t>
      </w:r>
      <w:r>
        <w:rPr>
          <w:rFonts w:hint="eastAsia" w:ascii="仿宋_GB2312"/>
          <w:lang w:eastAsia="zh-CN"/>
        </w:rPr>
        <w:t>；</w:t>
      </w:r>
      <w:r>
        <w:rPr>
          <w:rFonts w:hint="eastAsia" w:ascii="仿宋_GB2312"/>
        </w:rPr>
        <w:t>⑥献血者活动经费、水票、污水处理费等：为保障采供血业务的顺利进行，维护持续稳定的献血者群体、保障特殊血型的血液供应，我单位每年定期组织献血者活动、特殊血型队献血活动；在献血大厅及各采血点位为献血者提供饮用水</w:t>
      </w:r>
      <w:r>
        <w:rPr>
          <w:rFonts w:hint="eastAsia" w:ascii="仿宋_GB2312"/>
          <w:lang w:eastAsia="zh-CN"/>
        </w:rPr>
        <w:t>；</w:t>
      </w:r>
      <w:r>
        <w:rPr>
          <w:rFonts w:hint="eastAsia" w:ascii="仿宋_GB2312"/>
        </w:rPr>
        <w:t>⑦我单位自采血量无法满足周边医院的临床用血需求，近几年均须从疆内调剂血液来补充。</w:t>
      </w:r>
    </w:p>
    <w:p w14:paraId="705A865E">
      <w:pPr>
        <w:spacing w:line="360" w:lineRule="auto"/>
        <w:ind w:firstLine="560"/>
        <w:rPr>
          <w:rFonts w:ascii="仿宋_GB2312"/>
        </w:rPr>
      </w:pPr>
      <w:r>
        <w:rPr>
          <w:rFonts w:ascii="仿宋_GB2312"/>
        </w:rPr>
        <w:t>实际完成情况为：</w:t>
      </w:r>
    </w:p>
    <w:p w14:paraId="592CB988">
      <w:pPr>
        <w:spacing w:line="360" w:lineRule="auto"/>
        <w:ind w:firstLine="560"/>
        <w:rPr>
          <w:rFonts w:ascii="仿宋_GB2312"/>
        </w:rPr>
      </w:pPr>
      <w:r>
        <w:rPr>
          <w:rFonts w:hint="eastAsia" w:ascii="仿宋_GB2312"/>
        </w:rPr>
        <w:t>①</w:t>
      </w:r>
      <w:r>
        <w:rPr>
          <w:rFonts w:hint="eastAsia" w:ascii="仿宋_GB2312"/>
          <w:lang w:val="en-US" w:eastAsia="zh-CN"/>
        </w:rPr>
        <w:t>按时支付电费，</w:t>
      </w:r>
      <w:r>
        <w:rPr>
          <w:rFonts w:hint="eastAsia" w:ascii="仿宋_GB2312"/>
        </w:rPr>
        <w:t>保障我</w:t>
      </w:r>
      <w:r>
        <w:rPr>
          <w:rFonts w:hint="eastAsia" w:ascii="仿宋_GB2312"/>
          <w:lang w:val="en-US" w:eastAsia="zh-CN"/>
        </w:rPr>
        <w:t>中心及各点位</w:t>
      </w:r>
      <w:r>
        <w:rPr>
          <w:rFonts w:hint="eastAsia" w:ascii="仿宋_GB2312"/>
        </w:rPr>
        <w:t>用电正常</w:t>
      </w:r>
      <w:r>
        <w:rPr>
          <w:rFonts w:hint="eastAsia" w:ascii="仿宋_GB2312"/>
          <w:lang w:eastAsia="zh-CN"/>
        </w:rPr>
        <w:t>，</w:t>
      </w:r>
      <w:r>
        <w:rPr>
          <w:rFonts w:hint="eastAsia" w:ascii="仿宋_GB2312"/>
        </w:rPr>
        <w:t>保障了采供血工作中采集、检验、存储、办公、照明正常运行，满足了正常工作的需求</w:t>
      </w:r>
      <w:r>
        <w:rPr>
          <w:rFonts w:hint="eastAsia" w:ascii="仿宋_GB2312"/>
          <w:lang w:eastAsia="zh-CN"/>
        </w:rPr>
        <w:t>；</w:t>
      </w:r>
      <w:r>
        <w:rPr>
          <w:rFonts w:hint="eastAsia" w:ascii="仿宋_GB2312"/>
        </w:rPr>
        <w:t>②进行电梯定期维保24次、维修维护6类设备</w:t>
      </w:r>
      <w:r>
        <w:rPr>
          <w:rFonts w:hint="eastAsia" w:ascii="仿宋_GB2312"/>
          <w:lang w:eastAsia="zh-CN"/>
        </w:rPr>
        <w:t>；</w:t>
      </w:r>
      <w:r>
        <w:rPr>
          <w:rFonts w:hint="eastAsia" w:ascii="仿宋_GB2312"/>
        </w:rPr>
        <w:t>③采购试剂耗材176种，一次性验收合格率100%。调剂红细胞、血小板、血浆和冷沉淀等血液制品，满足了临床用血的需求，确保了患者血液治疗的及时性和有效性。制备各类血液成分，满足了临床所需；提高了血液安全性，避免了血液污染，避免了经血传播疾病。满足了正常采供血工作的需求</w:t>
      </w:r>
      <w:r>
        <w:rPr>
          <w:rFonts w:hint="eastAsia" w:ascii="仿宋_GB2312"/>
          <w:lang w:eastAsia="zh-CN"/>
        </w:rPr>
        <w:t>；</w:t>
      </w:r>
      <w:r>
        <w:rPr>
          <w:rFonts w:hint="eastAsia" w:ascii="仿宋_GB2312"/>
        </w:rPr>
        <w:t>④支付39名临聘人员劳务费90万元，保障了我中心正常运转</w:t>
      </w:r>
      <w:r>
        <w:rPr>
          <w:rFonts w:hint="eastAsia" w:ascii="仿宋_GB2312"/>
          <w:lang w:eastAsia="zh-CN"/>
        </w:rPr>
        <w:t>；</w:t>
      </w:r>
      <w:r>
        <w:rPr>
          <w:rFonts w:hint="eastAsia" w:ascii="仿宋_GB2312"/>
        </w:rPr>
        <w:t>⑤支付献血者</w:t>
      </w:r>
      <w:r>
        <w:rPr>
          <w:rFonts w:hint="eastAsia" w:ascii="仿宋_GB2312"/>
          <w:lang w:val="en-US" w:eastAsia="zh-CN"/>
        </w:rPr>
        <w:t>交通费</w:t>
      </w:r>
      <w:r>
        <w:rPr>
          <w:rFonts w:hint="eastAsia" w:ascii="仿宋_GB2312"/>
        </w:rPr>
        <w:t>、血费报销、医院奖励金等。及时发放献血员交通费、报销血费，进一步做好献血者的关爱、献血者服务，扩大了献血者队伍，为临床提供了安全有效的血液</w:t>
      </w:r>
      <w:r>
        <w:rPr>
          <w:rFonts w:hint="eastAsia" w:ascii="仿宋_GB2312"/>
          <w:lang w:eastAsia="zh-CN"/>
        </w:rPr>
        <w:t>；</w:t>
      </w:r>
      <w:r>
        <w:rPr>
          <w:rFonts w:hint="eastAsia" w:ascii="仿宋_GB2312"/>
        </w:rPr>
        <w:t>⑥支付献血者活动经费、水票、污水处理费等28.89万元。</w:t>
      </w:r>
    </w:p>
    <w:p w14:paraId="1202EE36">
      <w:pPr>
        <w:pStyle w:val="4"/>
        <w:ind w:firstLine="643"/>
      </w:pPr>
      <w:bookmarkStart w:id="5" w:name="_Toc12786"/>
      <w:r>
        <w:rPr>
          <w:rFonts w:hint="eastAsia"/>
        </w:rPr>
        <w:t>2</w:t>
      </w:r>
      <w:r>
        <w:t>.资金投入和使用情况</w:t>
      </w:r>
      <w:bookmarkEnd w:id="5"/>
    </w:p>
    <w:p w14:paraId="4EB8654F">
      <w:pPr>
        <w:spacing w:line="360" w:lineRule="auto"/>
        <w:ind w:firstLine="560"/>
        <w:rPr>
          <w:rFonts w:ascii="仿宋_GB2312"/>
        </w:rPr>
      </w:pPr>
      <w:r>
        <w:rPr>
          <w:rFonts w:hint="eastAsia" w:ascii="仿宋_GB2312"/>
        </w:rPr>
        <w:t>该项目资金投入情况：经乌财社〔2024〕1号文件批准，项目系</w:t>
      </w:r>
      <w:r>
        <w:rPr>
          <w:rFonts w:ascii="仿宋_GB2312"/>
        </w:rPr>
        <w:t>2024</w:t>
      </w:r>
      <w:r>
        <w:rPr>
          <w:rFonts w:hint="eastAsia" w:ascii="仿宋_GB2312"/>
        </w:rPr>
        <w:t>年本级资金，共安排预算1180.49万元，于2024年1月22日批复年初项目预算资金1180.49万元。</w:t>
      </w:r>
    </w:p>
    <w:p w14:paraId="0B4A3C4B">
      <w:pPr>
        <w:spacing w:line="360" w:lineRule="auto"/>
        <w:ind w:firstLine="560"/>
        <w:rPr>
          <w:rFonts w:ascii="仿宋_GB2312"/>
        </w:rPr>
      </w:pPr>
      <w:r>
        <w:rPr>
          <w:rFonts w:hint="eastAsia" w:ascii="仿宋_GB2312"/>
        </w:rPr>
        <w:t>该项目资金使用情况：总预算1180.49万元。总实际执行数1152.49万元。其中：①电费预算投入资金：85万元。实际执行情况：85万元。预算执行率：100%；②设备、电梯维修维保等费用预算投入资金：165.68万元。实际执行情况：144.93万元。预算执行率：87.48%；③试剂耗材、外调血费用预算投入资金：580.98万元。实际执行情况：580.6</w:t>
      </w:r>
      <w:r>
        <w:rPr>
          <w:rFonts w:hint="eastAsia" w:ascii="仿宋_GB2312"/>
          <w:lang w:val="en-US" w:eastAsia="zh-CN"/>
        </w:rPr>
        <w:t>8</w:t>
      </w:r>
      <w:r>
        <w:rPr>
          <w:rFonts w:hint="eastAsia" w:ascii="仿宋_GB2312"/>
        </w:rPr>
        <w:t>万元。预算执行率：99.95%；④献血者交通补贴、血费报销、医院奖励金等费用预算投入资金：224.33万元。实际执行情况：222.99万元。预算执行率：99</w:t>
      </w:r>
      <w:r>
        <w:rPr>
          <w:rFonts w:hint="eastAsia" w:ascii="仿宋_GB2312"/>
          <w:lang w:val="en-US" w:eastAsia="zh-CN"/>
        </w:rPr>
        <w:t>.40</w:t>
      </w:r>
      <w:r>
        <w:rPr>
          <w:rFonts w:hint="eastAsia" w:ascii="仿宋_GB2312"/>
        </w:rPr>
        <w:t>%。⑤临聘人员劳务费预算投入资金：90万元。实际执行情况：90万元。预算执行率：100%</w:t>
      </w:r>
      <w:r>
        <w:rPr>
          <w:rFonts w:hint="eastAsia" w:ascii="仿宋_GB2312"/>
          <w:lang w:eastAsia="zh-CN"/>
        </w:rPr>
        <w:t>；</w:t>
      </w:r>
      <w:r>
        <w:rPr>
          <w:rFonts w:hint="eastAsia" w:ascii="仿宋_GB2312"/>
        </w:rPr>
        <w:t>⑥献血者活动经费、水票、污水处理等费用预算投入资金：34.5</w:t>
      </w:r>
      <w:r>
        <w:rPr>
          <w:rFonts w:hint="eastAsia" w:ascii="仿宋_GB2312"/>
          <w:lang w:val="en-US" w:eastAsia="zh-CN"/>
        </w:rPr>
        <w:t>0</w:t>
      </w:r>
      <w:r>
        <w:rPr>
          <w:rFonts w:hint="eastAsia" w:ascii="仿宋_GB2312"/>
        </w:rPr>
        <w:t>万元。实际执行情况：28.89万元。预算执行率：83.74%。</w:t>
      </w:r>
    </w:p>
    <w:p w14:paraId="6D4447A2">
      <w:pPr>
        <w:pStyle w:val="3"/>
        <w:ind w:firstLine="643"/>
        <w:rPr>
          <w:rFonts w:ascii="仿宋" w:hAnsi="仿宋" w:eastAsia="仿宋"/>
          <w:lang w:bidi="en-US"/>
        </w:rPr>
      </w:pPr>
      <w:bookmarkStart w:id="6" w:name="_Toc10278"/>
      <w:bookmarkStart w:id="7" w:name="_Toc67911603"/>
      <w:r>
        <w:rPr>
          <w:rFonts w:hint="eastAsia" w:ascii="仿宋" w:hAnsi="仿宋" w:eastAsia="仿宋"/>
          <w:lang w:bidi="en-US"/>
        </w:rPr>
        <w:t>（二）项目绩效目标：</w:t>
      </w:r>
      <w:bookmarkEnd w:id="6"/>
      <w:bookmarkEnd w:id="7"/>
    </w:p>
    <w:p w14:paraId="3CE001BB">
      <w:pPr>
        <w:spacing w:line="360" w:lineRule="auto"/>
        <w:ind w:firstLine="560"/>
        <w:rPr>
          <w:rFonts w:ascii="仿宋_GB2312" w:hAnsi="仿宋"/>
          <w:szCs w:val="28"/>
        </w:rPr>
      </w:pPr>
      <w:r>
        <w:rPr>
          <w:rFonts w:hint="eastAsia" w:ascii="仿宋_GB2312" w:hAnsi="仿宋"/>
          <w:szCs w:val="28"/>
        </w:rPr>
        <w:t>本项目依据《中共中央 国务院关于全面实施预算绩效管理的意见》（中发〔2018〕</w:t>
      </w:r>
      <w:r>
        <w:rPr>
          <w:rFonts w:ascii="仿宋_GB2312" w:hAnsi="仿宋"/>
          <w:szCs w:val="28"/>
        </w:rPr>
        <w:t>34</w:t>
      </w:r>
      <w:r>
        <w:rPr>
          <w:rFonts w:hint="eastAsia" w:ascii="仿宋_GB2312" w:hAnsi="仿宋"/>
          <w:szCs w:val="28"/>
        </w:rPr>
        <w:t>号）、《关于印发&lt;乌鲁木齐市本级部门预算绩效目标管理暂行办法</w:t>
      </w:r>
      <w:r>
        <w:rPr>
          <w:rFonts w:ascii="仿宋_GB2312" w:hAnsi="仿宋"/>
          <w:szCs w:val="28"/>
        </w:rPr>
        <w:t>&gt;</w:t>
      </w:r>
      <w:r>
        <w:rPr>
          <w:rFonts w:hint="eastAsia" w:ascii="仿宋_GB2312" w:hAnsi="仿宋"/>
          <w:szCs w:val="28"/>
        </w:rPr>
        <w:t>的通知》（乌财预</w:t>
      </w:r>
      <w:bookmarkStart w:id="8" w:name="_Hlk67566397"/>
      <w:r>
        <w:rPr>
          <w:rFonts w:hint="eastAsia" w:ascii="仿宋_GB2312" w:hAnsi="仿宋"/>
          <w:szCs w:val="28"/>
        </w:rPr>
        <w:t>〔2018〕</w:t>
      </w:r>
      <w:r>
        <w:rPr>
          <w:rFonts w:ascii="仿宋_GB2312" w:hAnsi="仿宋"/>
          <w:szCs w:val="28"/>
        </w:rPr>
        <w:t>5</w:t>
      </w:r>
      <w:r>
        <w:rPr>
          <w:rFonts w:hint="eastAsia" w:ascii="仿宋_GB2312" w:hAnsi="仿宋"/>
          <w:szCs w:val="28"/>
        </w:rPr>
        <w:t>6号</w:t>
      </w:r>
      <w:bookmarkEnd w:id="8"/>
      <w:r>
        <w:rPr>
          <w:rFonts w:hint="eastAsia" w:ascii="仿宋_GB2312" w:hAnsi="仿宋"/>
          <w:szCs w:val="28"/>
        </w:rPr>
        <w:t>）、《关于做好2</w:t>
      </w:r>
      <w:r>
        <w:rPr>
          <w:rFonts w:ascii="仿宋_GB2312" w:hAnsi="仿宋"/>
          <w:szCs w:val="28"/>
        </w:rPr>
        <w:t>019</w:t>
      </w:r>
      <w:r>
        <w:rPr>
          <w:rFonts w:hint="eastAsia" w:ascii="仿宋_GB2312" w:hAnsi="仿宋"/>
          <w:szCs w:val="28"/>
        </w:rPr>
        <w:t>年部门预算项目支出绩效目标管理有关事宜的通知》（乌财预〔20</w:t>
      </w:r>
      <w:r>
        <w:rPr>
          <w:rFonts w:ascii="仿宋_GB2312" w:hAnsi="仿宋"/>
          <w:szCs w:val="28"/>
        </w:rPr>
        <w:t>18</w:t>
      </w:r>
      <w:r>
        <w:rPr>
          <w:rFonts w:hint="eastAsia" w:ascii="仿宋_GB2312" w:hAnsi="仿宋"/>
          <w:szCs w:val="28"/>
        </w:rPr>
        <w:t>〕</w:t>
      </w:r>
      <w:r>
        <w:rPr>
          <w:rFonts w:ascii="仿宋_GB2312" w:hAnsi="仿宋"/>
          <w:szCs w:val="28"/>
        </w:rPr>
        <w:t>76</w:t>
      </w:r>
      <w:r>
        <w:rPr>
          <w:rFonts w:hint="eastAsia" w:ascii="仿宋_GB2312" w:hAnsi="仿宋"/>
          <w:szCs w:val="28"/>
        </w:rPr>
        <w:t>号）和《项目支出绩效评价管理办法》（财预〔20</w:t>
      </w:r>
      <w:r>
        <w:rPr>
          <w:rFonts w:ascii="仿宋_GB2312" w:hAnsi="仿宋"/>
          <w:szCs w:val="28"/>
        </w:rPr>
        <w:t>20</w:t>
      </w:r>
      <w:r>
        <w:rPr>
          <w:rFonts w:hint="eastAsia" w:ascii="仿宋_GB2312" w:hAnsi="仿宋"/>
          <w:szCs w:val="28"/>
        </w:rPr>
        <w:t>〕</w:t>
      </w:r>
      <w:r>
        <w:rPr>
          <w:rFonts w:ascii="仿宋_GB2312" w:hAnsi="仿宋"/>
          <w:szCs w:val="28"/>
        </w:rPr>
        <w:t>10</w:t>
      </w:r>
      <w:r>
        <w:rPr>
          <w:rFonts w:hint="eastAsia" w:ascii="仿宋_GB2312" w:hAnsi="仿宋"/>
          <w:szCs w:val="28"/>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14:paraId="7369CD2C">
      <w:pPr>
        <w:spacing w:line="360" w:lineRule="auto"/>
        <w:ind w:firstLine="560"/>
        <w:rPr>
          <w:rFonts w:ascii="仿宋_GB2312" w:hAnsi="仿宋"/>
          <w:szCs w:val="28"/>
        </w:rPr>
      </w:pPr>
      <w:r>
        <w:rPr>
          <w:rFonts w:hint="eastAsia" w:ascii="仿宋_GB2312" w:hAnsi="仿宋"/>
          <w:szCs w:val="28"/>
        </w:rPr>
        <w:t>该项目为</w:t>
      </w:r>
      <w:r>
        <w:rPr>
          <w:rFonts w:ascii="仿宋_GB2312" w:hAnsi="仿宋"/>
          <w:szCs w:val="28"/>
        </w:rPr>
        <w:t>经常性项目。</w:t>
      </w:r>
    </w:p>
    <w:p w14:paraId="701225D7">
      <w:pPr>
        <w:spacing w:line="360" w:lineRule="auto"/>
        <w:ind w:firstLine="560"/>
        <w:rPr>
          <w:rFonts w:ascii="仿宋_GB2312" w:hAnsi="仿宋"/>
          <w:szCs w:val="28"/>
        </w:rPr>
      </w:pPr>
      <w:r>
        <w:rPr>
          <w:rFonts w:hint="eastAsia" w:ascii="仿宋_GB2312" w:hAnsi="仿宋"/>
          <w:szCs w:val="28"/>
        </w:rPr>
        <w:t>该项目总体绩效目标：制备各类血液成分，提高血液安全性，避免血液污染，避免经血传播疾病；满足临床用血的需求，确保患者血液治疗的及时性和有效性；满足我市血液供应需求，特别是做好急危重患者血液救治及突发事件血液保障工作；保障血库、检验、制备等设备24小时正常运行。满足正常采供血工作的需求；进一步推动全社会广泛参与自愿无偿献血事业，促进无偿献血工作持续健康发展。</w:t>
      </w:r>
      <w:r>
        <w:rPr>
          <w:rFonts w:hint="eastAsia" w:ascii="仿宋_GB2312" w:hAnsi="仿宋"/>
          <w:szCs w:val="28"/>
          <w:lang w:eastAsia="zh-CN"/>
        </w:rPr>
        <w:t>对医疗机构收取用血互助金进行奖励</w:t>
      </w:r>
      <w:r>
        <w:rPr>
          <w:rFonts w:hint="eastAsia" w:ascii="仿宋_GB2312" w:hAnsi="仿宋"/>
          <w:szCs w:val="28"/>
        </w:rPr>
        <w:t>，以调动医疗机构做好用血互助金的收取工作，保障广大献血者权利。通过保障我单位采供血业务正常运行、保障临床用血安全。</w:t>
      </w:r>
    </w:p>
    <w:p w14:paraId="7B841EB7">
      <w:pPr>
        <w:spacing w:line="360" w:lineRule="auto"/>
        <w:ind w:firstLine="560"/>
        <w:rPr>
          <w:rFonts w:hint="default" w:ascii="仿宋_GB2312" w:hAnsi="仿宋" w:eastAsia="仿宋_GB2312"/>
          <w:szCs w:val="28"/>
          <w:highlight w:val="none"/>
          <w:lang w:val="en-US" w:eastAsia="zh-CN"/>
        </w:rPr>
      </w:pPr>
      <w:r>
        <w:rPr>
          <w:rFonts w:ascii="仿宋_GB2312" w:hAnsi="仿宋"/>
          <w:szCs w:val="28"/>
          <w:highlight w:val="none"/>
        </w:rPr>
        <w:t>该项目阶段性目标为：</w:t>
      </w:r>
      <w:r>
        <w:rPr>
          <w:rFonts w:hint="eastAsia" w:ascii="仿宋_GB2312" w:hAnsi="仿宋"/>
          <w:szCs w:val="28"/>
          <w:highlight w:val="none"/>
          <w:lang w:val="en-US" w:eastAsia="zh-CN"/>
        </w:rPr>
        <w:t>按时支付电费，保障中心用电；对设备进行维修、对电梯进行维保；按照采购要求，完成试剂耗材的采购，完成验收入库工作；按时发放聘用人员工资；与地州血站完成对账工作，并完成外调血费的支付；及时发放献血者交通补贴，保障献血者权益。项目实施后，保障采供血工作中采集、检验、存储、办公、照明正常运行。确保我区血液质量安全。满足临床用血的需求。进一步做好献血者的关爱、献血者服务。完成2024年血液调剂及支付工作制备各类血液成分，满足临床所需。</w:t>
      </w:r>
    </w:p>
    <w:p w14:paraId="5ABF67C9">
      <w:pPr>
        <w:pStyle w:val="2"/>
        <w:ind w:firstLine="0" w:firstLineChars="0"/>
        <w:jc w:val="left"/>
        <w:rPr>
          <w:rFonts w:ascii="仿宋" w:hAnsi="仿宋" w:eastAsia="仿宋"/>
          <w:sz w:val="36"/>
          <w:szCs w:val="36"/>
          <w:lang w:bidi="en-US"/>
        </w:rPr>
      </w:pPr>
      <w:bookmarkStart w:id="9" w:name="_Toc28961"/>
      <w:bookmarkStart w:id="10" w:name="_Toc67911604"/>
      <w:r>
        <w:rPr>
          <w:rFonts w:hint="eastAsia" w:ascii="仿宋" w:hAnsi="仿宋" w:eastAsia="仿宋"/>
          <w:sz w:val="36"/>
          <w:szCs w:val="36"/>
          <w:lang w:bidi="en-US"/>
        </w:rPr>
        <w:t>二、绩效评价工作开展情况</w:t>
      </w:r>
      <w:bookmarkEnd w:id="9"/>
      <w:bookmarkEnd w:id="10"/>
    </w:p>
    <w:p w14:paraId="02F3DA56">
      <w:pPr>
        <w:pStyle w:val="3"/>
        <w:ind w:firstLine="643"/>
        <w:rPr>
          <w:rFonts w:ascii="仿宋" w:hAnsi="仿宋" w:eastAsia="仿宋"/>
          <w:lang w:bidi="en-US"/>
        </w:rPr>
      </w:pPr>
      <w:bookmarkStart w:id="11" w:name="_Toc67911605"/>
      <w:bookmarkStart w:id="12" w:name="_Toc27544"/>
      <w:r>
        <w:rPr>
          <w:rFonts w:hint="eastAsia" w:ascii="仿宋" w:hAnsi="仿宋" w:eastAsia="仿宋"/>
          <w:lang w:bidi="en-US"/>
        </w:rPr>
        <w:t>（一）绩效评价目的、对象和范围</w:t>
      </w:r>
      <w:bookmarkEnd w:id="11"/>
      <w:bookmarkEnd w:id="12"/>
    </w:p>
    <w:p w14:paraId="28D97E96">
      <w:pPr>
        <w:pStyle w:val="4"/>
        <w:ind w:firstLine="643"/>
      </w:pPr>
      <w:bookmarkStart w:id="13" w:name="_Toc13165"/>
      <w:r>
        <w:rPr>
          <w:rFonts w:hint="eastAsia"/>
        </w:rPr>
        <w:t>1</w:t>
      </w:r>
      <w:r>
        <w:t>.绩效评价完整性</w:t>
      </w:r>
      <w:bookmarkEnd w:id="13"/>
    </w:p>
    <w:p w14:paraId="1D19DF69">
      <w:pPr>
        <w:spacing w:line="360" w:lineRule="auto"/>
        <w:ind w:firstLine="560"/>
        <w:rPr>
          <w:rFonts w:ascii="仿宋_GB2312" w:hAnsi="仿宋"/>
          <w:szCs w:val="28"/>
        </w:rPr>
      </w:pPr>
      <w:r>
        <w:rPr>
          <w:rFonts w:hint="eastAsia" w:ascii="仿宋_GB2312" w:hAnsi="仿宋"/>
          <w:szCs w:val="28"/>
        </w:rPr>
        <w:t>采供血业务运行经费-非政采项目为我单位的经常性项目，主要目标为保障我单位正常运行、保障采供血工作的正常运转，为全区提供安全有效的临床用血。根据项目的目标，我单位设置了完整的绩效评价体系，从决策、过程、产出、效益和社会满意度五个角度对项目绩效进行评价，构建了由2个项目立项指标、2个绩效目标指标、2个资金投入指标、3个资金管理指标、2个组织实施指标、4个数量指标、1个质量指标、1个时效指标、6个经济成本指标、1个社会效益指标和1个满意度指标组成的绩效评价体系，完整体现项目绩效成果及项目绩效执行情况。</w:t>
      </w:r>
    </w:p>
    <w:p w14:paraId="0BE8F30D">
      <w:pPr>
        <w:spacing w:line="360" w:lineRule="auto"/>
        <w:ind w:firstLine="560"/>
        <w:rPr>
          <w:rFonts w:ascii="仿宋_GB2312" w:hAnsi="仿宋"/>
          <w:szCs w:val="28"/>
          <w:highlight w:val="none"/>
        </w:rPr>
      </w:pPr>
      <w:r>
        <w:rPr>
          <w:rFonts w:hint="eastAsia" w:ascii="仿宋_GB2312" w:hAnsi="仿宋"/>
          <w:szCs w:val="28"/>
          <w:highlight w:val="none"/>
        </w:rPr>
        <w:t>采供血业务运行经费-非政采项目由我单位献血服务科、总务科、供血科、办公室、信息设备科和财务科</w:t>
      </w:r>
      <w:r>
        <w:rPr>
          <w:rFonts w:hint="eastAsia" w:ascii="仿宋_GB2312" w:hAnsi="仿宋"/>
          <w:szCs w:val="28"/>
          <w:highlight w:val="none"/>
          <w:lang w:val="en-US" w:eastAsia="zh-CN"/>
        </w:rPr>
        <w:t>共同</w:t>
      </w:r>
      <w:r>
        <w:rPr>
          <w:rFonts w:hint="eastAsia" w:ascii="仿宋_GB2312" w:hAnsi="仿宋"/>
          <w:szCs w:val="28"/>
          <w:highlight w:val="none"/>
        </w:rPr>
        <w:t>参与执行，于当年5月、8月分别进行项目绩效监控，阶段性检查项目执行进度。</w:t>
      </w:r>
    </w:p>
    <w:p w14:paraId="42507BBD">
      <w:pPr>
        <w:spacing w:line="360" w:lineRule="auto"/>
        <w:ind w:firstLine="560"/>
        <w:rPr>
          <w:rFonts w:hint="eastAsia" w:ascii="仿宋_GB2312"/>
          <w:bCs/>
          <w:szCs w:val="28"/>
          <w:highlight w:val="none"/>
        </w:rPr>
      </w:pPr>
      <w:r>
        <w:rPr>
          <w:rFonts w:hint="eastAsia" w:ascii="仿宋_GB2312" w:hAnsi="仿宋"/>
          <w:szCs w:val="28"/>
          <w:highlight w:val="none"/>
        </w:rPr>
        <w:t>2024全年</w:t>
      </w:r>
      <w:r>
        <w:rPr>
          <w:rFonts w:hint="eastAsia" w:ascii="仿宋_GB2312" w:hAnsi="仿宋"/>
          <w:szCs w:val="28"/>
          <w:highlight w:val="none"/>
          <w:lang w:val="en-US" w:eastAsia="zh-CN"/>
        </w:rPr>
        <w:t>保障我单位用电，</w:t>
      </w:r>
      <w:r>
        <w:rPr>
          <w:rFonts w:ascii="仿宋_GB2312"/>
          <w:bCs/>
          <w:szCs w:val="28"/>
          <w:highlight w:val="none"/>
        </w:rPr>
        <w:t>完成</w:t>
      </w:r>
      <w:r>
        <w:rPr>
          <w:rFonts w:hint="eastAsia" w:ascii="仿宋_GB2312"/>
          <w:bCs/>
          <w:szCs w:val="28"/>
          <w:highlight w:val="none"/>
        </w:rPr>
        <w:t>24次电梯定期维保、维修维护设备种类6类、采购176种试剂耗材、招募临聘人员</w:t>
      </w:r>
      <w:r>
        <w:rPr>
          <w:rFonts w:hint="eastAsia" w:ascii="仿宋_GB2312"/>
          <w:bCs/>
          <w:szCs w:val="28"/>
          <w:highlight w:val="none"/>
          <w:lang w:val="en-US" w:eastAsia="zh-CN"/>
        </w:rPr>
        <w:t>39</w:t>
      </w:r>
      <w:r>
        <w:rPr>
          <w:rFonts w:hint="eastAsia" w:ascii="仿宋_GB2312"/>
          <w:bCs/>
          <w:szCs w:val="28"/>
          <w:highlight w:val="none"/>
        </w:rPr>
        <w:t>人、一次性验收合格率100%、预算拨付后9个月内完成采购、献血者满意度测评率为22.25%，有效保障了采供血业务顺利开展。</w:t>
      </w:r>
    </w:p>
    <w:p w14:paraId="6BF464B0">
      <w:pPr>
        <w:spacing w:line="360" w:lineRule="auto"/>
        <w:ind w:firstLine="560"/>
        <w:rPr>
          <w:rFonts w:hint="default" w:ascii="仿宋_GB2312" w:eastAsia="仿宋_GB2312"/>
          <w:bCs/>
          <w:szCs w:val="28"/>
          <w:highlight w:val="none"/>
          <w:lang w:val="en-US" w:eastAsia="zh-CN"/>
        </w:rPr>
      </w:pPr>
      <w:r>
        <w:rPr>
          <w:rFonts w:hint="eastAsia" w:ascii="仿宋_GB2312"/>
          <w:bCs/>
          <w:szCs w:val="28"/>
          <w:highlight w:val="none"/>
          <w:lang w:val="en-US" w:eastAsia="zh-CN"/>
        </w:rPr>
        <w:t>2024年按时支付电费，保障了我单位正常用电；对电梯进行定期维保，对各业务科室6类专用设备进行维修、维护；采购试剂耗材各类试剂耗材共计176种，均一次性验收合格；为39名临聘人员发放工资；完成血液调剂及资金支付工作，与哈密、石河子、阿勒泰、昌吉等15家血站进行血液调剂、对账和结算外调血费等工作；发放献血者交通补贴14267次、血费报销265次、医院奖励金30次；组织献血者活动2次，在献血大厅及各采血点位为献血者提供饮用水。</w:t>
      </w:r>
    </w:p>
    <w:p w14:paraId="218A8D34">
      <w:pPr>
        <w:spacing w:line="360" w:lineRule="auto"/>
        <w:ind w:firstLine="560"/>
        <w:rPr>
          <w:rFonts w:ascii="仿宋_GB2312" w:hAnsi="仿宋"/>
          <w:szCs w:val="28"/>
        </w:rPr>
      </w:pPr>
      <w:r>
        <w:rPr>
          <w:rFonts w:hint="eastAsia" w:ascii="仿宋_GB2312" w:hAnsi="仿宋"/>
          <w:szCs w:val="28"/>
        </w:rPr>
        <w:t>由各业务执行科室提供监控节点的实际完成情况的数值和佐证材料，如采购合同、工作资料、情况说明及原始凭证等</w:t>
      </w:r>
      <w:r>
        <w:rPr>
          <w:rFonts w:hint="eastAsia" w:ascii="仿宋_GB2312" w:hAnsi="仿宋"/>
          <w:szCs w:val="28"/>
          <w:lang w:eastAsia="zh-CN"/>
        </w:rPr>
        <w:t>，</w:t>
      </w:r>
      <w:r>
        <w:rPr>
          <w:rFonts w:hint="eastAsia" w:ascii="仿宋_GB2312" w:hAnsi="仿宋"/>
          <w:szCs w:val="28"/>
        </w:rPr>
        <w:t>保证了数据的准确性和完整性。</w:t>
      </w:r>
    </w:p>
    <w:p w14:paraId="41E688E9">
      <w:pPr>
        <w:pStyle w:val="4"/>
        <w:ind w:firstLine="643"/>
      </w:pPr>
      <w:bookmarkStart w:id="14" w:name="_Toc20463"/>
      <w:r>
        <w:t>2</w:t>
      </w:r>
      <w:r>
        <w:rPr>
          <w:rFonts w:hint="eastAsia"/>
        </w:rPr>
        <w:t>.评价目的</w:t>
      </w:r>
      <w:bookmarkEnd w:id="14"/>
    </w:p>
    <w:p w14:paraId="2F435B36">
      <w:pPr>
        <w:spacing w:line="360" w:lineRule="auto"/>
        <w:ind w:firstLine="560"/>
        <w:rPr>
          <w:rFonts w:ascii="仿宋_GB2312"/>
        </w:rPr>
      </w:pPr>
      <w:r>
        <w:rPr>
          <w:rFonts w:hint="eastAsia" w:ascii="仿宋_GB2312"/>
        </w:rPr>
        <w:t>本项工作旨在落实《中共中央 国务院关于全面实施预算绩效管理的意见》（中发〔2018〕34号）文件精神，全面推进预算绩效管理工作，落实预算执行及绩效管理主体责任。具体而言包括以下两点</w:t>
      </w:r>
    </w:p>
    <w:p w14:paraId="4AA28D06">
      <w:pPr>
        <w:spacing w:line="360" w:lineRule="auto"/>
        <w:ind w:firstLine="560"/>
        <w:rPr>
          <w:rFonts w:ascii="仿宋_GB2312"/>
        </w:rPr>
      </w:pPr>
      <w:r>
        <w:rPr>
          <w:rFonts w:hint="eastAsia" w:ascii="仿宋_GB2312"/>
        </w:rPr>
        <w:t>（1）通过对项目设立的背景、意义、项目内容、项目现状及绩效目标、资金投入、资金管理、组织实施、数量指标、质量指标、时效指标、成本指标和效益指标等进行深入调研和分析，进一步了解采供血业务运行经费-非政采项目的实施情况，并考察项目实施过程和效果。</w:t>
      </w:r>
    </w:p>
    <w:p w14:paraId="099A4032">
      <w:pPr>
        <w:spacing w:line="360" w:lineRule="auto"/>
        <w:ind w:firstLine="560"/>
        <w:rPr>
          <w:rFonts w:ascii="仿宋_GB2312"/>
          <w:b/>
          <w:bCs/>
        </w:rPr>
      </w:pPr>
      <w:r>
        <w:rPr>
          <w:rFonts w:hint="eastAsia" w:ascii="仿宋_GB2312"/>
        </w:rPr>
        <w:t>（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14:paraId="1A2CC6ED">
      <w:pPr>
        <w:pStyle w:val="4"/>
        <w:ind w:firstLine="643"/>
      </w:pPr>
      <w:bookmarkStart w:id="15" w:name="_Toc4441"/>
      <w:r>
        <w:t>3</w:t>
      </w:r>
      <w:r>
        <w:rPr>
          <w:rFonts w:hint="eastAsia"/>
        </w:rPr>
        <w:t>.评价对象</w:t>
      </w:r>
      <w:bookmarkEnd w:id="15"/>
    </w:p>
    <w:p w14:paraId="66822FE6">
      <w:pPr>
        <w:spacing w:line="360" w:lineRule="auto"/>
        <w:ind w:firstLine="560"/>
        <w:rPr>
          <w:rFonts w:ascii="仿宋_GB2312"/>
        </w:rPr>
      </w:pPr>
      <w:r>
        <w:rPr>
          <w:rFonts w:hint="eastAsia" w:ascii="仿宋_GB2312"/>
        </w:rPr>
        <w:t>（1）绩效评价的对象：采供血业务运行经费-非政采项目</w:t>
      </w:r>
    </w:p>
    <w:p w14:paraId="258343EE">
      <w:pPr>
        <w:pStyle w:val="4"/>
        <w:ind w:firstLine="643"/>
      </w:pPr>
      <w:bookmarkStart w:id="16" w:name="_Toc28539"/>
      <w:r>
        <w:rPr>
          <w:rFonts w:hint="eastAsia"/>
        </w:rPr>
        <w:t>4</w:t>
      </w:r>
      <w:r>
        <w:t>.</w:t>
      </w:r>
      <w:r>
        <w:rPr>
          <w:rFonts w:hint="eastAsia"/>
        </w:rPr>
        <w:t>绩效评价范围</w:t>
      </w:r>
      <w:bookmarkEnd w:id="16"/>
    </w:p>
    <w:p w14:paraId="14D6230E">
      <w:pPr>
        <w:spacing w:line="360" w:lineRule="auto"/>
        <w:ind w:firstLine="560"/>
        <w:rPr>
          <w:rFonts w:ascii="仿宋_GB2312"/>
        </w:rPr>
      </w:pPr>
      <w:r>
        <w:rPr>
          <w:rFonts w:ascii="仿宋_GB2312"/>
        </w:rPr>
        <w:t>1.</w:t>
      </w:r>
      <w:r>
        <w:rPr>
          <w:rFonts w:hint="eastAsia" w:ascii="仿宋_GB2312"/>
        </w:rPr>
        <w:t>时间范围：2024年1月1日至2024年1</w:t>
      </w:r>
      <w:r>
        <w:rPr>
          <w:rFonts w:ascii="仿宋_GB2312"/>
        </w:rPr>
        <w:t>2</w:t>
      </w:r>
      <w:r>
        <w:rPr>
          <w:rFonts w:hint="eastAsia" w:ascii="仿宋_GB2312"/>
        </w:rPr>
        <w:t>月3</w:t>
      </w:r>
      <w:r>
        <w:rPr>
          <w:rFonts w:ascii="仿宋_GB2312"/>
        </w:rPr>
        <w:t>1</w:t>
      </w:r>
      <w:r>
        <w:rPr>
          <w:rFonts w:hint="eastAsia" w:ascii="仿宋_GB2312"/>
        </w:rPr>
        <w:t>日。</w:t>
      </w:r>
    </w:p>
    <w:p w14:paraId="65972F3C">
      <w:pPr>
        <w:spacing w:line="360" w:lineRule="auto"/>
        <w:ind w:firstLine="560"/>
        <w:rPr>
          <w:rFonts w:hint="eastAsia" w:ascii="仿宋_GB2312"/>
          <w:bCs/>
          <w:szCs w:val="28"/>
          <w:highlight w:val="none"/>
          <w:lang w:val="en-US" w:eastAsia="zh-CN"/>
        </w:rPr>
      </w:pPr>
      <w:r>
        <w:rPr>
          <w:rFonts w:ascii="仿宋_GB2312"/>
          <w:color w:val="auto"/>
          <w:highlight w:val="none"/>
        </w:rPr>
        <w:t>2.</w:t>
      </w:r>
      <w:r>
        <w:rPr>
          <w:rFonts w:hint="eastAsia" w:ascii="仿宋_GB2312"/>
          <w:color w:val="auto"/>
          <w:highlight w:val="none"/>
        </w:rPr>
        <w:t>项目范围：</w:t>
      </w:r>
      <w:r>
        <w:rPr>
          <w:rFonts w:hint="eastAsia" w:ascii="仿宋_GB2312"/>
          <w:bCs/>
          <w:color w:val="auto"/>
          <w:szCs w:val="28"/>
          <w:highlight w:val="none"/>
          <w:lang w:val="en-US" w:eastAsia="zh-CN"/>
        </w:rPr>
        <w:t>本项</w:t>
      </w:r>
      <w:r>
        <w:rPr>
          <w:rFonts w:hint="eastAsia" w:ascii="仿宋_GB2312"/>
          <w:bCs/>
          <w:szCs w:val="28"/>
          <w:highlight w:val="none"/>
          <w:lang w:val="en-US" w:eastAsia="zh-CN"/>
        </w:rPr>
        <w:t>目是为了保障我单位采供血职能，主要内容为电费支付、电梯及设备维保、采购试剂耗材、临聘人员部分工资支出、外调血费结算、献血者交通补贴、医院奖励金、血费报销、献血者活动经费、献血者饮用水等。</w:t>
      </w:r>
    </w:p>
    <w:p w14:paraId="795B3F12">
      <w:pPr>
        <w:spacing w:line="360" w:lineRule="auto"/>
        <w:ind w:firstLine="560"/>
        <w:rPr>
          <w:rFonts w:hint="eastAsia" w:ascii="仿宋_GB2312"/>
          <w:color w:val="FF0000"/>
          <w:highlight w:val="cyan"/>
        </w:rPr>
      </w:pPr>
      <w:r>
        <w:rPr>
          <w:rFonts w:hint="eastAsia" w:ascii="仿宋_GB2312" w:hAnsi="仿宋"/>
          <w:szCs w:val="28"/>
          <w:highlight w:val="none"/>
        </w:rPr>
        <w:t>绩效评价采用单位自评模式，围绕决策、过程、产出、效益和满意度构建21项三级指标体系，综合运用比较法、公众满意度调查等方法</w:t>
      </w:r>
      <w:r>
        <w:rPr>
          <w:rFonts w:hint="eastAsia" w:ascii="仿宋_GB2312" w:hAnsi="仿宋"/>
          <w:szCs w:val="28"/>
          <w:highlight w:val="none"/>
          <w:lang w:eastAsia="zh-CN"/>
        </w:rPr>
        <w:t>，</w:t>
      </w:r>
      <w:r>
        <w:rPr>
          <w:rFonts w:hint="eastAsia" w:ascii="仿宋_GB2312"/>
          <w:highlight w:val="none"/>
        </w:rPr>
        <w:t>结果显示资金管理合规、制度执行有效，数据来源真实完整。</w:t>
      </w:r>
      <w:r>
        <w:rPr>
          <w:rFonts w:hint="eastAsia" w:ascii="仿宋_GB2312"/>
          <w:bCs/>
          <w:szCs w:val="28"/>
          <w:highlight w:val="none"/>
          <w:lang w:val="en-US" w:eastAsia="zh-CN"/>
        </w:rPr>
        <w:t>2024年按时支付电费，对电梯进行定期维保，对各业务科室6类专用设备进行维修、维护；采购试剂耗材各类试剂耗材共计176种，均一次性验收合格；为39名临聘人员发放工资；完成血液调剂及资金支付工作，与哈密、石河子、阿勒泰、昌吉等15家血站进行血液调剂、对账和结算外调血费等工作；发放献血者交通补贴14267次、血费报销264次、医院奖励金30次；组织献血者活动2次，在献血大厅及各采血点位为献血者提供饮用水。项目的实施</w:t>
      </w:r>
      <w:r>
        <w:rPr>
          <w:rFonts w:hint="eastAsia" w:ascii="仿宋_GB2312" w:hAnsi="仿宋"/>
          <w:szCs w:val="28"/>
          <w:highlight w:val="none"/>
        </w:rPr>
        <w:t>保障</w:t>
      </w:r>
      <w:r>
        <w:rPr>
          <w:rFonts w:hint="eastAsia" w:ascii="仿宋_GB2312" w:hAnsi="仿宋"/>
          <w:szCs w:val="28"/>
          <w:highlight w:val="none"/>
          <w:lang w:val="en-US" w:eastAsia="zh-CN"/>
        </w:rPr>
        <w:t>了</w:t>
      </w:r>
      <w:r>
        <w:rPr>
          <w:rFonts w:hint="eastAsia" w:ascii="仿宋_GB2312" w:hAnsi="仿宋"/>
          <w:szCs w:val="28"/>
          <w:highlight w:val="none"/>
        </w:rPr>
        <w:t>血库、检验、制备等设备24小时正常运行。满足正常采供血工作的需求；进一步推动全社会广泛参与自愿无偿献血事业，促进无偿献血工作持续健康发展。</w:t>
      </w:r>
      <w:r>
        <w:rPr>
          <w:rFonts w:hint="eastAsia" w:ascii="仿宋_GB2312" w:hAnsi="仿宋"/>
          <w:szCs w:val="28"/>
          <w:highlight w:val="none"/>
          <w:lang w:eastAsia="zh-CN"/>
        </w:rPr>
        <w:t>对医疗机构收取用血互助金进行奖励</w:t>
      </w:r>
      <w:r>
        <w:rPr>
          <w:rFonts w:hint="eastAsia" w:ascii="仿宋_GB2312" w:hAnsi="仿宋"/>
          <w:szCs w:val="28"/>
          <w:highlight w:val="none"/>
        </w:rPr>
        <w:t>，以调动医疗机构做好用血互助金的收取工作，保障广大献血者权利。通过保障我单位采供血业务正常运行、保障临床用血安全。</w:t>
      </w:r>
    </w:p>
    <w:p w14:paraId="2C9E8B5A">
      <w:pPr>
        <w:spacing w:line="540" w:lineRule="exact"/>
        <w:ind w:firstLine="562"/>
        <w:rPr>
          <w:rFonts w:hint="eastAsia" w:ascii="仿宋_GB2312"/>
        </w:rPr>
      </w:pPr>
      <w:r>
        <w:rPr>
          <w:rFonts w:hint="eastAsia" w:ascii="仿宋_GB2312"/>
          <w:szCs w:val="28"/>
        </w:rPr>
        <w:t>项目立项符合法律法规、相关政策、发展规划以及部门职责，立项程序规范，预算测算依据充分，资金分配额度合理</w:t>
      </w:r>
      <w:r>
        <w:rPr>
          <w:rFonts w:hint="eastAsia" w:ascii="仿宋_GB2312"/>
          <w:szCs w:val="28"/>
          <w:lang w:eastAsia="zh-CN"/>
        </w:rPr>
        <w:t>；</w:t>
      </w:r>
      <w:r>
        <w:rPr>
          <w:rFonts w:hint="eastAsia" w:ascii="仿宋_GB2312"/>
          <w:szCs w:val="28"/>
        </w:rPr>
        <w:t>落实资金问题，严格程序，确保资金效益</w:t>
      </w:r>
      <w:r>
        <w:rPr>
          <w:rFonts w:hint="eastAsia" w:ascii="仿宋_GB2312"/>
          <w:szCs w:val="28"/>
          <w:lang w:eastAsia="zh-CN"/>
        </w:rPr>
        <w:t>。</w:t>
      </w:r>
      <w:r>
        <w:rPr>
          <w:rFonts w:hint="eastAsia" w:ascii="仿宋_GB2312"/>
          <w:szCs w:val="28"/>
          <w:lang w:val="en-US" w:eastAsia="zh-CN"/>
        </w:rPr>
        <w:t>但部分预算资金执行率偏低，资金使用效率待优化。同时部门协同需加强。</w:t>
      </w:r>
    </w:p>
    <w:p w14:paraId="4B7DDB79">
      <w:pPr>
        <w:spacing w:line="360" w:lineRule="auto"/>
        <w:ind w:firstLine="560"/>
        <w:rPr>
          <w:rFonts w:hint="eastAsia" w:ascii="仿宋_GB2312" w:hAnsi="仿宋"/>
          <w:b/>
          <w:bCs/>
          <w:szCs w:val="28"/>
          <w:highlight w:val="cyan"/>
        </w:rPr>
      </w:pPr>
      <w:r>
        <w:rPr>
          <w:rFonts w:hint="eastAsia" w:ascii="仿宋_GB2312"/>
        </w:rPr>
        <w:t>总体表明，项目有效支撑采供血体系运转，社会效益显著，后续将聚焦长效机制建设，推动全流程绩效管理升级。</w:t>
      </w:r>
      <w:r>
        <w:rPr>
          <w:rFonts w:hint="eastAsia" w:ascii="仿宋_GB2312"/>
          <w:lang w:val="en-US" w:eastAsia="zh-CN"/>
        </w:rPr>
        <w:t>对采供血业务运行经费-非政采</w:t>
      </w:r>
      <w:r>
        <w:rPr>
          <w:rFonts w:hint="eastAsia" w:ascii="仿宋_GB2312" w:hAnsi="仿宋" w:eastAsia="仿宋_GB2312" w:cs="黑体"/>
          <w:sz w:val="28"/>
          <w:szCs w:val="28"/>
          <w:highlight w:val="none"/>
        </w:rPr>
        <w:t>项目进行客观评价，最终绩效评级为“优”</w:t>
      </w:r>
      <w:r>
        <w:rPr>
          <w:rFonts w:hint="eastAsia" w:ascii="仿宋_GB2312" w:hAnsi="仿宋" w:cs="黑体"/>
          <w:sz w:val="28"/>
          <w:szCs w:val="28"/>
          <w:highlight w:val="none"/>
          <w:lang w:eastAsia="zh-CN"/>
        </w:rPr>
        <w:t>。</w:t>
      </w:r>
    </w:p>
    <w:p w14:paraId="4D0CAEFE">
      <w:pPr>
        <w:pStyle w:val="3"/>
        <w:ind w:firstLine="643"/>
        <w:rPr>
          <w:rFonts w:ascii="仿宋" w:hAnsi="仿宋" w:eastAsia="仿宋"/>
          <w:lang w:bidi="en-US"/>
        </w:rPr>
      </w:pPr>
      <w:bookmarkStart w:id="17" w:name="_Toc30822"/>
      <w:bookmarkStart w:id="18" w:name="_Hlk67586765"/>
      <w:bookmarkStart w:id="19" w:name="_Toc67911606"/>
      <w:r>
        <w:rPr>
          <w:rFonts w:hint="eastAsia" w:ascii="仿宋" w:hAnsi="仿宋" w:eastAsia="仿宋"/>
          <w:lang w:bidi="en-US"/>
        </w:rPr>
        <w:t>（二）绩效评价原则、指标体系、方法及标准</w:t>
      </w:r>
      <w:bookmarkEnd w:id="17"/>
      <w:bookmarkEnd w:id="18"/>
      <w:bookmarkEnd w:id="19"/>
    </w:p>
    <w:p w14:paraId="324E6F59">
      <w:pPr>
        <w:pStyle w:val="4"/>
        <w:ind w:firstLine="643"/>
      </w:pPr>
      <w:bookmarkStart w:id="20" w:name="_Toc5220"/>
      <w:r>
        <w:rPr>
          <w:rFonts w:hint="eastAsia"/>
        </w:rPr>
        <w:t>1</w:t>
      </w:r>
      <w:r>
        <w:t>.</w:t>
      </w:r>
      <w:r>
        <w:rPr>
          <w:rFonts w:hint="eastAsia"/>
        </w:rPr>
        <w:t>评价原则</w:t>
      </w:r>
      <w:bookmarkEnd w:id="20"/>
    </w:p>
    <w:p w14:paraId="600F4000">
      <w:pPr>
        <w:spacing w:line="360" w:lineRule="auto"/>
        <w:ind w:firstLine="560"/>
        <w:rPr>
          <w:rFonts w:ascii="仿宋_GB2312"/>
        </w:rPr>
      </w:pPr>
      <w:r>
        <w:rPr>
          <w:rFonts w:hint="eastAsia" w:ascii="仿宋_GB2312"/>
        </w:rPr>
        <w:t>（一）科学公正。绩效评价应当运用科学合理的方法，按照规范的程序，对项目绩效进行客观、公正的反映。</w:t>
      </w:r>
    </w:p>
    <w:p w14:paraId="3E0FCDE9">
      <w:pPr>
        <w:spacing w:line="360" w:lineRule="auto"/>
        <w:ind w:firstLine="560"/>
        <w:rPr>
          <w:rFonts w:ascii="仿宋_GB2312"/>
        </w:rPr>
      </w:pPr>
      <w:r>
        <w:rPr>
          <w:rFonts w:hint="eastAsia" w:ascii="仿宋_GB231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14:paraId="1E8B4684">
      <w:pPr>
        <w:spacing w:line="360" w:lineRule="auto"/>
        <w:ind w:firstLine="560"/>
        <w:rPr>
          <w:rFonts w:ascii="仿宋_GB2312"/>
        </w:rPr>
      </w:pPr>
      <w:r>
        <w:rPr>
          <w:rFonts w:hint="eastAsia" w:ascii="仿宋_GB2312"/>
        </w:rPr>
        <w:t>（三）激励约束。绩效评价结果应与预算安排、政策调整、改进管理实质性挂钩，体现奖优罚劣和激励相容导向，有效要安排、低效要压减、无效要问责。</w:t>
      </w:r>
    </w:p>
    <w:p w14:paraId="219B649C">
      <w:pPr>
        <w:spacing w:line="360" w:lineRule="auto"/>
        <w:ind w:firstLine="560"/>
        <w:rPr>
          <w:rFonts w:ascii="仿宋_GB2312"/>
        </w:rPr>
      </w:pPr>
      <w:r>
        <w:rPr>
          <w:rFonts w:hint="eastAsia" w:ascii="仿宋_GB2312"/>
        </w:rPr>
        <w:t>（四）公开透明。绩效评价结果应依法依规公开，并自觉接受社会监督。</w:t>
      </w:r>
    </w:p>
    <w:p w14:paraId="0B436411">
      <w:pPr>
        <w:pStyle w:val="4"/>
        <w:ind w:firstLine="643"/>
      </w:pPr>
      <w:bookmarkStart w:id="21" w:name="_Toc31261"/>
      <w:r>
        <w:t>2.</w:t>
      </w:r>
      <w:r>
        <w:rPr>
          <w:rFonts w:hint="eastAsia"/>
        </w:rPr>
        <w:t>评价指标体系</w:t>
      </w:r>
      <w:bookmarkEnd w:id="21"/>
    </w:p>
    <w:p w14:paraId="5C59C7DE">
      <w:pPr>
        <w:spacing w:line="360" w:lineRule="auto"/>
        <w:ind w:firstLine="560"/>
        <w:rPr>
          <w:rFonts w:ascii="仿宋_GB2312"/>
        </w:rPr>
      </w:pPr>
      <w:r>
        <w:rPr>
          <w:rFonts w:hint="eastAsia" w:ascii="仿宋_GB2312"/>
        </w:rPr>
        <w:t>绩效评价指标体系作为衡量绩效目标实现程度的考核工具，一般遵循以下原则：</w:t>
      </w:r>
    </w:p>
    <w:p w14:paraId="7D4574DF">
      <w:pPr>
        <w:spacing w:line="360" w:lineRule="auto"/>
        <w:ind w:firstLine="560"/>
        <w:rPr>
          <w:rFonts w:ascii="仿宋_GB2312"/>
        </w:rPr>
      </w:pPr>
      <w:r>
        <w:rPr>
          <w:rFonts w:hint="eastAsia" w:ascii="仿宋_GB2312"/>
        </w:rPr>
        <w:t>（1）相关性原则：绩效评价指标应当与绩效目标有直接的联系，能够恰当反映目标的实现程度。</w:t>
      </w:r>
    </w:p>
    <w:p w14:paraId="02CBB73F">
      <w:pPr>
        <w:spacing w:line="360" w:lineRule="auto"/>
        <w:ind w:firstLine="560"/>
        <w:rPr>
          <w:rFonts w:ascii="仿宋_GB2312"/>
        </w:rPr>
      </w:pPr>
      <w:r>
        <w:rPr>
          <w:rFonts w:hint="eastAsia" w:ascii="仿宋_GB2312"/>
        </w:rPr>
        <w:t>（2）重要性原则：应当优先使用最具评价对象代表性、最能反映评价要求的核心指标。</w:t>
      </w:r>
    </w:p>
    <w:p w14:paraId="19B98F0D">
      <w:pPr>
        <w:spacing w:line="360" w:lineRule="auto"/>
        <w:ind w:firstLine="560"/>
        <w:rPr>
          <w:rFonts w:ascii="仿宋_GB2312"/>
        </w:rPr>
      </w:pPr>
      <w:r>
        <w:rPr>
          <w:rFonts w:hint="eastAsia" w:ascii="仿宋_GB2312"/>
        </w:rPr>
        <w:t>（3）可比性原则：对同类评价对象要设定共性的绩效评价指标，以便于评价结果可以相互比较。</w:t>
      </w:r>
    </w:p>
    <w:p w14:paraId="086DB886">
      <w:pPr>
        <w:spacing w:line="360" w:lineRule="auto"/>
        <w:ind w:firstLine="560"/>
        <w:rPr>
          <w:rFonts w:ascii="仿宋_GB2312"/>
        </w:rPr>
      </w:pPr>
      <w:r>
        <w:rPr>
          <w:rFonts w:hint="eastAsia" w:ascii="仿宋_GB2312"/>
        </w:rPr>
        <w:t>（4）系统性原则：绩效评价指标的设置应当将定量指标与定性指标相结合，能系统反映财政支出所产生的社会效益、经济效益和可持续影响等。</w:t>
      </w:r>
    </w:p>
    <w:p w14:paraId="0598CB5C">
      <w:pPr>
        <w:spacing w:line="360" w:lineRule="auto"/>
        <w:ind w:firstLine="560"/>
        <w:rPr>
          <w:rFonts w:ascii="仿宋_GB2312"/>
        </w:rPr>
      </w:pPr>
      <w:r>
        <w:rPr>
          <w:rFonts w:hint="eastAsia" w:ascii="仿宋_GB2312"/>
        </w:rPr>
        <w:t>（5）经济性原则：绩效评价指标设计应当通俗易懂、简便易行，数据的获得应当考虑现实条件和可操作性，符合成本效益原则。</w:t>
      </w:r>
    </w:p>
    <w:p w14:paraId="30280D9A">
      <w:pPr>
        <w:spacing w:line="360" w:lineRule="auto"/>
        <w:ind w:firstLine="560"/>
        <w:rPr>
          <w:rFonts w:ascii="仿宋_GB2312"/>
        </w:rPr>
      </w:pPr>
      <w:r>
        <w:rPr>
          <w:rFonts w:hint="eastAsia" w:ascii="仿宋_GB2312"/>
        </w:rPr>
        <w:t>本项目的评价指标体系建立如下表所示。</w:t>
      </w:r>
    </w:p>
    <w:p w14:paraId="0693777D">
      <w:pPr>
        <w:spacing w:line="360" w:lineRule="auto"/>
        <w:ind w:firstLine="560"/>
        <w:rPr>
          <w:rFonts w:ascii="仿宋_GB2312"/>
        </w:rPr>
      </w:pPr>
    </w:p>
    <w:p w14:paraId="48DD212C">
      <w:pPr>
        <w:spacing w:line="360" w:lineRule="auto"/>
        <w:ind w:firstLine="560"/>
        <w:rPr>
          <w:rFonts w:ascii="仿宋_GB2312"/>
        </w:rPr>
      </w:pPr>
    </w:p>
    <w:p w14:paraId="10197257">
      <w:pPr>
        <w:spacing w:line="360" w:lineRule="auto"/>
        <w:ind w:firstLine="560"/>
        <w:rPr>
          <w:rFonts w:ascii="仿宋_GB2312"/>
        </w:rPr>
        <w:sectPr>
          <w:headerReference r:id="rId11" w:type="default"/>
          <w:footerReference r:id="rId12" w:type="default"/>
          <w:pgSz w:w="11906" w:h="16838"/>
          <w:pgMar w:top="1440" w:right="1800" w:bottom="1440" w:left="1800" w:header="992" w:footer="992" w:gutter="0"/>
          <w:pgNumType w:start="1"/>
          <w:cols w:space="425" w:num="1"/>
          <w:docGrid w:type="lines" w:linePitch="381" w:charSpace="0"/>
        </w:sectPr>
      </w:pPr>
    </w:p>
    <w:p w14:paraId="787A4416">
      <w:pPr>
        <w:spacing w:line="360" w:lineRule="auto"/>
        <w:ind w:firstLine="0" w:firstLineChars="0"/>
        <w:jc w:val="center"/>
        <w:rPr>
          <w:rFonts w:ascii="仿宋_GB2312"/>
          <w:b/>
          <w:bCs/>
        </w:rPr>
      </w:pPr>
      <w:r>
        <w:rPr>
          <w:rFonts w:hint="eastAsia" w:ascii="仿宋_GB2312"/>
          <w:b/>
          <w:bCs/>
        </w:rPr>
        <w:t>采供血业务运行经费-非政采项目支出绩效评价指标体系</w:t>
      </w:r>
    </w:p>
    <w:tbl>
      <w:tblPr>
        <w:tblStyle w:val="13"/>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55"/>
        <w:gridCol w:w="1199"/>
        <w:gridCol w:w="1411"/>
        <w:gridCol w:w="2789"/>
        <w:gridCol w:w="7341"/>
      </w:tblGrid>
      <w:tr w14:paraId="66C4CF1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vAlign w:val="center"/>
          </w:tcPr>
          <w:p w14:paraId="0874E50D">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199" w:type="dxa"/>
            <w:tcBorders>
              <w:tl2br w:val="nil"/>
              <w:tr2bl w:val="nil"/>
            </w:tcBorders>
            <w:shd w:val="clear" w:color="auto" w:fill="D0CECE"/>
            <w:vAlign w:val="center"/>
          </w:tcPr>
          <w:p w14:paraId="4308869D">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411" w:type="dxa"/>
            <w:tcBorders>
              <w:tl2br w:val="nil"/>
              <w:tr2bl w:val="nil"/>
            </w:tcBorders>
            <w:shd w:val="clear" w:color="auto" w:fill="D0CECE"/>
            <w:vAlign w:val="center"/>
          </w:tcPr>
          <w:p w14:paraId="63F288AB">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2789" w:type="dxa"/>
            <w:tcBorders>
              <w:tl2br w:val="nil"/>
              <w:tr2bl w:val="nil"/>
            </w:tcBorders>
            <w:shd w:val="clear" w:color="auto" w:fill="D0CECE"/>
            <w:vAlign w:val="center"/>
          </w:tcPr>
          <w:p w14:paraId="79703AC7">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7341" w:type="dxa"/>
            <w:tcBorders>
              <w:tl2br w:val="nil"/>
              <w:tr2bl w:val="nil"/>
            </w:tcBorders>
            <w:shd w:val="clear" w:color="auto" w:fill="D0CECE"/>
            <w:vAlign w:val="center"/>
          </w:tcPr>
          <w:p w14:paraId="7A6E5233">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指标说明</w:t>
            </w:r>
          </w:p>
        </w:tc>
      </w:tr>
      <w:tr w14:paraId="2A7FB9E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14:paraId="7A15C2D1">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vMerge w:val="restart"/>
            <w:tcBorders>
              <w:tl2br w:val="nil"/>
              <w:tr2bl w:val="nil"/>
            </w:tcBorders>
            <w:shd w:val="clear" w:color="auto" w:fill="FFFFFF"/>
            <w:vAlign w:val="center"/>
          </w:tcPr>
          <w:p w14:paraId="29453E83">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项目立项</w:t>
            </w:r>
          </w:p>
        </w:tc>
        <w:tc>
          <w:tcPr>
            <w:tcW w:w="1411" w:type="dxa"/>
            <w:tcBorders>
              <w:tl2br w:val="nil"/>
              <w:tr2bl w:val="nil"/>
            </w:tcBorders>
            <w:shd w:val="clear" w:color="auto" w:fill="FFFFFF"/>
            <w:vAlign w:val="center"/>
          </w:tcPr>
          <w:p w14:paraId="107BA97B">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立项依据</w:t>
            </w:r>
          </w:p>
          <w:p w14:paraId="149526F3">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充分性</w:t>
            </w:r>
          </w:p>
        </w:tc>
        <w:tc>
          <w:tcPr>
            <w:tcW w:w="2789" w:type="dxa"/>
            <w:tcBorders>
              <w:tl2br w:val="nil"/>
              <w:tr2bl w:val="nil"/>
            </w:tcBorders>
            <w:shd w:val="clear" w:color="auto" w:fill="FFFFFF"/>
            <w:vAlign w:val="center"/>
          </w:tcPr>
          <w:p w14:paraId="79355D4C">
            <w:pPr>
              <w:widowControl/>
              <w:ind w:firstLine="0" w:firstLineChars="0"/>
              <w:rPr>
                <w:rFonts w:ascii="宋体" w:hAnsi="宋体" w:eastAsia="宋体" w:cs="宋体"/>
                <w:kern w:val="0"/>
                <w:sz w:val="22"/>
              </w:rPr>
            </w:pPr>
            <w:r>
              <w:rPr>
                <w:rFonts w:hint="eastAsia" w:ascii="宋体" w:hAnsi="宋体" w:eastAsia="宋体" w:cs="宋体"/>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00485FAB">
            <w:pPr>
              <w:widowControl/>
              <w:ind w:firstLine="0" w:firstLineChars="0"/>
              <w:jc w:val="left"/>
              <w:rPr>
                <w:rFonts w:ascii="宋体" w:hAnsi="宋体" w:eastAsia="宋体" w:cs="宋体"/>
                <w:kern w:val="0"/>
                <w:sz w:val="22"/>
              </w:rPr>
            </w:pPr>
            <w:r>
              <w:rPr>
                <w:rFonts w:hint="eastAsia" w:ascii="宋体" w:hAnsi="宋体" w:eastAsia="宋体" w:cs="宋体"/>
                <w:kern w:val="0"/>
                <w:sz w:val="22"/>
              </w:rPr>
              <w:t>评价要点：</w:t>
            </w:r>
            <w:r>
              <w:rPr>
                <w:rFonts w:hint="eastAsia" w:ascii="宋体" w:hAnsi="宋体" w:eastAsia="宋体" w:cs="宋体"/>
                <w:kern w:val="0"/>
                <w:sz w:val="22"/>
              </w:rPr>
              <w:br w:type="textWrapping"/>
            </w:r>
            <w:r>
              <w:rPr>
                <w:rFonts w:hint="eastAsia" w:ascii="宋体" w:hAnsi="宋体" w:eastAsia="宋体" w:cs="宋体"/>
                <w:kern w:val="0"/>
                <w:sz w:val="22"/>
              </w:rPr>
              <w:t>①项目立项是否符合国家法律法规、国民经济发展规划和相关政策；</w:t>
            </w:r>
            <w:r>
              <w:rPr>
                <w:rFonts w:hint="eastAsia" w:ascii="宋体" w:hAnsi="宋体" w:eastAsia="宋体" w:cs="宋体"/>
                <w:kern w:val="0"/>
                <w:sz w:val="22"/>
              </w:rPr>
              <w:br w:type="textWrapping"/>
            </w:r>
            <w:r>
              <w:rPr>
                <w:rFonts w:hint="eastAsia" w:ascii="宋体" w:hAnsi="宋体" w:eastAsia="宋体" w:cs="宋体"/>
                <w:kern w:val="0"/>
                <w:sz w:val="22"/>
              </w:rPr>
              <w:t>②项目立项是否符合行业发展规划和政策要求；</w:t>
            </w:r>
            <w:r>
              <w:rPr>
                <w:rFonts w:hint="eastAsia" w:ascii="宋体" w:hAnsi="宋体" w:eastAsia="宋体" w:cs="宋体"/>
                <w:kern w:val="0"/>
                <w:sz w:val="22"/>
              </w:rPr>
              <w:br w:type="textWrapping"/>
            </w:r>
            <w:r>
              <w:rPr>
                <w:rFonts w:hint="eastAsia" w:ascii="宋体" w:hAnsi="宋体" w:eastAsia="宋体" w:cs="宋体"/>
                <w:kern w:val="0"/>
                <w:sz w:val="22"/>
              </w:rPr>
              <w:t>③项目立项是否与部门职责范围相符，属干</w:t>
            </w:r>
            <w:r>
              <w:rPr>
                <w:rFonts w:hint="eastAsia" w:ascii="宋体" w:hAnsi="宋体" w:eastAsia="宋体" w:cs="宋体"/>
                <w:kern w:val="0"/>
                <w:sz w:val="22"/>
                <w:lang w:val="en-US" w:eastAsia="zh-CN"/>
              </w:rPr>
              <w:t>于</w:t>
            </w:r>
            <w:r>
              <w:rPr>
                <w:rFonts w:hint="eastAsia" w:ascii="宋体" w:hAnsi="宋体" w:eastAsia="宋体" w:cs="宋体"/>
                <w:kern w:val="0"/>
                <w:sz w:val="22"/>
              </w:rPr>
              <w:t>部门履职所需；</w:t>
            </w:r>
            <w:r>
              <w:rPr>
                <w:rFonts w:hint="eastAsia" w:ascii="宋体" w:hAnsi="宋体" w:eastAsia="宋体" w:cs="宋体"/>
                <w:kern w:val="0"/>
                <w:sz w:val="22"/>
              </w:rPr>
              <w:br w:type="textWrapping"/>
            </w:r>
            <w:r>
              <w:rPr>
                <w:rFonts w:hint="eastAsia" w:ascii="宋体" w:hAnsi="宋体" w:eastAsia="宋体" w:cs="宋体"/>
                <w:kern w:val="0"/>
                <w:sz w:val="22"/>
              </w:rPr>
              <w:t>④项目是否属于公共财政支持范围，是否符合中央、地方事权支出责任划分原则；</w:t>
            </w:r>
            <w:r>
              <w:rPr>
                <w:rFonts w:hint="eastAsia" w:ascii="宋体" w:hAnsi="宋体" w:eastAsia="宋体" w:cs="宋体"/>
                <w:kern w:val="0"/>
                <w:sz w:val="22"/>
              </w:rPr>
              <w:br w:type="textWrapping"/>
            </w:r>
            <w:r>
              <w:rPr>
                <w:rFonts w:hint="eastAsia" w:ascii="宋体" w:hAnsi="宋体" w:eastAsia="宋体" w:cs="宋体"/>
                <w:kern w:val="0"/>
                <w:sz w:val="22"/>
              </w:rPr>
              <w:t>⑤项目是否与相关部门同类项目或部门内部相关项目重复。</w:t>
            </w:r>
          </w:p>
        </w:tc>
      </w:tr>
      <w:tr w14:paraId="528EA77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14:paraId="6DCFF25F">
            <w:pPr>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6C0A2714">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76F640A8">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立项程序</w:t>
            </w:r>
          </w:p>
          <w:p w14:paraId="49E7BF2E">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规范性</w:t>
            </w:r>
          </w:p>
        </w:tc>
        <w:tc>
          <w:tcPr>
            <w:tcW w:w="2789" w:type="dxa"/>
            <w:tcBorders>
              <w:tl2br w:val="nil"/>
              <w:tr2bl w:val="nil"/>
            </w:tcBorders>
            <w:shd w:val="clear" w:color="auto" w:fill="FFFFFF"/>
            <w:vAlign w:val="center"/>
          </w:tcPr>
          <w:p w14:paraId="2F0BD69B">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5993CE25">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①项目是否按照规定的程序申请设立；</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②审批文件、材料是否符合相关要求；</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③事前是否已经过必要的可行性研究、专家论证、风险评估、绩效评估、集体决策。</w:t>
            </w:r>
          </w:p>
        </w:tc>
      </w:tr>
      <w:tr w14:paraId="302F8F0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14:paraId="79E0FD1C">
            <w:pPr>
              <w:ind w:firstLine="0" w:firstLineChars="0"/>
              <w:jc w:val="center"/>
              <w:rPr>
                <w:rFonts w:ascii="宋体" w:hAnsi="宋体" w:eastAsia="宋体" w:cs="宋体"/>
                <w:color w:val="000000"/>
                <w:kern w:val="0"/>
                <w:sz w:val="22"/>
              </w:rPr>
            </w:pPr>
          </w:p>
        </w:tc>
        <w:tc>
          <w:tcPr>
            <w:tcW w:w="1199" w:type="dxa"/>
            <w:tcBorders>
              <w:tl2br w:val="nil"/>
              <w:tr2bl w:val="nil"/>
            </w:tcBorders>
            <w:shd w:val="clear" w:color="auto" w:fill="FFFFFF"/>
            <w:vAlign w:val="center"/>
          </w:tcPr>
          <w:p w14:paraId="081397AB">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tcBorders>
              <w:tl2br w:val="nil"/>
              <w:tr2bl w:val="nil"/>
            </w:tcBorders>
            <w:shd w:val="clear" w:color="auto" w:fill="FFFFFF"/>
            <w:vAlign w:val="center"/>
          </w:tcPr>
          <w:p w14:paraId="5860FDEE">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p w14:paraId="7316FF1D">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000000" w:fill="FFFFFF"/>
            <w:vAlign w:val="center"/>
          </w:tcPr>
          <w:p w14:paraId="07DA7D9E">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7197FD20">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（如未设定预算绩效目标，也可考核其他工作任务目标）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①项目是否有绩效目标；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②项目绩效目标与实际工作内容是否具有相关性；</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③项目预期产出效益和效果是否符合正常的业绩水平；</w:t>
            </w:r>
          </w:p>
          <w:p w14:paraId="324DC12A">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④是否与预算确定的项目投资额或资金量相匹配。</w:t>
            </w:r>
          </w:p>
        </w:tc>
      </w:tr>
      <w:tr w14:paraId="3917CB1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14:paraId="00BDD71B">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tcBorders>
              <w:tl2br w:val="nil"/>
              <w:tr2bl w:val="nil"/>
            </w:tcBorders>
            <w:shd w:val="clear" w:color="auto" w:fill="FFFFFF"/>
            <w:vAlign w:val="center"/>
          </w:tcPr>
          <w:p w14:paraId="123F3A92">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tcBorders>
              <w:tl2br w:val="nil"/>
              <w:tr2bl w:val="nil"/>
            </w:tcBorders>
            <w:shd w:val="clear" w:color="auto" w:fill="FFFFFF"/>
            <w:vAlign w:val="center"/>
          </w:tcPr>
          <w:p w14:paraId="4A871E57">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绩效指标</w:t>
            </w:r>
          </w:p>
          <w:p w14:paraId="7490D9E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明确性</w:t>
            </w:r>
          </w:p>
        </w:tc>
        <w:tc>
          <w:tcPr>
            <w:tcW w:w="2789" w:type="dxa"/>
            <w:tcBorders>
              <w:tl2br w:val="nil"/>
              <w:tr2bl w:val="nil"/>
            </w:tcBorders>
            <w:shd w:val="clear" w:color="000000" w:fill="FFFFFF"/>
            <w:vAlign w:val="center"/>
          </w:tcPr>
          <w:p w14:paraId="73CF0341">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1C675009">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①是否将项目绩效目标细化分解为具体的绩效指标；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②是否通过清晰、可衡量的指标值予以体现；</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③是否与项目目标任务数或计划数相对应。</w:t>
            </w:r>
            <w:r>
              <w:rPr>
                <w:rFonts w:hint="eastAsia" w:ascii="宋体" w:hAnsi="宋体" w:eastAsia="宋体" w:cs="宋体"/>
                <w:color w:val="000000"/>
                <w:kern w:val="0"/>
                <w:sz w:val="22"/>
              </w:rPr>
              <w:br w:type="textWrapping"/>
            </w:r>
          </w:p>
        </w:tc>
      </w:tr>
      <w:tr w14:paraId="2B2F971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14:paraId="736D7A55">
            <w:pPr>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14:paraId="694A3FAE">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资金投入</w:t>
            </w:r>
          </w:p>
        </w:tc>
        <w:tc>
          <w:tcPr>
            <w:tcW w:w="1411" w:type="dxa"/>
            <w:tcBorders>
              <w:tl2br w:val="nil"/>
              <w:tr2bl w:val="nil"/>
            </w:tcBorders>
            <w:shd w:val="clear" w:color="auto" w:fill="FFFFFF"/>
            <w:vAlign w:val="center"/>
          </w:tcPr>
          <w:p w14:paraId="45340B23">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预算编制</w:t>
            </w:r>
          </w:p>
          <w:p w14:paraId="093AEC72">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科学性</w:t>
            </w:r>
          </w:p>
        </w:tc>
        <w:tc>
          <w:tcPr>
            <w:tcW w:w="2789" w:type="dxa"/>
            <w:tcBorders>
              <w:tl2br w:val="nil"/>
              <w:tr2bl w:val="nil"/>
            </w:tcBorders>
            <w:shd w:val="clear" w:color="auto" w:fill="FFFFFF"/>
            <w:vAlign w:val="center"/>
          </w:tcPr>
          <w:p w14:paraId="46255D84">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7AFFDD8E">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①预算编制是否经过科学论证；</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②预算内容与项目内容是否匹配；</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③预算额度测算依据是否充分，是否按照标准编制；</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④预算确定的项目投资额或资金量是否与工作任务相匹配。</w:t>
            </w:r>
          </w:p>
        </w:tc>
      </w:tr>
      <w:tr w14:paraId="2B6141E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14:paraId="3E6DF797">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50E1333A">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2802A723">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资金分配</w:t>
            </w:r>
          </w:p>
          <w:p w14:paraId="237C9495">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auto" w:fill="FFFFFF"/>
            <w:vAlign w:val="center"/>
          </w:tcPr>
          <w:p w14:paraId="6B917D12">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1BB5574A">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①预算资金分配依据是否充分；</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②资金分配额度是否合理，与项目单位或地方实际是否相适应。</w:t>
            </w:r>
          </w:p>
        </w:tc>
      </w:tr>
      <w:tr w14:paraId="2A6F440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14:paraId="66983085">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vMerge w:val="restart"/>
            <w:tcBorders>
              <w:tl2br w:val="nil"/>
              <w:tr2bl w:val="nil"/>
            </w:tcBorders>
            <w:shd w:val="clear" w:color="auto" w:fill="FFFFFF"/>
            <w:vAlign w:val="center"/>
          </w:tcPr>
          <w:p w14:paraId="19B315C7">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tcBorders>
              <w:tl2br w:val="nil"/>
              <w:tr2bl w:val="nil"/>
            </w:tcBorders>
            <w:shd w:val="clear" w:color="auto" w:fill="FFFFFF"/>
            <w:vAlign w:val="center"/>
          </w:tcPr>
          <w:p w14:paraId="65B03C45">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资金到位率</w:t>
            </w:r>
          </w:p>
        </w:tc>
        <w:tc>
          <w:tcPr>
            <w:tcW w:w="2789" w:type="dxa"/>
            <w:tcBorders>
              <w:tl2br w:val="nil"/>
              <w:tr2bl w:val="nil"/>
            </w:tcBorders>
            <w:shd w:val="clear" w:color="000000" w:fill="FFFFFF"/>
            <w:vAlign w:val="center"/>
          </w:tcPr>
          <w:p w14:paraId="6289AD38">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673E39AC">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资金到位率=（实际到位资金/预算资金）×100%。</w:t>
            </w:r>
          </w:p>
          <w:p w14:paraId="3A4BD7D3">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实际到位资金：一定时期（本年度或项目期）内落实到具体项目的资金。</w:t>
            </w:r>
          </w:p>
          <w:p w14:paraId="3C60BA36">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预算资金：一定时期（本年度或项目期）内预算安排到具体项目的资金。</w:t>
            </w:r>
          </w:p>
        </w:tc>
      </w:tr>
      <w:tr w14:paraId="1661671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14:paraId="7DB4D162">
            <w:pPr>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72BD951B">
            <w:pPr>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7129FA3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预算执行率</w:t>
            </w:r>
          </w:p>
        </w:tc>
        <w:tc>
          <w:tcPr>
            <w:tcW w:w="2789" w:type="dxa"/>
            <w:tcBorders>
              <w:tl2br w:val="nil"/>
              <w:tr2bl w:val="nil"/>
            </w:tcBorders>
            <w:shd w:val="clear" w:color="auto" w:fill="FFFFFF"/>
            <w:vAlign w:val="center"/>
          </w:tcPr>
          <w:p w14:paraId="7D9A00E6">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14:paraId="26CE3E68">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预算执行率=（实际支出资金/实际到位资金）×100%。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实际支出资金：一定时期（本年度或项目期）内项目实际拨付的资金。</w:t>
            </w:r>
          </w:p>
        </w:tc>
      </w:tr>
      <w:tr w14:paraId="458FE06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14:paraId="51F5A162">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tcBorders>
              <w:tl2br w:val="nil"/>
              <w:tr2bl w:val="nil"/>
            </w:tcBorders>
            <w:shd w:val="clear" w:color="auto" w:fill="FFFFFF"/>
            <w:vAlign w:val="center"/>
          </w:tcPr>
          <w:p w14:paraId="1A80E1C5">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tcBorders>
              <w:tl2br w:val="nil"/>
              <w:tr2bl w:val="nil"/>
            </w:tcBorders>
            <w:shd w:val="clear" w:color="auto" w:fill="FFFFFF"/>
            <w:vAlign w:val="center"/>
          </w:tcPr>
          <w:p w14:paraId="759DE3DA">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资金使用</w:t>
            </w:r>
          </w:p>
          <w:p w14:paraId="48FF2A02">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合规性</w:t>
            </w:r>
          </w:p>
        </w:tc>
        <w:tc>
          <w:tcPr>
            <w:tcW w:w="2789" w:type="dxa"/>
            <w:tcBorders>
              <w:tl2br w:val="nil"/>
              <w:tr2bl w:val="nil"/>
            </w:tcBorders>
            <w:shd w:val="clear" w:color="000000" w:fill="FFFFFF"/>
            <w:vAlign w:val="center"/>
          </w:tcPr>
          <w:p w14:paraId="2DBB07CA">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47F0D3E0">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①是否符合国家财经法规和财务管理制度以及有关专项资金管理办法的规定；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②资金的拨付是否有完整的审批程序和手续；</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③是否符合项目预算批复或合同规定的用途；</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④是否存在截留、挤占、挪用、虚列支出等情况。</w:t>
            </w:r>
          </w:p>
        </w:tc>
      </w:tr>
      <w:tr w14:paraId="4388115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14:paraId="784AF5CF">
            <w:pPr>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14:paraId="11D64379">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组织实施</w:t>
            </w:r>
          </w:p>
        </w:tc>
        <w:tc>
          <w:tcPr>
            <w:tcW w:w="1411" w:type="dxa"/>
            <w:tcBorders>
              <w:tl2br w:val="nil"/>
              <w:tr2bl w:val="nil"/>
            </w:tcBorders>
            <w:shd w:val="clear" w:color="auto" w:fill="FFFFFF"/>
            <w:vAlign w:val="center"/>
          </w:tcPr>
          <w:p w14:paraId="2688A7D2">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管理制度</w:t>
            </w:r>
          </w:p>
          <w:p w14:paraId="207B9F87">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健全性</w:t>
            </w:r>
          </w:p>
        </w:tc>
        <w:tc>
          <w:tcPr>
            <w:tcW w:w="2789" w:type="dxa"/>
            <w:tcBorders>
              <w:tl2br w:val="nil"/>
              <w:tr2bl w:val="nil"/>
            </w:tcBorders>
            <w:shd w:val="clear" w:color="000000" w:fill="FFFFFF"/>
            <w:vAlign w:val="center"/>
          </w:tcPr>
          <w:p w14:paraId="569BC5A8">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5B028A4B">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①是否已制定或具有相应的财务和业务管理制度；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②财务和业务管理制度是否合法、合规、完整。</w:t>
            </w:r>
          </w:p>
        </w:tc>
      </w:tr>
      <w:tr w14:paraId="20991EC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14:paraId="7908F63A">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3B291939">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21EBE43D">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制度执行</w:t>
            </w:r>
          </w:p>
          <w:p w14:paraId="12AD9BCE">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有效性</w:t>
            </w:r>
          </w:p>
        </w:tc>
        <w:tc>
          <w:tcPr>
            <w:tcW w:w="2789" w:type="dxa"/>
            <w:tcBorders>
              <w:tl2br w:val="nil"/>
              <w:tr2bl w:val="nil"/>
            </w:tcBorders>
            <w:shd w:val="clear" w:color="000000" w:fill="FFFFFF"/>
            <w:vAlign w:val="center"/>
          </w:tcPr>
          <w:p w14:paraId="4C21A78D">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02991191">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①是否遵守相关法律法规和相关管理规定；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②项目调整及支出调整手续是否完备；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③项目合同书、验收报告、技术鉴定等资料是否齐全并及时归档；</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④项目实施的人员条件、场地设备、信息支撑等是否落实到位。</w:t>
            </w:r>
          </w:p>
        </w:tc>
      </w:tr>
      <w:tr w14:paraId="37625E8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0" w:hRule="atLeast"/>
          <w:jc w:val="center"/>
        </w:trPr>
        <w:tc>
          <w:tcPr>
            <w:tcW w:w="1155" w:type="dxa"/>
            <w:vMerge w:val="restart"/>
            <w:tcBorders>
              <w:tl2br w:val="nil"/>
              <w:tr2bl w:val="nil"/>
            </w:tcBorders>
            <w:shd w:val="clear" w:color="auto" w:fill="FFFFFF"/>
            <w:vAlign w:val="center"/>
          </w:tcPr>
          <w:p w14:paraId="1053D30F">
            <w:pPr>
              <w:widowControl/>
              <w:ind w:firstLine="0" w:firstLineChars="0"/>
              <w:jc w:val="center"/>
              <w:rPr>
                <w:rFonts w:ascii="宋体" w:hAnsi="宋体" w:eastAsia="宋体" w:cs="宋体"/>
                <w:kern w:val="0"/>
                <w:sz w:val="22"/>
              </w:rPr>
            </w:pPr>
            <w:r>
              <w:rPr>
                <w:rFonts w:hint="eastAsia" w:ascii="宋体" w:hAnsi="宋体" w:eastAsia="宋体" w:cs="宋体"/>
                <w:kern w:val="0"/>
                <w:sz w:val="22"/>
              </w:rPr>
              <w:t>产出</w:t>
            </w:r>
          </w:p>
        </w:tc>
        <w:tc>
          <w:tcPr>
            <w:tcW w:w="1199" w:type="dxa"/>
            <w:vMerge w:val="restart"/>
            <w:tcBorders>
              <w:tl2br w:val="nil"/>
              <w:tr2bl w:val="nil"/>
            </w:tcBorders>
            <w:shd w:val="clear" w:color="auto" w:fill="FFFFFF"/>
            <w:vAlign w:val="center"/>
          </w:tcPr>
          <w:p w14:paraId="68B322B7">
            <w:pPr>
              <w:widowControl/>
              <w:ind w:firstLine="0" w:firstLineChars="0"/>
              <w:jc w:val="center"/>
              <w:rPr>
                <w:rFonts w:ascii="宋体" w:hAnsi="宋体" w:eastAsia="宋体" w:cs="宋体"/>
                <w:kern w:val="0"/>
                <w:sz w:val="22"/>
              </w:rPr>
            </w:pPr>
            <w:r>
              <w:rPr>
                <w:rFonts w:hint="eastAsia" w:ascii="宋体" w:hAnsi="宋体" w:eastAsia="宋体" w:cs="宋体"/>
                <w:kern w:val="0"/>
                <w:sz w:val="22"/>
              </w:rPr>
              <w:t>产出数量</w:t>
            </w:r>
          </w:p>
        </w:tc>
        <w:tc>
          <w:tcPr>
            <w:tcW w:w="1411" w:type="dxa"/>
            <w:tcBorders>
              <w:tl2br w:val="nil"/>
              <w:tr2bl w:val="nil"/>
            </w:tcBorders>
            <w:shd w:val="clear" w:color="auto" w:fill="FFFFFF"/>
            <w:vAlign w:val="center"/>
          </w:tcPr>
          <w:p w14:paraId="40774055">
            <w:pPr>
              <w:widowControl/>
              <w:ind w:firstLine="0" w:firstLineChars="0"/>
              <w:jc w:val="center"/>
              <w:textAlignment w:val="center"/>
              <w:rPr>
                <w:rFonts w:ascii="宋体" w:hAnsi="宋体" w:eastAsia="宋体" w:cs="宋体"/>
                <w:kern w:val="0"/>
                <w:sz w:val="22"/>
              </w:rPr>
            </w:pPr>
            <w:r>
              <w:rPr>
                <w:rFonts w:hint="eastAsia" w:ascii="宋体" w:hAnsi="宋体" w:eastAsia="宋体" w:cs="宋体"/>
                <w:kern w:val="0"/>
                <w:sz w:val="22"/>
              </w:rPr>
              <w:t>电梯定期维保次数</w:t>
            </w:r>
          </w:p>
        </w:tc>
        <w:tc>
          <w:tcPr>
            <w:tcW w:w="2789" w:type="dxa"/>
            <w:vMerge w:val="restart"/>
            <w:tcBorders>
              <w:tl2br w:val="nil"/>
              <w:tr2bl w:val="nil"/>
            </w:tcBorders>
            <w:shd w:val="clear" w:color="000000" w:fill="FFFFFF"/>
            <w:vAlign w:val="center"/>
          </w:tcPr>
          <w:p w14:paraId="196062D5">
            <w:pPr>
              <w:widowControl/>
              <w:ind w:firstLine="0" w:firstLineChars="0"/>
              <w:rPr>
                <w:rFonts w:ascii="宋体" w:hAnsi="宋体" w:eastAsia="宋体" w:cs="宋体"/>
                <w:kern w:val="0"/>
                <w:sz w:val="22"/>
              </w:rPr>
            </w:pPr>
            <w:r>
              <w:rPr>
                <w:rFonts w:hint="eastAsia" w:ascii="宋体" w:hAnsi="宋体" w:eastAsia="宋体" w:cs="宋体"/>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14:paraId="1B94994A">
            <w:pPr>
              <w:widowControl/>
              <w:ind w:firstLine="0" w:firstLineChars="0"/>
              <w:rPr>
                <w:rFonts w:ascii="宋体" w:hAnsi="宋体" w:eastAsia="宋体" w:cs="宋体"/>
                <w:kern w:val="0"/>
                <w:sz w:val="22"/>
              </w:rPr>
            </w:pPr>
            <w:r>
              <w:rPr>
                <w:rFonts w:hint="eastAsia" w:ascii="宋体" w:hAnsi="宋体" w:eastAsia="宋体" w:cs="宋体"/>
                <w:kern w:val="0"/>
                <w:sz w:val="22"/>
              </w:rPr>
              <w:t>实际完成率=（实际产出数/计划产出数）×100%。</w:t>
            </w:r>
            <w:r>
              <w:rPr>
                <w:rFonts w:hint="eastAsia" w:ascii="宋体" w:hAnsi="宋体" w:eastAsia="宋体" w:cs="宋体"/>
                <w:kern w:val="0"/>
                <w:sz w:val="22"/>
              </w:rPr>
              <w:br w:type="textWrapping"/>
            </w:r>
            <w:r>
              <w:rPr>
                <w:rFonts w:hint="eastAsia" w:ascii="宋体" w:hAnsi="宋体" w:eastAsia="宋体" w:cs="宋体"/>
                <w:kern w:val="0"/>
                <w:sz w:val="22"/>
              </w:rPr>
              <w:t>实际产出数：一定时期（本年度或项目期）内项目实际产出的产品或提供的服务数量。</w:t>
            </w:r>
            <w:r>
              <w:rPr>
                <w:rFonts w:hint="eastAsia" w:ascii="宋体" w:hAnsi="宋体" w:eastAsia="宋体" w:cs="宋体"/>
                <w:kern w:val="0"/>
                <w:sz w:val="22"/>
              </w:rPr>
              <w:br w:type="textWrapping"/>
            </w:r>
            <w:r>
              <w:rPr>
                <w:rFonts w:hint="eastAsia" w:ascii="宋体" w:hAnsi="宋体" w:eastAsia="宋体" w:cs="宋体"/>
                <w:kern w:val="0"/>
                <w:sz w:val="22"/>
              </w:rPr>
              <w:t>计划产出数：项目绩效目标确定的在一定时期（本年度或项目期）内计划产出的产品或提供的服务数量。</w:t>
            </w:r>
          </w:p>
        </w:tc>
      </w:tr>
      <w:tr w14:paraId="1C15B69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0" w:hRule="atLeast"/>
          <w:jc w:val="center"/>
        </w:trPr>
        <w:tc>
          <w:tcPr>
            <w:tcW w:w="1155" w:type="dxa"/>
            <w:vMerge w:val="continue"/>
            <w:tcBorders>
              <w:tl2br w:val="nil"/>
              <w:tr2bl w:val="nil"/>
            </w:tcBorders>
            <w:shd w:val="clear" w:color="auto" w:fill="FFFFFF"/>
            <w:vAlign w:val="center"/>
          </w:tcPr>
          <w:p w14:paraId="60F4E9D9">
            <w:pPr>
              <w:widowControl/>
              <w:ind w:firstLine="0" w:firstLineChars="0"/>
              <w:jc w:val="center"/>
            </w:pPr>
          </w:p>
        </w:tc>
        <w:tc>
          <w:tcPr>
            <w:tcW w:w="1199" w:type="dxa"/>
            <w:vMerge w:val="continue"/>
            <w:tcBorders>
              <w:tl2br w:val="nil"/>
              <w:tr2bl w:val="nil"/>
            </w:tcBorders>
            <w:shd w:val="clear" w:color="auto" w:fill="FFFFFF"/>
            <w:vAlign w:val="center"/>
          </w:tcPr>
          <w:p w14:paraId="72DAE623">
            <w:pPr>
              <w:widowControl/>
              <w:ind w:firstLine="0" w:firstLineChars="0"/>
              <w:jc w:val="center"/>
            </w:pPr>
          </w:p>
        </w:tc>
        <w:tc>
          <w:tcPr>
            <w:tcW w:w="1411" w:type="dxa"/>
            <w:tcBorders>
              <w:tl2br w:val="nil"/>
              <w:tr2bl w:val="nil"/>
            </w:tcBorders>
            <w:shd w:val="clear" w:color="auto" w:fill="FFFFFF"/>
            <w:vAlign w:val="center"/>
          </w:tcPr>
          <w:p w14:paraId="79BBEFD3">
            <w:pPr>
              <w:widowControl/>
              <w:ind w:firstLine="0" w:firstLineChars="0"/>
              <w:jc w:val="center"/>
              <w:textAlignment w:val="center"/>
              <w:rPr>
                <w:rFonts w:ascii="宋体" w:hAnsi="宋体" w:eastAsia="宋体" w:cs="宋体"/>
                <w:kern w:val="0"/>
                <w:sz w:val="22"/>
              </w:rPr>
            </w:pPr>
            <w:r>
              <w:rPr>
                <w:rFonts w:hint="eastAsia" w:ascii="宋体" w:hAnsi="宋体" w:eastAsia="宋体" w:cs="宋体"/>
                <w:kern w:val="0"/>
                <w:sz w:val="22"/>
              </w:rPr>
              <w:t>维修维护设备种类</w:t>
            </w:r>
          </w:p>
        </w:tc>
        <w:tc>
          <w:tcPr>
            <w:tcW w:w="2789" w:type="dxa"/>
            <w:vMerge w:val="continue"/>
            <w:tcBorders>
              <w:tl2br w:val="nil"/>
              <w:tr2bl w:val="nil"/>
            </w:tcBorders>
            <w:shd w:val="clear" w:color="000000" w:fill="FFFFFF"/>
            <w:vAlign w:val="center"/>
          </w:tcPr>
          <w:p w14:paraId="6B7A0C38">
            <w:pPr>
              <w:widowControl/>
              <w:ind w:firstLine="0" w:firstLineChars="0"/>
              <w:jc w:val="center"/>
              <w:rPr>
                <w:rFonts w:ascii="宋体" w:hAnsi="宋体" w:eastAsia="宋体" w:cs="宋体"/>
                <w:kern w:val="0"/>
                <w:sz w:val="22"/>
              </w:rPr>
            </w:pPr>
          </w:p>
        </w:tc>
        <w:tc>
          <w:tcPr>
            <w:tcW w:w="7341" w:type="dxa"/>
            <w:vMerge w:val="continue"/>
            <w:tcBorders>
              <w:tl2br w:val="nil"/>
              <w:tr2bl w:val="nil"/>
            </w:tcBorders>
            <w:shd w:val="clear" w:color="000000" w:fill="FFFFFF"/>
            <w:vAlign w:val="center"/>
          </w:tcPr>
          <w:p w14:paraId="50569407">
            <w:pPr>
              <w:widowControl/>
              <w:ind w:firstLine="0" w:firstLineChars="0"/>
              <w:jc w:val="center"/>
              <w:rPr>
                <w:rFonts w:ascii="宋体" w:hAnsi="宋体" w:eastAsia="宋体" w:cs="宋体"/>
                <w:kern w:val="0"/>
                <w:sz w:val="22"/>
              </w:rPr>
            </w:pPr>
          </w:p>
        </w:tc>
      </w:tr>
      <w:tr w14:paraId="05A723B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0" w:hRule="atLeast"/>
          <w:jc w:val="center"/>
        </w:trPr>
        <w:tc>
          <w:tcPr>
            <w:tcW w:w="1155" w:type="dxa"/>
            <w:vMerge w:val="continue"/>
            <w:tcBorders>
              <w:tl2br w:val="nil"/>
              <w:tr2bl w:val="nil"/>
            </w:tcBorders>
            <w:shd w:val="clear" w:color="auto" w:fill="FFFFFF"/>
            <w:vAlign w:val="center"/>
          </w:tcPr>
          <w:p w14:paraId="7C436B19">
            <w:pPr>
              <w:widowControl/>
              <w:ind w:firstLine="0" w:firstLineChars="0"/>
              <w:jc w:val="center"/>
              <w:rPr>
                <w:rFonts w:ascii="宋体" w:hAnsi="宋体" w:eastAsia="宋体" w:cs="宋体"/>
                <w:kern w:val="0"/>
                <w:sz w:val="22"/>
              </w:rPr>
            </w:pPr>
          </w:p>
        </w:tc>
        <w:tc>
          <w:tcPr>
            <w:tcW w:w="1199" w:type="dxa"/>
            <w:vMerge w:val="continue"/>
            <w:tcBorders>
              <w:tl2br w:val="nil"/>
              <w:tr2bl w:val="nil"/>
            </w:tcBorders>
            <w:shd w:val="clear" w:color="auto" w:fill="FFFFFF"/>
            <w:vAlign w:val="center"/>
          </w:tcPr>
          <w:p w14:paraId="4A892552">
            <w:pPr>
              <w:widowControl/>
              <w:ind w:firstLine="0" w:firstLineChars="0"/>
              <w:jc w:val="center"/>
              <w:rPr>
                <w:rFonts w:ascii="宋体" w:hAnsi="宋体" w:eastAsia="宋体" w:cs="宋体"/>
                <w:kern w:val="0"/>
                <w:sz w:val="22"/>
              </w:rPr>
            </w:pPr>
          </w:p>
        </w:tc>
        <w:tc>
          <w:tcPr>
            <w:tcW w:w="1411" w:type="dxa"/>
            <w:tcBorders>
              <w:tl2br w:val="nil"/>
              <w:tr2bl w:val="nil"/>
            </w:tcBorders>
            <w:shd w:val="clear" w:color="auto" w:fill="FFFFFF"/>
            <w:vAlign w:val="center"/>
          </w:tcPr>
          <w:p w14:paraId="59D049E9">
            <w:pPr>
              <w:widowControl/>
              <w:ind w:firstLine="0" w:firstLineChars="0"/>
              <w:jc w:val="center"/>
              <w:textAlignment w:val="center"/>
              <w:rPr>
                <w:rFonts w:ascii="宋体" w:hAnsi="宋体" w:eastAsia="宋体" w:cs="宋体"/>
                <w:kern w:val="0"/>
                <w:sz w:val="22"/>
              </w:rPr>
            </w:pPr>
            <w:r>
              <w:rPr>
                <w:rFonts w:hint="eastAsia" w:ascii="宋体" w:hAnsi="宋体" w:eastAsia="宋体" w:cs="宋体"/>
                <w:kern w:val="0"/>
                <w:sz w:val="22"/>
              </w:rPr>
              <w:t>采购试剂耗材种类</w:t>
            </w:r>
          </w:p>
        </w:tc>
        <w:tc>
          <w:tcPr>
            <w:tcW w:w="2789" w:type="dxa"/>
            <w:vMerge w:val="continue"/>
            <w:tcBorders>
              <w:tl2br w:val="nil"/>
              <w:tr2bl w:val="nil"/>
            </w:tcBorders>
            <w:shd w:val="clear" w:color="000000" w:fill="FFFFFF"/>
            <w:vAlign w:val="center"/>
          </w:tcPr>
          <w:p w14:paraId="1038DDBA">
            <w:pPr>
              <w:widowControl/>
              <w:ind w:firstLine="0" w:firstLineChars="0"/>
              <w:jc w:val="center"/>
              <w:rPr>
                <w:rFonts w:ascii="宋体" w:hAnsi="宋体" w:eastAsia="宋体" w:cs="宋体"/>
                <w:kern w:val="0"/>
                <w:sz w:val="22"/>
              </w:rPr>
            </w:pPr>
          </w:p>
        </w:tc>
        <w:tc>
          <w:tcPr>
            <w:tcW w:w="7341" w:type="dxa"/>
            <w:vMerge w:val="continue"/>
            <w:tcBorders>
              <w:tl2br w:val="nil"/>
              <w:tr2bl w:val="nil"/>
            </w:tcBorders>
            <w:shd w:val="clear" w:color="000000" w:fill="FFFFFF"/>
            <w:vAlign w:val="center"/>
          </w:tcPr>
          <w:p w14:paraId="216AB675">
            <w:pPr>
              <w:widowControl/>
              <w:ind w:firstLine="0" w:firstLineChars="0"/>
              <w:jc w:val="center"/>
              <w:rPr>
                <w:rFonts w:ascii="宋体" w:hAnsi="宋体" w:eastAsia="宋体" w:cs="宋体"/>
                <w:kern w:val="0"/>
                <w:sz w:val="22"/>
              </w:rPr>
            </w:pPr>
          </w:p>
        </w:tc>
      </w:tr>
      <w:tr w14:paraId="6885BB7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0" w:hRule="atLeast"/>
          <w:jc w:val="center"/>
        </w:trPr>
        <w:tc>
          <w:tcPr>
            <w:tcW w:w="1155" w:type="dxa"/>
            <w:vMerge w:val="continue"/>
            <w:tcBorders>
              <w:tl2br w:val="nil"/>
              <w:tr2bl w:val="nil"/>
            </w:tcBorders>
            <w:shd w:val="clear" w:color="auto" w:fill="FFFFFF"/>
            <w:vAlign w:val="center"/>
          </w:tcPr>
          <w:p w14:paraId="03C11A7C">
            <w:pPr>
              <w:widowControl/>
              <w:ind w:firstLine="0" w:firstLineChars="0"/>
              <w:jc w:val="center"/>
              <w:rPr>
                <w:rFonts w:ascii="宋体" w:hAnsi="宋体" w:eastAsia="宋体" w:cs="宋体"/>
                <w:kern w:val="0"/>
                <w:sz w:val="22"/>
              </w:rPr>
            </w:pPr>
          </w:p>
        </w:tc>
        <w:tc>
          <w:tcPr>
            <w:tcW w:w="1199" w:type="dxa"/>
            <w:vMerge w:val="continue"/>
            <w:tcBorders>
              <w:tl2br w:val="nil"/>
              <w:tr2bl w:val="nil"/>
            </w:tcBorders>
            <w:shd w:val="clear" w:color="auto" w:fill="FFFFFF"/>
            <w:vAlign w:val="center"/>
          </w:tcPr>
          <w:p w14:paraId="1665AE60">
            <w:pPr>
              <w:widowControl/>
              <w:ind w:firstLine="0" w:firstLineChars="0"/>
              <w:jc w:val="center"/>
              <w:rPr>
                <w:rFonts w:ascii="宋体" w:hAnsi="宋体" w:eastAsia="宋体" w:cs="宋体"/>
                <w:kern w:val="0"/>
                <w:sz w:val="22"/>
              </w:rPr>
            </w:pPr>
          </w:p>
        </w:tc>
        <w:tc>
          <w:tcPr>
            <w:tcW w:w="1411" w:type="dxa"/>
            <w:tcBorders>
              <w:tl2br w:val="nil"/>
              <w:tr2bl w:val="nil"/>
            </w:tcBorders>
            <w:shd w:val="clear" w:color="auto" w:fill="FFFFFF"/>
            <w:vAlign w:val="center"/>
          </w:tcPr>
          <w:p w14:paraId="4BF755EB">
            <w:pPr>
              <w:widowControl/>
              <w:ind w:firstLine="0" w:firstLineChars="0"/>
              <w:jc w:val="center"/>
              <w:textAlignment w:val="center"/>
              <w:rPr>
                <w:rFonts w:ascii="宋体" w:hAnsi="宋体" w:eastAsia="宋体" w:cs="宋体"/>
                <w:kern w:val="0"/>
                <w:sz w:val="22"/>
              </w:rPr>
            </w:pPr>
            <w:r>
              <w:rPr>
                <w:rFonts w:hint="eastAsia" w:ascii="宋体" w:hAnsi="宋体" w:eastAsia="宋体" w:cs="宋体"/>
                <w:kern w:val="0"/>
                <w:sz w:val="22"/>
              </w:rPr>
              <w:t>临聘人员数量</w:t>
            </w:r>
          </w:p>
        </w:tc>
        <w:tc>
          <w:tcPr>
            <w:tcW w:w="2789" w:type="dxa"/>
            <w:vMerge w:val="continue"/>
            <w:tcBorders>
              <w:tl2br w:val="nil"/>
              <w:tr2bl w:val="nil"/>
            </w:tcBorders>
            <w:shd w:val="clear" w:color="000000" w:fill="FFFFFF"/>
            <w:vAlign w:val="center"/>
          </w:tcPr>
          <w:p w14:paraId="63957A11">
            <w:pPr>
              <w:widowControl/>
              <w:ind w:firstLine="0" w:firstLineChars="0"/>
              <w:jc w:val="center"/>
              <w:rPr>
                <w:rFonts w:ascii="宋体" w:hAnsi="宋体" w:eastAsia="宋体" w:cs="宋体"/>
                <w:kern w:val="0"/>
                <w:sz w:val="22"/>
              </w:rPr>
            </w:pPr>
          </w:p>
        </w:tc>
        <w:tc>
          <w:tcPr>
            <w:tcW w:w="7341" w:type="dxa"/>
            <w:vMerge w:val="continue"/>
            <w:tcBorders>
              <w:tl2br w:val="nil"/>
              <w:tr2bl w:val="nil"/>
            </w:tcBorders>
            <w:shd w:val="clear" w:color="000000" w:fill="FFFFFF"/>
            <w:vAlign w:val="center"/>
          </w:tcPr>
          <w:p w14:paraId="1F76180A">
            <w:pPr>
              <w:widowControl/>
              <w:ind w:firstLine="0" w:firstLineChars="0"/>
              <w:jc w:val="center"/>
              <w:rPr>
                <w:rFonts w:ascii="宋体" w:hAnsi="宋体" w:eastAsia="宋体" w:cs="宋体"/>
                <w:kern w:val="0"/>
                <w:sz w:val="22"/>
              </w:rPr>
            </w:pPr>
          </w:p>
        </w:tc>
      </w:tr>
      <w:tr w14:paraId="3D87552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14:paraId="74446AB4">
            <w:pPr>
              <w:widowControl/>
              <w:ind w:firstLine="0" w:firstLineChars="0"/>
              <w:jc w:val="center"/>
              <w:rPr>
                <w:rFonts w:ascii="宋体" w:hAnsi="宋体" w:eastAsia="宋体" w:cs="宋体"/>
                <w:kern w:val="0"/>
                <w:sz w:val="22"/>
              </w:rPr>
            </w:pPr>
            <w:r>
              <w:rPr>
                <w:rFonts w:hint="eastAsia" w:ascii="宋体" w:hAnsi="宋体" w:eastAsia="宋体" w:cs="宋体"/>
                <w:kern w:val="0"/>
                <w:sz w:val="22"/>
              </w:rPr>
              <w:t>产出</w:t>
            </w:r>
          </w:p>
        </w:tc>
        <w:tc>
          <w:tcPr>
            <w:tcW w:w="1199" w:type="dxa"/>
            <w:tcBorders>
              <w:tl2br w:val="nil"/>
              <w:tr2bl w:val="nil"/>
            </w:tcBorders>
            <w:shd w:val="clear" w:color="auto" w:fill="FFFFFF"/>
            <w:vAlign w:val="center"/>
          </w:tcPr>
          <w:p w14:paraId="569F224B">
            <w:pPr>
              <w:widowControl/>
              <w:ind w:firstLine="0" w:firstLineChars="0"/>
              <w:jc w:val="center"/>
              <w:rPr>
                <w:rFonts w:ascii="宋体" w:hAnsi="宋体" w:eastAsia="宋体" w:cs="宋体"/>
                <w:kern w:val="0"/>
                <w:sz w:val="22"/>
              </w:rPr>
            </w:pPr>
            <w:r>
              <w:rPr>
                <w:rFonts w:hint="eastAsia" w:ascii="宋体" w:hAnsi="宋体" w:eastAsia="宋体" w:cs="宋体"/>
                <w:kern w:val="0"/>
                <w:sz w:val="22"/>
              </w:rPr>
              <w:t>产出质量</w:t>
            </w:r>
          </w:p>
        </w:tc>
        <w:tc>
          <w:tcPr>
            <w:tcW w:w="1411" w:type="dxa"/>
            <w:tcBorders>
              <w:tl2br w:val="nil"/>
              <w:tr2bl w:val="nil"/>
            </w:tcBorders>
            <w:shd w:val="clear" w:color="auto" w:fill="FFFFFF"/>
            <w:vAlign w:val="center"/>
          </w:tcPr>
          <w:p w14:paraId="1FB3C016">
            <w:pPr>
              <w:widowControl/>
              <w:ind w:firstLine="0" w:firstLineChars="0"/>
              <w:jc w:val="center"/>
              <w:rPr>
                <w:rFonts w:ascii="宋体" w:hAnsi="宋体" w:eastAsia="宋体" w:cs="宋体"/>
                <w:kern w:val="0"/>
                <w:sz w:val="22"/>
              </w:rPr>
            </w:pPr>
            <w:r>
              <w:rPr>
                <w:rFonts w:hint="eastAsia" w:ascii="宋体" w:hAnsi="宋体" w:eastAsia="宋体" w:cs="宋体"/>
                <w:kern w:val="0"/>
                <w:sz w:val="22"/>
              </w:rPr>
              <w:t>一次性验收合格率</w:t>
            </w:r>
          </w:p>
        </w:tc>
        <w:tc>
          <w:tcPr>
            <w:tcW w:w="2789" w:type="dxa"/>
            <w:tcBorders>
              <w:tl2br w:val="nil"/>
              <w:tr2bl w:val="nil"/>
            </w:tcBorders>
            <w:shd w:val="clear" w:color="000000" w:fill="FFFFFF"/>
            <w:vAlign w:val="center"/>
          </w:tcPr>
          <w:p w14:paraId="76E68AA6">
            <w:pPr>
              <w:widowControl/>
              <w:ind w:firstLine="0" w:firstLineChars="0"/>
              <w:rPr>
                <w:rFonts w:ascii="宋体" w:hAnsi="宋体" w:eastAsia="宋体" w:cs="宋体"/>
                <w:kern w:val="0"/>
                <w:sz w:val="22"/>
              </w:rPr>
            </w:pPr>
            <w:r>
              <w:rPr>
                <w:rFonts w:hint="eastAsia" w:ascii="宋体" w:hAnsi="宋体" w:eastAsia="宋体" w:cs="宋体"/>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14:paraId="4D4FB6AE">
            <w:pPr>
              <w:widowControl/>
              <w:ind w:firstLine="0" w:firstLineChars="0"/>
              <w:rPr>
                <w:rFonts w:ascii="宋体" w:hAnsi="宋体" w:eastAsia="宋体" w:cs="宋体"/>
                <w:kern w:val="0"/>
                <w:sz w:val="22"/>
              </w:rPr>
            </w:pPr>
            <w:r>
              <w:rPr>
                <w:rFonts w:hint="eastAsia" w:ascii="宋体" w:hAnsi="宋体" w:eastAsia="宋体" w:cs="宋体"/>
                <w:kern w:val="0"/>
                <w:sz w:val="22"/>
              </w:rPr>
              <w:t>质量达标率=（质量达标产出数/实际产出数）×100%。</w:t>
            </w:r>
          </w:p>
          <w:p w14:paraId="25F2D675">
            <w:pPr>
              <w:widowControl/>
              <w:ind w:firstLine="0" w:firstLineChars="0"/>
              <w:rPr>
                <w:rFonts w:ascii="宋体" w:hAnsi="宋体" w:eastAsia="宋体" w:cs="宋体"/>
                <w:kern w:val="0"/>
                <w:sz w:val="22"/>
              </w:rPr>
            </w:pPr>
            <w:r>
              <w:rPr>
                <w:rFonts w:hint="eastAsia" w:ascii="宋体" w:hAnsi="宋体" w:eastAsia="宋体" w:cs="宋体"/>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55B0AF2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8" w:hRule="atLeast"/>
          <w:jc w:val="center"/>
        </w:trPr>
        <w:tc>
          <w:tcPr>
            <w:tcW w:w="1155" w:type="dxa"/>
            <w:vMerge w:val="continue"/>
            <w:tcBorders>
              <w:tl2br w:val="nil"/>
              <w:tr2bl w:val="nil"/>
            </w:tcBorders>
            <w:shd w:val="clear" w:color="auto" w:fill="FFFFFF"/>
            <w:vAlign w:val="center"/>
          </w:tcPr>
          <w:p w14:paraId="0B072C9E">
            <w:pPr>
              <w:ind w:firstLine="0" w:firstLineChars="0"/>
              <w:jc w:val="center"/>
              <w:rPr>
                <w:rFonts w:ascii="宋体" w:hAnsi="宋体" w:eastAsia="宋体" w:cs="宋体"/>
                <w:kern w:val="0"/>
                <w:sz w:val="22"/>
              </w:rPr>
            </w:pPr>
          </w:p>
        </w:tc>
        <w:tc>
          <w:tcPr>
            <w:tcW w:w="1199" w:type="dxa"/>
            <w:tcBorders>
              <w:tl2br w:val="nil"/>
              <w:tr2bl w:val="nil"/>
            </w:tcBorders>
            <w:shd w:val="clear" w:color="auto" w:fill="FFFFFF"/>
            <w:vAlign w:val="center"/>
          </w:tcPr>
          <w:p w14:paraId="32FCC5E7">
            <w:pPr>
              <w:ind w:firstLine="0" w:firstLineChars="0"/>
              <w:jc w:val="center"/>
              <w:rPr>
                <w:rFonts w:ascii="宋体" w:hAnsi="宋体" w:eastAsia="宋体" w:cs="宋体"/>
                <w:kern w:val="0"/>
                <w:sz w:val="22"/>
              </w:rPr>
            </w:pPr>
            <w:r>
              <w:rPr>
                <w:rFonts w:hint="eastAsia" w:ascii="宋体" w:hAnsi="宋体" w:eastAsia="宋体" w:cs="宋体"/>
                <w:kern w:val="0"/>
                <w:sz w:val="22"/>
              </w:rPr>
              <w:t>产出时效</w:t>
            </w:r>
          </w:p>
        </w:tc>
        <w:tc>
          <w:tcPr>
            <w:tcW w:w="1411" w:type="dxa"/>
            <w:tcBorders>
              <w:tl2br w:val="nil"/>
              <w:tr2bl w:val="nil"/>
            </w:tcBorders>
            <w:shd w:val="clear" w:color="auto" w:fill="FFFFFF"/>
            <w:vAlign w:val="center"/>
          </w:tcPr>
          <w:p w14:paraId="59C59F15">
            <w:pPr>
              <w:widowControl/>
              <w:ind w:firstLine="0" w:firstLineChars="0"/>
              <w:jc w:val="center"/>
              <w:rPr>
                <w:rFonts w:ascii="宋体" w:hAnsi="宋体" w:eastAsia="宋体" w:cs="宋体"/>
                <w:kern w:val="0"/>
                <w:sz w:val="22"/>
              </w:rPr>
            </w:pPr>
            <w:r>
              <w:rPr>
                <w:rFonts w:hint="eastAsia" w:ascii="宋体" w:hAnsi="宋体" w:eastAsia="宋体" w:cs="宋体"/>
                <w:kern w:val="0"/>
                <w:sz w:val="22"/>
              </w:rPr>
              <w:t>预算拨付后完成采购时间</w:t>
            </w:r>
          </w:p>
        </w:tc>
        <w:tc>
          <w:tcPr>
            <w:tcW w:w="2789" w:type="dxa"/>
            <w:tcBorders>
              <w:tl2br w:val="nil"/>
              <w:tr2bl w:val="nil"/>
            </w:tcBorders>
            <w:shd w:val="clear" w:color="000000" w:fill="FFFFFF"/>
            <w:vAlign w:val="center"/>
          </w:tcPr>
          <w:p w14:paraId="72E24F51">
            <w:pPr>
              <w:widowControl/>
              <w:ind w:firstLine="0" w:firstLineChars="0"/>
              <w:rPr>
                <w:rFonts w:ascii="宋体" w:hAnsi="宋体" w:eastAsia="宋体" w:cs="宋体"/>
                <w:kern w:val="0"/>
                <w:sz w:val="22"/>
              </w:rPr>
            </w:pPr>
            <w:r>
              <w:rPr>
                <w:rFonts w:hint="eastAsia" w:ascii="宋体" w:hAnsi="宋体" w:eastAsia="宋体" w:cs="宋体"/>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1D17C32B">
            <w:pPr>
              <w:widowControl/>
              <w:ind w:firstLine="0" w:firstLineChars="0"/>
              <w:rPr>
                <w:rFonts w:ascii="宋体" w:hAnsi="宋体" w:eastAsia="宋体" w:cs="宋体"/>
                <w:kern w:val="0"/>
                <w:sz w:val="22"/>
              </w:rPr>
            </w:pPr>
            <w:r>
              <w:rPr>
                <w:rFonts w:hint="eastAsia" w:ascii="宋体" w:hAnsi="宋体" w:eastAsia="宋体" w:cs="宋体"/>
                <w:kern w:val="0"/>
                <w:sz w:val="22"/>
              </w:rPr>
              <w:t>实际完成时间：项目实施单位完成该项目实际所耗用的时间。</w:t>
            </w:r>
            <w:r>
              <w:rPr>
                <w:rFonts w:hint="eastAsia" w:ascii="宋体" w:hAnsi="宋体" w:eastAsia="宋体" w:cs="宋体"/>
                <w:kern w:val="0"/>
                <w:sz w:val="22"/>
              </w:rPr>
              <w:br w:type="textWrapping"/>
            </w:r>
            <w:r>
              <w:rPr>
                <w:rFonts w:hint="eastAsia" w:ascii="宋体" w:hAnsi="宋体" w:eastAsia="宋体" w:cs="宋体"/>
                <w:kern w:val="0"/>
                <w:sz w:val="22"/>
              </w:rPr>
              <w:t>计划完成时间：按照项目实施计划或相关规定完成该项目所需的时间。</w:t>
            </w:r>
          </w:p>
        </w:tc>
      </w:tr>
      <w:tr w14:paraId="748FB0B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1155" w:type="dxa"/>
            <w:vMerge w:val="continue"/>
            <w:tcBorders>
              <w:tl2br w:val="nil"/>
              <w:tr2bl w:val="nil"/>
            </w:tcBorders>
            <w:shd w:val="clear" w:color="auto" w:fill="FFFFFF"/>
            <w:vAlign w:val="center"/>
          </w:tcPr>
          <w:p w14:paraId="29D77471">
            <w:pPr>
              <w:widowControl/>
              <w:ind w:firstLine="0" w:firstLineChars="0"/>
              <w:jc w:val="center"/>
              <w:rPr>
                <w:rFonts w:ascii="宋体" w:hAnsi="宋体" w:eastAsia="宋体" w:cs="宋体"/>
                <w:kern w:val="0"/>
                <w:sz w:val="22"/>
              </w:rPr>
            </w:pPr>
          </w:p>
        </w:tc>
        <w:tc>
          <w:tcPr>
            <w:tcW w:w="1199" w:type="dxa"/>
            <w:vMerge w:val="restart"/>
            <w:tcBorders>
              <w:tl2br w:val="nil"/>
              <w:tr2bl w:val="nil"/>
            </w:tcBorders>
            <w:shd w:val="clear" w:color="auto" w:fill="FFFFFF"/>
            <w:vAlign w:val="center"/>
          </w:tcPr>
          <w:p w14:paraId="5284F6EE">
            <w:pPr>
              <w:widowControl/>
              <w:ind w:firstLine="0" w:firstLineChars="0"/>
              <w:jc w:val="center"/>
              <w:rPr>
                <w:rFonts w:ascii="宋体" w:hAnsi="宋体" w:eastAsia="宋体" w:cs="宋体"/>
                <w:kern w:val="0"/>
                <w:sz w:val="22"/>
              </w:rPr>
            </w:pPr>
            <w:r>
              <w:rPr>
                <w:rFonts w:hint="eastAsia" w:ascii="宋体" w:hAnsi="宋体" w:eastAsia="宋体" w:cs="宋体"/>
                <w:kern w:val="0"/>
                <w:sz w:val="22"/>
              </w:rPr>
              <w:t>产出成本</w:t>
            </w:r>
          </w:p>
        </w:tc>
        <w:tc>
          <w:tcPr>
            <w:tcW w:w="1411" w:type="dxa"/>
            <w:tcBorders>
              <w:tl2br w:val="nil"/>
              <w:tr2bl w:val="nil"/>
            </w:tcBorders>
            <w:shd w:val="clear" w:color="auto" w:fill="FFFFFF"/>
            <w:vAlign w:val="center"/>
          </w:tcPr>
          <w:p w14:paraId="38C898EB">
            <w:pPr>
              <w:widowControl/>
              <w:ind w:firstLine="0" w:firstLineChars="0"/>
              <w:jc w:val="center"/>
              <w:rPr>
                <w:rFonts w:ascii="宋体" w:hAnsi="宋体" w:eastAsia="宋体" w:cs="宋体"/>
                <w:kern w:val="0"/>
                <w:sz w:val="22"/>
              </w:rPr>
            </w:pPr>
            <w:r>
              <w:rPr>
                <w:rFonts w:hint="eastAsia" w:ascii="宋体" w:hAnsi="宋体" w:eastAsia="宋体" w:cs="宋体"/>
                <w:kern w:val="0"/>
                <w:sz w:val="22"/>
              </w:rPr>
              <w:t>支付电费</w:t>
            </w:r>
          </w:p>
        </w:tc>
        <w:tc>
          <w:tcPr>
            <w:tcW w:w="2789" w:type="dxa"/>
            <w:vMerge w:val="restart"/>
            <w:tcBorders>
              <w:tl2br w:val="nil"/>
              <w:tr2bl w:val="nil"/>
            </w:tcBorders>
            <w:shd w:val="clear" w:color="000000" w:fill="FFFFFF"/>
            <w:vAlign w:val="center"/>
          </w:tcPr>
          <w:p w14:paraId="37436C8D">
            <w:pPr>
              <w:widowControl/>
              <w:ind w:firstLine="0" w:firstLineChars="0"/>
              <w:jc w:val="left"/>
              <w:rPr>
                <w:rFonts w:ascii="宋体" w:hAnsi="宋体" w:eastAsia="宋体" w:cs="宋体"/>
                <w:kern w:val="0"/>
                <w:sz w:val="22"/>
              </w:rPr>
            </w:pPr>
            <w:r>
              <w:rPr>
                <w:rFonts w:hint="eastAsia" w:ascii="宋体" w:hAnsi="宋体" w:eastAsia="宋体" w:cs="宋体"/>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14:paraId="09FEC7CB">
            <w:pPr>
              <w:widowControl/>
              <w:ind w:firstLine="0" w:firstLineChars="0"/>
              <w:jc w:val="left"/>
              <w:rPr>
                <w:rFonts w:ascii="宋体" w:hAnsi="宋体" w:eastAsia="宋体" w:cs="宋体"/>
                <w:kern w:val="0"/>
                <w:sz w:val="22"/>
              </w:rPr>
            </w:pPr>
            <w:r>
              <w:rPr>
                <w:rFonts w:hint="eastAsia" w:ascii="宋体" w:hAnsi="宋体" w:eastAsia="宋体" w:cs="宋体"/>
                <w:kern w:val="0"/>
                <w:sz w:val="22"/>
              </w:rPr>
              <w:br w:type="textWrapping"/>
            </w:r>
            <w:r>
              <w:rPr>
                <w:rFonts w:hint="eastAsia" w:ascii="宋体" w:hAnsi="宋体" w:eastAsia="宋体" w:cs="宋体"/>
                <w:kern w:val="0"/>
                <w:sz w:val="22"/>
              </w:rPr>
              <w:t>成本节约率=[（计划成本-实际成本）/计划成本]×100%。</w:t>
            </w:r>
            <w:r>
              <w:rPr>
                <w:rFonts w:hint="eastAsia" w:ascii="宋体" w:hAnsi="宋体" w:eastAsia="宋体" w:cs="宋体"/>
                <w:kern w:val="0"/>
                <w:sz w:val="22"/>
              </w:rPr>
              <w:br w:type="textWrapping"/>
            </w:r>
            <w:r>
              <w:rPr>
                <w:rFonts w:hint="eastAsia" w:ascii="宋体" w:hAnsi="宋体" w:eastAsia="宋体" w:cs="宋体"/>
                <w:kern w:val="0"/>
                <w:sz w:val="22"/>
              </w:rPr>
              <w:t>实际成本：项目实施单位如期、保质、保量完成既定工作目标实际所耗费的支出。</w:t>
            </w:r>
            <w:r>
              <w:rPr>
                <w:rFonts w:hint="eastAsia" w:ascii="宋体" w:hAnsi="宋体" w:eastAsia="宋体" w:cs="宋体"/>
                <w:kern w:val="0"/>
                <w:sz w:val="22"/>
              </w:rPr>
              <w:br w:type="textWrapping"/>
            </w:r>
            <w:r>
              <w:rPr>
                <w:rFonts w:hint="eastAsia" w:ascii="宋体" w:hAnsi="宋体" w:eastAsia="宋体" w:cs="宋体"/>
                <w:kern w:val="0"/>
                <w:sz w:val="22"/>
              </w:rPr>
              <w:t>计划成本：项目实施单位为完成工作目标计划安排的支出，一般以项目预算为参考。</w:t>
            </w:r>
          </w:p>
        </w:tc>
      </w:tr>
      <w:tr w14:paraId="18A0C6C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1155" w:type="dxa"/>
            <w:vMerge w:val="continue"/>
            <w:tcBorders>
              <w:tl2br w:val="nil"/>
              <w:tr2bl w:val="nil"/>
            </w:tcBorders>
            <w:shd w:val="clear" w:color="auto" w:fill="FFFFFF"/>
            <w:vAlign w:val="center"/>
          </w:tcPr>
          <w:p w14:paraId="5184AB8C">
            <w:pPr>
              <w:widowControl/>
              <w:ind w:firstLine="0" w:firstLineChars="0"/>
              <w:jc w:val="center"/>
            </w:pPr>
          </w:p>
        </w:tc>
        <w:tc>
          <w:tcPr>
            <w:tcW w:w="1199" w:type="dxa"/>
            <w:vMerge w:val="continue"/>
            <w:tcBorders>
              <w:tl2br w:val="nil"/>
              <w:tr2bl w:val="nil"/>
            </w:tcBorders>
            <w:shd w:val="clear" w:color="auto" w:fill="FFFFFF"/>
            <w:vAlign w:val="center"/>
          </w:tcPr>
          <w:p w14:paraId="10B0C421">
            <w:pPr>
              <w:widowControl/>
              <w:ind w:firstLine="0" w:firstLineChars="0"/>
              <w:jc w:val="center"/>
            </w:pPr>
          </w:p>
        </w:tc>
        <w:tc>
          <w:tcPr>
            <w:tcW w:w="1411" w:type="dxa"/>
            <w:tcBorders>
              <w:tl2br w:val="nil"/>
              <w:tr2bl w:val="nil"/>
            </w:tcBorders>
            <w:shd w:val="clear" w:color="auto" w:fill="FFFFFF"/>
            <w:vAlign w:val="center"/>
          </w:tcPr>
          <w:p w14:paraId="0C593186">
            <w:pPr>
              <w:widowControl/>
              <w:ind w:firstLine="0" w:firstLineChars="0"/>
              <w:jc w:val="center"/>
              <w:rPr>
                <w:rFonts w:ascii="宋体" w:hAnsi="宋体" w:eastAsia="宋体" w:cs="宋体"/>
                <w:kern w:val="0"/>
                <w:sz w:val="22"/>
              </w:rPr>
            </w:pPr>
            <w:r>
              <w:rPr>
                <w:rFonts w:hint="eastAsia" w:ascii="宋体" w:hAnsi="宋体" w:eastAsia="宋体" w:cs="宋体"/>
                <w:kern w:val="0"/>
                <w:sz w:val="22"/>
              </w:rPr>
              <w:t>支付设备维修、电梯维修维保等费用</w:t>
            </w:r>
          </w:p>
        </w:tc>
        <w:tc>
          <w:tcPr>
            <w:tcW w:w="2789" w:type="dxa"/>
            <w:vMerge w:val="continue"/>
            <w:tcBorders>
              <w:tl2br w:val="nil"/>
              <w:tr2bl w:val="nil"/>
            </w:tcBorders>
            <w:shd w:val="clear" w:color="000000" w:fill="FFFFFF"/>
            <w:vAlign w:val="center"/>
          </w:tcPr>
          <w:p w14:paraId="068E15B5">
            <w:pPr>
              <w:widowControl/>
              <w:ind w:firstLine="0" w:firstLineChars="0"/>
              <w:jc w:val="center"/>
              <w:rPr>
                <w:rFonts w:ascii="宋体" w:hAnsi="宋体" w:eastAsia="宋体" w:cs="宋体"/>
                <w:kern w:val="0"/>
                <w:sz w:val="22"/>
              </w:rPr>
            </w:pPr>
          </w:p>
        </w:tc>
        <w:tc>
          <w:tcPr>
            <w:tcW w:w="7341" w:type="dxa"/>
            <w:vMerge w:val="continue"/>
            <w:tcBorders>
              <w:tl2br w:val="nil"/>
              <w:tr2bl w:val="nil"/>
            </w:tcBorders>
            <w:shd w:val="clear" w:color="000000" w:fill="FFFFFF"/>
            <w:vAlign w:val="center"/>
          </w:tcPr>
          <w:p w14:paraId="7D251E41">
            <w:pPr>
              <w:widowControl/>
              <w:ind w:firstLine="0" w:firstLineChars="0"/>
              <w:jc w:val="center"/>
              <w:rPr>
                <w:rFonts w:ascii="宋体" w:hAnsi="宋体" w:eastAsia="宋体" w:cs="宋体"/>
                <w:kern w:val="0"/>
                <w:sz w:val="22"/>
              </w:rPr>
            </w:pPr>
          </w:p>
        </w:tc>
      </w:tr>
      <w:tr w14:paraId="4EFF738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1155" w:type="dxa"/>
            <w:vMerge w:val="continue"/>
            <w:tcBorders>
              <w:tl2br w:val="nil"/>
              <w:tr2bl w:val="nil"/>
            </w:tcBorders>
            <w:shd w:val="clear" w:color="auto" w:fill="FFFFFF"/>
            <w:vAlign w:val="center"/>
          </w:tcPr>
          <w:p w14:paraId="364FF040">
            <w:pPr>
              <w:widowControl/>
              <w:ind w:firstLine="0" w:firstLineChars="0"/>
              <w:jc w:val="center"/>
              <w:rPr>
                <w:rFonts w:ascii="宋体" w:hAnsi="宋体" w:eastAsia="宋体" w:cs="宋体"/>
                <w:kern w:val="0"/>
                <w:sz w:val="22"/>
              </w:rPr>
            </w:pPr>
          </w:p>
        </w:tc>
        <w:tc>
          <w:tcPr>
            <w:tcW w:w="1199" w:type="dxa"/>
            <w:vMerge w:val="continue"/>
            <w:tcBorders>
              <w:tl2br w:val="nil"/>
              <w:tr2bl w:val="nil"/>
            </w:tcBorders>
            <w:shd w:val="clear" w:color="auto" w:fill="FFFFFF"/>
            <w:vAlign w:val="center"/>
          </w:tcPr>
          <w:p w14:paraId="3A51B572">
            <w:pPr>
              <w:widowControl/>
              <w:ind w:firstLine="0" w:firstLineChars="0"/>
              <w:jc w:val="center"/>
              <w:rPr>
                <w:rFonts w:ascii="宋体" w:hAnsi="宋体" w:eastAsia="宋体" w:cs="宋体"/>
                <w:kern w:val="0"/>
                <w:sz w:val="22"/>
              </w:rPr>
            </w:pPr>
          </w:p>
        </w:tc>
        <w:tc>
          <w:tcPr>
            <w:tcW w:w="1411" w:type="dxa"/>
            <w:tcBorders>
              <w:tl2br w:val="nil"/>
              <w:tr2bl w:val="nil"/>
            </w:tcBorders>
            <w:shd w:val="clear" w:color="auto" w:fill="FFFFFF"/>
            <w:vAlign w:val="center"/>
          </w:tcPr>
          <w:p w14:paraId="0C0B1ADC">
            <w:pPr>
              <w:widowControl/>
              <w:ind w:firstLine="0" w:firstLineChars="0"/>
              <w:jc w:val="center"/>
              <w:rPr>
                <w:rFonts w:ascii="宋体" w:hAnsi="宋体" w:eastAsia="宋体" w:cs="宋体"/>
                <w:kern w:val="0"/>
                <w:sz w:val="22"/>
              </w:rPr>
            </w:pPr>
            <w:r>
              <w:rPr>
                <w:rFonts w:hint="eastAsia" w:ascii="宋体" w:hAnsi="宋体" w:eastAsia="宋体" w:cs="宋体"/>
                <w:kern w:val="0"/>
                <w:sz w:val="22"/>
              </w:rPr>
              <w:t>支付试剂耗材及外调血费</w:t>
            </w:r>
          </w:p>
        </w:tc>
        <w:tc>
          <w:tcPr>
            <w:tcW w:w="2789" w:type="dxa"/>
            <w:vMerge w:val="continue"/>
            <w:tcBorders>
              <w:tl2br w:val="nil"/>
              <w:tr2bl w:val="nil"/>
            </w:tcBorders>
            <w:shd w:val="clear" w:color="000000" w:fill="FFFFFF"/>
            <w:vAlign w:val="center"/>
          </w:tcPr>
          <w:p w14:paraId="469F66CE">
            <w:pPr>
              <w:widowControl/>
              <w:ind w:firstLine="0" w:firstLineChars="0"/>
              <w:jc w:val="center"/>
              <w:rPr>
                <w:rFonts w:ascii="宋体" w:hAnsi="宋体" w:eastAsia="宋体" w:cs="宋体"/>
                <w:kern w:val="0"/>
                <w:sz w:val="22"/>
              </w:rPr>
            </w:pPr>
          </w:p>
        </w:tc>
        <w:tc>
          <w:tcPr>
            <w:tcW w:w="7341" w:type="dxa"/>
            <w:vMerge w:val="continue"/>
            <w:tcBorders>
              <w:tl2br w:val="nil"/>
              <w:tr2bl w:val="nil"/>
            </w:tcBorders>
            <w:shd w:val="clear" w:color="000000" w:fill="FFFFFF"/>
            <w:vAlign w:val="center"/>
          </w:tcPr>
          <w:p w14:paraId="052BD98F">
            <w:pPr>
              <w:widowControl/>
              <w:ind w:firstLine="0" w:firstLineChars="0"/>
              <w:jc w:val="center"/>
              <w:rPr>
                <w:rFonts w:ascii="宋体" w:hAnsi="宋体" w:eastAsia="宋体" w:cs="宋体"/>
                <w:kern w:val="0"/>
                <w:sz w:val="22"/>
              </w:rPr>
            </w:pPr>
          </w:p>
        </w:tc>
      </w:tr>
      <w:tr w14:paraId="71F310E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1155" w:type="dxa"/>
            <w:vMerge w:val="continue"/>
            <w:tcBorders>
              <w:tl2br w:val="nil"/>
              <w:tr2bl w:val="nil"/>
            </w:tcBorders>
            <w:shd w:val="clear" w:color="auto" w:fill="FFFFFF"/>
            <w:vAlign w:val="center"/>
          </w:tcPr>
          <w:p w14:paraId="6A5A5018">
            <w:pPr>
              <w:widowControl/>
              <w:ind w:firstLine="0" w:firstLineChars="0"/>
              <w:jc w:val="center"/>
              <w:rPr>
                <w:rFonts w:ascii="宋体" w:hAnsi="宋体" w:eastAsia="宋体" w:cs="宋体"/>
                <w:kern w:val="0"/>
                <w:sz w:val="22"/>
              </w:rPr>
            </w:pPr>
          </w:p>
        </w:tc>
        <w:tc>
          <w:tcPr>
            <w:tcW w:w="1199" w:type="dxa"/>
            <w:vMerge w:val="continue"/>
            <w:tcBorders>
              <w:tl2br w:val="nil"/>
              <w:tr2bl w:val="nil"/>
            </w:tcBorders>
            <w:shd w:val="clear" w:color="auto" w:fill="FFFFFF"/>
            <w:vAlign w:val="center"/>
          </w:tcPr>
          <w:p w14:paraId="73138782">
            <w:pPr>
              <w:widowControl/>
              <w:ind w:firstLine="0" w:firstLineChars="0"/>
              <w:jc w:val="center"/>
              <w:rPr>
                <w:rFonts w:ascii="宋体" w:hAnsi="宋体" w:eastAsia="宋体" w:cs="宋体"/>
                <w:kern w:val="0"/>
                <w:sz w:val="22"/>
              </w:rPr>
            </w:pPr>
          </w:p>
        </w:tc>
        <w:tc>
          <w:tcPr>
            <w:tcW w:w="1411" w:type="dxa"/>
            <w:tcBorders>
              <w:tl2br w:val="nil"/>
              <w:tr2bl w:val="nil"/>
            </w:tcBorders>
            <w:shd w:val="clear" w:color="auto" w:fill="FFFFFF"/>
            <w:vAlign w:val="center"/>
          </w:tcPr>
          <w:p w14:paraId="26C0C267">
            <w:pPr>
              <w:widowControl/>
              <w:ind w:firstLine="0" w:firstLineChars="0"/>
              <w:jc w:val="center"/>
              <w:rPr>
                <w:rFonts w:ascii="宋体" w:hAnsi="宋体" w:eastAsia="宋体" w:cs="宋体"/>
                <w:kern w:val="0"/>
                <w:sz w:val="22"/>
              </w:rPr>
            </w:pPr>
            <w:r>
              <w:rPr>
                <w:rFonts w:hint="eastAsia" w:ascii="宋体" w:hAnsi="宋体" w:eastAsia="宋体" w:cs="宋体"/>
                <w:kern w:val="0"/>
                <w:sz w:val="22"/>
              </w:rPr>
              <w:t>支付聘用人员劳务费</w:t>
            </w:r>
          </w:p>
        </w:tc>
        <w:tc>
          <w:tcPr>
            <w:tcW w:w="2789" w:type="dxa"/>
            <w:vMerge w:val="continue"/>
            <w:tcBorders>
              <w:tl2br w:val="nil"/>
              <w:tr2bl w:val="nil"/>
            </w:tcBorders>
            <w:shd w:val="clear" w:color="000000" w:fill="FFFFFF"/>
            <w:vAlign w:val="center"/>
          </w:tcPr>
          <w:p w14:paraId="38D518EE">
            <w:pPr>
              <w:widowControl/>
              <w:ind w:firstLine="0" w:firstLineChars="0"/>
              <w:jc w:val="center"/>
              <w:rPr>
                <w:rFonts w:ascii="宋体" w:hAnsi="宋体" w:eastAsia="宋体" w:cs="宋体"/>
                <w:kern w:val="0"/>
                <w:sz w:val="22"/>
              </w:rPr>
            </w:pPr>
          </w:p>
        </w:tc>
        <w:tc>
          <w:tcPr>
            <w:tcW w:w="7341" w:type="dxa"/>
            <w:vMerge w:val="continue"/>
            <w:tcBorders>
              <w:tl2br w:val="nil"/>
              <w:tr2bl w:val="nil"/>
            </w:tcBorders>
            <w:shd w:val="clear" w:color="000000" w:fill="FFFFFF"/>
            <w:vAlign w:val="center"/>
          </w:tcPr>
          <w:p w14:paraId="196FE608">
            <w:pPr>
              <w:widowControl/>
              <w:ind w:firstLine="0" w:firstLineChars="0"/>
              <w:jc w:val="center"/>
              <w:rPr>
                <w:rFonts w:ascii="宋体" w:hAnsi="宋体" w:eastAsia="宋体" w:cs="宋体"/>
                <w:kern w:val="0"/>
                <w:sz w:val="22"/>
              </w:rPr>
            </w:pPr>
          </w:p>
        </w:tc>
      </w:tr>
      <w:tr w14:paraId="5FAFCA3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155" w:type="dxa"/>
            <w:vMerge w:val="continue"/>
            <w:tcBorders>
              <w:tl2br w:val="nil"/>
              <w:tr2bl w:val="nil"/>
            </w:tcBorders>
            <w:shd w:val="clear" w:color="auto" w:fill="FFFFFF"/>
            <w:vAlign w:val="center"/>
          </w:tcPr>
          <w:p w14:paraId="295EC946">
            <w:pPr>
              <w:widowControl/>
              <w:ind w:firstLine="0" w:firstLineChars="0"/>
              <w:jc w:val="center"/>
              <w:rPr>
                <w:rFonts w:ascii="宋体" w:hAnsi="宋体" w:eastAsia="宋体" w:cs="宋体"/>
                <w:kern w:val="0"/>
                <w:sz w:val="22"/>
              </w:rPr>
            </w:pPr>
          </w:p>
        </w:tc>
        <w:tc>
          <w:tcPr>
            <w:tcW w:w="1199" w:type="dxa"/>
            <w:vMerge w:val="continue"/>
            <w:tcBorders>
              <w:tl2br w:val="nil"/>
              <w:tr2bl w:val="nil"/>
            </w:tcBorders>
            <w:shd w:val="clear" w:color="auto" w:fill="FFFFFF"/>
            <w:vAlign w:val="center"/>
          </w:tcPr>
          <w:p w14:paraId="1AE0B459">
            <w:pPr>
              <w:widowControl/>
              <w:ind w:firstLine="0" w:firstLineChars="0"/>
              <w:jc w:val="center"/>
              <w:rPr>
                <w:rFonts w:ascii="宋体" w:hAnsi="宋体" w:eastAsia="宋体" w:cs="宋体"/>
                <w:kern w:val="0"/>
                <w:sz w:val="22"/>
              </w:rPr>
            </w:pPr>
          </w:p>
        </w:tc>
        <w:tc>
          <w:tcPr>
            <w:tcW w:w="1411" w:type="dxa"/>
            <w:tcBorders>
              <w:tl2br w:val="nil"/>
              <w:tr2bl w:val="nil"/>
            </w:tcBorders>
            <w:shd w:val="clear" w:color="auto" w:fill="FFFFFF"/>
            <w:vAlign w:val="center"/>
          </w:tcPr>
          <w:p w14:paraId="0E610295">
            <w:pPr>
              <w:widowControl/>
              <w:ind w:firstLine="0" w:firstLineChars="0"/>
              <w:jc w:val="center"/>
              <w:rPr>
                <w:rFonts w:ascii="宋体" w:hAnsi="宋体" w:eastAsia="宋体" w:cs="宋体"/>
                <w:kern w:val="0"/>
                <w:sz w:val="22"/>
              </w:rPr>
            </w:pPr>
            <w:r>
              <w:rPr>
                <w:rFonts w:hint="eastAsia" w:ascii="宋体" w:hAnsi="宋体" w:eastAsia="宋体" w:cs="宋体"/>
                <w:kern w:val="0"/>
                <w:sz w:val="22"/>
              </w:rPr>
              <w:t>支付献血者交通补贴、血费报销、医院奖励金等</w:t>
            </w:r>
          </w:p>
        </w:tc>
        <w:tc>
          <w:tcPr>
            <w:tcW w:w="2789" w:type="dxa"/>
            <w:vMerge w:val="continue"/>
            <w:tcBorders>
              <w:tl2br w:val="nil"/>
              <w:tr2bl w:val="nil"/>
            </w:tcBorders>
            <w:shd w:val="clear" w:color="000000" w:fill="FFFFFF"/>
            <w:vAlign w:val="center"/>
          </w:tcPr>
          <w:p w14:paraId="21FAD95B">
            <w:pPr>
              <w:widowControl/>
              <w:ind w:firstLine="0" w:firstLineChars="0"/>
              <w:jc w:val="center"/>
              <w:rPr>
                <w:rFonts w:ascii="宋体" w:hAnsi="宋体" w:eastAsia="宋体" w:cs="宋体"/>
                <w:kern w:val="0"/>
                <w:sz w:val="22"/>
              </w:rPr>
            </w:pPr>
          </w:p>
        </w:tc>
        <w:tc>
          <w:tcPr>
            <w:tcW w:w="7341" w:type="dxa"/>
            <w:vMerge w:val="continue"/>
            <w:tcBorders>
              <w:tl2br w:val="nil"/>
              <w:tr2bl w:val="nil"/>
            </w:tcBorders>
            <w:shd w:val="clear" w:color="000000" w:fill="FFFFFF"/>
            <w:vAlign w:val="center"/>
          </w:tcPr>
          <w:p w14:paraId="59D8679D">
            <w:pPr>
              <w:widowControl/>
              <w:ind w:firstLine="0" w:firstLineChars="0"/>
              <w:jc w:val="center"/>
              <w:rPr>
                <w:rFonts w:ascii="宋体" w:hAnsi="宋体" w:eastAsia="宋体" w:cs="宋体"/>
                <w:kern w:val="0"/>
                <w:sz w:val="22"/>
              </w:rPr>
            </w:pPr>
          </w:p>
        </w:tc>
      </w:tr>
      <w:tr w14:paraId="435F2C0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1155" w:type="dxa"/>
            <w:vMerge w:val="continue"/>
            <w:tcBorders>
              <w:tl2br w:val="nil"/>
              <w:tr2bl w:val="nil"/>
            </w:tcBorders>
            <w:shd w:val="clear" w:color="auto" w:fill="FFFFFF"/>
            <w:vAlign w:val="center"/>
          </w:tcPr>
          <w:p w14:paraId="060B0946">
            <w:pPr>
              <w:widowControl/>
              <w:ind w:firstLine="0" w:firstLineChars="0"/>
              <w:jc w:val="center"/>
              <w:rPr>
                <w:rFonts w:ascii="宋体" w:hAnsi="宋体" w:eastAsia="宋体" w:cs="宋体"/>
                <w:kern w:val="0"/>
                <w:sz w:val="22"/>
              </w:rPr>
            </w:pPr>
          </w:p>
        </w:tc>
        <w:tc>
          <w:tcPr>
            <w:tcW w:w="1199" w:type="dxa"/>
            <w:vMerge w:val="continue"/>
            <w:tcBorders>
              <w:tl2br w:val="nil"/>
              <w:tr2bl w:val="nil"/>
            </w:tcBorders>
            <w:shd w:val="clear" w:color="auto" w:fill="FFFFFF"/>
            <w:vAlign w:val="center"/>
          </w:tcPr>
          <w:p w14:paraId="1E90D359">
            <w:pPr>
              <w:widowControl/>
              <w:ind w:firstLine="0" w:firstLineChars="0"/>
              <w:jc w:val="center"/>
              <w:rPr>
                <w:rFonts w:ascii="宋体" w:hAnsi="宋体" w:eastAsia="宋体" w:cs="宋体"/>
                <w:kern w:val="0"/>
                <w:sz w:val="22"/>
              </w:rPr>
            </w:pPr>
          </w:p>
        </w:tc>
        <w:tc>
          <w:tcPr>
            <w:tcW w:w="1411" w:type="dxa"/>
            <w:tcBorders>
              <w:tl2br w:val="nil"/>
              <w:tr2bl w:val="nil"/>
            </w:tcBorders>
            <w:shd w:val="clear" w:color="auto" w:fill="FFFFFF"/>
            <w:vAlign w:val="center"/>
          </w:tcPr>
          <w:p w14:paraId="187E523A">
            <w:pPr>
              <w:widowControl/>
              <w:ind w:firstLine="0" w:firstLineChars="0"/>
              <w:jc w:val="center"/>
              <w:rPr>
                <w:rFonts w:ascii="宋体" w:hAnsi="宋体" w:eastAsia="宋体" w:cs="宋体"/>
                <w:kern w:val="0"/>
                <w:sz w:val="22"/>
              </w:rPr>
            </w:pPr>
            <w:r>
              <w:rPr>
                <w:rFonts w:hint="eastAsia" w:ascii="宋体" w:hAnsi="宋体" w:eastAsia="宋体" w:cs="宋体"/>
                <w:kern w:val="0"/>
                <w:sz w:val="22"/>
              </w:rPr>
              <w:t>支付献血者活动经费、水票、污水处理等费用</w:t>
            </w:r>
          </w:p>
        </w:tc>
        <w:tc>
          <w:tcPr>
            <w:tcW w:w="2789" w:type="dxa"/>
            <w:vMerge w:val="continue"/>
            <w:tcBorders>
              <w:tl2br w:val="nil"/>
              <w:tr2bl w:val="nil"/>
            </w:tcBorders>
            <w:shd w:val="clear" w:color="000000" w:fill="FFFFFF"/>
            <w:vAlign w:val="center"/>
          </w:tcPr>
          <w:p w14:paraId="0468A9C5">
            <w:pPr>
              <w:widowControl/>
              <w:ind w:firstLine="0" w:firstLineChars="0"/>
              <w:jc w:val="center"/>
              <w:rPr>
                <w:rFonts w:ascii="宋体" w:hAnsi="宋体" w:eastAsia="宋体" w:cs="宋体"/>
                <w:kern w:val="0"/>
                <w:sz w:val="22"/>
              </w:rPr>
            </w:pPr>
          </w:p>
        </w:tc>
        <w:tc>
          <w:tcPr>
            <w:tcW w:w="7341" w:type="dxa"/>
            <w:vMerge w:val="continue"/>
            <w:tcBorders>
              <w:tl2br w:val="nil"/>
              <w:tr2bl w:val="nil"/>
            </w:tcBorders>
            <w:shd w:val="clear" w:color="000000" w:fill="FFFFFF"/>
            <w:vAlign w:val="center"/>
          </w:tcPr>
          <w:p w14:paraId="297CC5CC">
            <w:pPr>
              <w:widowControl/>
              <w:ind w:firstLine="0" w:firstLineChars="0"/>
              <w:jc w:val="center"/>
              <w:rPr>
                <w:rFonts w:ascii="宋体" w:hAnsi="宋体" w:eastAsia="宋体" w:cs="宋体"/>
                <w:kern w:val="0"/>
                <w:sz w:val="22"/>
              </w:rPr>
            </w:pPr>
          </w:p>
        </w:tc>
      </w:tr>
      <w:tr w14:paraId="7F091A5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14:paraId="33AA038A">
            <w:pPr>
              <w:widowControl/>
              <w:ind w:firstLine="0" w:firstLineChars="0"/>
              <w:jc w:val="center"/>
              <w:rPr>
                <w:rFonts w:ascii="宋体" w:hAnsi="宋体" w:eastAsia="宋体" w:cs="宋体"/>
                <w:kern w:val="0"/>
                <w:sz w:val="22"/>
              </w:rPr>
            </w:pPr>
            <w:r>
              <w:rPr>
                <w:rFonts w:hint="eastAsia" w:ascii="宋体" w:hAnsi="宋体" w:eastAsia="宋体" w:cs="宋体"/>
                <w:kern w:val="0"/>
                <w:sz w:val="22"/>
              </w:rPr>
              <w:t>效益</w:t>
            </w:r>
          </w:p>
        </w:tc>
        <w:tc>
          <w:tcPr>
            <w:tcW w:w="1199" w:type="dxa"/>
            <w:tcBorders>
              <w:tl2br w:val="nil"/>
              <w:tr2bl w:val="nil"/>
            </w:tcBorders>
            <w:shd w:val="clear" w:color="auto" w:fill="FFFFFF"/>
            <w:vAlign w:val="center"/>
          </w:tcPr>
          <w:p w14:paraId="40EF36F6">
            <w:pPr>
              <w:widowControl/>
              <w:ind w:firstLine="0" w:firstLineChars="0"/>
              <w:jc w:val="center"/>
              <w:rPr>
                <w:rFonts w:ascii="宋体" w:hAnsi="宋体" w:eastAsia="宋体" w:cs="宋体"/>
                <w:kern w:val="0"/>
                <w:sz w:val="22"/>
              </w:rPr>
            </w:pPr>
            <w:r>
              <w:rPr>
                <w:rFonts w:hint="eastAsia" w:ascii="宋体" w:hAnsi="宋体" w:eastAsia="宋体" w:cs="宋体"/>
                <w:kern w:val="0"/>
                <w:sz w:val="22"/>
              </w:rPr>
              <w:t>社会效益指标</w:t>
            </w:r>
          </w:p>
        </w:tc>
        <w:tc>
          <w:tcPr>
            <w:tcW w:w="1411" w:type="dxa"/>
            <w:tcBorders>
              <w:tl2br w:val="nil"/>
              <w:tr2bl w:val="nil"/>
            </w:tcBorders>
            <w:shd w:val="clear" w:color="auto" w:fill="FFFFFF"/>
            <w:vAlign w:val="center"/>
          </w:tcPr>
          <w:p w14:paraId="0971FBF9">
            <w:pPr>
              <w:widowControl/>
              <w:ind w:firstLine="0" w:firstLineChars="0"/>
              <w:jc w:val="center"/>
              <w:rPr>
                <w:rFonts w:ascii="宋体" w:hAnsi="宋体" w:eastAsia="宋体" w:cs="宋体"/>
                <w:kern w:val="0"/>
                <w:sz w:val="22"/>
              </w:rPr>
            </w:pPr>
            <w:r>
              <w:rPr>
                <w:rFonts w:hint="eastAsia" w:ascii="宋体" w:hAnsi="宋体" w:eastAsia="宋体" w:cs="宋体"/>
                <w:kern w:val="0"/>
                <w:sz w:val="22"/>
              </w:rPr>
              <w:t>保障临床用血安全</w:t>
            </w:r>
          </w:p>
        </w:tc>
        <w:tc>
          <w:tcPr>
            <w:tcW w:w="2789" w:type="dxa"/>
            <w:tcBorders>
              <w:tl2br w:val="nil"/>
              <w:tr2bl w:val="nil"/>
            </w:tcBorders>
            <w:shd w:val="clear" w:color="auto" w:fill="FFFFFF"/>
            <w:vAlign w:val="center"/>
          </w:tcPr>
          <w:p w14:paraId="1BB01D8D">
            <w:pPr>
              <w:widowControl/>
              <w:ind w:firstLine="0" w:firstLineChars="0"/>
              <w:jc w:val="left"/>
              <w:rPr>
                <w:rFonts w:ascii="宋体" w:hAnsi="宋体" w:eastAsia="宋体" w:cs="宋体"/>
                <w:kern w:val="0"/>
                <w:sz w:val="22"/>
              </w:rPr>
            </w:pPr>
            <w:r>
              <w:rPr>
                <w:rFonts w:hint="eastAsia" w:ascii="宋体" w:hAnsi="宋体" w:eastAsia="宋体" w:cs="宋体"/>
                <w:kern w:val="0"/>
                <w:sz w:val="22"/>
              </w:rPr>
              <w:t>项目实施所产生的效益。</w:t>
            </w:r>
          </w:p>
        </w:tc>
        <w:tc>
          <w:tcPr>
            <w:tcW w:w="7341" w:type="dxa"/>
            <w:tcBorders>
              <w:tl2br w:val="nil"/>
              <w:tr2bl w:val="nil"/>
            </w:tcBorders>
            <w:shd w:val="clear" w:color="auto" w:fill="FFFFFF"/>
            <w:vAlign w:val="center"/>
          </w:tcPr>
          <w:p w14:paraId="1A9C001F">
            <w:pPr>
              <w:widowControl/>
              <w:ind w:firstLine="0" w:firstLineChars="0"/>
              <w:rPr>
                <w:rFonts w:ascii="宋体" w:hAnsi="宋体" w:eastAsia="宋体" w:cs="宋体"/>
                <w:kern w:val="0"/>
                <w:sz w:val="22"/>
              </w:rPr>
            </w:pPr>
            <w:r>
              <w:rPr>
                <w:rFonts w:hint="eastAsia" w:ascii="宋体" w:hAnsi="宋体" w:eastAsia="宋体" w:cs="宋体"/>
                <w:kern w:val="0"/>
                <w:sz w:val="22"/>
              </w:rPr>
              <w:t>项目实施所产生的社会效益、经济效益、生态效益、可持续影响等。可根据项目实际情况有选择地设置和细化。</w:t>
            </w:r>
          </w:p>
        </w:tc>
      </w:tr>
      <w:tr w14:paraId="5396E5F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14:paraId="5BEB7D9E">
            <w:pPr>
              <w:widowControl/>
              <w:ind w:firstLine="0" w:firstLineChars="0"/>
              <w:jc w:val="center"/>
              <w:rPr>
                <w:rFonts w:ascii="宋体" w:hAnsi="宋体" w:eastAsia="宋体" w:cs="宋体"/>
                <w:kern w:val="0"/>
                <w:sz w:val="22"/>
              </w:rPr>
            </w:pPr>
            <w:r>
              <w:rPr>
                <w:rFonts w:ascii="宋体" w:hAnsi="宋体" w:eastAsia="宋体" w:cs="宋体"/>
                <w:kern w:val="0"/>
                <w:sz w:val="22"/>
              </w:rPr>
              <w:t>满意度指标完成情况分析</w:t>
            </w:r>
          </w:p>
        </w:tc>
        <w:tc>
          <w:tcPr>
            <w:tcW w:w="1199" w:type="dxa"/>
            <w:tcBorders>
              <w:tl2br w:val="nil"/>
              <w:tr2bl w:val="nil"/>
            </w:tcBorders>
            <w:shd w:val="clear" w:color="auto" w:fill="FFFFFF"/>
            <w:vAlign w:val="center"/>
          </w:tcPr>
          <w:p w14:paraId="0802FDEA">
            <w:pPr>
              <w:widowControl/>
              <w:ind w:firstLine="0" w:firstLineChars="0"/>
              <w:jc w:val="center"/>
              <w:rPr>
                <w:rFonts w:ascii="宋体" w:hAnsi="宋体" w:eastAsia="宋体" w:cs="宋体"/>
                <w:kern w:val="0"/>
                <w:sz w:val="22"/>
              </w:rPr>
            </w:pPr>
            <w:r>
              <w:rPr>
                <w:rFonts w:hint="eastAsia" w:ascii="宋体" w:hAnsi="宋体" w:eastAsia="宋体" w:cs="宋体"/>
                <w:kern w:val="0"/>
                <w:sz w:val="22"/>
              </w:rPr>
              <w:t>满意度指标</w:t>
            </w:r>
          </w:p>
        </w:tc>
        <w:tc>
          <w:tcPr>
            <w:tcW w:w="1411" w:type="dxa"/>
            <w:tcBorders>
              <w:tl2br w:val="nil"/>
              <w:tr2bl w:val="nil"/>
            </w:tcBorders>
            <w:shd w:val="clear" w:color="auto" w:fill="FFFFFF"/>
            <w:vAlign w:val="center"/>
          </w:tcPr>
          <w:p w14:paraId="5EF96D36">
            <w:pPr>
              <w:widowControl/>
              <w:ind w:firstLine="0" w:firstLineChars="0"/>
              <w:jc w:val="center"/>
              <w:rPr>
                <w:rFonts w:ascii="宋体" w:hAnsi="宋体" w:eastAsia="宋体" w:cs="宋体"/>
                <w:kern w:val="0"/>
                <w:sz w:val="22"/>
              </w:rPr>
            </w:pPr>
            <w:r>
              <w:rPr>
                <w:rFonts w:hint="eastAsia" w:ascii="宋体" w:hAnsi="宋体" w:eastAsia="宋体" w:cs="宋体"/>
                <w:kern w:val="0"/>
                <w:sz w:val="22"/>
              </w:rPr>
              <w:t>献血者满意度测评率</w:t>
            </w:r>
          </w:p>
        </w:tc>
        <w:tc>
          <w:tcPr>
            <w:tcW w:w="2789" w:type="dxa"/>
            <w:tcBorders>
              <w:tl2br w:val="nil"/>
              <w:tr2bl w:val="nil"/>
            </w:tcBorders>
            <w:shd w:val="clear" w:color="000000" w:fill="FFFFFF"/>
            <w:vAlign w:val="center"/>
          </w:tcPr>
          <w:p w14:paraId="2749C5F4">
            <w:pPr>
              <w:widowControl/>
              <w:ind w:firstLine="0" w:firstLineChars="0"/>
              <w:rPr>
                <w:rFonts w:ascii="宋体" w:hAnsi="宋体" w:eastAsia="宋体" w:cs="宋体"/>
                <w:kern w:val="0"/>
                <w:sz w:val="22"/>
              </w:rPr>
            </w:pPr>
            <w:r>
              <w:rPr>
                <w:rFonts w:hint="eastAsia" w:ascii="宋体" w:hAnsi="宋体" w:eastAsia="宋体" w:cs="宋体"/>
                <w:kern w:val="0"/>
                <w:sz w:val="22"/>
              </w:rPr>
              <w:t>社会公众或服务对象对项目实施效果的满意程度。</w:t>
            </w:r>
          </w:p>
        </w:tc>
        <w:tc>
          <w:tcPr>
            <w:tcW w:w="7341" w:type="dxa"/>
            <w:tcBorders>
              <w:tl2br w:val="nil"/>
              <w:tr2bl w:val="nil"/>
            </w:tcBorders>
            <w:shd w:val="clear" w:color="000000" w:fill="FFFFFF"/>
            <w:vAlign w:val="center"/>
          </w:tcPr>
          <w:p w14:paraId="732B1E8B">
            <w:pPr>
              <w:widowControl/>
              <w:ind w:firstLine="0" w:firstLineChars="0"/>
              <w:rPr>
                <w:rFonts w:ascii="宋体" w:hAnsi="宋体" w:eastAsia="宋体" w:cs="宋体"/>
                <w:kern w:val="0"/>
                <w:sz w:val="22"/>
              </w:rPr>
            </w:pPr>
            <w:r>
              <w:rPr>
                <w:rFonts w:hint="eastAsia" w:ascii="宋体" w:hAnsi="宋体" w:eastAsia="宋体" w:cs="宋体"/>
                <w:kern w:val="0"/>
                <w:sz w:val="22"/>
              </w:rPr>
              <w:t>社会公众或服务对象是指因该项目实施而受到影响的部门（单位）、群体或个人。一般采取社会调查的方式。</w:t>
            </w:r>
          </w:p>
        </w:tc>
      </w:tr>
    </w:tbl>
    <w:p w14:paraId="25C2E928">
      <w:pPr>
        <w:ind w:firstLine="0" w:firstLineChars="0"/>
        <w:jc w:val="center"/>
        <w:rPr>
          <w:rFonts w:ascii="仿宋_GB2312"/>
        </w:rPr>
      </w:pPr>
    </w:p>
    <w:p w14:paraId="26FA6E42">
      <w:pPr>
        <w:ind w:firstLine="0" w:firstLineChars="0"/>
        <w:jc w:val="center"/>
        <w:rPr>
          <w:rFonts w:ascii="仿宋_GB2312"/>
        </w:rPr>
      </w:pPr>
    </w:p>
    <w:p w14:paraId="6FB9305C">
      <w:pPr>
        <w:ind w:firstLine="0" w:firstLineChars="0"/>
        <w:jc w:val="center"/>
        <w:rPr>
          <w:rFonts w:ascii="仿宋_GB2312"/>
        </w:rPr>
      </w:pPr>
    </w:p>
    <w:p w14:paraId="5E10B13D">
      <w:pPr>
        <w:ind w:firstLine="0" w:firstLineChars="0"/>
        <w:jc w:val="center"/>
        <w:rPr>
          <w:rFonts w:ascii="仿宋_GB2312"/>
        </w:rPr>
      </w:pPr>
    </w:p>
    <w:p w14:paraId="724C0295">
      <w:pPr>
        <w:ind w:firstLine="0" w:firstLineChars="0"/>
        <w:jc w:val="center"/>
        <w:rPr>
          <w:rFonts w:ascii="仿宋_GB2312"/>
        </w:rPr>
      </w:pPr>
    </w:p>
    <w:p w14:paraId="594D8245">
      <w:pPr>
        <w:ind w:firstLine="0" w:firstLineChars="0"/>
        <w:jc w:val="center"/>
        <w:rPr>
          <w:rFonts w:ascii="仿宋_GB2312"/>
        </w:rPr>
        <w:sectPr>
          <w:pgSz w:w="16838" w:h="11906" w:orient="landscape"/>
          <w:pgMar w:top="1800" w:right="1440" w:bottom="1800" w:left="1440" w:header="1276" w:footer="992" w:gutter="0"/>
          <w:cols w:space="425" w:num="1"/>
          <w:docGrid w:type="lines" w:linePitch="381" w:charSpace="0"/>
        </w:sectPr>
      </w:pPr>
    </w:p>
    <w:p w14:paraId="571FF67C">
      <w:pPr>
        <w:pStyle w:val="4"/>
        <w:ind w:firstLine="643"/>
      </w:pPr>
      <w:bookmarkStart w:id="22" w:name="_Hlk67586038"/>
      <w:bookmarkStart w:id="23" w:name="_Toc16903"/>
      <w:r>
        <w:t>3.</w:t>
      </w:r>
      <w:r>
        <w:rPr>
          <w:rFonts w:hint="eastAsia"/>
        </w:rPr>
        <w:t>评价方法</w:t>
      </w:r>
      <w:bookmarkEnd w:id="22"/>
      <w:bookmarkEnd w:id="23"/>
    </w:p>
    <w:p w14:paraId="2AB162A8">
      <w:pPr>
        <w:spacing w:line="360" w:lineRule="auto"/>
        <w:ind w:firstLine="560"/>
        <w:rPr>
          <w:rFonts w:ascii="仿宋_GB2312"/>
        </w:rPr>
      </w:pPr>
      <w:r>
        <w:rPr>
          <w:rFonts w:hint="eastAsia" w:ascii="仿宋_GB2312"/>
        </w:rPr>
        <w:t>《关于印发&lt;项目支出绩效评价管理办法&gt;的通知》（财预〔2020〕10号）文件指出部门评价的方法主要包括成本效益分析法、比较法、因素分析法、最低成本法、公众评判法、标杆管理法等。</w:t>
      </w:r>
    </w:p>
    <w:p w14:paraId="5E0A9524">
      <w:pPr>
        <w:spacing w:line="360" w:lineRule="auto"/>
        <w:ind w:firstLine="560"/>
        <w:rPr>
          <w:rFonts w:ascii="仿宋_GB2312"/>
        </w:rPr>
      </w:pPr>
      <w:r>
        <w:rPr>
          <w:rFonts w:hint="eastAsia" w:ascii="仿宋_GB2312"/>
        </w:rPr>
        <w:t>（1）成本效益分析法。是指将投入与产出、效益进行关联性分析的方法。</w:t>
      </w:r>
    </w:p>
    <w:p w14:paraId="1796E49A">
      <w:pPr>
        <w:spacing w:line="360" w:lineRule="auto"/>
        <w:ind w:firstLine="560"/>
        <w:rPr>
          <w:rFonts w:ascii="仿宋_GB2312"/>
        </w:rPr>
      </w:pPr>
      <w:r>
        <w:rPr>
          <w:rFonts w:hint="eastAsia" w:ascii="仿宋_GB2312"/>
        </w:rPr>
        <w:t>（2）比较法。是指将实施情况与绩效目标、历史情况、不同部门和地区同类支出情况进行比较的方法。</w:t>
      </w:r>
    </w:p>
    <w:p w14:paraId="71847210">
      <w:pPr>
        <w:spacing w:line="360" w:lineRule="auto"/>
        <w:ind w:firstLine="560"/>
        <w:rPr>
          <w:rFonts w:ascii="仿宋_GB2312"/>
        </w:rPr>
      </w:pPr>
      <w:r>
        <w:rPr>
          <w:rFonts w:hint="eastAsia" w:ascii="仿宋_GB2312"/>
        </w:rPr>
        <w:t>（3）因素分析法。是指综合分析影响绩效目标实现、实施效果的内外部因素的方法。</w:t>
      </w:r>
    </w:p>
    <w:p w14:paraId="3160E58E">
      <w:pPr>
        <w:spacing w:line="360" w:lineRule="auto"/>
        <w:ind w:firstLine="560"/>
        <w:rPr>
          <w:rFonts w:ascii="仿宋_GB2312"/>
        </w:rPr>
      </w:pPr>
      <w:r>
        <w:rPr>
          <w:rFonts w:hint="eastAsia" w:ascii="仿宋_GB2312"/>
        </w:rPr>
        <w:t>（4）最低成本法。是指在绩效目标确定的前提下，成本最小者为优的方法。</w:t>
      </w:r>
    </w:p>
    <w:p w14:paraId="41AB8F85">
      <w:pPr>
        <w:spacing w:line="360" w:lineRule="auto"/>
        <w:ind w:firstLine="560"/>
        <w:rPr>
          <w:rFonts w:ascii="仿宋_GB2312"/>
        </w:rPr>
      </w:pPr>
      <w:r>
        <w:rPr>
          <w:rFonts w:hint="eastAsia" w:ascii="仿宋_GB2312"/>
        </w:rPr>
        <w:t>（5）公众评判法。是指通过专家评估、公众问卷及抽样调查等方式进行评判的方法。</w:t>
      </w:r>
    </w:p>
    <w:p w14:paraId="3F943DA4">
      <w:pPr>
        <w:spacing w:line="360" w:lineRule="auto"/>
        <w:ind w:firstLine="560"/>
        <w:rPr>
          <w:rFonts w:ascii="仿宋_GB2312"/>
        </w:rPr>
      </w:pPr>
      <w:r>
        <w:rPr>
          <w:rFonts w:hint="eastAsia" w:ascii="仿宋_GB2312"/>
        </w:rPr>
        <w:t>（6）标杆管理法。是指以国内外同行业中较高的绩效水平为标杆进行评判的方法。</w:t>
      </w:r>
    </w:p>
    <w:p w14:paraId="37A1F48E">
      <w:pPr>
        <w:spacing w:line="360" w:lineRule="auto"/>
        <w:ind w:firstLine="560"/>
        <w:rPr>
          <w:rFonts w:ascii="仿宋_GB2312"/>
        </w:rPr>
      </w:pPr>
      <w:r>
        <w:rPr>
          <w:rFonts w:hint="eastAsia" w:ascii="仿宋_GB2312"/>
        </w:rPr>
        <w:t>（7）其他评价方法。</w:t>
      </w:r>
    </w:p>
    <w:p w14:paraId="56B2446A">
      <w:pPr>
        <w:spacing w:line="360" w:lineRule="auto"/>
        <w:ind w:firstLine="560"/>
        <w:rPr>
          <w:rFonts w:ascii="仿宋_GB2312"/>
        </w:rPr>
      </w:pPr>
      <w:r>
        <w:rPr>
          <w:rFonts w:hint="eastAsia" w:ascii="仿宋_GB2312"/>
        </w:rPr>
        <w:t>根据本项目（采供血业务运行经费-非政采）的特点，本次评价主要采用比较法和公众评判法，对项目总预算和明细预算的内容、标准、计划是否经济合理进行深入分析，以考察实际产出和效益是否达到预期。</w:t>
      </w:r>
    </w:p>
    <w:p w14:paraId="68EFB1D6">
      <w:pPr>
        <w:pStyle w:val="4"/>
        <w:ind w:firstLine="643"/>
      </w:pPr>
      <w:bookmarkStart w:id="24" w:name="_Toc19577"/>
      <w:r>
        <w:t>4.</w:t>
      </w:r>
      <w:r>
        <w:rPr>
          <w:rFonts w:hint="eastAsia"/>
        </w:rPr>
        <w:t>评价标准</w:t>
      </w:r>
      <w:bookmarkEnd w:id="24"/>
    </w:p>
    <w:p w14:paraId="7AE060D7">
      <w:pPr>
        <w:spacing w:line="360" w:lineRule="auto"/>
        <w:ind w:firstLine="560"/>
        <w:rPr>
          <w:rFonts w:ascii="仿宋_GB2312"/>
        </w:rPr>
      </w:pPr>
      <w:r>
        <w:rPr>
          <w:rFonts w:hint="eastAsia" w:ascii="仿宋_GB2312"/>
        </w:rPr>
        <w:t>绩效评价标准主要包括计划标准、行业标准、历史标准等，用于对绩效指标完成情况进行比较。</w:t>
      </w:r>
    </w:p>
    <w:p w14:paraId="6C33A6B6">
      <w:pPr>
        <w:spacing w:line="360" w:lineRule="auto"/>
        <w:ind w:firstLine="560"/>
        <w:rPr>
          <w:rFonts w:ascii="仿宋_GB2312"/>
        </w:rPr>
      </w:pPr>
      <w:r>
        <w:rPr>
          <w:rFonts w:hint="eastAsia" w:ascii="仿宋_GB2312"/>
        </w:rPr>
        <w:t>（1）计划标准。指以预先制定的目标、计划、预算、定额等作为评价标准。</w:t>
      </w:r>
    </w:p>
    <w:p w14:paraId="560FE0FA">
      <w:pPr>
        <w:spacing w:line="360" w:lineRule="auto"/>
        <w:ind w:firstLine="560"/>
        <w:rPr>
          <w:rFonts w:ascii="仿宋_GB2312"/>
        </w:rPr>
      </w:pPr>
      <w:r>
        <w:rPr>
          <w:rFonts w:hint="eastAsia" w:ascii="仿宋_GB2312"/>
        </w:rPr>
        <w:t>（2）行业标准。指参照国家公布的行业指标数据制定的评价标准。</w:t>
      </w:r>
    </w:p>
    <w:p w14:paraId="36917E1E">
      <w:pPr>
        <w:spacing w:line="360" w:lineRule="auto"/>
        <w:ind w:firstLine="560"/>
        <w:rPr>
          <w:rFonts w:ascii="仿宋_GB2312"/>
        </w:rPr>
      </w:pPr>
      <w:r>
        <w:rPr>
          <w:rFonts w:hint="eastAsia" w:ascii="仿宋_GB2312"/>
        </w:rPr>
        <w:t>（3）历史标准。指参照历史数据制定的评价标准，为体现绩效改进的原则，在可实现的条件下应当确定相对较高的评价标准。</w:t>
      </w:r>
    </w:p>
    <w:p w14:paraId="5EEAEB49">
      <w:pPr>
        <w:spacing w:line="360" w:lineRule="auto"/>
        <w:ind w:firstLine="560"/>
        <w:rPr>
          <w:rFonts w:ascii="仿宋_GB2312"/>
        </w:rPr>
      </w:pPr>
      <w:r>
        <w:rPr>
          <w:rFonts w:hint="eastAsia" w:ascii="仿宋_GB2312"/>
        </w:rPr>
        <w:t>在上述评价标准的基础上，本次评价依据以下文件为重要指导和准绳：</w:t>
      </w:r>
    </w:p>
    <w:p w14:paraId="5755804D">
      <w:pPr>
        <w:spacing w:line="360" w:lineRule="auto"/>
        <w:ind w:firstLine="560"/>
        <w:rPr>
          <w:rFonts w:ascii="仿宋_GB2312"/>
        </w:rPr>
      </w:pPr>
      <w:r>
        <w:rPr>
          <w:rFonts w:hint="eastAsia" w:ascii="黑体" w:hAnsi="黑体" w:eastAsia="黑体" w:cs="Times New Roman"/>
          <w:szCs w:val="28"/>
        </w:rPr>
        <w:t>·</w:t>
      </w:r>
      <w:r>
        <w:rPr>
          <w:rFonts w:hint="eastAsia" w:ascii="仿宋_GB2312"/>
        </w:rPr>
        <w:t>《中共中央</w:t>
      </w:r>
      <w:r>
        <w:rPr>
          <w:rFonts w:hint="eastAsia" w:ascii="仿宋_GB2312"/>
          <w:lang w:val="en-US" w:eastAsia="zh-CN"/>
        </w:rPr>
        <w:t xml:space="preserve"> </w:t>
      </w:r>
      <w:r>
        <w:rPr>
          <w:rFonts w:hint="eastAsia" w:ascii="仿宋_GB2312"/>
        </w:rPr>
        <w:t>国务院关于全面实施预算绩效管理的意见》（中发〔2018〕34号）</w:t>
      </w:r>
    </w:p>
    <w:p w14:paraId="1434ECB1">
      <w:pPr>
        <w:spacing w:line="360" w:lineRule="auto"/>
        <w:ind w:firstLine="560"/>
        <w:rPr>
          <w:rFonts w:ascii="仿宋_GB2312"/>
        </w:rPr>
      </w:pPr>
      <w:r>
        <w:rPr>
          <w:rFonts w:hint="eastAsia" w:ascii="黑体" w:hAnsi="黑体" w:eastAsia="黑体" w:cs="Times New Roman"/>
          <w:szCs w:val="28"/>
        </w:rPr>
        <w:t>·</w:t>
      </w:r>
      <w:r>
        <w:rPr>
          <w:rFonts w:hint="eastAsia" w:ascii="仿宋_GB2312"/>
        </w:rPr>
        <w:t>《关于印发&lt;乌鲁木齐市本级部门预算绩效目标管理暂行办法&gt;的通知》（乌财预〔2018〕56号）</w:t>
      </w:r>
    </w:p>
    <w:p w14:paraId="281C7B1D">
      <w:pPr>
        <w:spacing w:line="360" w:lineRule="auto"/>
        <w:ind w:firstLine="560" w:firstLineChars="0"/>
        <w:rPr>
          <w:rFonts w:ascii="仿宋_GB2312"/>
        </w:rPr>
      </w:pPr>
      <w:r>
        <w:rPr>
          <w:rFonts w:hint="eastAsia" w:ascii="黑体" w:hAnsi="黑体" w:eastAsia="黑体" w:cs="Times New Roman"/>
          <w:szCs w:val="28"/>
        </w:rPr>
        <w:t>·</w:t>
      </w:r>
      <w:r>
        <w:rPr>
          <w:rFonts w:hint="eastAsia" w:ascii="仿宋_GB2312"/>
        </w:rPr>
        <w:t>《关于做好2019年部门预算项目支出绩效目标管理有关事宜的通知》（乌财预〔2018〕76号）</w:t>
      </w:r>
    </w:p>
    <w:p w14:paraId="0EE212FA">
      <w:pPr>
        <w:spacing w:line="360" w:lineRule="auto"/>
        <w:ind w:firstLine="560"/>
        <w:rPr>
          <w:rFonts w:ascii="仿宋_GB2312"/>
        </w:rPr>
      </w:pPr>
      <w:r>
        <w:rPr>
          <w:rFonts w:hint="eastAsia" w:ascii="黑体" w:hAnsi="黑体" w:eastAsia="黑体" w:cs="Times New Roman"/>
          <w:szCs w:val="28"/>
        </w:rPr>
        <w:t>·</w:t>
      </w:r>
      <w:r>
        <w:rPr>
          <w:rFonts w:hint="eastAsia" w:ascii="仿宋_GB2312"/>
        </w:rPr>
        <w:t>《项目支出绩效评价管理办法》（财预〔2020〕10号）</w:t>
      </w:r>
    </w:p>
    <w:p w14:paraId="0F950360">
      <w:pPr>
        <w:spacing w:line="360" w:lineRule="auto"/>
        <w:ind w:firstLine="560"/>
        <w:rPr>
          <w:rFonts w:ascii="仿宋_GB2312"/>
        </w:rPr>
      </w:pPr>
      <w:r>
        <w:rPr>
          <w:rFonts w:hint="eastAsia" w:ascii="黑体" w:hAnsi="黑体" w:eastAsia="黑体" w:cs="Times New Roman"/>
          <w:szCs w:val="28"/>
        </w:rPr>
        <w:t>·</w:t>
      </w:r>
      <w:r>
        <w:rPr>
          <w:rFonts w:hint="eastAsia" w:ascii="仿宋_GB2312"/>
        </w:rPr>
        <w:t>《2019版血站技术操作规程》</w:t>
      </w:r>
    </w:p>
    <w:p w14:paraId="7A825D85">
      <w:pPr>
        <w:spacing w:line="360" w:lineRule="auto"/>
        <w:ind w:firstLine="560"/>
        <w:rPr>
          <w:rFonts w:ascii="仿宋_GB2312"/>
        </w:rPr>
      </w:pPr>
      <w:r>
        <w:rPr>
          <w:rFonts w:hint="eastAsia" w:ascii="黑体" w:hAnsi="黑体" w:eastAsia="黑体" w:cs="Times New Roman"/>
          <w:szCs w:val="28"/>
        </w:rPr>
        <w:t>·</w:t>
      </w:r>
      <w:r>
        <w:rPr>
          <w:rFonts w:hint="eastAsia" w:ascii="仿宋_GB2312"/>
        </w:rPr>
        <w:t>《血站基本标准》</w:t>
      </w:r>
    </w:p>
    <w:p w14:paraId="23088B2E">
      <w:pPr>
        <w:spacing w:line="360" w:lineRule="auto"/>
        <w:ind w:firstLine="560"/>
        <w:rPr>
          <w:rFonts w:ascii="仿宋_GB2312"/>
        </w:rPr>
      </w:pPr>
      <w:r>
        <w:rPr>
          <w:rFonts w:hint="eastAsia" w:ascii="黑体" w:hAnsi="黑体" w:eastAsia="黑体" w:cs="Times New Roman"/>
          <w:szCs w:val="28"/>
        </w:rPr>
        <w:t>·</w:t>
      </w:r>
      <w:r>
        <w:rPr>
          <w:rFonts w:hint="eastAsia" w:ascii="仿宋_GB2312"/>
        </w:rPr>
        <w:t>《突发公共卫生事件应急条例》</w:t>
      </w:r>
    </w:p>
    <w:p w14:paraId="0DC120E2">
      <w:pPr>
        <w:spacing w:line="360" w:lineRule="auto"/>
        <w:ind w:firstLine="560"/>
        <w:rPr>
          <w:rFonts w:ascii="仿宋_GB2312"/>
        </w:rPr>
      </w:pPr>
      <w:r>
        <w:rPr>
          <w:rFonts w:hint="eastAsia" w:ascii="黑体" w:hAnsi="黑体" w:eastAsia="黑体" w:cs="Times New Roman"/>
          <w:szCs w:val="28"/>
        </w:rPr>
        <w:t>·</w:t>
      </w:r>
      <w:r>
        <w:rPr>
          <w:rFonts w:hint="eastAsia" w:ascii="仿宋_GB2312"/>
        </w:rPr>
        <w:t>《血站质量管理规范》</w:t>
      </w:r>
    </w:p>
    <w:p w14:paraId="1C3F37AF">
      <w:pPr>
        <w:spacing w:line="360" w:lineRule="auto"/>
        <w:ind w:firstLine="560"/>
        <w:rPr>
          <w:rFonts w:ascii="仿宋_GB2312"/>
        </w:rPr>
      </w:pPr>
      <w:r>
        <w:rPr>
          <w:rFonts w:hint="eastAsia" w:ascii="黑体" w:hAnsi="黑体" w:eastAsia="黑体" w:cs="Times New Roman"/>
          <w:szCs w:val="28"/>
        </w:rPr>
        <w:t>·</w:t>
      </w:r>
      <w:r>
        <w:rPr>
          <w:rFonts w:hint="eastAsia" w:ascii="仿宋_GB2312"/>
        </w:rPr>
        <w:t>《血站实验室质量管理规范》</w:t>
      </w:r>
    </w:p>
    <w:p w14:paraId="31A52B63">
      <w:pPr>
        <w:pStyle w:val="3"/>
        <w:ind w:firstLine="643"/>
        <w:rPr>
          <w:rFonts w:ascii="仿宋" w:hAnsi="仿宋" w:eastAsia="仿宋"/>
          <w:lang w:bidi="en-US"/>
        </w:rPr>
      </w:pPr>
      <w:bookmarkStart w:id="25" w:name="_Toc67911607"/>
      <w:bookmarkStart w:id="26" w:name="_Toc24125"/>
      <w:r>
        <w:rPr>
          <w:rFonts w:hint="eastAsia" w:ascii="仿宋" w:hAnsi="仿宋" w:eastAsia="仿宋"/>
          <w:lang w:bidi="en-US"/>
        </w:rPr>
        <w:t>（三）绩效评价工作过程</w:t>
      </w:r>
      <w:bookmarkEnd w:id="25"/>
      <w:bookmarkEnd w:id="26"/>
    </w:p>
    <w:p w14:paraId="21DE19F1">
      <w:pPr>
        <w:spacing w:line="360" w:lineRule="auto"/>
        <w:ind w:firstLine="560"/>
        <w:rPr>
          <w:rFonts w:ascii="仿宋_GB2312"/>
        </w:rPr>
      </w:pPr>
      <w:r>
        <w:rPr>
          <w:rFonts w:hint="eastAsia" w:ascii="仿宋_GB231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18"/>
          <w:rFonts w:ascii="仿宋_GB2312"/>
        </w:rPr>
        <w:footnoteReference w:id="0"/>
      </w:r>
      <w:r>
        <w:rPr>
          <w:rFonts w:hint="eastAsia" w:ascii="仿宋_GB2312"/>
        </w:rPr>
        <w:t>、材料审核分析、现场核查评价、综合分析评价及报告撰写，评价项目实施情况，展现资金使用效益。</w:t>
      </w:r>
    </w:p>
    <w:p w14:paraId="6B952A07">
      <w:pPr>
        <w:pStyle w:val="2"/>
        <w:ind w:firstLine="0" w:firstLineChars="0"/>
        <w:jc w:val="left"/>
        <w:rPr>
          <w:rFonts w:ascii="仿宋" w:hAnsi="仿宋" w:eastAsia="仿宋"/>
          <w:sz w:val="36"/>
          <w:szCs w:val="36"/>
          <w:lang w:bidi="en-US"/>
        </w:rPr>
      </w:pPr>
      <w:bookmarkStart w:id="27" w:name="_Toc20119"/>
      <w:bookmarkStart w:id="28" w:name="_Toc67911608"/>
      <w:r>
        <w:rPr>
          <w:rFonts w:hint="eastAsia" w:ascii="仿宋" w:hAnsi="仿宋" w:eastAsia="仿宋"/>
          <w:sz w:val="36"/>
          <w:szCs w:val="36"/>
          <w:lang w:bidi="en-US"/>
        </w:rPr>
        <w:t>三、综合评价情况及评价结论</w:t>
      </w:r>
      <w:bookmarkEnd w:id="27"/>
      <w:bookmarkEnd w:id="28"/>
    </w:p>
    <w:p w14:paraId="53B4A4DE">
      <w:pPr>
        <w:pStyle w:val="3"/>
        <w:ind w:firstLine="643"/>
        <w:rPr>
          <w:rFonts w:ascii="仿宋" w:hAnsi="仿宋" w:eastAsia="仿宋"/>
          <w:lang w:bidi="en-US"/>
        </w:rPr>
      </w:pPr>
      <w:bookmarkStart w:id="29" w:name="_Toc67911609"/>
      <w:bookmarkStart w:id="30" w:name="_Toc8653"/>
      <w:r>
        <w:rPr>
          <w:rFonts w:hint="eastAsia" w:ascii="仿宋" w:hAnsi="仿宋" w:eastAsia="仿宋"/>
          <w:lang w:bidi="en-US"/>
        </w:rPr>
        <w:t>（一）评价结论</w:t>
      </w:r>
      <w:bookmarkEnd w:id="29"/>
      <w:bookmarkEnd w:id="30"/>
    </w:p>
    <w:p w14:paraId="02E370CE">
      <w:pPr>
        <w:spacing w:line="360" w:lineRule="auto"/>
        <w:ind w:firstLine="560"/>
        <w:rPr>
          <w:rFonts w:ascii="仿宋_GB2312"/>
          <w:szCs w:val="28"/>
        </w:rPr>
      </w:pPr>
      <w:r>
        <w:rPr>
          <w:rFonts w:hint="eastAsia" w:ascii="仿宋_GB2312"/>
          <w:szCs w:val="28"/>
        </w:rPr>
        <w:t>结合项目特点，制定符合项目实际的绩效评价指标体系及评分标准，通过数据采集、问卷调查等形式，对2024年采供血业务运行经费-非政采进行客观评价，最终评分结果为：总分为99.29分，绩效评级为“优”</w:t>
      </w:r>
      <w:r>
        <w:rPr>
          <w:rStyle w:val="18"/>
          <w:rFonts w:ascii="仿宋_GB2312"/>
          <w:szCs w:val="28"/>
        </w:rPr>
        <w:footnoteReference w:id="1"/>
      </w:r>
      <w:r>
        <w:rPr>
          <w:rFonts w:hint="eastAsia" w:ascii="仿宋_GB2312"/>
          <w:szCs w:val="28"/>
        </w:rPr>
        <w:t>。</w:t>
      </w:r>
    </w:p>
    <w:p w14:paraId="55B52876">
      <w:pPr>
        <w:spacing w:line="360" w:lineRule="auto"/>
        <w:ind w:firstLine="560"/>
        <w:rPr>
          <w:rFonts w:ascii="仿宋_GB2312"/>
          <w:szCs w:val="28"/>
        </w:rPr>
      </w:pPr>
      <w:r>
        <w:rPr>
          <w:rFonts w:hint="eastAsia" w:ascii="仿宋_GB2312"/>
          <w:szCs w:val="28"/>
        </w:rPr>
        <w:t>项目各部分权重和绩效分值如附表所示：</w:t>
      </w:r>
    </w:p>
    <w:p w14:paraId="673C9945">
      <w:pPr>
        <w:spacing w:line="360" w:lineRule="auto"/>
        <w:ind w:firstLine="0" w:firstLineChars="0"/>
        <w:jc w:val="center"/>
        <w:rPr>
          <w:rFonts w:ascii="仿宋_GB2312"/>
          <w:b/>
          <w:bCs/>
          <w:szCs w:val="28"/>
        </w:rPr>
      </w:pPr>
      <w:r>
        <w:rPr>
          <w:rFonts w:hint="eastAsia" w:ascii="仿宋_GB2312"/>
          <w:b/>
          <w:bCs/>
          <w:szCs w:val="28"/>
        </w:rPr>
        <w:t>项目各部分权重和绩效分值</w:t>
      </w:r>
    </w:p>
    <w:tbl>
      <w:tblPr>
        <w:tblStyle w:val="13"/>
        <w:tblW w:w="906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550"/>
        <w:gridCol w:w="1821"/>
        <w:gridCol w:w="2856"/>
        <w:gridCol w:w="898"/>
        <w:gridCol w:w="898"/>
        <w:gridCol w:w="1039"/>
      </w:tblGrid>
      <w:tr w14:paraId="1A6F4B6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vAlign w:val="center"/>
          </w:tcPr>
          <w:p w14:paraId="0E6A54FE">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一级指标</w:t>
            </w:r>
          </w:p>
        </w:tc>
        <w:tc>
          <w:tcPr>
            <w:tcW w:w="1821" w:type="dxa"/>
            <w:tcBorders>
              <w:tl2br w:val="nil"/>
              <w:tr2bl w:val="nil"/>
            </w:tcBorders>
            <w:shd w:val="clear" w:color="auto" w:fill="D0CECE"/>
            <w:vAlign w:val="center"/>
          </w:tcPr>
          <w:p w14:paraId="37B42E1D">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二级指标</w:t>
            </w:r>
          </w:p>
        </w:tc>
        <w:tc>
          <w:tcPr>
            <w:tcW w:w="2856" w:type="dxa"/>
            <w:tcBorders>
              <w:tl2br w:val="nil"/>
              <w:tr2bl w:val="nil"/>
            </w:tcBorders>
            <w:shd w:val="clear" w:color="auto" w:fill="D0CECE"/>
            <w:vAlign w:val="center"/>
          </w:tcPr>
          <w:p w14:paraId="29B54F12">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三级指标</w:t>
            </w:r>
          </w:p>
        </w:tc>
        <w:tc>
          <w:tcPr>
            <w:tcW w:w="898" w:type="dxa"/>
            <w:tcBorders>
              <w:tl2br w:val="nil"/>
              <w:tr2bl w:val="nil"/>
            </w:tcBorders>
            <w:shd w:val="clear" w:color="auto" w:fill="D0CECE"/>
            <w:vAlign w:val="center"/>
          </w:tcPr>
          <w:p w14:paraId="57E82FB8">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分值</w:t>
            </w:r>
          </w:p>
        </w:tc>
        <w:tc>
          <w:tcPr>
            <w:tcW w:w="898" w:type="dxa"/>
            <w:tcBorders>
              <w:tl2br w:val="nil"/>
              <w:tr2bl w:val="nil"/>
            </w:tcBorders>
            <w:shd w:val="clear" w:color="auto" w:fill="D0CECE"/>
            <w:vAlign w:val="center"/>
          </w:tcPr>
          <w:p w14:paraId="25A288B8">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得分</w:t>
            </w:r>
          </w:p>
        </w:tc>
        <w:tc>
          <w:tcPr>
            <w:tcW w:w="1039" w:type="dxa"/>
            <w:tcBorders>
              <w:tl2br w:val="nil"/>
              <w:tr2bl w:val="nil"/>
            </w:tcBorders>
            <w:shd w:val="clear" w:color="auto" w:fill="D0CECE"/>
            <w:vAlign w:val="center"/>
          </w:tcPr>
          <w:p w14:paraId="7E42F5DD">
            <w:pPr>
              <w:widowControl/>
              <w:ind w:firstLine="0" w:firstLineChars="0"/>
              <w:jc w:val="center"/>
              <w:rPr>
                <w:rFonts w:ascii="仿宋_GB2312" w:hAnsi="Gungsuh" w:cs="宋体"/>
                <w:b/>
                <w:bCs/>
                <w:kern w:val="0"/>
                <w:sz w:val="24"/>
                <w:szCs w:val="24"/>
              </w:rPr>
            </w:pPr>
            <w:r>
              <w:rPr>
                <w:rFonts w:hint="eastAsia" w:ascii="仿宋_GB2312" w:hAnsi="Gungsuh" w:cs="宋体"/>
                <w:b/>
                <w:bCs/>
                <w:kern w:val="0"/>
                <w:sz w:val="24"/>
                <w:szCs w:val="24"/>
              </w:rPr>
              <w:t>得分率</w:t>
            </w:r>
          </w:p>
        </w:tc>
      </w:tr>
      <w:tr w14:paraId="36DC670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7065FDD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决策</w:t>
            </w:r>
          </w:p>
        </w:tc>
        <w:tc>
          <w:tcPr>
            <w:tcW w:w="1821" w:type="dxa"/>
            <w:vMerge w:val="restart"/>
            <w:tcBorders>
              <w:tl2br w:val="nil"/>
              <w:tr2bl w:val="nil"/>
            </w:tcBorders>
            <w:shd w:val="clear" w:color="auto" w:fill="FFFFFF"/>
            <w:vAlign w:val="center"/>
          </w:tcPr>
          <w:p w14:paraId="087185C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项目立项</w:t>
            </w:r>
          </w:p>
        </w:tc>
        <w:tc>
          <w:tcPr>
            <w:tcW w:w="2856" w:type="dxa"/>
            <w:tcBorders>
              <w:tl2br w:val="nil"/>
              <w:tr2bl w:val="nil"/>
            </w:tcBorders>
            <w:shd w:val="clear" w:color="auto" w:fill="FFFFFF"/>
            <w:vAlign w:val="center"/>
          </w:tcPr>
          <w:p w14:paraId="749CDCC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立项依据充分性</w:t>
            </w:r>
          </w:p>
        </w:tc>
        <w:tc>
          <w:tcPr>
            <w:tcW w:w="898" w:type="dxa"/>
            <w:tcBorders>
              <w:tl2br w:val="nil"/>
              <w:tr2bl w:val="nil"/>
            </w:tcBorders>
            <w:shd w:val="clear" w:color="auto" w:fill="FFFFFF"/>
            <w:vAlign w:val="center"/>
          </w:tcPr>
          <w:p w14:paraId="347AD55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14:paraId="41EAF5E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1039" w:type="dxa"/>
            <w:tcBorders>
              <w:tl2br w:val="nil"/>
              <w:tr2bl w:val="nil"/>
            </w:tcBorders>
            <w:shd w:val="clear" w:color="auto" w:fill="FFFFFF"/>
            <w:vAlign w:val="center"/>
          </w:tcPr>
          <w:p w14:paraId="6945C35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2DB3EB7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0BCD5A9F">
            <w:pPr>
              <w:ind w:firstLine="480"/>
              <w:jc w:val="center"/>
              <w:rPr>
                <w:rFonts w:ascii="仿宋_GB2312" w:hAnsi="宋体" w:cs="宋体"/>
                <w:kern w:val="0"/>
                <w:sz w:val="24"/>
                <w:szCs w:val="24"/>
              </w:rPr>
            </w:pPr>
          </w:p>
        </w:tc>
        <w:tc>
          <w:tcPr>
            <w:tcW w:w="1821" w:type="dxa"/>
            <w:vMerge w:val="continue"/>
            <w:tcBorders>
              <w:tl2br w:val="nil"/>
              <w:tr2bl w:val="nil"/>
            </w:tcBorders>
            <w:shd w:val="clear" w:color="auto" w:fill="FFFFFF"/>
            <w:vAlign w:val="center"/>
          </w:tcPr>
          <w:p w14:paraId="24E134F2">
            <w:pPr>
              <w:widowControl/>
              <w:ind w:firstLine="0" w:firstLineChars="0"/>
              <w:jc w:val="center"/>
              <w:rPr>
                <w:rFonts w:ascii="仿宋_GB2312" w:hAnsi="宋体" w:cs="宋体"/>
                <w:kern w:val="0"/>
                <w:sz w:val="24"/>
                <w:szCs w:val="24"/>
              </w:rPr>
            </w:pPr>
          </w:p>
        </w:tc>
        <w:tc>
          <w:tcPr>
            <w:tcW w:w="2856" w:type="dxa"/>
            <w:tcBorders>
              <w:tl2br w:val="nil"/>
              <w:tr2bl w:val="nil"/>
            </w:tcBorders>
            <w:shd w:val="clear" w:color="auto" w:fill="FFFFFF"/>
            <w:vAlign w:val="center"/>
          </w:tcPr>
          <w:p w14:paraId="4D1A2A5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立项程序规范性</w:t>
            </w:r>
          </w:p>
        </w:tc>
        <w:tc>
          <w:tcPr>
            <w:tcW w:w="898" w:type="dxa"/>
            <w:tcBorders>
              <w:tl2br w:val="nil"/>
              <w:tr2bl w:val="nil"/>
            </w:tcBorders>
            <w:shd w:val="clear" w:color="auto" w:fill="FFFFFF"/>
            <w:vAlign w:val="center"/>
          </w:tcPr>
          <w:p w14:paraId="3E82042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14:paraId="2515E66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1039" w:type="dxa"/>
            <w:tcBorders>
              <w:tl2br w:val="nil"/>
              <w:tr2bl w:val="nil"/>
            </w:tcBorders>
            <w:shd w:val="clear" w:color="auto" w:fill="FFFFFF"/>
            <w:vAlign w:val="center"/>
          </w:tcPr>
          <w:p w14:paraId="6E5EF0E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7FE0CF7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7CC3D7DA">
            <w:pPr>
              <w:ind w:firstLine="480"/>
              <w:jc w:val="center"/>
              <w:rPr>
                <w:rFonts w:ascii="仿宋_GB2312" w:hAnsi="宋体" w:cs="宋体"/>
                <w:kern w:val="0"/>
                <w:sz w:val="24"/>
                <w:szCs w:val="24"/>
              </w:rPr>
            </w:pPr>
          </w:p>
        </w:tc>
        <w:tc>
          <w:tcPr>
            <w:tcW w:w="1821" w:type="dxa"/>
            <w:vMerge w:val="restart"/>
            <w:tcBorders>
              <w:tl2br w:val="nil"/>
              <w:tr2bl w:val="nil"/>
            </w:tcBorders>
            <w:shd w:val="clear" w:color="auto" w:fill="FFFFFF"/>
            <w:vAlign w:val="center"/>
          </w:tcPr>
          <w:p w14:paraId="096FD7BF">
            <w:pPr>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w:t>
            </w:r>
          </w:p>
        </w:tc>
        <w:tc>
          <w:tcPr>
            <w:tcW w:w="2856" w:type="dxa"/>
            <w:tcBorders>
              <w:tl2br w:val="nil"/>
              <w:tr2bl w:val="nil"/>
            </w:tcBorders>
            <w:shd w:val="clear" w:color="auto" w:fill="FFFFFF"/>
            <w:vAlign w:val="center"/>
          </w:tcPr>
          <w:p w14:paraId="0EB597F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绩效目标合理性</w:t>
            </w:r>
          </w:p>
        </w:tc>
        <w:tc>
          <w:tcPr>
            <w:tcW w:w="898" w:type="dxa"/>
            <w:tcBorders>
              <w:tl2br w:val="nil"/>
              <w:tr2bl w:val="nil"/>
            </w:tcBorders>
            <w:shd w:val="clear" w:color="000000" w:fill="FFFFFF"/>
            <w:vAlign w:val="center"/>
          </w:tcPr>
          <w:p w14:paraId="441EC13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03A1F6C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14:paraId="173A3EB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7B3B48C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02B8D115">
            <w:pPr>
              <w:widowControl/>
              <w:ind w:firstLine="0" w:firstLineChars="0"/>
              <w:jc w:val="center"/>
              <w:rPr>
                <w:rFonts w:ascii="仿宋_GB2312" w:hAnsi="宋体" w:cs="宋体"/>
                <w:kern w:val="0"/>
                <w:sz w:val="24"/>
                <w:szCs w:val="24"/>
              </w:rPr>
            </w:pPr>
          </w:p>
        </w:tc>
        <w:tc>
          <w:tcPr>
            <w:tcW w:w="1821" w:type="dxa"/>
            <w:vMerge w:val="continue"/>
            <w:tcBorders>
              <w:tl2br w:val="nil"/>
              <w:tr2bl w:val="nil"/>
            </w:tcBorders>
            <w:shd w:val="clear" w:color="auto" w:fill="FFFFFF"/>
            <w:vAlign w:val="center"/>
          </w:tcPr>
          <w:p w14:paraId="37F094C6">
            <w:pPr>
              <w:widowControl/>
              <w:ind w:firstLine="0" w:firstLineChars="0"/>
              <w:jc w:val="center"/>
              <w:rPr>
                <w:rFonts w:ascii="仿宋_GB2312" w:hAnsi="宋体" w:cs="宋体"/>
                <w:kern w:val="0"/>
                <w:sz w:val="24"/>
                <w:szCs w:val="24"/>
              </w:rPr>
            </w:pPr>
          </w:p>
        </w:tc>
        <w:tc>
          <w:tcPr>
            <w:tcW w:w="2856" w:type="dxa"/>
            <w:tcBorders>
              <w:tl2br w:val="nil"/>
              <w:tr2bl w:val="nil"/>
            </w:tcBorders>
            <w:shd w:val="clear" w:color="auto" w:fill="FFFFFF"/>
            <w:vAlign w:val="center"/>
          </w:tcPr>
          <w:p w14:paraId="5D16F51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绩效指标明确性</w:t>
            </w:r>
          </w:p>
        </w:tc>
        <w:tc>
          <w:tcPr>
            <w:tcW w:w="898" w:type="dxa"/>
            <w:tcBorders>
              <w:tl2br w:val="nil"/>
              <w:tr2bl w:val="nil"/>
            </w:tcBorders>
            <w:shd w:val="clear" w:color="000000" w:fill="FFFFFF"/>
            <w:vAlign w:val="center"/>
          </w:tcPr>
          <w:p w14:paraId="5173F83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7ABE253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14:paraId="77F99EA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1DF09D0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65C2B597">
            <w:pPr>
              <w:ind w:firstLine="0" w:firstLineChars="0"/>
              <w:jc w:val="center"/>
              <w:rPr>
                <w:rFonts w:ascii="仿宋_GB2312" w:hAnsi="宋体" w:cs="宋体"/>
                <w:kern w:val="0"/>
                <w:sz w:val="24"/>
                <w:szCs w:val="24"/>
              </w:rPr>
            </w:pPr>
          </w:p>
        </w:tc>
        <w:tc>
          <w:tcPr>
            <w:tcW w:w="1821" w:type="dxa"/>
            <w:vMerge w:val="restart"/>
            <w:tcBorders>
              <w:tl2br w:val="nil"/>
              <w:tr2bl w:val="nil"/>
            </w:tcBorders>
            <w:shd w:val="clear" w:color="auto" w:fill="FFFFFF"/>
            <w:vAlign w:val="center"/>
          </w:tcPr>
          <w:p w14:paraId="009057A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资金投入</w:t>
            </w:r>
          </w:p>
        </w:tc>
        <w:tc>
          <w:tcPr>
            <w:tcW w:w="2856" w:type="dxa"/>
            <w:tcBorders>
              <w:tl2br w:val="nil"/>
              <w:tr2bl w:val="nil"/>
            </w:tcBorders>
            <w:shd w:val="clear" w:color="auto" w:fill="FFFFFF"/>
            <w:vAlign w:val="center"/>
          </w:tcPr>
          <w:p w14:paraId="1A38085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预算编制科学性</w:t>
            </w:r>
          </w:p>
        </w:tc>
        <w:tc>
          <w:tcPr>
            <w:tcW w:w="898" w:type="dxa"/>
            <w:tcBorders>
              <w:tl2br w:val="nil"/>
              <w:tr2bl w:val="nil"/>
            </w:tcBorders>
            <w:shd w:val="clear" w:color="auto" w:fill="FFFFFF"/>
            <w:vAlign w:val="center"/>
          </w:tcPr>
          <w:p w14:paraId="322BF3A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14:paraId="094D636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auto" w:fill="FFFFFF"/>
            <w:vAlign w:val="center"/>
          </w:tcPr>
          <w:p w14:paraId="7BB28C4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3825B8B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209EE3E7">
            <w:pPr>
              <w:widowControl/>
              <w:ind w:firstLine="0" w:firstLineChars="0"/>
              <w:jc w:val="center"/>
              <w:rPr>
                <w:rFonts w:ascii="仿宋_GB2312" w:hAnsi="宋体" w:cs="宋体"/>
                <w:kern w:val="0"/>
                <w:sz w:val="24"/>
                <w:szCs w:val="24"/>
              </w:rPr>
            </w:pPr>
          </w:p>
        </w:tc>
        <w:tc>
          <w:tcPr>
            <w:tcW w:w="1821" w:type="dxa"/>
            <w:vMerge w:val="continue"/>
            <w:tcBorders>
              <w:tl2br w:val="nil"/>
              <w:tr2bl w:val="nil"/>
            </w:tcBorders>
            <w:shd w:val="clear" w:color="auto" w:fill="FFFFFF"/>
            <w:vAlign w:val="center"/>
          </w:tcPr>
          <w:p w14:paraId="62CB63AC">
            <w:pPr>
              <w:widowControl/>
              <w:ind w:firstLine="0" w:firstLineChars="0"/>
              <w:jc w:val="center"/>
              <w:rPr>
                <w:rFonts w:ascii="仿宋_GB2312" w:hAnsi="宋体" w:cs="宋体"/>
                <w:kern w:val="0"/>
                <w:sz w:val="24"/>
                <w:szCs w:val="24"/>
              </w:rPr>
            </w:pPr>
          </w:p>
        </w:tc>
        <w:tc>
          <w:tcPr>
            <w:tcW w:w="2856" w:type="dxa"/>
            <w:tcBorders>
              <w:tl2br w:val="nil"/>
              <w:tr2bl w:val="nil"/>
            </w:tcBorders>
            <w:shd w:val="clear" w:color="auto" w:fill="FFFFFF"/>
            <w:vAlign w:val="center"/>
          </w:tcPr>
          <w:p w14:paraId="0DFA2DA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资金分配合理性</w:t>
            </w:r>
          </w:p>
        </w:tc>
        <w:tc>
          <w:tcPr>
            <w:tcW w:w="898" w:type="dxa"/>
            <w:tcBorders>
              <w:tl2br w:val="nil"/>
              <w:tr2bl w:val="nil"/>
            </w:tcBorders>
            <w:shd w:val="clear" w:color="auto" w:fill="FFFFFF"/>
            <w:vAlign w:val="center"/>
          </w:tcPr>
          <w:p w14:paraId="4A26658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14:paraId="09EC2AB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auto" w:fill="FFFFFF"/>
            <w:vAlign w:val="center"/>
          </w:tcPr>
          <w:p w14:paraId="799DA8E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2FDDCD1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050D8107">
            <w:pPr>
              <w:ind w:firstLine="0" w:firstLineChars="0"/>
              <w:jc w:val="center"/>
              <w:rPr>
                <w:rFonts w:ascii="仿宋_GB2312" w:hAnsi="宋体" w:cs="宋体"/>
                <w:kern w:val="0"/>
                <w:sz w:val="24"/>
                <w:szCs w:val="24"/>
              </w:rPr>
            </w:pPr>
            <w:r>
              <w:rPr>
                <w:rFonts w:hint="eastAsia" w:ascii="仿宋_GB2312" w:hAnsi="宋体" w:cs="宋体"/>
                <w:kern w:val="0"/>
                <w:sz w:val="24"/>
                <w:szCs w:val="24"/>
              </w:rPr>
              <w:t>过程</w:t>
            </w:r>
          </w:p>
        </w:tc>
        <w:tc>
          <w:tcPr>
            <w:tcW w:w="1821" w:type="dxa"/>
            <w:vMerge w:val="restart"/>
            <w:tcBorders>
              <w:tl2br w:val="nil"/>
              <w:tr2bl w:val="nil"/>
            </w:tcBorders>
            <w:shd w:val="clear" w:color="auto" w:fill="FFFFFF"/>
            <w:vAlign w:val="center"/>
          </w:tcPr>
          <w:p w14:paraId="00CC84EE">
            <w:pPr>
              <w:ind w:firstLine="0" w:firstLineChars="0"/>
              <w:jc w:val="center"/>
              <w:rPr>
                <w:rFonts w:ascii="仿宋_GB2312" w:hAnsi="宋体" w:cs="宋体"/>
                <w:kern w:val="0"/>
                <w:sz w:val="24"/>
                <w:szCs w:val="24"/>
              </w:rPr>
            </w:pPr>
            <w:r>
              <w:rPr>
                <w:rFonts w:hint="eastAsia" w:ascii="仿宋_GB2312" w:hAnsi="宋体" w:cs="宋体"/>
                <w:kern w:val="0"/>
                <w:sz w:val="24"/>
                <w:szCs w:val="24"/>
              </w:rPr>
              <w:t>资金管理</w:t>
            </w:r>
          </w:p>
        </w:tc>
        <w:tc>
          <w:tcPr>
            <w:tcW w:w="2856" w:type="dxa"/>
            <w:tcBorders>
              <w:tl2br w:val="nil"/>
              <w:tr2bl w:val="nil"/>
            </w:tcBorders>
            <w:shd w:val="clear" w:color="auto" w:fill="FFFFFF"/>
            <w:vAlign w:val="center"/>
          </w:tcPr>
          <w:p w14:paraId="4755938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资金到位率</w:t>
            </w:r>
          </w:p>
        </w:tc>
        <w:tc>
          <w:tcPr>
            <w:tcW w:w="898" w:type="dxa"/>
            <w:tcBorders>
              <w:tl2br w:val="nil"/>
              <w:tr2bl w:val="nil"/>
            </w:tcBorders>
            <w:shd w:val="clear" w:color="000000" w:fill="FFFFFF"/>
            <w:vAlign w:val="center"/>
          </w:tcPr>
          <w:p w14:paraId="62E6F581">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5</w:t>
            </w:r>
          </w:p>
        </w:tc>
        <w:tc>
          <w:tcPr>
            <w:tcW w:w="898" w:type="dxa"/>
            <w:tcBorders>
              <w:tl2br w:val="nil"/>
              <w:tr2bl w:val="nil"/>
            </w:tcBorders>
            <w:shd w:val="clear" w:color="000000" w:fill="FFFFFF"/>
            <w:vAlign w:val="center"/>
          </w:tcPr>
          <w:p w14:paraId="1A0FB072">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4.88</w:t>
            </w:r>
          </w:p>
        </w:tc>
        <w:tc>
          <w:tcPr>
            <w:tcW w:w="1039" w:type="dxa"/>
            <w:tcBorders>
              <w:tl2br w:val="nil"/>
              <w:tr2bl w:val="nil"/>
            </w:tcBorders>
            <w:shd w:val="clear" w:color="000000" w:fill="FFFFFF"/>
            <w:vAlign w:val="center"/>
          </w:tcPr>
          <w:p w14:paraId="2ADEAFF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97.63%</w:t>
            </w:r>
          </w:p>
        </w:tc>
      </w:tr>
      <w:tr w14:paraId="3F4F2D5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609235E7">
            <w:pPr>
              <w:ind w:firstLine="480"/>
              <w:jc w:val="center"/>
              <w:rPr>
                <w:rFonts w:ascii="仿宋_GB2312" w:hAnsi="宋体" w:cs="宋体"/>
                <w:kern w:val="0"/>
                <w:sz w:val="24"/>
                <w:szCs w:val="24"/>
              </w:rPr>
            </w:pPr>
          </w:p>
        </w:tc>
        <w:tc>
          <w:tcPr>
            <w:tcW w:w="1821" w:type="dxa"/>
            <w:vMerge w:val="continue"/>
            <w:tcBorders>
              <w:tl2br w:val="nil"/>
              <w:tr2bl w:val="nil"/>
            </w:tcBorders>
            <w:shd w:val="clear" w:color="auto" w:fill="FFFFFF"/>
            <w:vAlign w:val="center"/>
          </w:tcPr>
          <w:p w14:paraId="779770CC">
            <w:pPr>
              <w:ind w:firstLine="480"/>
              <w:jc w:val="center"/>
              <w:rPr>
                <w:rFonts w:ascii="仿宋_GB2312" w:hAnsi="宋体" w:cs="宋体"/>
                <w:kern w:val="0"/>
                <w:sz w:val="24"/>
                <w:szCs w:val="24"/>
              </w:rPr>
            </w:pPr>
          </w:p>
        </w:tc>
        <w:tc>
          <w:tcPr>
            <w:tcW w:w="2856" w:type="dxa"/>
            <w:tcBorders>
              <w:tl2br w:val="nil"/>
              <w:tr2bl w:val="nil"/>
            </w:tcBorders>
            <w:shd w:val="clear" w:color="auto" w:fill="FFFFFF"/>
            <w:vAlign w:val="center"/>
          </w:tcPr>
          <w:p w14:paraId="78DDC6E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预算执行率</w:t>
            </w:r>
          </w:p>
        </w:tc>
        <w:tc>
          <w:tcPr>
            <w:tcW w:w="898" w:type="dxa"/>
            <w:tcBorders>
              <w:tl2br w:val="nil"/>
              <w:tr2bl w:val="nil"/>
            </w:tcBorders>
            <w:shd w:val="clear" w:color="auto" w:fill="FFFFFF"/>
            <w:vAlign w:val="center"/>
          </w:tcPr>
          <w:p w14:paraId="62658619">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5</w:t>
            </w:r>
          </w:p>
        </w:tc>
        <w:tc>
          <w:tcPr>
            <w:tcW w:w="898" w:type="dxa"/>
            <w:tcBorders>
              <w:tl2br w:val="nil"/>
              <w:tr2bl w:val="nil"/>
            </w:tcBorders>
            <w:shd w:val="clear" w:color="auto" w:fill="FFFFFF"/>
            <w:vAlign w:val="center"/>
          </w:tcPr>
          <w:p w14:paraId="617E7A27">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5</w:t>
            </w:r>
          </w:p>
        </w:tc>
        <w:tc>
          <w:tcPr>
            <w:tcW w:w="1039" w:type="dxa"/>
            <w:tcBorders>
              <w:tl2br w:val="nil"/>
              <w:tr2bl w:val="nil"/>
            </w:tcBorders>
            <w:shd w:val="clear" w:color="auto" w:fill="FFFFFF"/>
            <w:vAlign w:val="center"/>
          </w:tcPr>
          <w:p w14:paraId="1DAAA25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0F9C1E5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01DB9CA9">
            <w:pPr>
              <w:ind w:firstLine="0" w:firstLineChars="0"/>
              <w:jc w:val="center"/>
              <w:rPr>
                <w:rFonts w:ascii="仿宋_GB2312" w:hAnsi="宋体" w:cs="宋体"/>
                <w:kern w:val="0"/>
                <w:sz w:val="24"/>
                <w:szCs w:val="24"/>
              </w:rPr>
            </w:pPr>
          </w:p>
        </w:tc>
        <w:tc>
          <w:tcPr>
            <w:tcW w:w="1821" w:type="dxa"/>
            <w:vMerge w:val="continue"/>
            <w:tcBorders>
              <w:tl2br w:val="nil"/>
              <w:tr2bl w:val="nil"/>
            </w:tcBorders>
            <w:shd w:val="clear" w:color="auto" w:fill="FFFFFF"/>
            <w:vAlign w:val="center"/>
          </w:tcPr>
          <w:p w14:paraId="6DAD9E8C">
            <w:pPr>
              <w:widowControl/>
              <w:ind w:firstLine="0" w:firstLineChars="0"/>
              <w:jc w:val="center"/>
              <w:rPr>
                <w:rFonts w:ascii="仿宋_GB2312" w:hAnsi="宋体" w:cs="宋体"/>
                <w:kern w:val="0"/>
                <w:sz w:val="24"/>
                <w:szCs w:val="24"/>
              </w:rPr>
            </w:pPr>
          </w:p>
        </w:tc>
        <w:tc>
          <w:tcPr>
            <w:tcW w:w="2856" w:type="dxa"/>
            <w:tcBorders>
              <w:tl2br w:val="nil"/>
              <w:tr2bl w:val="nil"/>
            </w:tcBorders>
            <w:shd w:val="clear" w:color="auto" w:fill="FFFFFF"/>
            <w:vAlign w:val="center"/>
          </w:tcPr>
          <w:p w14:paraId="5D0A8E9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资金使用合规性</w:t>
            </w:r>
          </w:p>
        </w:tc>
        <w:tc>
          <w:tcPr>
            <w:tcW w:w="898" w:type="dxa"/>
            <w:tcBorders>
              <w:tl2br w:val="nil"/>
              <w:tr2bl w:val="nil"/>
            </w:tcBorders>
            <w:shd w:val="clear" w:color="000000" w:fill="FFFFFF"/>
            <w:vAlign w:val="center"/>
          </w:tcPr>
          <w:p w14:paraId="6C7FA3C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6ECC54F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14:paraId="396C785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4233E67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466BCF4A">
            <w:pPr>
              <w:ind w:firstLine="0" w:firstLineChars="0"/>
              <w:jc w:val="center"/>
              <w:rPr>
                <w:rFonts w:ascii="仿宋_GB2312" w:hAnsi="宋体" w:cs="宋体"/>
                <w:kern w:val="0"/>
                <w:sz w:val="24"/>
                <w:szCs w:val="24"/>
              </w:rPr>
            </w:pPr>
          </w:p>
        </w:tc>
        <w:tc>
          <w:tcPr>
            <w:tcW w:w="1821" w:type="dxa"/>
            <w:vMerge w:val="restart"/>
            <w:tcBorders>
              <w:tl2br w:val="nil"/>
              <w:tr2bl w:val="nil"/>
            </w:tcBorders>
            <w:shd w:val="clear" w:color="auto" w:fill="FFFFFF"/>
            <w:vAlign w:val="center"/>
          </w:tcPr>
          <w:p w14:paraId="23AAE01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组织实施</w:t>
            </w:r>
          </w:p>
        </w:tc>
        <w:tc>
          <w:tcPr>
            <w:tcW w:w="2856" w:type="dxa"/>
            <w:tcBorders>
              <w:tl2br w:val="nil"/>
              <w:tr2bl w:val="nil"/>
            </w:tcBorders>
            <w:shd w:val="clear" w:color="auto" w:fill="FFFFFF"/>
            <w:vAlign w:val="center"/>
          </w:tcPr>
          <w:p w14:paraId="68705BB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管理制度健全性</w:t>
            </w:r>
          </w:p>
        </w:tc>
        <w:tc>
          <w:tcPr>
            <w:tcW w:w="898" w:type="dxa"/>
            <w:tcBorders>
              <w:tl2br w:val="nil"/>
              <w:tr2bl w:val="nil"/>
            </w:tcBorders>
            <w:shd w:val="clear" w:color="000000" w:fill="FFFFFF"/>
            <w:vAlign w:val="center"/>
          </w:tcPr>
          <w:p w14:paraId="18DED55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24DEB9E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14:paraId="0313211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36FF0BB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24ED8156">
            <w:pPr>
              <w:widowControl/>
              <w:ind w:firstLine="0" w:firstLineChars="0"/>
              <w:jc w:val="center"/>
              <w:rPr>
                <w:rFonts w:ascii="仿宋_GB2312" w:hAnsi="宋体" w:cs="宋体"/>
                <w:kern w:val="0"/>
                <w:sz w:val="24"/>
                <w:szCs w:val="24"/>
              </w:rPr>
            </w:pPr>
          </w:p>
        </w:tc>
        <w:tc>
          <w:tcPr>
            <w:tcW w:w="1821" w:type="dxa"/>
            <w:vMerge w:val="continue"/>
            <w:tcBorders>
              <w:tl2br w:val="nil"/>
              <w:tr2bl w:val="nil"/>
            </w:tcBorders>
            <w:shd w:val="clear" w:color="auto" w:fill="FFFFFF"/>
            <w:vAlign w:val="center"/>
          </w:tcPr>
          <w:p w14:paraId="5C7B29F1">
            <w:pPr>
              <w:widowControl/>
              <w:ind w:firstLine="0" w:firstLineChars="0"/>
              <w:jc w:val="center"/>
              <w:rPr>
                <w:rFonts w:ascii="仿宋_GB2312" w:hAnsi="宋体" w:cs="宋体"/>
                <w:kern w:val="0"/>
                <w:sz w:val="24"/>
                <w:szCs w:val="24"/>
              </w:rPr>
            </w:pPr>
          </w:p>
        </w:tc>
        <w:tc>
          <w:tcPr>
            <w:tcW w:w="2856" w:type="dxa"/>
            <w:tcBorders>
              <w:tl2br w:val="nil"/>
              <w:tr2bl w:val="nil"/>
            </w:tcBorders>
            <w:shd w:val="clear" w:color="auto" w:fill="FFFFFF"/>
            <w:vAlign w:val="center"/>
          </w:tcPr>
          <w:p w14:paraId="04063C1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制度执行有效性</w:t>
            </w:r>
          </w:p>
        </w:tc>
        <w:tc>
          <w:tcPr>
            <w:tcW w:w="898" w:type="dxa"/>
            <w:tcBorders>
              <w:tl2br w:val="nil"/>
              <w:tr2bl w:val="nil"/>
            </w:tcBorders>
            <w:shd w:val="clear" w:color="000000" w:fill="FFFFFF"/>
            <w:vAlign w:val="center"/>
          </w:tcPr>
          <w:p w14:paraId="7831FBF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000000" w:fill="FFFFFF"/>
            <w:vAlign w:val="center"/>
          </w:tcPr>
          <w:p w14:paraId="4A3C4AA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1039" w:type="dxa"/>
            <w:tcBorders>
              <w:tl2br w:val="nil"/>
              <w:tr2bl w:val="nil"/>
            </w:tcBorders>
            <w:shd w:val="clear" w:color="000000" w:fill="FFFFFF"/>
            <w:vAlign w:val="center"/>
          </w:tcPr>
          <w:p w14:paraId="48F7468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30F0B23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8" w:hRule="atLeast"/>
          <w:jc w:val="center"/>
        </w:trPr>
        <w:tc>
          <w:tcPr>
            <w:tcW w:w="1550" w:type="dxa"/>
            <w:vMerge w:val="restart"/>
            <w:tcBorders>
              <w:tl2br w:val="nil"/>
              <w:tr2bl w:val="nil"/>
            </w:tcBorders>
            <w:shd w:val="clear" w:color="auto" w:fill="FFFFFF"/>
            <w:vAlign w:val="center"/>
          </w:tcPr>
          <w:p w14:paraId="7FB8C37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w:t>
            </w:r>
          </w:p>
        </w:tc>
        <w:tc>
          <w:tcPr>
            <w:tcW w:w="1821" w:type="dxa"/>
            <w:vMerge w:val="restart"/>
            <w:tcBorders>
              <w:tl2br w:val="nil"/>
              <w:tr2bl w:val="nil"/>
            </w:tcBorders>
            <w:shd w:val="clear" w:color="auto" w:fill="FFFFFF"/>
            <w:vAlign w:val="center"/>
          </w:tcPr>
          <w:p w14:paraId="2FD12B6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产出数量</w:t>
            </w:r>
          </w:p>
        </w:tc>
        <w:tc>
          <w:tcPr>
            <w:tcW w:w="2856" w:type="dxa"/>
            <w:tcBorders>
              <w:tl2br w:val="nil"/>
              <w:tr2bl w:val="nil"/>
            </w:tcBorders>
            <w:shd w:val="clear" w:color="auto" w:fill="FFFFFF"/>
            <w:vAlign w:val="center"/>
          </w:tcPr>
          <w:p w14:paraId="2D1D58F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电梯定期维保次数</w:t>
            </w:r>
          </w:p>
        </w:tc>
        <w:tc>
          <w:tcPr>
            <w:tcW w:w="898" w:type="dxa"/>
            <w:tcBorders>
              <w:tl2br w:val="nil"/>
              <w:tr2bl w:val="nil"/>
            </w:tcBorders>
            <w:shd w:val="clear" w:color="000000" w:fill="FFFFFF"/>
            <w:vAlign w:val="center"/>
          </w:tcPr>
          <w:p w14:paraId="4EDEFBF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2</w:t>
            </w:r>
          </w:p>
        </w:tc>
        <w:tc>
          <w:tcPr>
            <w:tcW w:w="898" w:type="dxa"/>
            <w:tcBorders>
              <w:tl2br w:val="nil"/>
              <w:tr2bl w:val="nil"/>
            </w:tcBorders>
            <w:shd w:val="clear" w:color="000000" w:fill="FFFFFF"/>
            <w:vAlign w:val="center"/>
          </w:tcPr>
          <w:p w14:paraId="213A74C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2</w:t>
            </w:r>
          </w:p>
        </w:tc>
        <w:tc>
          <w:tcPr>
            <w:tcW w:w="1039" w:type="dxa"/>
            <w:tcBorders>
              <w:tl2br w:val="nil"/>
              <w:tr2bl w:val="nil"/>
            </w:tcBorders>
            <w:shd w:val="clear" w:color="000000" w:fill="FFFFFF"/>
            <w:vAlign w:val="center"/>
          </w:tcPr>
          <w:p w14:paraId="50E535B2">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100%</w:t>
            </w:r>
          </w:p>
        </w:tc>
      </w:tr>
      <w:tr w14:paraId="075503C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14:paraId="292D3AC5">
            <w:pPr>
              <w:widowControl/>
              <w:ind w:firstLine="0" w:firstLineChars="0"/>
              <w:jc w:val="center"/>
              <w:rPr>
                <w:rFonts w:ascii="仿宋_GB2312" w:hAnsi="宋体" w:cs="宋体"/>
                <w:kern w:val="0"/>
                <w:sz w:val="24"/>
                <w:szCs w:val="24"/>
              </w:rPr>
            </w:pPr>
          </w:p>
        </w:tc>
        <w:tc>
          <w:tcPr>
            <w:tcW w:w="1821" w:type="dxa"/>
            <w:vMerge w:val="continue"/>
            <w:tcBorders>
              <w:tl2br w:val="nil"/>
              <w:tr2bl w:val="nil"/>
            </w:tcBorders>
            <w:shd w:val="clear" w:color="auto" w:fill="FFFFFF"/>
            <w:vAlign w:val="center"/>
          </w:tcPr>
          <w:p w14:paraId="764934CD">
            <w:pPr>
              <w:widowControl/>
              <w:ind w:firstLine="0" w:firstLineChars="0"/>
              <w:jc w:val="center"/>
              <w:rPr>
                <w:rFonts w:ascii="仿宋_GB2312" w:hAnsi="宋体" w:cs="宋体"/>
                <w:kern w:val="0"/>
                <w:sz w:val="24"/>
                <w:szCs w:val="24"/>
              </w:rPr>
            </w:pPr>
          </w:p>
        </w:tc>
        <w:tc>
          <w:tcPr>
            <w:tcW w:w="2856" w:type="dxa"/>
            <w:tcBorders>
              <w:tl2br w:val="nil"/>
              <w:tr2bl w:val="nil"/>
            </w:tcBorders>
            <w:shd w:val="clear" w:color="auto" w:fill="FFFFFF"/>
            <w:vAlign w:val="center"/>
          </w:tcPr>
          <w:p w14:paraId="4FC80AA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维修维护设备种类</w:t>
            </w:r>
          </w:p>
        </w:tc>
        <w:tc>
          <w:tcPr>
            <w:tcW w:w="898" w:type="dxa"/>
            <w:tcBorders>
              <w:tl2br w:val="nil"/>
              <w:tr2bl w:val="nil"/>
            </w:tcBorders>
            <w:shd w:val="clear" w:color="000000" w:fill="FFFFFF"/>
            <w:vAlign w:val="center"/>
          </w:tcPr>
          <w:p w14:paraId="143C472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2</w:t>
            </w:r>
          </w:p>
        </w:tc>
        <w:tc>
          <w:tcPr>
            <w:tcW w:w="898" w:type="dxa"/>
            <w:tcBorders>
              <w:tl2br w:val="nil"/>
              <w:tr2bl w:val="nil"/>
            </w:tcBorders>
            <w:shd w:val="clear" w:color="000000" w:fill="FFFFFF"/>
            <w:vAlign w:val="center"/>
          </w:tcPr>
          <w:p w14:paraId="7C6AC21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2</w:t>
            </w:r>
          </w:p>
        </w:tc>
        <w:tc>
          <w:tcPr>
            <w:tcW w:w="1039" w:type="dxa"/>
            <w:tcBorders>
              <w:tl2br w:val="nil"/>
              <w:tr2bl w:val="nil"/>
            </w:tcBorders>
            <w:shd w:val="clear" w:color="000000" w:fill="FFFFFF"/>
            <w:vAlign w:val="center"/>
          </w:tcPr>
          <w:p w14:paraId="0DEF20F3">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100%</w:t>
            </w:r>
          </w:p>
        </w:tc>
      </w:tr>
      <w:tr w14:paraId="7BE7625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11" w:hRule="atLeast"/>
          <w:jc w:val="center"/>
        </w:trPr>
        <w:tc>
          <w:tcPr>
            <w:tcW w:w="1550" w:type="dxa"/>
            <w:vMerge w:val="continue"/>
            <w:tcBorders>
              <w:tl2br w:val="nil"/>
              <w:tr2bl w:val="nil"/>
            </w:tcBorders>
            <w:shd w:val="clear" w:color="auto" w:fill="FFFFFF"/>
            <w:vAlign w:val="center"/>
          </w:tcPr>
          <w:p w14:paraId="7D6DF1B2">
            <w:pPr>
              <w:widowControl/>
              <w:ind w:firstLine="0" w:firstLineChars="0"/>
              <w:jc w:val="center"/>
              <w:rPr>
                <w:rFonts w:ascii="仿宋_GB2312" w:hAnsi="宋体" w:cs="宋体"/>
                <w:kern w:val="0"/>
                <w:sz w:val="24"/>
                <w:szCs w:val="24"/>
              </w:rPr>
            </w:pPr>
          </w:p>
        </w:tc>
        <w:tc>
          <w:tcPr>
            <w:tcW w:w="1821" w:type="dxa"/>
            <w:vMerge w:val="continue"/>
            <w:tcBorders>
              <w:tl2br w:val="nil"/>
              <w:tr2bl w:val="nil"/>
            </w:tcBorders>
            <w:shd w:val="clear" w:color="auto" w:fill="FFFFFF"/>
            <w:vAlign w:val="center"/>
          </w:tcPr>
          <w:p w14:paraId="47B3F46E">
            <w:pPr>
              <w:widowControl/>
              <w:ind w:firstLine="0" w:firstLineChars="0"/>
              <w:jc w:val="center"/>
              <w:rPr>
                <w:rFonts w:ascii="仿宋_GB2312" w:hAnsi="宋体" w:cs="宋体"/>
                <w:kern w:val="0"/>
                <w:sz w:val="24"/>
                <w:szCs w:val="24"/>
              </w:rPr>
            </w:pPr>
          </w:p>
        </w:tc>
        <w:tc>
          <w:tcPr>
            <w:tcW w:w="2856" w:type="dxa"/>
            <w:tcBorders>
              <w:tl2br w:val="nil"/>
              <w:tr2bl w:val="nil"/>
            </w:tcBorders>
            <w:shd w:val="clear" w:color="auto" w:fill="FFFFFF"/>
            <w:vAlign w:val="center"/>
          </w:tcPr>
          <w:p w14:paraId="414A676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采购试剂耗材种类</w:t>
            </w:r>
          </w:p>
        </w:tc>
        <w:tc>
          <w:tcPr>
            <w:tcW w:w="898" w:type="dxa"/>
            <w:tcBorders>
              <w:tl2br w:val="nil"/>
              <w:tr2bl w:val="nil"/>
            </w:tcBorders>
            <w:shd w:val="clear" w:color="000000" w:fill="FFFFFF"/>
            <w:vAlign w:val="center"/>
          </w:tcPr>
          <w:p w14:paraId="6BE3BF9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2</w:t>
            </w:r>
          </w:p>
        </w:tc>
        <w:tc>
          <w:tcPr>
            <w:tcW w:w="898" w:type="dxa"/>
            <w:tcBorders>
              <w:tl2br w:val="nil"/>
              <w:tr2bl w:val="nil"/>
            </w:tcBorders>
            <w:shd w:val="clear" w:color="000000" w:fill="FFFFFF"/>
            <w:vAlign w:val="center"/>
          </w:tcPr>
          <w:p w14:paraId="00BE757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2</w:t>
            </w:r>
          </w:p>
        </w:tc>
        <w:tc>
          <w:tcPr>
            <w:tcW w:w="1039" w:type="dxa"/>
            <w:tcBorders>
              <w:tl2br w:val="nil"/>
              <w:tr2bl w:val="nil"/>
            </w:tcBorders>
            <w:shd w:val="clear" w:color="000000" w:fill="FFFFFF"/>
            <w:vAlign w:val="center"/>
          </w:tcPr>
          <w:p w14:paraId="19D39B41">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100%</w:t>
            </w:r>
          </w:p>
        </w:tc>
      </w:tr>
      <w:tr w14:paraId="340EA41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11" w:hRule="atLeast"/>
          <w:jc w:val="center"/>
        </w:trPr>
        <w:tc>
          <w:tcPr>
            <w:tcW w:w="1550" w:type="dxa"/>
            <w:vMerge w:val="continue"/>
            <w:tcBorders>
              <w:tl2br w:val="nil"/>
              <w:tr2bl w:val="nil"/>
            </w:tcBorders>
            <w:shd w:val="clear" w:color="auto" w:fill="FFFFFF"/>
            <w:vAlign w:val="center"/>
          </w:tcPr>
          <w:p w14:paraId="5B440011">
            <w:pPr>
              <w:widowControl/>
              <w:ind w:firstLine="0" w:firstLineChars="0"/>
              <w:jc w:val="center"/>
            </w:pPr>
          </w:p>
        </w:tc>
        <w:tc>
          <w:tcPr>
            <w:tcW w:w="1821" w:type="dxa"/>
            <w:vMerge w:val="continue"/>
            <w:tcBorders>
              <w:tl2br w:val="nil"/>
              <w:tr2bl w:val="nil"/>
            </w:tcBorders>
            <w:shd w:val="clear" w:color="auto" w:fill="FFFFFF"/>
            <w:vAlign w:val="center"/>
          </w:tcPr>
          <w:p w14:paraId="678F0F2A">
            <w:pPr>
              <w:widowControl/>
              <w:ind w:firstLine="0" w:firstLineChars="0"/>
              <w:jc w:val="center"/>
            </w:pPr>
          </w:p>
        </w:tc>
        <w:tc>
          <w:tcPr>
            <w:tcW w:w="2856" w:type="dxa"/>
            <w:tcBorders>
              <w:tl2br w:val="nil"/>
              <w:tr2bl w:val="nil"/>
            </w:tcBorders>
            <w:shd w:val="clear" w:color="auto" w:fill="FFFFFF"/>
            <w:vAlign w:val="center"/>
          </w:tcPr>
          <w:p w14:paraId="100B811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临聘人员数量</w:t>
            </w:r>
          </w:p>
        </w:tc>
        <w:tc>
          <w:tcPr>
            <w:tcW w:w="898" w:type="dxa"/>
            <w:tcBorders>
              <w:tl2br w:val="nil"/>
              <w:tr2bl w:val="nil"/>
            </w:tcBorders>
            <w:shd w:val="clear" w:color="000000" w:fill="FFFFFF"/>
            <w:vAlign w:val="center"/>
          </w:tcPr>
          <w:p w14:paraId="5F28675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2</w:t>
            </w:r>
          </w:p>
        </w:tc>
        <w:tc>
          <w:tcPr>
            <w:tcW w:w="898" w:type="dxa"/>
            <w:tcBorders>
              <w:tl2br w:val="nil"/>
              <w:tr2bl w:val="nil"/>
            </w:tcBorders>
            <w:shd w:val="clear" w:color="000000" w:fill="FFFFFF"/>
            <w:vAlign w:val="center"/>
          </w:tcPr>
          <w:p w14:paraId="1A75CAEF">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2</w:t>
            </w:r>
          </w:p>
        </w:tc>
        <w:tc>
          <w:tcPr>
            <w:tcW w:w="1039" w:type="dxa"/>
            <w:tcBorders>
              <w:tl2br w:val="nil"/>
              <w:tr2bl w:val="nil"/>
            </w:tcBorders>
            <w:shd w:val="clear" w:color="000000" w:fill="FFFFFF"/>
            <w:vAlign w:val="center"/>
          </w:tcPr>
          <w:p w14:paraId="71C8B37A">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100%</w:t>
            </w:r>
          </w:p>
        </w:tc>
      </w:tr>
      <w:tr w14:paraId="6F341A4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50F75B81">
            <w:pPr>
              <w:widowControl/>
              <w:ind w:firstLine="0" w:firstLineChars="0"/>
              <w:jc w:val="center"/>
              <w:rPr>
                <w:rFonts w:ascii="仿宋_GB2312" w:hAnsi="宋体" w:cs="宋体"/>
                <w:kern w:val="0"/>
                <w:sz w:val="24"/>
                <w:szCs w:val="24"/>
              </w:rPr>
            </w:pPr>
          </w:p>
        </w:tc>
        <w:tc>
          <w:tcPr>
            <w:tcW w:w="1821" w:type="dxa"/>
            <w:tcBorders>
              <w:tl2br w:val="nil"/>
              <w:tr2bl w:val="nil"/>
            </w:tcBorders>
            <w:shd w:val="clear" w:color="auto" w:fill="FFFFFF"/>
            <w:vAlign w:val="center"/>
          </w:tcPr>
          <w:p w14:paraId="1273807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产出质量</w:t>
            </w:r>
          </w:p>
        </w:tc>
        <w:tc>
          <w:tcPr>
            <w:tcW w:w="2856" w:type="dxa"/>
            <w:tcBorders>
              <w:tl2br w:val="nil"/>
              <w:tr2bl w:val="nil"/>
            </w:tcBorders>
            <w:shd w:val="clear" w:color="auto" w:fill="FFFFFF"/>
            <w:vAlign w:val="center"/>
          </w:tcPr>
          <w:p w14:paraId="3E8E508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一次性验收合格率</w:t>
            </w:r>
          </w:p>
        </w:tc>
        <w:tc>
          <w:tcPr>
            <w:tcW w:w="898" w:type="dxa"/>
            <w:tcBorders>
              <w:tl2br w:val="nil"/>
              <w:tr2bl w:val="nil"/>
            </w:tcBorders>
            <w:shd w:val="clear" w:color="000000" w:fill="FFFFFF"/>
            <w:vAlign w:val="center"/>
          </w:tcPr>
          <w:p w14:paraId="6CB7092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898" w:type="dxa"/>
            <w:tcBorders>
              <w:tl2br w:val="nil"/>
              <w:tr2bl w:val="nil"/>
            </w:tcBorders>
            <w:shd w:val="clear" w:color="000000" w:fill="FFFFFF"/>
            <w:vAlign w:val="center"/>
          </w:tcPr>
          <w:p w14:paraId="7C52735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1039" w:type="dxa"/>
            <w:tcBorders>
              <w:tl2br w:val="nil"/>
              <w:tr2bl w:val="nil"/>
            </w:tcBorders>
            <w:shd w:val="clear" w:color="000000" w:fill="FFFFFF"/>
            <w:vAlign w:val="center"/>
          </w:tcPr>
          <w:p w14:paraId="682AFAF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63CDD80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39" w:hRule="atLeast"/>
          <w:jc w:val="center"/>
        </w:trPr>
        <w:tc>
          <w:tcPr>
            <w:tcW w:w="1550" w:type="dxa"/>
            <w:vMerge w:val="continue"/>
            <w:tcBorders>
              <w:tl2br w:val="nil"/>
              <w:tr2bl w:val="nil"/>
            </w:tcBorders>
            <w:shd w:val="clear" w:color="auto" w:fill="FFFFFF"/>
            <w:vAlign w:val="center"/>
          </w:tcPr>
          <w:p w14:paraId="79CF6C2B">
            <w:pPr>
              <w:ind w:firstLine="0" w:firstLineChars="0"/>
              <w:jc w:val="center"/>
              <w:rPr>
                <w:rFonts w:ascii="仿宋_GB2312" w:hAnsi="宋体" w:cs="宋体"/>
                <w:kern w:val="0"/>
                <w:sz w:val="24"/>
                <w:szCs w:val="24"/>
              </w:rPr>
            </w:pPr>
          </w:p>
        </w:tc>
        <w:tc>
          <w:tcPr>
            <w:tcW w:w="1821" w:type="dxa"/>
            <w:tcBorders>
              <w:tl2br w:val="nil"/>
              <w:tr2bl w:val="nil"/>
            </w:tcBorders>
            <w:shd w:val="clear" w:color="auto" w:fill="FFFFFF"/>
            <w:vAlign w:val="center"/>
          </w:tcPr>
          <w:p w14:paraId="0494B301">
            <w:pPr>
              <w:ind w:firstLine="0" w:firstLineChars="0"/>
              <w:jc w:val="center"/>
              <w:rPr>
                <w:rFonts w:ascii="仿宋_GB2312" w:hAnsi="宋体" w:cs="宋体"/>
                <w:kern w:val="0"/>
                <w:sz w:val="24"/>
                <w:szCs w:val="24"/>
              </w:rPr>
            </w:pPr>
            <w:r>
              <w:rPr>
                <w:rFonts w:hint="eastAsia" w:ascii="仿宋_GB2312" w:hAnsi="宋体" w:cs="宋体"/>
                <w:kern w:val="0"/>
                <w:sz w:val="24"/>
                <w:szCs w:val="24"/>
              </w:rPr>
              <w:t>产出时效</w:t>
            </w:r>
          </w:p>
        </w:tc>
        <w:tc>
          <w:tcPr>
            <w:tcW w:w="2856" w:type="dxa"/>
            <w:tcBorders>
              <w:tl2br w:val="nil"/>
              <w:tr2bl w:val="nil"/>
            </w:tcBorders>
            <w:shd w:val="clear" w:color="auto" w:fill="FFFFFF"/>
            <w:vAlign w:val="center"/>
          </w:tcPr>
          <w:p w14:paraId="3746E9D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预算拨付后完成采购时间</w:t>
            </w:r>
          </w:p>
        </w:tc>
        <w:tc>
          <w:tcPr>
            <w:tcW w:w="898" w:type="dxa"/>
            <w:tcBorders>
              <w:tl2br w:val="nil"/>
              <w:tr2bl w:val="nil"/>
            </w:tcBorders>
            <w:shd w:val="clear" w:color="000000" w:fill="FFFFFF"/>
            <w:vAlign w:val="center"/>
          </w:tcPr>
          <w:p w14:paraId="1D39FAC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898" w:type="dxa"/>
            <w:tcBorders>
              <w:tl2br w:val="nil"/>
              <w:tr2bl w:val="nil"/>
            </w:tcBorders>
            <w:shd w:val="clear" w:color="000000" w:fill="FFFFFF"/>
            <w:vAlign w:val="center"/>
          </w:tcPr>
          <w:p w14:paraId="639DC22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1039" w:type="dxa"/>
            <w:tcBorders>
              <w:tl2br w:val="nil"/>
              <w:tr2bl w:val="nil"/>
            </w:tcBorders>
            <w:shd w:val="clear" w:color="000000" w:fill="FFFFFF"/>
            <w:vAlign w:val="center"/>
          </w:tcPr>
          <w:p w14:paraId="3D3BBCD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47994F5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0" w:hRule="atLeast"/>
          <w:jc w:val="center"/>
        </w:trPr>
        <w:tc>
          <w:tcPr>
            <w:tcW w:w="1550" w:type="dxa"/>
            <w:vMerge w:val="continue"/>
            <w:tcBorders>
              <w:tl2br w:val="nil"/>
              <w:tr2bl w:val="nil"/>
            </w:tcBorders>
            <w:shd w:val="clear" w:color="auto" w:fill="FFFFFF"/>
            <w:vAlign w:val="center"/>
          </w:tcPr>
          <w:p w14:paraId="7B7A6161">
            <w:pPr>
              <w:widowControl/>
              <w:ind w:firstLine="0" w:firstLineChars="0"/>
              <w:jc w:val="center"/>
              <w:rPr>
                <w:rFonts w:ascii="仿宋_GB2312" w:hAnsi="宋体" w:cs="宋体"/>
                <w:kern w:val="0"/>
                <w:sz w:val="24"/>
                <w:szCs w:val="24"/>
              </w:rPr>
            </w:pPr>
          </w:p>
        </w:tc>
        <w:tc>
          <w:tcPr>
            <w:tcW w:w="1821" w:type="dxa"/>
            <w:vMerge w:val="restart"/>
            <w:tcBorders>
              <w:tl2br w:val="nil"/>
              <w:tr2bl w:val="nil"/>
            </w:tcBorders>
            <w:shd w:val="clear" w:color="auto" w:fill="FFFFFF"/>
            <w:vAlign w:val="center"/>
          </w:tcPr>
          <w:p w14:paraId="7E2B6EF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产出成本</w:t>
            </w:r>
          </w:p>
        </w:tc>
        <w:tc>
          <w:tcPr>
            <w:tcW w:w="2856" w:type="dxa"/>
            <w:tcBorders>
              <w:tl2br w:val="nil"/>
              <w:tr2bl w:val="nil"/>
            </w:tcBorders>
            <w:shd w:val="clear" w:color="auto" w:fill="FFFFFF"/>
            <w:vAlign w:val="center"/>
          </w:tcPr>
          <w:p w14:paraId="6735DAA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支付电费</w:t>
            </w:r>
          </w:p>
        </w:tc>
        <w:tc>
          <w:tcPr>
            <w:tcW w:w="898" w:type="dxa"/>
            <w:tcBorders>
              <w:tl2br w:val="nil"/>
              <w:tr2bl w:val="nil"/>
            </w:tcBorders>
            <w:shd w:val="clear" w:color="000000" w:fill="FFFFFF"/>
            <w:vAlign w:val="center"/>
          </w:tcPr>
          <w:p w14:paraId="5ED40B1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2</w:t>
            </w:r>
          </w:p>
        </w:tc>
        <w:tc>
          <w:tcPr>
            <w:tcW w:w="898" w:type="dxa"/>
            <w:tcBorders>
              <w:tl2br w:val="nil"/>
              <w:tr2bl w:val="nil"/>
            </w:tcBorders>
            <w:shd w:val="clear" w:color="000000" w:fill="FFFFFF"/>
            <w:vAlign w:val="center"/>
          </w:tcPr>
          <w:p w14:paraId="1725A3C1">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2</w:t>
            </w:r>
          </w:p>
        </w:tc>
        <w:tc>
          <w:tcPr>
            <w:tcW w:w="1039" w:type="dxa"/>
            <w:tcBorders>
              <w:tl2br w:val="nil"/>
              <w:tr2bl w:val="nil"/>
            </w:tcBorders>
            <w:shd w:val="clear" w:color="000000" w:fill="FFFFFF"/>
            <w:vAlign w:val="center"/>
          </w:tcPr>
          <w:p w14:paraId="4E1EE26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55E2249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0" w:hRule="atLeast"/>
          <w:jc w:val="center"/>
        </w:trPr>
        <w:tc>
          <w:tcPr>
            <w:tcW w:w="1550" w:type="dxa"/>
            <w:vMerge w:val="continue"/>
            <w:tcBorders>
              <w:tl2br w:val="nil"/>
              <w:tr2bl w:val="nil"/>
            </w:tcBorders>
            <w:shd w:val="clear" w:color="auto" w:fill="FFFFFF"/>
            <w:vAlign w:val="center"/>
          </w:tcPr>
          <w:p w14:paraId="11B22999">
            <w:pPr>
              <w:widowControl/>
              <w:ind w:firstLine="0" w:firstLineChars="0"/>
              <w:jc w:val="center"/>
            </w:pPr>
          </w:p>
        </w:tc>
        <w:tc>
          <w:tcPr>
            <w:tcW w:w="1821" w:type="dxa"/>
            <w:vMerge w:val="continue"/>
            <w:tcBorders>
              <w:tl2br w:val="nil"/>
              <w:tr2bl w:val="nil"/>
            </w:tcBorders>
            <w:shd w:val="clear" w:color="auto" w:fill="FFFFFF"/>
            <w:vAlign w:val="center"/>
          </w:tcPr>
          <w:p w14:paraId="67455980">
            <w:pPr>
              <w:widowControl/>
              <w:ind w:firstLine="0" w:firstLineChars="0"/>
              <w:jc w:val="center"/>
            </w:pPr>
          </w:p>
        </w:tc>
        <w:tc>
          <w:tcPr>
            <w:tcW w:w="2856" w:type="dxa"/>
            <w:tcBorders>
              <w:tl2br w:val="nil"/>
              <w:tr2bl w:val="nil"/>
            </w:tcBorders>
            <w:shd w:val="clear" w:color="auto" w:fill="FFFFFF"/>
            <w:vAlign w:val="center"/>
          </w:tcPr>
          <w:p w14:paraId="28D469C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支付设备维修、电梯维修维保等费用</w:t>
            </w:r>
          </w:p>
        </w:tc>
        <w:tc>
          <w:tcPr>
            <w:tcW w:w="898" w:type="dxa"/>
            <w:tcBorders>
              <w:tl2br w:val="nil"/>
              <w:tr2bl w:val="nil"/>
            </w:tcBorders>
            <w:shd w:val="clear" w:color="000000" w:fill="FFFFFF"/>
            <w:vAlign w:val="center"/>
          </w:tcPr>
          <w:p w14:paraId="5B529DF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2</w:t>
            </w:r>
          </w:p>
        </w:tc>
        <w:tc>
          <w:tcPr>
            <w:tcW w:w="898" w:type="dxa"/>
            <w:tcBorders>
              <w:tl2br w:val="nil"/>
              <w:tr2bl w:val="nil"/>
            </w:tcBorders>
            <w:shd w:val="clear" w:color="000000" w:fill="FFFFFF"/>
            <w:vAlign w:val="center"/>
          </w:tcPr>
          <w:p w14:paraId="26B478C3">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1.75</w:t>
            </w:r>
          </w:p>
        </w:tc>
        <w:tc>
          <w:tcPr>
            <w:tcW w:w="1039" w:type="dxa"/>
            <w:tcBorders>
              <w:tl2br w:val="nil"/>
              <w:tr2bl w:val="nil"/>
            </w:tcBorders>
            <w:shd w:val="clear" w:color="000000" w:fill="FFFFFF"/>
            <w:vAlign w:val="center"/>
          </w:tcPr>
          <w:p w14:paraId="1F16DA0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87.5%</w:t>
            </w:r>
          </w:p>
        </w:tc>
      </w:tr>
      <w:tr w14:paraId="2A274BB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0" w:hRule="atLeast"/>
          <w:jc w:val="center"/>
        </w:trPr>
        <w:tc>
          <w:tcPr>
            <w:tcW w:w="1550" w:type="dxa"/>
            <w:vMerge w:val="continue"/>
            <w:tcBorders>
              <w:tl2br w:val="nil"/>
              <w:tr2bl w:val="nil"/>
            </w:tcBorders>
            <w:shd w:val="clear" w:color="auto" w:fill="FFFFFF"/>
            <w:vAlign w:val="center"/>
          </w:tcPr>
          <w:p w14:paraId="56635F0E">
            <w:pPr>
              <w:widowControl/>
              <w:ind w:firstLine="0" w:firstLineChars="0"/>
              <w:jc w:val="center"/>
              <w:rPr>
                <w:rFonts w:ascii="宋体" w:hAnsi="宋体" w:eastAsia="宋体" w:cs="宋体"/>
                <w:color w:val="000000"/>
                <w:kern w:val="0"/>
                <w:sz w:val="22"/>
              </w:rPr>
            </w:pPr>
          </w:p>
        </w:tc>
        <w:tc>
          <w:tcPr>
            <w:tcW w:w="1821" w:type="dxa"/>
            <w:vMerge w:val="continue"/>
            <w:tcBorders>
              <w:tl2br w:val="nil"/>
              <w:tr2bl w:val="nil"/>
            </w:tcBorders>
            <w:shd w:val="clear" w:color="auto" w:fill="FFFFFF"/>
            <w:vAlign w:val="center"/>
          </w:tcPr>
          <w:p w14:paraId="5318FA80">
            <w:pPr>
              <w:widowControl/>
              <w:ind w:firstLine="0" w:firstLineChars="0"/>
              <w:jc w:val="center"/>
              <w:rPr>
                <w:rFonts w:ascii="宋体" w:hAnsi="宋体" w:eastAsia="宋体" w:cs="宋体"/>
                <w:color w:val="000000"/>
                <w:kern w:val="0"/>
                <w:sz w:val="22"/>
              </w:rPr>
            </w:pPr>
          </w:p>
        </w:tc>
        <w:tc>
          <w:tcPr>
            <w:tcW w:w="2856" w:type="dxa"/>
            <w:tcBorders>
              <w:tl2br w:val="nil"/>
              <w:tr2bl w:val="nil"/>
            </w:tcBorders>
            <w:shd w:val="clear" w:color="auto" w:fill="FFFFFF"/>
            <w:vAlign w:val="center"/>
          </w:tcPr>
          <w:p w14:paraId="2310273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支付试剂耗材及外调血费</w:t>
            </w:r>
          </w:p>
        </w:tc>
        <w:tc>
          <w:tcPr>
            <w:tcW w:w="898" w:type="dxa"/>
            <w:tcBorders>
              <w:tl2br w:val="nil"/>
              <w:tr2bl w:val="nil"/>
            </w:tcBorders>
            <w:shd w:val="clear" w:color="000000" w:fill="FFFFFF"/>
            <w:vAlign w:val="center"/>
          </w:tcPr>
          <w:p w14:paraId="01C4DF6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2</w:t>
            </w:r>
          </w:p>
        </w:tc>
        <w:tc>
          <w:tcPr>
            <w:tcW w:w="898" w:type="dxa"/>
            <w:tcBorders>
              <w:tl2br w:val="nil"/>
              <w:tr2bl w:val="nil"/>
            </w:tcBorders>
            <w:shd w:val="clear" w:color="000000" w:fill="FFFFFF"/>
            <w:vAlign w:val="center"/>
          </w:tcPr>
          <w:p w14:paraId="5FFF49F8">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2</w:t>
            </w:r>
          </w:p>
        </w:tc>
        <w:tc>
          <w:tcPr>
            <w:tcW w:w="1039" w:type="dxa"/>
            <w:tcBorders>
              <w:tl2br w:val="nil"/>
              <w:tr2bl w:val="nil"/>
            </w:tcBorders>
            <w:shd w:val="clear" w:color="000000" w:fill="FFFFFF"/>
            <w:vAlign w:val="center"/>
          </w:tcPr>
          <w:p w14:paraId="144D6AD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223A979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0" w:hRule="atLeast"/>
          <w:jc w:val="center"/>
        </w:trPr>
        <w:tc>
          <w:tcPr>
            <w:tcW w:w="1550" w:type="dxa"/>
            <w:vMerge w:val="continue"/>
            <w:tcBorders>
              <w:tl2br w:val="nil"/>
              <w:tr2bl w:val="nil"/>
            </w:tcBorders>
            <w:shd w:val="clear" w:color="auto" w:fill="FFFFFF"/>
            <w:vAlign w:val="center"/>
          </w:tcPr>
          <w:p w14:paraId="56175A00">
            <w:pPr>
              <w:widowControl/>
              <w:ind w:firstLine="0" w:firstLineChars="0"/>
              <w:jc w:val="center"/>
              <w:rPr>
                <w:rFonts w:ascii="宋体" w:hAnsi="宋体" w:eastAsia="宋体" w:cs="宋体"/>
                <w:color w:val="000000"/>
                <w:kern w:val="0"/>
                <w:sz w:val="22"/>
              </w:rPr>
            </w:pPr>
          </w:p>
        </w:tc>
        <w:tc>
          <w:tcPr>
            <w:tcW w:w="1821" w:type="dxa"/>
            <w:vMerge w:val="continue"/>
            <w:tcBorders>
              <w:tl2br w:val="nil"/>
              <w:tr2bl w:val="nil"/>
            </w:tcBorders>
            <w:shd w:val="clear" w:color="auto" w:fill="FFFFFF"/>
            <w:vAlign w:val="center"/>
          </w:tcPr>
          <w:p w14:paraId="093DBA93">
            <w:pPr>
              <w:widowControl/>
              <w:ind w:firstLine="0" w:firstLineChars="0"/>
              <w:jc w:val="center"/>
              <w:rPr>
                <w:rFonts w:ascii="宋体" w:hAnsi="宋体" w:eastAsia="宋体" w:cs="宋体"/>
                <w:color w:val="000000"/>
                <w:kern w:val="0"/>
                <w:sz w:val="22"/>
              </w:rPr>
            </w:pPr>
          </w:p>
        </w:tc>
        <w:tc>
          <w:tcPr>
            <w:tcW w:w="2856" w:type="dxa"/>
            <w:tcBorders>
              <w:tl2br w:val="nil"/>
              <w:tr2bl w:val="nil"/>
            </w:tcBorders>
            <w:shd w:val="clear" w:color="auto" w:fill="FFFFFF"/>
            <w:vAlign w:val="center"/>
          </w:tcPr>
          <w:p w14:paraId="2837218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支付聘用人员劳务费</w:t>
            </w:r>
          </w:p>
        </w:tc>
        <w:tc>
          <w:tcPr>
            <w:tcW w:w="898" w:type="dxa"/>
            <w:tcBorders>
              <w:tl2br w:val="nil"/>
              <w:tr2bl w:val="nil"/>
            </w:tcBorders>
            <w:shd w:val="clear" w:color="000000" w:fill="FFFFFF"/>
            <w:vAlign w:val="center"/>
          </w:tcPr>
          <w:p w14:paraId="35D885F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2</w:t>
            </w:r>
          </w:p>
        </w:tc>
        <w:tc>
          <w:tcPr>
            <w:tcW w:w="898" w:type="dxa"/>
            <w:tcBorders>
              <w:tl2br w:val="nil"/>
              <w:tr2bl w:val="nil"/>
            </w:tcBorders>
            <w:shd w:val="clear" w:color="000000" w:fill="FFFFFF"/>
            <w:vAlign w:val="center"/>
          </w:tcPr>
          <w:p w14:paraId="39FF0054">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2</w:t>
            </w:r>
          </w:p>
        </w:tc>
        <w:tc>
          <w:tcPr>
            <w:tcW w:w="1039" w:type="dxa"/>
            <w:tcBorders>
              <w:tl2br w:val="nil"/>
              <w:tr2bl w:val="nil"/>
            </w:tcBorders>
            <w:shd w:val="clear" w:color="000000" w:fill="FFFFFF"/>
            <w:vAlign w:val="center"/>
          </w:tcPr>
          <w:p w14:paraId="00A7EC6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655C820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0" w:hRule="atLeast"/>
          <w:jc w:val="center"/>
        </w:trPr>
        <w:tc>
          <w:tcPr>
            <w:tcW w:w="1550" w:type="dxa"/>
            <w:vMerge w:val="continue"/>
            <w:tcBorders>
              <w:tl2br w:val="nil"/>
              <w:tr2bl w:val="nil"/>
            </w:tcBorders>
            <w:shd w:val="clear" w:color="auto" w:fill="FFFFFF"/>
            <w:vAlign w:val="center"/>
          </w:tcPr>
          <w:p w14:paraId="5D697861">
            <w:pPr>
              <w:widowControl/>
              <w:ind w:firstLine="0" w:firstLineChars="0"/>
              <w:jc w:val="center"/>
              <w:rPr>
                <w:rFonts w:ascii="宋体" w:hAnsi="宋体" w:eastAsia="宋体" w:cs="宋体"/>
                <w:color w:val="000000"/>
                <w:kern w:val="0"/>
                <w:sz w:val="22"/>
              </w:rPr>
            </w:pPr>
          </w:p>
        </w:tc>
        <w:tc>
          <w:tcPr>
            <w:tcW w:w="1821" w:type="dxa"/>
            <w:vMerge w:val="continue"/>
            <w:tcBorders>
              <w:tl2br w:val="nil"/>
              <w:tr2bl w:val="nil"/>
            </w:tcBorders>
            <w:shd w:val="clear" w:color="auto" w:fill="FFFFFF"/>
            <w:vAlign w:val="center"/>
          </w:tcPr>
          <w:p w14:paraId="60F0C214">
            <w:pPr>
              <w:widowControl/>
              <w:ind w:firstLine="0" w:firstLineChars="0"/>
              <w:jc w:val="center"/>
              <w:rPr>
                <w:rFonts w:ascii="宋体" w:hAnsi="宋体" w:eastAsia="宋体" w:cs="宋体"/>
                <w:color w:val="000000"/>
                <w:kern w:val="0"/>
                <w:sz w:val="22"/>
              </w:rPr>
            </w:pPr>
          </w:p>
        </w:tc>
        <w:tc>
          <w:tcPr>
            <w:tcW w:w="2856" w:type="dxa"/>
            <w:tcBorders>
              <w:tl2br w:val="nil"/>
              <w:tr2bl w:val="nil"/>
            </w:tcBorders>
            <w:shd w:val="clear" w:color="auto" w:fill="FFFFFF"/>
            <w:vAlign w:val="center"/>
          </w:tcPr>
          <w:p w14:paraId="16709E2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支付献血者交通补贴、血费报销、医院奖励金等</w:t>
            </w:r>
          </w:p>
        </w:tc>
        <w:tc>
          <w:tcPr>
            <w:tcW w:w="898" w:type="dxa"/>
            <w:tcBorders>
              <w:tl2br w:val="nil"/>
              <w:tr2bl w:val="nil"/>
            </w:tcBorders>
            <w:shd w:val="clear" w:color="000000" w:fill="FFFFFF"/>
            <w:vAlign w:val="center"/>
          </w:tcPr>
          <w:p w14:paraId="7F75AF3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2</w:t>
            </w:r>
          </w:p>
        </w:tc>
        <w:tc>
          <w:tcPr>
            <w:tcW w:w="898" w:type="dxa"/>
            <w:tcBorders>
              <w:tl2br w:val="nil"/>
              <w:tr2bl w:val="nil"/>
            </w:tcBorders>
            <w:shd w:val="clear" w:color="000000" w:fill="FFFFFF"/>
            <w:vAlign w:val="center"/>
          </w:tcPr>
          <w:p w14:paraId="5393CE94">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1.99</w:t>
            </w:r>
          </w:p>
        </w:tc>
        <w:tc>
          <w:tcPr>
            <w:tcW w:w="1039" w:type="dxa"/>
            <w:tcBorders>
              <w:tl2br w:val="nil"/>
              <w:tr2bl w:val="nil"/>
            </w:tcBorders>
            <w:shd w:val="clear" w:color="000000" w:fill="FFFFFF"/>
            <w:vAlign w:val="center"/>
          </w:tcPr>
          <w:p w14:paraId="326DC15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99.5%</w:t>
            </w:r>
          </w:p>
        </w:tc>
      </w:tr>
      <w:tr w14:paraId="203F2D2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0" w:hRule="atLeast"/>
          <w:jc w:val="center"/>
        </w:trPr>
        <w:tc>
          <w:tcPr>
            <w:tcW w:w="1550" w:type="dxa"/>
            <w:vMerge w:val="continue"/>
            <w:tcBorders>
              <w:tl2br w:val="nil"/>
              <w:tr2bl w:val="nil"/>
            </w:tcBorders>
            <w:shd w:val="clear" w:color="auto" w:fill="FFFFFF"/>
            <w:vAlign w:val="center"/>
          </w:tcPr>
          <w:p w14:paraId="3F7775E7">
            <w:pPr>
              <w:widowControl/>
              <w:ind w:firstLine="0" w:firstLineChars="0"/>
              <w:jc w:val="center"/>
              <w:rPr>
                <w:rFonts w:ascii="宋体" w:hAnsi="宋体" w:eastAsia="宋体" w:cs="宋体"/>
                <w:color w:val="000000"/>
                <w:kern w:val="0"/>
                <w:sz w:val="22"/>
              </w:rPr>
            </w:pPr>
          </w:p>
        </w:tc>
        <w:tc>
          <w:tcPr>
            <w:tcW w:w="1821" w:type="dxa"/>
            <w:vMerge w:val="continue"/>
            <w:tcBorders>
              <w:tl2br w:val="nil"/>
              <w:tr2bl w:val="nil"/>
            </w:tcBorders>
            <w:shd w:val="clear" w:color="auto" w:fill="FFFFFF"/>
            <w:vAlign w:val="center"/>
          </w:tcPr>
          <w:p w14:paraId="6BBF98EB">
            <w:pPr>
              <w:widowControl/>
              <w:ind w:firstLine="0" w:firstLineChars="0"/>
              <w:jc w:val="center"/>
              <w:rPr>
                <w:rFonts w:ascii="宋体" w:hAnsi="宋体" w:eastAsia="宋体" w:cs="宋体"/>
                <w:color w:val="000000"/>
                <w:kern w:val="0"/>
                <w:sz w:val="22"/>
              </w:rPr>
            </w:pPr>
          </w:p>
        </w:tc>
        <w:tc>
          <w:tcPr>
            <w:tcW w:w="2856" w:type="dxa"/>
            <w:tcBorders>
              <w:tl2br w:val="nil"/>
              <w:tr2bl w:val="nil"/>
            </w:tcBorders>
            <w:shd w:val="clear" w:color="auto" w:fill="FFFFFF"/>
            <w:vAlign w:val="center"/>
          </w:tcPr>
          <w:p w14:paraId="4E5E34D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支付献血者活动经费、水票、污水处理等费用</w:t>
            </w:r>
          </w:p>
        </w:tc>
        <w:tc>
          <w:tcPr>
            <w:tcW w:w="898" w:type="dxa"/>
            <w:tcBorders>
              <w:tl2br w:val="nil"/>
              <w:tr2bl w:val="nil"/>
            </w:tcBorders>
            <w:shd w:val="clear" w:color="000000" w:fill="FFFFFF"/>
            <w:vAlign w:val="center"/>
          </w:tcPr>
          <w:p w14:paraId="1268E3B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2</w:t>
            </w:r>
          </w:p>
        </w:tc>
        <w:tc>
          <w:tcPr>
            <w:tcW w:w="898" w:type="dxa"/>
            <w:tcBorders>
              <w:tl2br w:val="nil"/>
              <w:tr2bl w:val="nil"/>
            </w:tcBorders>
            <w:shd w:val="clear" w:color="000000" w:fill="FFFFFF"/>
            <w:vAlign w:val="center"/>
          </w:tcPr>
          <w:p w14:paraId="22ADCD2F">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1.67</w:t>
            </w:r>
          </w:p>
        </w:tc>
        <w:tc>
          <w:tcPr>
            <w:tcW w:w="1039" w:type="dxa"/>
            <w:tcBorders>
              <w:tl2br w:val="nil"/>
              <w:tr2bl w:val="nil"/>
            </w:tcBorders>
            <w:shd w:val="clear" w:color="000000" w:fill="FFFFFF"/>
            <w:vAlign w:val="center"/>
          </w:tcPr>
          <w:p w14:paraId="5F949B3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83.5%</w:t>
            </w:r>
          </w:p>
        </w:tc>
      </w:tr>
      <w:tr w14:paraId="77A5542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14:paraId="6577EEE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效益</w:t>
            </w:r>
          </w:p>
        </w:tc>
        <w:tc>
          <w:tcPr>
            <w:tcW w:w="1821" w:type="dxa"/>
            <w:tcBorders>
              <w:tl2br w:val="nil"/>
              <w:tr2bl w:val="nil"/>
            </w:tcBorders>
            <w:shd w:val="clear" w:color="auto" w:fill="FFFFFF"/>
            <w:vAlign w:val="center"/>
          </w:tcPr>
          <w:p w14:paraId="6E890F1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社会效益</w:t>
            </w:r>
          </w:p>
        </w:tc>
        <w:tc>
          <w:tcPr>
            <w:tcW w:w="2856" w:type="dxa"/>
            <w:tcBorders>
              <w:tl2br w:val="nil"/>
              <w:tr2bl w:val="nil"/>
            </w:tcBorders>
            <w:shd w:val="clear" w:color="auto" w:fill="FFFFFF"/>
            <w:vAlign w:val="center"/>
          </w:tcPr>
          <w:p w14:paraId="0AB4845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保障临床用血安全</w:t>
            </w:r>
          </w:p>
        </w:tc>
        <w:tc>
          <w:tcPr>
            <w:tcW w:w="898" w:type="dxa"/>
            <w:tcBorders>
              <w:tl2br w:val="nil"/>
              <w:tr2bl w:val="nil"/>
            </w:tcBorders>
            <w:shd w:val="clear" w:color="auto" w:fill="FFFFFF"/>
            <w:vAlign w:val="center"/>
          </w:tcPr>
          <w:p w14:paraId="2EDA911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898" w:type="dxa"/>
            <w:tcBorders>
              <w:tl2br w:val="nil"/>
              <w:tr2bl w:val="nil"/>
            </w:tcBorders>
            <w:shd w:val="clear" w:color="auto" w:fill="FFFFFF"/>
            <w:vAlign w:val="center"/>
          </w:tcPr>
          <w:p w14:paraId="5D886C4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1039" w:type="dxa"/>
            <w:tcBorders>
              <w:tl2br w:val="nil"/>
              <w:tr2bl w:val="nil"/>
            </w:tcBorders>
            <w:shd w:val="clear" w:color="auto" w:fill="FFFFFF"/>
            <w:vAlign w:val="center"/>
          </w:tcPr>
          <w:p w14:paraId="357A41A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7AB8074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14:paraId="5149A3D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满意度指标完成情况分析</w:t>
            </w:r>
          </w:p>
        </w:tc>
        <w:tc>
          <w:tcPr>
            <w:tcW w:w="1821" w:type="dxa"/>
            <w:tcBorders>
              <w:tl2br w:val="nil"/>
              <w:tr2bl w:val="nil"/>
            </w:tcBorders>
            <w:shd w:val="clear" w:color="auto" w:fill="FFFFFF"/>
            <w:vAlign w:val="center"/>
          </w:tcPr>
          <w:p w14:paraId="0A2D9F0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满意度指标</w:t>
            </w:r>
          </w:p>
        </w:tc>
        <w:tc>
          <w:tcPr>
            <w:tcW w:w="2856" w:type="dxa"/>
            <w:tcBorders>
              <w:tl2br w:val="nil"/>
              <w:tr2bl w:val="nil"/>
            </w:tcBorders>
            <w:shd w:val="clear" w:color="auto" w:fill="FFFFFF"/>
            <w:vAlign w:val="center"/>
          </w:tcPr>
          <w:p w14:paraId="37F68F6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献血者满意度测评率</w:t>
            </w:r>
          </w:p>
        </w:tc>
        <w:tc>
          <w:tcPr>
            <w:tcW w:w="898" w:type="dxa"/>
            <w:tcBorders>
              <w:tl2br w:val="nil"/>
              <w:tr2bl w:val="nil"/>
            </w:tcBorders>
            <w:shd w:val="clear" w:color="000000" w:fill="FFFFFF"/>
            <w:vAlign w:val="center"/>
          </w:tcPr>
          <w:p w14:paraId="209CF96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898" w:type="dxa"/>
            <w:tcBorders>
              <w:tl2br w:val="nil"/>
              <w:tr2bl w:val="nil"/>
            </w:tcBorders>
            <w:shd w:val="clear" w:color="000000" w:fill="FFFFFF"/>
            <w:vAlign w:val="center"/>
          </w:tcPr>
          <w:p w14:paraId="28CC502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1039" w:type="dxa"/>
            <w:tcBorders>
              <w:tl2br w:val="nil"/>
              <w:tr2bl w:val="nil"/>
            </w:tcBorders>
            <w:shd w:val="clear" w:color="000000" w:fill="FFFFFF"/>
            <w:vAlign w:val="center"/>
          </w:tcPr>
          <w:p w14:paraId="06EA8A4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bl>
    <w:p w14:paraId="537DF654">
      <w:pPr>
        <w:pStyle w:val="3"/>
        <w:ind w:firstLine="643"/>
        <w:rPr>
          <w:rFonts w:ascii="仿宋" w:hAnsi="仿宋" w:eastAsia="仿宋"/>
          <w:highlight w:val="none"/>
          <w:lang w:bidi="en-US"/>
        </w:rPr>
      </w:pPr>
      <w:bookmarkStart w:id="31" w:name="_Toc67911610"/>
      <w:bookmarkStart w:id="32" w:name="_Toc15305"/>
      <w:r>
        <w:rPr>
          <w:rFonts w:hint="eastAsia" w:ascii="仿宋" w:hAnsi="仿宋" w:eastAsia="仿宋"/>
          <w:highlight w:val="none"/>
          <w:lang w:bidi="en-US"/>
        </w:rPr>
        <w:t>（二）主要绩效</w:t>
      </w:r>
      <w:bookmarkEnd w:id="31"/>
      <w:bookmarkEnd w:id="32"/>
    </w:p>
    <w:p w14:paraId="7DA4CBD0">
      <w:pPr>
        <w:spacing w:line="360" w:lineRule="auto"/>
        <w:ind w:firstLine="548" w:firstLineChars="196"/>
        <w:rPr>
          <w:rFonts w:ascii="仿宋_GB2312"/>
          <w:bCs/>
          <w:szCs w:val="28"/>
        </w:rPr>
      </w:pPr>
      <w:r>
        <w:rPr>
          <w:rFonts w:hint="eastAsia" w:ascii="仿宋_GB2312"/>
          <w:bCs/>
          <w:szCs w:val="28"/>
        </w:rPr>
        <w:t>该项目资金区财政及时拨付，单位在此次评价期间内，有序完成设定目标的部分工作任务：</w:t>
      </w:r>
      <w:bookmarkStart w:id="33" w:name="_Toc67911611"/>
      <w:r>
        <w:rPr>
          <w:rFonts w:hint="eastAsia" w:ascii="仿宋_GB2312"/>
          <w:bCs/>
          <w:szCs w:val="28"/>
          <w:highlight w:val="none"/>
          <w:lang w:val="en-US" w:eastAsia="zh-CN"/>
        </w:rPr>
        <w:t>2024年按时支付电费，对电梯进行定期维保，对各业务科室6类专用设备进行维修、维护；采购试剂耗材各类试剂耗材共计176种，均一次性验收合格；为39名临聘人员发放工资；完成血液调剂及资金支付工作，与哈密、石河子、阿勒泰、昌吉等15家血站进行血液调剂、对账和结算外调血费等工作；发放献血者交通补贴14267次、血费报销264次、医院奖励金30次；组织献血者活动2次，在献血大厅及各采血点位为献血者提供饮用水。项目的实施</w:t>
      </w:r>
      <w:r>
        <w:rPr>
          <w:rFonts w:hint="eastAsia" w:ascii="仿宋_GB2312" w:hAnsi="仿宋"/>
          <w:szCs w:val="28"/>
        </w:rPr>
        <w:t>保障</w:t>
      </w:r>
      <w:r>
        <w:rPr>
          <w:rFonts w:hint="eastAsia" w:ascii="仿宋_GB2312" w:hAnsi="仿宋"/>
          <w:szCs w:val="28"/>
          <w:lang w:val="en-US" w:eastAsia="zh-CN"/>
        </w:rPr>
        <w:t>了</w:t>
      </w:r>
      <w:r>
        <w:rPr>
          <w:rFonts w:hint="eastAsia" w:ascii="仿宋_GB2312" w:hAnsi="仿宋"/>
          <w:szCs w:val="28"/>
        </w:rPr>
        <w:t>血库、检验、制备等设备24小时正常运行。满足正常采供血工作的需求；进一步推动全社会广泛参与自愿无偿献血事业，促进无偿献血工作持续健康发展。</w:t>
      </w:r>
      <w:r>
        <w:rPr>
          <w:rFonts w:hint="eastAsia" w:ascii="仿宋_GB2312" w:hAnsi="仿宋"/>
          <w:szCs w:val="28"/>
          <w:lang w:eastAsia="zh-CN"/>
        </w:rPr>
        <w:t>对医疗机构收取用血互助金进行奖励</w:t>
      </w:r>
      <w:r>
        <w:rPr>
          <w:rFonts w:hint="eastAsia" w:ascii="仿宋_GB2312" w:hAnsi="仿宋"/>
          <w:szCs w:val="28"/>
        </w:rPr>
        <w:t>，以调动医疗机构做好用血互助金的收取工作，保障广大献血者权利。通过保障我单位采供血业务正常运行、保障临床用血安全。</w:t>
      </w:r>
    </w:p>
    <w:p w14:paraId="04B6BEF6">
      <w:pPr>
        <w:pStyle w:val="2"/>
        <w:ind w:firstLine="0" w:firstLineChars="0"/>
        <w:jc w:val="left"/>
        <w:rPr>
          <w:rFonts w:ascii="仿宋" w:hAnsi="仿宋" w:eastAsia="仿宋"/>
          <w:sz w:val="36"/>
          <w:szCs w:val="36"/>
          <w:lang w:bidi="en-US"/>
        </w:rPr>
      </w:pPr>
      <w:bookmarkStart w:id="34" w:name="_Toc29094"/>
      <w:r>
        <w:rPr>
          <w:rFonts w:hint="eastAsia" w:ascii="仿宋" w:hAnsi="仿宋" w:eastAsia="仿宋"/>
          <w:sz w:val="36"/>
          <w:szCs w:val="36"/>
          <w:lang w:bidi="en-US"/>
        </w:rPr>
        <w:t>四、绩效评价指标分析</w:t>
      </w:r>
      <w:bookmarkEnd w:id="33"/>
      <w:bookmarkEnd w:id="34"/>
    </w:p>
    <w:p w14:paraId="17135EB3">
      <w:pPr>
        <w:pStyle w:val="3"/>
        <w:ind w:firstLine="643"/>
        <w:rPr>
          <w:rFonts w:ascii="仿宋" w:hAnsi="仿宋" w:eastAsia="仿宋"/>
          <w:lang w:bidi="en-US"/>
        </w:rPr>
      </w:pPr>
      <w:bookmarkStart w:id="35" w:name="_Toc67911612"/>
      <w:bookmarkStart w:id="36" w:name="_Toc18575"/>
      <w:r>
        <w:rPr>
          <w:rFonts w:hint="eastAsia" w:ascii="仿宋" w:hAnsi="仿宋" w:eastAsia="仿宋"/>
          <w:lang w:bidi="en-US"/>
        </w:rPr>
        <w:t>（一）项目决策情况</w:t>
      </w:r>
      <w:bookmarkEnd w:id="35"/>
      <w:bookmarkEnd w:id="36"/>
    </w:p>
    <w:p w14:paraId="143EA2CA">
      <w:pPr>
        <w:spacing w:line="360" w:lineRule="auto"/>
        <w:ind w:firstLine="560"/>
        <w:rPr>
          <w:rFonts w:ascii="仿宋_GB2312"/>
          <w:szCs w:val="28"/>
        </w:rPr>
      </w:pPr>
      <w:r>
        <w:rPr>
          <w:rFonts w:hint="eastAsia" w:ascii="仿宋_GB2312"/>
          <w:szCs w:val="28"/>
        </w:rPr>
        <w:t>项目决算指标由3个二级指标和6个三级指标构成，权重为</w:t>
      </w:r>
      <w:r>
        <w:rPr>
          <w:rFonts w:ascii="仿宋_GB2312"/>
          <w:szCs w:val="28"/>
        </w:rPr>
        <w:t>20</w:t>
      </w:r>
      <w:r>
        <w:rPr>
          <w:rFonts w:hint="eastAsia" w:ascii="仿宋_GB2312"/>
          <w:szCs w:val="28"/>
        </w:rPr>
        <w:t>分，实际得分20分。</w:t>
      </w:r>
    </w:p>
    <w:p w14:paraId="410F8716">
      <w:pPr>
        <w:pStyle w:val="4"/>
        <w:ind w:firstLine="643"/>
      </w:pPr>
      <w:bookmarkStart w:id="37" w:name="_Toc3717"/>
      <w:r>
        <w:t>1.</w:t>
      </w:r>
      <w:r>
        <w:rPr>
          <w:rFonts w:hint="eastAsia"/>
        </w:rPr>
        <w:t>项目立项</w:t>
      </w:r>
      <w:bookmarkEnd w:id="37"/>
    </w:p>
    <w:p w14:paraId="3724B26B">
      <w:pPr>
        <w:spacing w:line="360" w:lineRule="auto"/>
        <w:ind w:firstLine="562"/>
        <w:rPr>
          <w:rFonts w:ascii="仿宋_GB2312"/>
          <w:szCs w:val="28"/>
        </w:rPr>
      </w:pPr>
      <w:r>
        <w:rPr>
          <w:rFonts w:hint="eastAsia" w:ascii="仿宋_GB2312"/>
          <w:b/>
          <w:bCs/>
          <w:szCs w:val="28"/>
        </w:rPr>
        <w:t>立项依据充分性：</w:t>
      </w:r>
      <w:r>
        <w:rPr>
          <w:rFonts w:hint="eastAsia" w:ascii="仿宋_GB2312"/>
          <w:szCs w:val="28"/>
        </w:rPr>
        <w:t>项目立项根据《中华人民共和国献血法》《血站管理办法》《血站质量管理规范》《血站实验室质量管理规范》《血站实验室质量管理规范》等法律法规；根据《中华人民共和国献血法》《自治区实施&lt;中华人民共和国献血法&gt;若干规定》，让无偿献血者享受到无偿献血的报销政策，让更多的人加入到无偿献血的队伍当中。为保证无偿献血工作的可持续发展，保障广大献血者的利益，调动医疗机构做好用血互助金的收取工作。按照《血站技术操作规程》的要求，制备的血液成分，经质量管理部门定期抽检，符合《全血及成分</w:t>
      </w:r>
      <w:r>
        <w:rPr>
          <w:rFonts w:hint="eastAsia" w:ascii="仿宋_GB2312"/>
          <w:szCs w:val="28"/>
          <w:highlight w:val="none"/>
        </w:rPr>
        <w:t>血质量要求》</w:t>
      </w:r>
      <w:r>
        <w:rPr>
          <w:rFonts w:hint="eastAsia" w:ascii="仿宋_GB2312"/>
          <w:szCs w:val="28"/>
          <w:highlight w:val="none"/>
          <w:lang w:eastAsia="zh-CN"/>
        </w:rPr>
        <w:t>（</w:t>
      </w:r>
      <w:r>
        <w:rPr>
          <w:rFonts w:hint="eastAsia" w:ascii="仿宋_GB2312"/>
          <w:szCs w:val="28"/>
          <w:highlight w:val="none"/>
        </w:rPr>
        <w:t>GB18469-2012</w:t>
      </w:r>
      <w:r>
        <w:rPr>
          <w:rFonts w:hint="eastAsia" w:ascii="仿宋_GB2312"/>
          <w:szCs w:val="28"/>
          <w:highlight w:val="none"/>
          <w:lang w:eastAsia="zh-CN"/>
        </w:rPr>
        <w:t>）</w:t>
      </w:r>
      <w:r>
        <w:rPr>
          <w:rFonts w:hint="eastAsia" w:ascii="仿宋_GB2312"/>
          <w:szCs w:val="28"/>
          <w:highlight w:val="none"/>
        </w:rPr>
        <w:t>的规定，以保证血液质量与血液安全。</w:t>
      </w:r>
      <w:r>
        <w:rPr>
          <w:rFonts w:hint="eastAsia" w:ascii="仿宋_GB2312"/>
          <w:szCs w:val="28"/>
        </w:rPr>
        <w:t>根据自治区卫健委《关于自治区无偿献血经验交流会会议纪要》要求建立全疆血液联动机制支援乌鲁木齐血液供应等相关法律法规政策要求。同时，项目与我单位职责范围相符，属</w:t>
      </w:r>
      <w:r>
        <w:rPr>
          <w:rFonts w:hint="eastAsia" w:ascii="仿宋_GB2312"/>
          <w:szCs w:val="28"/>
          <w:lang w:val="en-US" w:eastAsia="zh-CN"/>
        </w:rPr>
        <w:t>于</w:t>
      </w:r>
      <w:r>
        <w:rPr>
          <w:rFonts w:hint="eastAsia" w:ascii="仿宋_GB2312"/>
          <w:szCs w:val="28"/>
        </w:rPr>
        <w:t>部门履职所需。此外，本项目属于公共财政支持范围，符合地方事权。因此，立项依据充分，得4分。</w:t>
      </w:r>
    </w:p>
    <w:p w14:paraId="6A621981">
      <w:pPr>
        <w:spacing w:line="360" w:lineRule="auto"/>
        <w:ind w:firstLine="562"/>
        <w:rPr>
          <w:rFonts w:hint="eastAsia" w:ascii="仿宋_GB2312"/>
          <w:szCs w:val="28"/>
          <w:highlight w:val="none"/>
        </w:rPr>
      </w:pPr>
      <w:r>
        <w:rPr>
          <w:rFonts w:hint="eastAsia" w:ascii="仿宋_GB2312"/>
          <w:b/>
          <w:bCs/>
          <w:szCs w:val="28"/>
          <w:highlight w:val="none"/>
        </w:rPr>
        <w:t>立项程序规范性</w:t>
      </w:r>
      <w:r>
        <w:rPr>
          <w:rFonts w:ascii="仿宋_GB2312"/>
          <w:b/>
          <w:bCs/>
          <w:szCs w:val="28"/>
          <w:highlight w:val="none"/>
        </w:rPr>
        <w:t>:</w:t>
      </w:r>
      <w:r>
        <w:rPr>
          <w:rFonts w:hint="eastAsia" w:ascii="Times New Roman" w:hAnsi="Times New Roman"/>
          <w:szCs w:val="28"/>
          <w:highlight w:val="none"/>
        </w:rPr>
        <w:t>本项目立项严格遵循国家相关法律法规（如《中华人民共和国献血法》《</w:t>
      </w:r>
      <w:r>
        <w:rPr>
          <w:rFonts w:hint="eastAsia" w:ascii="Times New Roman" w:hAnsi="Times New Roman"/>
          <w:szCs w:val="28"/>
          <w:highlight w:val="none"/>
          <w:lang w:val="en-US" w:eastAsia="zh-CN"/>
        </w:rPr>
        <w:t>中华人民共和国预算法</w:t>
      </w:r>
      <w:r>
        <w:rPr>
          <w:rFonts w:hint="eastAsia" w:ascii="Times New Roman" w:hAnsi="Times New Roman"/>
          <w:szCs w:val="28"/>
          <w:highlight w:val="none"/>
        </w:rPr>
        <w:t>》等）及卫生健康、财政部门的政策要求，</w:t>
      </w:r>
      <w:r>
        <w:rPr>
          <w:rFonts w:hint="eastAsia" w:ascii="Times New Roman" w:hAnsi="Times New Roman"/>
          <w:szCs w:val="28"/>
          <w:highlight w:val="none"/>
          <w:lang w:val="en-US" w:eastAsia="zh-CN"/>
        </w:rPr>
        <w:t>我单位依照</w:t>
      </w:r>
      <w:r>
        <w:rPr>
          <w:rFonts w:hint="eastAsia" w:ascii="仿宋_GB2312"/>
          <w:szCs w:val="28"/>
          <w:highlight w:val="none"/>
          <w:lang w:val="en-US" w:eastAsia="zh-CN"/>
        </w:rPr>
        <w:t>《血站管理办法》中规定的单位职能:在规定的范围内开展无偿献血者的招募、血液的采集与制备、临床用血供应以及医疗用血的业务指导等工作,申请本项目</w:t>
      </w:r>
      <w:r>
        <w:rPr>
          <w:rFonts w:hint="eastAsia" w:ascii="Times New Roman" w:hAnsi="Times New Roman"/>
          <w:szCs w:val="28"/>
          <w:highlight w:val="none"/>
          <w:lang w:val="en-US" w:eastAsia="zh-CN"/>
        </w:rPr>
        <w:t>主要用</w:t>
      </w:r>
      <w:r>
        <w:rPr>
          <w:rFonts w:hint="eastAsia" w:ascii="仿宋_GB2312"/>
          <w:szCs w:val="28"/>
        </w:rPr>
        <w:t>各科室对采供血工作中采集、检验、存储、办公、照明、试剂耗材、血液运输、机采交通费等内容进行申报</w:t>
      </w:r>
      <w:r>
        <w:rPr>
          <w:rFonts w:hint="eastAsia" w:ascii="仿宋_GB2312"/>
          <w:szCs w:val="28"/>
          <w:lang w:eastAsia="zh-CN"/>
        </w:rPr>
        <w:t>，</w:t>
      </w:r>
      <w:r>
        <w:rPr>
          <w:rFonts w:hint="eastAsia" w:ascii="Times New Roman" w:hAnsi="Times New Roman"/>
          <w:szCs w:val="28"/>
          <w:highlight w:val="none"/>
          <w:lang w:val="en-US" w:eastAsia="zh-CN"/>
        </w:rPr>
        <w:t>经过相关部门审核通过后，审批立项。</w:t>
      </w:r>
      <w:r>
        <w:rPr>
          <w:rFonts w:hint="eastAsia" w:ascii="仿宋_GB2312"/>
          <w:szCs w:val="28"/>
          <w:highlight w:val="none"/>
        </w:rPr>
        <w:t>故立项程序规范，得4分。</w:t>
      </w:r>
    </w:p>
    <w:p w14:paraId="5D56E3CE">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8</w:t>
      </w:r>
      <w:r>
        <w:rPr>
          <w:rFonts w:hint="eastAsia" w:ascii="仿宋_GB2312" w:hAnsi="仿宋" w:cs="宋体"/>
          <w:b/>
          <w:kern w:val="0"/>
          <w:szCs w:val="28"/>
        </w:rPr>
        <w:t>分，得分8分。</w:t>
      </w:r>
    </w:p>
    <w:p w14:paraId="69283A5A">
      <w:pPr>
        <w:pStyle w:val="4"/>
        <w:ind w:firstLine="643"/>
      </w:pPr>
      <w:bookmarkStart w:id="38" w:name="_Toc32765"/>
      <w:r>
        <w:rPr>
          <w:rFonts w:hint="eastAsia"/>
        </w:rPr>
        <w:t>2</w:t>
      </w:r>
      <w:r>
        <w:t>.</w:t>
      </w:r>
      <w:r>
        <w:rPr>
          <w:rFonts w:hint="eastAsia"/>
        </w:rPr>
        <w:t>绩效目标</w:t>
      </w:r>
      <w:bookmarkEnd w:id="38"/>
    </w:p>
    <w:p w14:paraId="680D23D9">
      <w:pPr>
        <w:spacing w:line="360" w:lineRule="auto"/>
        <w:ind w:firstLine="562"/>
        <w:rPr>
          <w:rFonts w:ascii="仿宋_GB2312"/>
          <w:szCs w:val="28"/>
        </w:rPr>
      </w:pPr>
      <w:r>
        <w:rPr>
          <w:rFonts w:hint="eastAsia" w:ascii="仿宋_GB2312"/>
          <w:b/>
          <w:bCs/>
          <w:szCs w:val="28"/>
        </w:rPr>
        <w:t>绩效目标合理性：</w:t>
      </w:r>
      <w:r>
        <w:rPr>
          <w:rFonts w:hint="eastAsia" w:ascii="仿宋_GB2312"/>
          <w:szCs w:val="28"/>
        </w:rPr>
        <w:t>本项目的绩效目标</w:t>
      </w:r>
      <w:r>
        <w:rPr>
          <w:rFonts w:hint="eastAsia" w:ascii="仿宋_GB2312"/>
          <w:szCs w:val="28"/>
          <w:lang w:val="en-US" w:eastAsia="zh-CN"/>
        </w:rPr>
        <w:t>根据我单位的采供血职能设立，</w:t>
      </w:r>
      <w:r>
        <w:rPr>
          <w:rFonts w:hint="eastAsia" w:ascii="仿宋_GB2312"/>
          <w:szCs w:val="28"/>
        </w:rPr>
        <w:t>按照产出、效益和满意度</w:t>
      </w:r>
      <w:r>
        <w:rPr>
          <w:rFonts w:hint="eastAsia" w:ascii="仿宋_GB2312"/>
          <w:szCs w:val="28"/>
          <w:lang w:val="en-US" w:eastAsia="zh-CN"/>
        </w:rPr>
        <w:t>多维度</w:t>
      </w:r>
      <w:r>
        <w:rPr>
          <w:rFonts w:hint="eastAsia" w:ascii="仿宋_GB2312"/>
          <w:szCs w:val="28"/>
        </w:rPr>
        <w:t>构建绩效评价指标，</w:t>
      </w:r>
      <w:r>
        <w:rPr>
          <w:rFonts w:hint="eastAsia" w:ascii="仿宋_GB2312"/>
          <w:szCs w:val="28"/>
          <w:lang w:val="en-US" w:eastAsia="zh-CN"/>
        </w:rPr>
        <w:t>结合项目实施内容设立如电梯定期维保次数、维修维护设备种类等</w:t>
      </w:r>
      <w:r>
        <w:rPr>
          <w:rFonts w:hint="eastAsia" w:ascii="仿宋_GB2312"/>
          <w:szCs w:val="28"/>
        </w:rPr>
        <w:t>明确、可衡量、可实现、</w:t>
      </w:r>
      <w:r>
        <w:rPr>
          <w:rFonts w:hint="eastAsia" w:ascii="仿宋_GB2312"/>
          <w:szCs w:val="28"/>
          <w:lang w:val="en-US" w:eastAsia="zh-CN"/>
        </w:rPr>
        <w:t>与项目内容</w:t>
      </w:r>
      <w:r>
        <w:rPr>
          <w:rFonts w:hint="eastAsia" w:ascii="仿宋_GB2312"/>
          <w:szCs w:val="28"/>
        </w:rPr>
        <w:t>相关</w:t>
      </w:r>
      <w:r>
        <w:rPr>
          <w:rFonts w:hint="eastAsia" w:ascii="仿宋_GB2312"/>
          <w:szCs w:val="28"/>
          <w:lang w:val="en-US" w:eastAsia="zh-CN"/>
        </w:rPr>
        <w:t>的三级指标</w:t>
      </w:r>
      <w:r>
        <w:rPr>
          <w:rFonts w:hint="eastAsia" w:ascii="仿宋_GB2312"/>
          <w:szCs w:val="28"/>
        </w:rPr>
        <w:t>，能较为全面地反映本项目的产出和效益，故绩效目标合理性指标得分</w:t>
      </w:r>
      <w:r>
        <w:rPr>
          <w:rFonts w:ascii="仿宋_GB2312"/>
          <w:szCs w:val="28"/>
        </w:rPr>
        <w:t>3</w:t>
      </w:r>
      <w:r>
        <w:rPr>
          <w:rFonts w:hint="eastAsia" w:ascii="仿宋_GB2312"/>
          <w:szCs w:val="28"/>
        </w:rPr>
        <w:t>分。</w:t>
      </w:r>
    </w:p>
    <w:p w14:paraId="2CBC9369">
      <w:pPr>
        <w:autoSpaceDE w:val="0"/>
        <w:spacing w:line="600" w:lineRule="exact"/>
        <w:ind w:firstLine="562"/>
        <w:rPr>
          <w:rFonts w:ascii="仿宋_GB2312" w:hAnsi="仿宋" w:cs="宋体"/>
          <w:kern w:val="0"/>
          <w:szCs w:val="28"/>
          <w:highlight w:val="none"/>
        </w:rPr>
      </w:pPr>
      <w:r>
        <w:rPr>
          <w:rFonts w:hint="eastAsia" w:ascii="仿宋_GB2312" w:hAnsi="仿宋" w:cs="宋体"/>
          <w:b/>
          <w:kern w:val="0"/>
          <w:szCs w:val="28"/>
        </w:rPr>
        <w:t>绩效目标明确性：</w:t>
      </w:r>
      <w:r>
        <w:rPr>
          <w:rFonts w:hint="eastAsia" w:ascii="仿宋_GB2312" w:hAnsi="仿宋" w:cs="宋体"/>
          <w:kern w:val="0"/>
          <w:szCs w:val="28"/>
        </w:rPr>
        <w:t>本项目主要任务是为了我单位保障采供血工作中采集、检验、存储、办公、照明正常运行。确保我区血液质量安全。</w:t>
      </w:r>
      <w:r>
        <w:rPr>
          <w:rFonts w:hint="eastAsia" w:ascii="仿宋_GB2312" w:hAnsi="仿宋" w:cs="宋体"/>
          <w:kern w:val="0"/>
          <w:szCs w:val="28"/>
          <w:highlight w:val="none"/>
        </w:rPr>
        <w:t>满足临床用血的需求。进一步做好献血者的关爱、献血者服务。完成2024年血液调剂及支付工作制备各类血液成分，满足临床所需。目标已细化为具体的绩效指标，可通过</w:t>
      </w:r>
      <w:r>
        <w:rPr>
          <w:rFonts w:hint="eastAsia" w:ascii="仿宋_GB2312" w:hAnsi="仿宋" w:cs="宋体"/>
          <w:kern w:val="0"/>
          <w:szCs w:val="28"/>
          <w:highlight w:val="none"/>
          <w:lang w:val="en-US" w:eastAsia="zh-CN"/>
        </w:rPr>
        <w:t>电梯定期维保次数、维修维护设备种类、采购试剂耗材种类、支付电费等</w:t>
      </w:r>
      <w:r>
        <w:rPr>
          <w:rFonts w:hint="eastAsia" w:ascii="仿宋_GB2312" w:hAnsi="仿宋" w:cs="宋体"/>
          <w:kern w:val="0"/>
          <w:szCs w:val="28"/>
          <w:highlight w:val="none"/>
        </w:rPr>
        <w:t>指标予以量化。并具有确切的评价标准，且指标设定均与目标相关。各项指标均能在现实条件下收到相关数据进行佐证。如：相关科室可以提供</w:t>
      </w:r>
      <w:r>
        <w:rPr>
          <w:rFonts w:hint="eastAsia" w:ascii="仿宋_GB2312" w:hAnsi="仿宋" w:cs="宋体"/>
          <w:kern w:val="0"/>
          <w:szCs w:val="28"/>
          <w:highlight w:val="none"/>
          <w:lang w:val="en-US" w:eastAsia="zh-CN"/>
        </w:rPr>
        <w:t>电费发票、维保记录</w:t>
      </w:r>
      <w:r>
        <w:rPr>
          <w:rFonts w:hint="eastAsia" w:ascii="仿宋_GB2312" w:hAnsi="仿宋" w:cs="宋体"/>
          <w:kern w:val="0"/>
          <w:szCs w:val="28"/>
          <w:highlight w:val="none"/>
        </w:rPr>
        <w:t>、</w:t>
      </w:r>
      <w:r>
        <w:rPr>
          <w:rFonts w:hint="eastAsia" w:ascii="仿宋_GB2312" w:hAnsi="仿宋" w:cs="宋体"/>
          <w:kern w:val="0"/>
          <w:szCs w:val="28"/>
          <w:highlight w:val="none"/>
          <w:lang w:val="en-US" w:eastAsia="zh-CN"/>
        </w:rPr>
        <w:t>采购合同等</w:t>
      </w:r>
      <w:r>
        <w:rPr>
          <w:rFonts w:hint="eastAsia" w:ascii="仿宋_GB2312" w:hAnsi="仿宋" w:cs="宋体"/>
          <w:kern w:val="0"/>
          <w:szCs w:val="28"/>
          <w:highlight w:val="none"/>
        </w:rPr>
        <w:t>进行佐证。并与当年项目年度计划相对应，故绩效目标明确性指标得分</w:t>
      </w:r>
      <w:r>
        <w:rPr>
          <w:rFonts w:ascii="仿宋_GB2312" w:hAnsi="仿宋" w:cs="宋体"/>
          <w:kern w:val="0"/>
          <w:szCs w:val="28"/>
          <w:highlight w:val="none"/>
        </w:rPr>
        <w:t>3</w:t>
      </w:r>
      <w:r>
        <w:rPr>
          <w:rFonts w:hint="eastAsia" w:ascii="仿宋_GB2312" w:hAnsi="仿宋" w:cs="宋体"/>
          <w:kern w:val="0"/>
          <w:szCs w:val="28"/>
          <w:highlight w:val="none"/>
        </w:rPr>
        <w:t>分。</w:t>
      </w:r>
    </w:p>
    <w:p w14:paraId="6C68C389">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分，得分6分。</w:t>
      </w:r>
    </w:p>
    <w:p w14:paraId="4465517E">
      <w:pPr>
        <w:pStyle w:val="4"/>
        <w:ind w:firstLine="643"/>
      </w:pPr>
      <w:bookmarkStart w:id="39" w:name="_Toc14136"/>
      <w:r>
        <w:rPr>
          <w:rFonts w:hint="eastAsia"/>
        </w:rPr>
        <w:t>3.资金投入</w:t>
      </w:r>
      <w:bookmarkEnd w:id="39"/>
    </w:p>
    <w:p w14:paraId="260B674E">
      <w:pPr>
        <w:autoSpaceDE w:val="0"/>
        <w:spacing w:line="600" w:lineRule="exact"/>
        <w:ind w:firstLine="562"/>
        <w:rPr>
          <w:rFonts w:ascii="仿宋_GB2312" w:hAnsi="仿宋" w:cs="宋体"/>
          <w:bCs/>
          <w:kern w:val="0"/>
          <w:szCs w:val="28"/>
        </w:rPr>
      </w:pPr>
      <w:r>
        <w:rPr>
          <w:rFonts w:hint="eastAsia" w:ascii="仿宋_GB2312" w:hAnsi="仿宋" w:cs="宋体"/>
          <w:b/>
          <w:kern w:val="0"/>
          <w:szCs w:val="28"/>
        </w:rPr>
        <w:t>预算编制科学性：</w:t>
      </w:r>
      <w:r>
        <w:rPr>
          <w:rFonts w:hint="eastAsia" w:ascii="仿宋_GB2312" w:hAnsi="仿宋" w:cs="宋体"/>
          <w:kern w:val="0"/>
          <w:szCs w:val="28"/>
        </w:rPr>
        <w:t>我单位编制2024年预算，</w:t>
      </w:r>
      <w:r>
        <w:rPr>
          <w:rFonts w:hint="eastAsia" w:ascii="仿宋_GB2312"/>
          <w:szCs w:val="28"/>
        </w:rPr>
        <w:t>由我单位各科室上报预算情况，由单位预算会进行多次预算的订制，经过单位预算的调整，</w:t>
      </w:r>
      <w:r>
        <w:rPr>
          <w:rFonts w:hint="eastAsia" w:ascii="仿宋_GB2312" w:hAnsi="仿宋" w:cs="宋体"/>
          <w:kern w:val="0"/>
          <w:szCs w:val="28"/>
        </w:rPr>
        <w:t>财务科根据预算申报的要求进行预算申报，上报主管局及财政局审批，由此编制项目所需的总金额以及需要达成的绩效目标</w:t>
      </w:r>
      <w:r>
        <w:rPr>
          <w:rFonts w:hint="eastAsia" w:ascii="仿宋_GB2312" w:hAnsi="仿宋" w:cs="宋体"/>
          <w:b/>
          <w:kern w:val="0"/>
          <w:szCs w:val="28"/>
        </w:rPr>
        <w:t>。</w:t>
      </w:r>
      <w:r>
        <w:rPr>
          <w:rFonts w:hint="eastAsia" w:ascii="仿宋_GB2312" w:hAnsi="仿宋" w:cs="宋体"/>
          <w:kern w:val="0"/>
          <w:szCs w:val="28"/>
        </w:rPr>
        <w:t>故预算编制科学性指标得分</w:t>
      </w:r>
      <w:r>
        <w:rPr>
          <w:rFonts w:ascii="仿宋_GB2312" w:hAnsi="仿宋" w:cs="宋体"/>
          <w:kern w:val="0"/>
          <w:szCs w:val="28"/>
        </w:rPr>
        <w:t>3</w:t>
      </w:r>
      <w:r>
        <w:rPr>
          <w:rFonts w:hint="eastAsia" w:ascii="仿宋_GB2312" w:hAnsi="仿宋" w:cs="宋体"/>
          <w:kern w:val="0"/>
          <w:szCs w:val="28"/>
        </w:rPr>
        <w:t>分。</w:t>
      </w:r>
    </w:p>
    <w:p w14:paraId="218DEA5D">
      <w:pPr>
        <w:spacing w:line="360" w:lineRule="auto"/>
        <w:ind w:firstLine="562"/>
        <w:rPr>
          <w:highlight w:val="none"/>
        </w:rPr>
      </w:pPr>
      <w:r>
        <w:rPr>
          <w:rFonts w:hint="eastAsia"/>
          <w:b/>
          <w:bCs/>
          <w:highlight w:val="none"/>
        </w:rPr>
        <w:t>资金分配合理性</w:t>
      </w:r>
      <w:r>
        <w:rPr>
          <w:rFonts w:hint="eastAsia"/>
          <w:highlight w:val="none"/>
        </w:rPr>
        <w:t>：</w:t>
      </w:r>
      <w:r>
        <w:rPr>
          <w:rFonts w:hint="eastAsia" w:ascii="仿宋_GB2312" w:hAnsi="仿宋" w:cs="宋体"/>
          <w:kern w:val="0"/>
          <w:szCs w:val="28"/>
          <w:highlight w:val="none"/>
        </w:rPr>
        <w:t>根据我单位的采供血职能，该资金用于保障我单位的正常工作，保障全区的采供血业务和临床用血需求，其中</w:t>
      </w:r>
      <w:r>
        <w:rPr>
          <w:rFonts w:hint="eastAsia" w:ascii="仿宋_GB2312" w:hAnsi="仿宋" w:cs="宋体"/>
          <w:kern w:val="0"/>
          <w:szCs w:val="28"/>
          <w:highlight w:val="none"/>
          <w:lang w:eastAsia="zh-CN"/>
        </w:rPr>
        <w:t>：</w:t>
      </w:r>
      <w:r>
        <w:rPr>
          <w:rFonts w:hint="eastAsia" w:ascii="仿宋_GB2312" w:hAnsi="仿宋" w:cs="宋体"/>
          <w:kern w:val="0"/>
          <w:szCs w:val="28"/>
          <w:highlight w:val="none"/>
          <w:lang w:val="en-US" w:eastAsia="zh-CN"/>
        </w:rPr>
        <w:t>按照历年电费情况，安排</w:t>
      </w:r>
      <w:r>
        <w:rPr>
          <w:rFonts w:hint="eastAsia" w:ascii="仿宋_GB2312" w:hAnsi="仿宋" w:cs="宋体"/>
          <w:kern w:val="0"/>
          <w:szCs w:val="28"/>
          <w:highlight w:val="none"/>
        </w:rPr>
        <w:t>85万元用于支付电费</w:t>
      </w:r>
      <w:r>
        <w:rPr>
          <w:rFonts w:hint="eastAsia" w:ascii="仿宋_GB2312" w:hAnsi="仿宋" w:cs="宋体"/>
          <w:kern w:val="0"/>
          <w:szCs w:val="28"/>
          <w:highlight w:val="none"/>
          <w:lang w:eastAsia="zh-CN"/>
        </w:rPr>
        <w:t>，</w:t>
      </w:r>
      <w:r>
        <w:rPr>
          <w:rFonts w:hint="eastAsia" w:ascii="仿宋_GB2312" w:hAnsi="仿宋" w:cs="宋体"/>
          <w:kern w:val="0"/>
          <w:szCs w:val="28"/>
          <w:highlight w:val="none"/>
          <w:lang w:val="en-US" w:eastAsia="zh-CN"/>
        </w:rPr>
        <w:t>保障血液存储等设备24小时供电；全自动血型仪、全自动酶免仪、全自动生化仪、离心机等专用设备需进行维保、各类仪器需进行校验校准，以及电梯维保和房屋零星维修，故安排</w:t>
      </w:r>
      <w:r>
        <w:rPr>
          <w:rFonts w:hint="eastAsia" w:ascii="仿宋_GB2312" w:hAnsi="仿宋" w:cs="宋体"/>
          <w:kern w:val="0"/>
          <w:szCs w:val="28"/>
          <w:highlight w:val="none"/>
        </w:rPr>
        <w:t>165.68万元用于支付设备电梯的维修维护费</w:t>
      </w:r>
      <w:r>
        <w:rPr>
          <w:rFonts w:hint="eastAsia" w:ascii="仿宋_GB2312" w:hAnsi="仿宋" w:cs="宋体"/>
          <w:kern w:val="0"/>
          <w:szCs w:val="28"/>
          <w:highlight w:val="none"/>
          <w:lang w:eastAsia="zh-CN"/>
        </w:rPr>
        <w:t>；</w:t>
      </w:r>
      <w:r>
        <w:rPr>
          <w:rFonts w:hint="eastAsia" w:ascii="仿宋_GB2312" w:hAnsi="仿宋" w:cs="宋体"/>
          <w:kern w:val="0"/>
          <w:szCs w:val="28"/>
          <w:highlight w:val="none"/>
          <w:lang w:val="en-US" w:eastAsia="zh-CN"/>
        </w:rPr>
        <w:t>我单位自采血液不能完全满足区域供应，需从地州血站调剂血液，用于医疗救治，血液检测、质控、配型类试剂资金量小，未达政府采购标准，需从该项目支出，故</w:t>
      </w:r>
      <w:r>
        <w:rPr>
          <w:rFonts w:hint="eastAsia" w:ascii="仿宋_GB2312" w:hAnsi="仿宋" w:cs="宋体"/>
          <w:kern w:val="0"/>
          <w:szCs w:val="28"/>
          <w:highlight w:val="none"/>
        </w:rPr>
        <w:t>580.98万元用于购买试剂耗材及支付外调血费用</w:t>
      </w:r>
      <w:r>
        <w:rPr>
          <w:rFonts w:hint="eastAsia" w:ascii="仿宋_GB2312" w:hAnsi="仿宋" w:cs="宋体"/>
          <w:kern w:val="0"/>
          <w:szCs w:val="28"/>
          <w:highlight w:val="none"/>
          <w:lang w:eastAsia="zh-CN"/>
        </w:rPr>
        <w:t>；</w:t>
      </w:r>
      <w:r>
        <w:rPr>
          <w:rFonts w:hint="eastAsia" w:ascii="仿宋_GB2312" w:hAnsi="仿宋" w:cs="宋体"/>
          <w:kern w:val="0"/>
          <w:szCs w:val="28"/>
          <w:highlight w:val="none"/>
          <w:lang w:val="en-US" w:eastAsia="zh-CN"/>
        </w:rPr>
        <w:t>根据历年采集人次、医院用血量数据，我单位安排</w:t>
      </w:r>
      <w:r>
        <w:rPr>
          <w:rFonts w:hint="eastAsia" w:ascii="仿宋_GB2312" w:hAnsi="仿宋" w:cs="宋体"/>
          <w:kern w:val="0"/>
          <w:szCs w:val="28"/>
          <w:highlight w:val="none"/>
        </w:rPr>
        <w:t>224.33万元用于支付献血者交通补贴、血费报销、医院奖励金等</w:t>
      </w:r>
      <w:r>
        <w:rPr>
          <w:rFonts w:hint="eastAsia" w:ascii="仿宋_GB2312" w:hAnsi="仿宋" w:cs="宋体"/>
          <w:kern w:val="0"/>
          <w:szCs w:val="28"/>
          <w:highlight w:val="none"/>
          <w:lang w:eastAsia="zh-CN"/>
        </w:rPr>
        <w:t>；</w:t>
      </w:r>
      <w:r>
        <w:rPr>
          <w:rFonts w:hint="eastAsia" w:ascii="仿宋_GB2312" w:hAnsi="仿宋" w:cs="宋体"/>
          <w:kern w:val="0"/>
          <w:szCs w:val="28"/>
          <w:highlight w:val="none"/>
          <w:lang w:val="en-US" w:eastAsia="zh-CN"/>
        </w:rPr>
        <w:t>我单位需招募临聘人员以补充人员需求，按照历史值测算，共需要资金255万元，其中165万元已从人员类经费支出，本项目分配</w:t>
      </w:r>
      <w:r>
        <w:rPr>
          <w:rFonts w:hint="eastAsia" w:ascii="仿宋_GB2312" w:hAnsi="仿宋" w:cs="宋体"/>
          <w:kern w:val="0"/>
          <w:szCs w:val="28"/>
          <w:highlight w:val="none"/>
        </w:rPr>
        <w:t>90万元用于支付临聘人员劳务费</w:t>
      </w:r>
      <w:r>
        <w:rPr>
          <w:rFonts w:hint="eastAsia" w:ascii="仿宋_GB2312" w:hAnsi="仿宋" w:cs="宋体"/>
          <w:kern w:val="0"/>
          <w:szCs w:val="28"/>
          <w:highlight w:val="none"/>
          <w:lang w:eastAsia="zh-CN"/>
        </w:rPr>
        <w:t>；</w:t>
      </w:r>
      <w:r>
        <w:rPr>
          <w:rFonts w:hint="eastAsia" w:ascii="仿宋_GB2312" w:hAnsi="仿宋" w:cs="宋体"/>
          <w:kern w:val="0"/>
          <w:szCs w:val="28"/>
          <w:highlight w:val="none"/>
        </w:rPr>
        <w:t>34.5</w:t>
      </w:r>
      <w:r>
        <w:rPr>
          <w:rFonts w:hint="eastAsia" w:ascii="仿宋_GB2312" w:hAnsi="仿宋" w:cs="宋体"/>
          <w:kern w:val="0"/>
          <w:szCs w:val="28"/>
          <w:highlight w:val="none"/>
          <w:lang w:val="en-US" w:eastAsia="zh-CN"/>
        </w:rPr>
        <w:t>0</w:t>
      </w:r>
      <w:r>
        <w:rPr>
          <w:rFonts w:hint="eastAsia" w:ascii="仿宋_GB2312" w:hAnsi="仿宋" w:cs="宋体"/>
          <w:kern w:val="0"/>
          <w:szCs w:val="28"/>
          <w:highlight w:val="none"/>
        </w:rPr>
        <w:t>万元用于支付献血者活动经费、水票、污水处理等费用</w:t>
      </w:r>
      <w:r>
        <w:rPr>
          <w:rFonts w:hint="eastAsia" w:ascii="仿宋_GB2312" w:hAnsi="仿宋" w:cs="宋体"/>
          <w:b/>
          <w:kern w:val="0"/>
          <w:szCs w:val="28"/>
          <w:highlight w:val="none"/>
        </w:rPr>
        <w:t>。</w:t>
      </w:r>
      <w:r>
        <w:rPr>
          <w:rFonts w:hint="eastAsia" w:ascii="仿宋_GB2312" w:hAnsi="仿宋" w:cs="宋体"/>
          <w:kern w:val="0"/>
          <w:szCs w:val="28"/>
          <w:highlight w:val="none"/>
        </w:rPr>
        <w:t>故资金分配合理性指标得分</w:t>
      </w:r>
      <w:r>
        <w:rPr>
          <w:rFonts w:ascii="仿宋_GB2312" w:hAnsi="仿宋" w:cs="宋体"/>
          <w:kern w:val="0"/>
          <w:szCs w:val="28"/>
          <w:highlight w:val="none"/>
        </w:rPr>
        <w:t>3</w:t>
      </w:r>
      <w:r>
        <w:rPr>
          <w:rFonts w:hint="eastAsia" w:ascii="仿宋_GB2312" w:hAnsi="仿宋" w:cs="宋体"/>
          <w:kern w:val="0"/>
          <w:szCs w:val="28"/>
          <w:highlight w:val="none"/>
        </w:rPr>
        <w:t>分。</w:t>
      </w:r>
    </w:p>
    <w:p w14:paraId="617852B8">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分，得分6分。</w:t>
      </w:r>
    </w:p>
    <w:p w14:paraId="013159E9">
      <w:pPr>
        <w:pStyle w:val="3"/>
        <w:ind w:firstLine="643"/>
        <w:rPr>
          <w:rFonts w:ascii="仿宋" w:hAnsi="仿宋" w:eastAsia="仿宋"/>
          <w:lang w:bidi="en-US"/>
        </w:rPr>
      </w:pPr>
      <w:bookmarkStart w:id="40" w:name="_Toc11664"/>
      <w:bookmarkStart w:id="41" w:name="_Toc67911613"/>
      <w:r>
        <w:rPr>
          <w:rFonts w:hint="eastAsia" w:ascii="仿宋" w:hAnsi="仿宋" w:eastAsia="仿宋"/>
          <w:lang w:bidi="en-US"/>
        </w:rPr>
        <w:t>（二）项目过程情况</w:t>
      </w:r>
      <w:bookmarkEnd w:id="40"/>
      <w:bookmarkEnd w:id="41"/>
    </w:p>
    <w:p w14:paraId="58BC1CE4">
      <w:pPr>
        <w:spacing w:line="360" w:lineRule="auto"/>
        <w:ind w:firstLine="560"/>
        <w:rPr>
          <w:rFonts w:ascii="仿宋_GB2312"/>
          <w:szCs w:val="28"/>
        </w:rPr>
      </w:pPr>
      <w:r>
        <w:rPr>
          <w:rFonts w:hint="eastAsia" w:ascii="仿宋_GB2312"/>
          <w:szCs w:val="28"/>
        </w:rPr>
        <w:t>项目过程指标由2个二级指标和</w:t>
      </w:r>
      <w:r>
        <w:rPr>
          <w:rFonts w:ascii="仿宋_GB2312"/>
          <w:szCs w:val="28"/>
        </w:rPr>
        <w:t>5</w:t>
      </w:r>
      <w:r>
        <w:rPr>
          <w:rFonts w:hint="eastAsia" w:ascii="仿宋_GB2312"/>
          <w:szCs w:val="28"/>
        </w:rPr>
        <w:t>个三级指标构成，权重为</w:t>
      </w:r>
      <w:r>
        <w:rPr>
          <w:rFonts w:ascii="仿宋_GB2312"/>
          <w:szCs w:val="28"/>
        </w:rPr>
        <w:t>20</w:t>
      </w:r>
      <w:r>
        <w:rPr>
          <w:rFonts w:hint="eastAsia" w:ascii="仿宋_GB2312"/>
          <w:szCs w:val="28"/>
        </w:rPr>
        <w:t>分，实际得分19.88分。</w:t>
      </w:r>
    </w:p>
    <w:p w14:paraId="38F8072D">
      <w:pPr>
        <w:pStyle w:val="4"/>
        <w:ind w:firstLine="643"/>
      </w:pPr>
      <w:bookmarkStart w:id="42" w:name="_Toc31139"/>
      <w:r>
        <w:t>1.</w:t>
      </w:r>
      <w:r>
        <w:rPr>
          <w:rFonts w:hint="eastAsia"/>
        </w:rPr>
        <w:t>资金管理</w:t>
      </w:r>
      <w:bookmarkEnd w:id="42"/>
    </w:p>
    <w:p w14:paraId="079B590A">
      <w:pPr>
        <w:spacing w:line="360" w:lineRule="auto"/>
        <w:ind w:firstLine="562"/>
        <w:rPr>
          <w:rFonts w:ascii="仿宋_GB2312"/>
          <w:szCs w:val="28"/>
          <w:highlight w:val="none"/>
        </w:rPr>
      </w:pPr>
      <w:r>
        <w:rPr>
          <w:rFonts w:hint="eastAsia" w:ascii="仿宋_GB2312"/>
          <w:b/>
          <w:bCs/>
          <w:szCs w:val="28"/>
          <w:highlight w:val="none"/>
        </w:rPr>
        <w:t>资金到位率：</w:t>
      </w:r>
      <w:r>
        <w:rPr>
          <w:rFonts w:hint="eastAsia" w:ascii="仿宋_GB2312" w:hAnsi="仿宋_GB2312"/>
          <w:highlight w:val="none"/>
        </w:rPr>
        <w:t>该项目资金由财政拨付，年初预算数1180.49万元，在2024年1月22到位，</w:t>
      </w:r>
      <w:r>
        <w:rPr>
          <w:rFonts w:hint="eastAsia" w:ascii="仿宋_GB2312" w:hAnsi="仿宋_GB2312"/>
          <w:highlight w:val="none"/>
          <w:lang w:val="en-US" w:eastAsia="zh-CN"/>
        </w:rPr>
        <w:t>年底收回28万元，</w:t>
      </w:r>
      <w:r>
        <w:rPr>
          <w:rFonts w:hint="eastAsia" w:ascii="仿宋_GB2312" w:hAnsi="仿宋_GB2312"/>
          <w:highlight w:val="none"/>
        </w:rPr>
        <w:t>实际到位资金</w:t>
      </w:r>
      <w:r>
        <w:rPr>
          <w:rFonts w:hint="eastAsia" w:ascii="仿宋_GB2312" w:hAnsi="仿宋_GB2312"/>
          <w:highlight w:val="none"/>
          <w:lang w:val="en-US" w:eastAsia="zh-CN"/>
        </w:rPr>
        <w:t>1152.49</w:t>
      </w:r>
      <w:r>
        <w:rPr>
          <w:rFonts w:hint="eastAsia" w:ascii="仿宋_GB2312" w:hAnsi="仿宋_GB2312"/>
          <w:highlight w:val="none"/>
        </w:rPr>
        <w:t>万元</w:t>
      </w:r>
      <w:r>
        <w:rPr>
          <w:rFonts w:hint="eastAsia" w:ascii="仿宋_GB2312" w:hAnsi="仿宋" w:cs="宋体"/>
          <w:b/>
          <w:kern w:val="0"/>
          <w:szCs w:val="28"/>
          <w:highlight w:val="none"/>
        </w:rPr>
        <w:t>。</w:t>
      </w:r>
      <w:r>
        <w:rPr>
          <w:rFonts w:hint="eastAsia" w:ascii="仿宋_GB2312" w:hAnsi="仿宋_GB2312"/>
          <w:highlight w:val="none"/>
          <w:lang w:val="en-US" w:eastAsia="zh-CN"/>
        </w:rPr>
        <w:t>资金到位率97.63%，</w:t>
      </w:r>
      <w:r>
        <w:rPr>
          <w:rFonts w:hint="eastAsia" w:ascii="仿宋_GB2312" w:hAnsi="仿宋" w:cs="宋体"/>
          <w:kern w:val="0"/>
          <w:szCs w:val="28"/>
          <w:highlight w:val="none"/>
        </w:rPr>
        <w:t>故资金到位率指标得分</w:t>
      </w:r>
      <w:r>
        <w:rPr>
          <w:rFonts w:hint="eastAsia" w:ascii="仿宋_GB2312" w:hAnsi="仿宋" w:cs="宋体"/>
          <w:kern w:val="0"/>
          <w:szCs w:val="28"/>
          <w:highlight w:val="none"/>
          <w:lang w:val="en-US" w:eastAsia="zh-CN"/>
        </w:rPr>
        <w:t>4.88</w:t>
      </w:r>
      <w:r>
        <w:rPr>
          <w:rFonts w:hint="eastAsia" w:ascii="仿宋_GB2312" w:hAnsi="仿宋" w:cs="宋体"/>
          <w:kern w:val="0"/>
          <w:szCs w:val="28"/>
          <w:highlight w:val="none"/>
        </w:rPr>
        <w:t>分。</w:t>
      </w:r>
    </w:p>
    <w:p w14:paraId="734D5993">
      <w:pPr>
        <w:spacing w:line="360" w:lineRule="auto"/>
        <w:ind w:firstLine="562"/>
        <w:rPr>
          <w:rFonts w:ascii="仿宋_GB2312"/>
          <w:szCs w:val="28"/>
          <w:highlight w:val="none"/>
        </w:rPr>
      </w:pPr>
      <w:r>
        <w:rPr>
          <w:rFonts w:hint="eastAsia" w:ascii="仿宋_GB2312"/>
          <w:b/>
          <w:bCs/>
          <w:szCs w:val="28"/>
          <w:highlight w:val="none"/>
        </w:rPr>
        <w:t>预算执行率：</w:t>
      </w:r>
      <w:r>
        <w:rPr>
          <w:rFonts w:hint="eastAsia" w:ascii="仿宋_GB2312" w:hAnsi="仿宋_GB2312"/>
          <w:highlight w:val="none"/>
        </w:rPr>
        <w:t>该项目实际到位资金1</w:t>
      </w:r>
      <w:r>
        <w:rPr>
          <w:rFonts w:hint="eastAsia" w:ascii="仿宋_GB2312" w:hAnsi="仿宋_GB2312"/>
          <w:highlight w:val="none"/>
          <w:lang w:val="en-US" w:eastAsia="zh-CN"/>
        </w:rPr>
        <w:t>152.49</w:t>
      </w:r>
      <w:r>
        <w:rPr>
          <w:rFonts w:hint="eastAsia" w:ascii="仿宋_GB2312" w:hAnsi="仿宋_GB2312"/>
          <w:highlight w:val="none"/>
        </w:rPr>
        <w:t>万元，实际共支付1152.49万元，预算执行率</w:t>
      </w:r>
      <w:r>
        <w:rPr>
          <w:rFonts w:hint="eastAsia" w:ascii="仿宋_GB2312" w:hAnsi="仿宋_GB2312"/>
          <w:highlight w:val="none"/>
          <w:lang w:val="en-US" w:eastAsia="zh-CN"/>
        </w:rPr>
        <w:t>100</w:t>
      </w:r>
      <w:r>
        <w:rPr>
          <w:rFonts w:hint="eastAsia" w:ascii="仿宋_GB2312" w:hAnsi="仿宋_GB2312"/>
          <w:highlight w:val="none"/>
        </w:rPr>
        <w:t>%</w:t>
      </w:r>
      <w:r>
        <w:rPr>
          <w:rFonts w:hint="eastAsia" w:ascii="仿宋_GB2312"/>
          <w:b/>
          <w:bCs/>
          <w:szCs w:val="28"/>
          <w:highlight w:val="none"/>
        </w:rPr>
        <w:t>。</w:t>
      </w:r>
      <w:r>
        <w:rPr>
          <w:rFonts w:hint="eastAsia" w:ascii="仿宋_GB2312"/>
          <w:szCs w:val="28"/>
          <w:highlight w:val="none"/>
        </w:rPr>
        <w:t>故预算执行率得分为</w:t>
      </w:r>
      <w:r>
        <w:rPr>
          <w:rFonts w:hint="eastAsia" w:ascii="仿宋_GB2312"/>
          <w:szCs w:val="28"/>
          <w:highlight w:val="none"/>
          <w:lang w:val="en-US" w:eastAsia="zh-CN"/>
        </w:rPr>
        <w:t>5</w:t>
      </w:r>
      <w:r>
        <w:rPr>
          <w:rFonts w:hint="eastAsia" w:ascii="仿宋_GB2312"/>
          <w:szCs w:val="28"/>
          <w:highlight w:val="none"/>
        </w:rPr>
        <w:t>分。</w:t>
      </w:r>
    </w:p>
    <w:p w14:paraId="65BE74DA">
      <w:pPr>
        <w:spacing w:line="360" w:lineRule="auto"/>
        <w:ind w:firstLine="560"/>
        <w:rPr>
          <w:rFonts w:hint="eastAsia" w:ascii="仿宋_GB2312" w:hAnsi="仿宋_GB2312"/>
          <w:color w:val="auto"/>
        </w:rPr>
      </w:pPr>
      <w:r>
        <w:rPr>
          <w:rFonts w:ascii="仿宋_GB2312" w:hAnsi="仿宋_GB2312"/>
          <w:color w:val="auto"/>
        </w:rPr>
        <w:t>该项目资金实际使用包括</w:t>
      </w:r>
      <w:r>
        <w:rPr>
          <w:rFonts w:hint="eastAsia" w:ascii="仿宋_GB2312" w:hAnsi="仿宋_GB2312"/>
          <w:color w:val="auto"/>
          <w:lang w:eastAsia="zh-CN"/>
        </w:rPr>
        <w:t>：</w:t>
      </w:r>
      <w:r>
        <w:rPr>
          <w:rFonts w:hint="eastAsia" w:ascii="仿宋_GB2312" w:hAnsi="仿宋_GB2312"/>
          <w:color w:val="auto"/>
          <w:lang w:val="en-US" w:eastAsia="zh-CN"/>
        </w:rPr>
        <w:t>电费85</w:t>
      </w:r>
      <w:r>
        <w:rPr>
          <w:rFonts w:ascii="仿宋_GB2312" w:hAnsi="仿宋_GB2312"/>
          <w:color w:val="auto"/>
        </w:rPr>
        <w:t>万元、</w:t>
      </w:r>
      <w:r>
        <w:rPr>
          <w:rFonts w:hint="eastAsia" w:ascii="仿宋_GB2312" w:hAnsi="仿宋_GB2312"/>
          <w:color w:val="auto"/>
          <w:lang w:val="en-US" w:eastAsia="zh-CN"/>
        </w:rPr>
        <w:t>维修（护）费144.93</w:t>
      </w:r>
      <w:r>
        <w:rPr>
          <w:rFonts w:ascii="仿宋_GB2312" w:hAnsi="仿宋_GB2312"/>
          <w:color w:val="auto"/>
        </w:rPr>
        <w:t>万元、</w:t>
      </w:r>
      <w:r>
        <w:rPr>
          <w:rFonts w:hint="eastAsia" w:ascii="仿宋_GB2312" w:hAnsi="仿宋_GB2312"/>
          <w:color w:val="auto"/>
          <w:lang w:val="en-US" w:eastAsia="zh-CN"/>
        </w:rPr>
        <w:t>专用材料费580.68</w:t>
      </w:r>
      <w:r>
        <w:rPr>
          <w:rFonts w:ascii="仿宋_GB2312" w:hAnsi="仿宋_GB2312"/>
          <w:color w:val="auto"/>
        </w:rPr>
        <w:t>万元、</w:t>
      </w:r>
      <w:r>
        <w:rPr>
          <w:rFonts w:hint="eastAsia" w:ascii="仿宋_GB2312" w:hAnsi="仿宋_GB2312"/>
          <w:color w:val="auto"/>
          <w:lang w:val="en-US" w:eastAsia="zh-CN"/>
        </w:rPr>
        <w:t>其他工资福利支出90</w:t>
      </w:r>
      <w:r>
        <w:rPr>
          <w:rFonts w:ascii="仿宋_GB2312" w:hAnsi="仿宋_GB2312"/>
          <w:color w:val="auto"/>
        </w:rPr>
        <w:t>万元、</w:t>
      </w:r>
      <w:r>
        <w:rPr>
          <w:rFonts w:hint="eastAsia" w:ascii="仿宋_GB2312" w:hAnsi="仿宋_GB2312"/>
          <w:color w:val="auto"/>
          <w:lang w:val="en-US" w:eastAsia="zh-CN"/>
        </w:rPr>
        <w:t>委托业务费222.99</w:t>
      </w:r>
      <w:r>
        <w:rPr>
          <w:rFonts w:ascii="仿宋_GB2312" w:hAnsi="仿宋_GB2312"/>
          <w:color w:val="auto"/>
        </w:rPr>
        <w:t>万元</w:t>
      </w:r>
      <w:r>
        <w:rPr>
          <w:rFonts w:hint="eastAsia" w:ascii="仿宋_GB2312" w:hAnsi="仿宋_GB2312"/>
          <w:color w:val="auto"/>
          <w:lang w:val="en-US" w:eastAsia="zh-CN"/>
        </w:rPr>
        <w:t>和其他商品服务支出28.89万元</w:t>
      </w:r>
      <w:r>
        <w:rPr>
          <w:rFonts w:ascii="仿宋_GB2312" w:hAnsi="仿宋_GB2312"/>
          <w:color w:val="auto"/>
        </w:rPr>
        <w:t>，由于各部分资金具体支出对象较为繁杂</w:t>
      </w:r>
      <w:r>
        <w:rPr>
          <w:rFonts w:hint="eastAsia" w:ascii="仿宋_GB2312" w:hAnsi="仿宋_GB2312"/>
          <w:color w:val="auto"/>
          <w:lang w:val="en-US" w:eastAsia="zh-CN"/>
        </w:rPr>
        <w:t>且支付条数较多</w:t>
      </w:r>
      <w:r>
        <w:rPr>
          <w:rFonts w:ascii="仿宋_GB2312" w:hAnsi="仿宋_GB2312"/>
          <w:color w:val="auto"/>
        </w:rPr>
        <w:t>，以下仅对部分予以说明。</w:t>
      </w:r>
    </w:p>
    <w:p w14:paraId="0EDD4B70">
      <w:pPr>
        <w:spacing w:line="360" w:lineRule="auto"/>
        <w:ind w:firstLine="560"/>
        <w:rPr>
          <w:rFonts w:hint="eastAsia" w:ascii="仿宋_GB2312" w:hAnsi="仿宋_GB2312" w:eastAsia="仿宋_GB2312"/>
          <w:color w:val="auto"/>
          <w:lang w:eastAsia="zh-CN"/>
        </w:rPr>
      </w:pPr>
      <w:r>
        <w:rPr>
          <w:rFonts w:hint="eastAsia" w:ascii="仿宋_GB2312" w:hAnsi="仿宋_GB2312"/>
          <w:color w:val="auto"/>
          <w:lang w:val="en-US" w:eastAsia="zh-CN"/>
        </w:rPr>
        <w:t>电费85万元，明细如下：</w:t>
      </w:r>
      <w:r>
        <w:rPr>
          <w:rFonts w:ascii="仿宋_GB2312" w:hAnsi="仿宋_GB2312"/>
          <w:color w:val="auto"/>
        </w:rPr>
        <w:t>4月24日支付国网新疆电力有限公司</w:t>
      </w:r>
      <w:r>
        <w:rPr>
          <w:rFonts w:ascii="仿宋_GB2312" w:hAnsi="仿宋_GB2312"/>
        </w:rPr>
        <w:t>19万</w:t>
      </w:r>
      <w:r>
        <w:rPr>
          <w:rFonts w:hint="eastAsia" w:ascii="仿宋_GB2312" w:hAnsi="仿宋_GB2312"/>
          <w:lang w:val="en-US" w:eastAsia="zh-CN"/>
        </w:rPr>
        <w:t>元</w:t>
      </w:r>
      <w:r>
        <w:rPr>
          <w:rFonts w:hint="eastAsia" w:ascii="仿宋_GB2312" w:hAnsi="仿宋_GB2312"/>
        </w:rPr>
        <w:t>，</w:t>
      </w:r>
      <w:r>
        <w:rPr>
          <w:rFonts w:ascii="仿宋_GB2312" w:hAnsi="仿宋_GB2312"/>
        </w:rPr>
        <w:t>8月14日支付国网新疆电力有限公司30万</w:t>
      </w:r>
      <w:r>
        <w:rPr>
          <w:rFonts w:hint="eastAsia" w:ascii="仿宋_GB2312" w:hAnsi="仿宋_GB2312"/>
          <w:lang w:val="en-US" w:eastAsia="zh-CN"/>
        </w:rPr>
        <w:t>元</w:t>
      </w:r>
      <w:r>
        <w:rPr>
          <w:rFonts w:hint="eastAsia" w:ascii="仿宋_GB2312" w:hAnsi="仿宋_GB2312"/>
        </w:rPr>
        <w:t>，</w:t>
      </w:r>
      <w:r>
        <w:rPr>
          <w:rFonts w:ascii="仿宋_GB2312" w:hAnsi="仿宋_GB2312"/>
        </w:rPr>
        <w:t>10月10日支付国网新疆电力有限公司0.6万</w:t>
      </w:r>
      <w:r>
        <w:rPr>
          <w:rFonts w:hint="eastAsia" w:ascii="仿宋_GB2312" w:hAnsi="仿宋_GB2312"/>
          <w:lang w:val="en-US" w:eastAsia="zh-CN"/>
        </w:rPr>
        <w:t>元</w:t>
      </w:r>
      <w:r>
        <w:rPr>
          <w:rFonts w:hint="eastAsia" w:ascii="仿宋_GB2312" w:hAnsi="仿宋_GB2312"/>
        </w:rPr>
        <w:t>，</w:t>
      </w:r>
      <w:r>
        <w:rPr>
          <w:rFonts w:ascii="仿宋_GB2312" w:hAnsi="仿宋_GB2312"/>
        </w:rPr>
        <w:t>12月6日支付国网新疆电力</w:t>
      </w:r>
      <w:r>
        <w:rPr>
          <w:rFonts w:ascii="仿宋_GB2312" w:hAnsi="仿宋_GB2312"/>
          <w:color w:val="auto"/>
        </w:rPr>
        <w:t>有限公司3</w:t>
      </w:r>
      <w:r>
        <w:rPr>
          <w:rFonts w:hint="eastAsia" w:ascii="仿宋_GB2312" w:hAnsi="仿宋_GB2312"/>
          <w:color w:val="auto"/>
        </w:rPr>
        <w:t>5</w:t>
      </w:r>
      <w:r>
        <w:rPr>
          <w:rFonts w:ascii="仿宋_GB2312" w:hAnsi="仿宋_GB2312"/>
          <w:color w:val="auto"/>
        </w:rPr>
        <w:t>.4万</w:t>
      </w:r>
      <w:r>
        <w:rPr>
          <w:rFonts w:hint="eastAsia" w:ascii="仿宋_GB2312" w:hAnsi="仿宋_GB2312"/>
          <w:color w:val="auto"/>
          <w:lang w:val="en-US" w:eastAsia="zh-CN"/>
        </w:rPr>
        <w:t>元</w:t>
      </w:r>
      <w:r>
        <w:rPr>
          <w:rFonts w:hint="eastAsia" w:ascii="仿宋_GB2312" w:hAnsi="仿宋_GB2312"/>
          <w:color w:val="auto"/>
          <w:lang w:eastAsia="zh-CN"/>
        </w:rPr>
        <w:t>。</w:t>
      </w:r>
    </w:p>
    <w:p w14:paraId="34BAD27F">
      <w:pPr>
        <w:spacing w:line="360" w:lineRule="auto"/>
        <w:ind w:firstLine="560"/>
        <w:rPr>
          <w:rFonts w:ascii="仿宋_GB2312" w:hAnsi="仿宋_GB2312"/>
          <w:highlight w:val="none"/>
        </w:rPr>
      </w:pPr>
      <w:r>
        <w:rPr>
          <w:rFonts w:hint="eastAsia" w:ascii="仿宋_GB2312" w:hAnsi="仿宋_GB2312"/>
          <w:color w:val="auto"/>
          <w:lang w:val="en-US" w:eastAsia="zh-CN"/>
        </w:rPr>
        <w:t>专用材料费580.68</w:t>
      </w:r>
      <w:r>
        <w:rPr>
          <w:rFonts w:ascii="仿宋_GB2312" w:hAnsi="仿宋_GB2312"/>
          <w:color w:val="auto"/>
        </w:rPr>
        <w:t>万元</w:t>
      </w:r>
      <w:r>
        <w:rPr>
          <w:rFonts w:hint="eastAsia" w:ascii="仿宋_GB2312" w:hAnsi="仿宋_GB2312"/>
          <w:color w:val="auto"/>
          <w:lang w:val="en-US" w:eastAsia="zh-CN"/>
        </w:rPr>
        <w:t>，明细如下：</w:t>
      </w:r>
      <w:r>
        <w:rPr>
          <w:rFonts w:hint="eastAsia" w:ascii="仿宋_GB2312" w:hAnsi="仿宋_GB2312"/>
          <w:color w:val="auto"/>
        </w:rPr>
        <w:t>5月27日支付哈密市中心血站22.2452万元，7月19日支付新疆生产建设兵团第八师石河子市中心血站23.307万元，7月19日支付新疆维吾尔自治区阿克苏地区财政局34.5万元，9月4日支付国药集团新疆新特药业有限公司</w:t>
      </w:r>
      <w:r>
        <w:rPr>
          <w:rFonts w:hint="eastAsia" w:ascii="仿宋_GB2312" w:hAnsi="仿宋_GB2312"/>
        </w:rPr>
        <w:t>7.32456万元，11月20日支付新疆博卡嘉业生物科技有限公司0.28万元，11月20日支付新疆汇森康晟商贸有限公司4.085万元，11月20日支付伊犁哈萨克自治州财政局28.888万元，11月20日支付昌吉回族自治州中心血站119.0366万元，11月20日支付塔城地区中心血站31.396</w:t>
      </w:r>
      <w:bookmarkStart w:id="65" w:name="_GoBack"/>
      <w:bookmarkEnd w:id="65"/>
      <w:r>
        <w:rPr>
          <w:rFonts w:hint="eastAsia" w:ascii="仿宋_GB2312" w:hAnsi="仿宋_GB2312"/>
        </w:rPr>
        <w:t>万元，11月20日支付巴音郭楞蒙古自治州中心血站4.8095万元，11月20日支付伊犁哈萨克自治州阿勒泰地区财政局（非税专户）57.929万元，11月20日支付哈密市中心血站73.4659万元，11月20日支付和田地区中心血站9.177万元，11月20日支付新疆维吾尔自治区喀什地区财政局2.806万元，11月20日支付新疆生产建设兵团第八师石河子市中心血站7.0035万元，11月20日支付博尔塔拉蒙古自治州财政局预算外资金13.7195万元，12月9日支付新疆浩通医疗器械有限公司2.3058万元，11月21日支付克拉玛依市中心血站（献血办公室）6.6355万元，11月21日支付兵团财政非税缴款虚拟子账户11.516万元，11月21日支付吐鲁番市中心血站0.23万元，12月9日支付北京康彻思坦生物技术有限公司1万元，12月9日支付新疆三徕曼商贸有限公司12.79488万元，12月9日支付北京荣泰科贸有限公司2.386万元，12月9日支付新疆康斯敦科技有限公司11.6254万元，12月9日支付水磨沟区南湖北路金诚佳信办公用品经销部4.032万元，12月9日支付乌鲁木齐浩天中佳生物科技有限公司20.349万元，12月9日支付江西创捷医疗器械有限公司6.58686万元，12月9日支付乌鲁木齐义缘利业商贸有限公司2.1517万元，12月9日支付新疆有道生物科技有限公司2.875万元，12月9日支付河南茂荣医疗器械有限公司10.465万元，12月9日支付新疆和利嘉业电子科技有限公司1.278万元，12月9日支付河南茂荣医疗器械有限公司5.965万元，12月9日支付新疆康斯敦科技有限公司7.04504万元，12月9日支付新疆三徕曼商贸有限公司11.2896万元，12月9日支付深圳市爱康生物科技股份有限公司0.29万元，12月9日支付乌鲁木齐义缘利业商贸有限公司1.7326万元，12月9日支付乌鲁木齐浩天中佳生物科技有限公司4.683万元，12月9日支付北京康彻思坦生物技术有限公司1.5万元，12月9日支付新疆浩通医疗器械有限公司3.24万元，12月9日支付新疆和利嘉业电子科技有限公司4.3208万元，12月9日支付北京荣泰科贸有限公司1.33万元，12月11日支付克孜勒苏柯尔克孜自治州财政局</w:t>
      </w:r>
      <w:r>
        <w:rPr>
          <w:rFonts w:hint="eastAsia" w:ascii="仿宋_GB2312" w:hAnsi="仿宋_GB2312"/>
          <w:highlight w:val="none"/>
        </w:rPr>
        <w:t>3.082万元。</w:t>
      </w:r>
    </w:p>
    <w:p w14:paraId="2E4A715E">
      <w:pPr>
        <w:spacing w:line="360" w:lineRule="auto"/>
        <w:ind w:firstLine="560"/>
        <w:rPr>
          <w:rFonts w:ascii="仿宋_GB2312" w:hAnsi="仿宋_GB2312"/>
        </w:rPr>
      </w:pPr>
      <w:r>
        <w:rPr>
          <w:rFonts w:hint="eastAsia" w:ascii="仿宋_GB2312" w:hAnsi="仿宋_GB2312"/>
          <w:color w:val="auto"/>
          <w:highlight w:val="none"/>
          <w:lang w:val="en-US" w:eastAsia="zh-CN"/>
        </w:rPr>
        <w:t>其他商品服务支出28.89万元，明细如下：</w:t>
      </w:r>
      <w:r>
        <w:rPr>
          <w:rFonts w:hint="eastAsia" w:ascii="仿宋_GB2312" w:hAnsi="仿宋_GB2312"/>
          <w:color w:val="auto"/>
          <w:highlight w:val="none"/>
        </w:rPr>
        <w:t>4月24日支付</w:t>
      </w:r>
      <w:r>
        <w:rPr>
          <w:rFonts w:hint="eastAsia" w:ascii="仿宋_GB2312" w:hAnsi="仿宋_GB2312"/>
          <w:color w:val="auto"/>
        </w:rPr>
        <w:t>乌鲁</w:t>
      </w:r>
      <w:r>
        <w:rPr>
          <w:rFonts w:hint="eastAsia" w:ascii="仿宋_GB2312" w:hAnsi="仿宋_GB2312"/>
        </w:rPr>
        <w:t>木齐市百冰谦商贸有限公司1.764万元，9月25日支付郭荣0.004万元，11月20日支付新疆商采网超供应链管理有限公司0.2496万元，11月20日支付唐山启奥科技股份有限公司6.65万元，11月20日支付新疆一飞一翔管理咨询有限公司1.8万元，11月20日支付杨哲0.0327万元，11月20日支付亚生江·阿卜力米提，0.0425万元，12月9日支付唐山启奥科技股份有限公司9.9958万元，12月13日支付乌鲁木齐喜乐家搬迁服务有限公司1.7万元，12月13日支付头屯河区魏户滩路新真彩办公文具商行0.15万元，12月13日支付新疆商采网超供应链管理有限公司0.065万元，12月13日支付新疆沐杰文化科技有限公司0.2万元，12月18日支付新疆网传媒科技有限公司2万元，12月18日支付唐山启奥科技股份有限公司1.56万元，12月13日支付水磨沟区华凌市场原永骏办公用品商行0.075万元，12月17日支付沙依巴克区克拉玛依西路宇华实验试剂经销部2万元，12月20日支付沙依巴克区许德伟干鲜果批发行0.6万元。</w:t>
      </w:r>
    </w:p>
    <w:p w14:paraId="4FC42178">
      <w:pPr>
        <w:spacing w:line="360" w:lineRule="auto"/>
        <w:ind w:firstLine="562"/>
        <w:rPr>
          <w:rFonts w:ascii="仿宋_GB2312"/>
          <w:szCs w:val="28"/>
        </w:rPr>
      </w:pPr>
      <w:r>
        <w:rPr>
          <w:rFonts w:hint="eastAsia" w:ascii="仿宋_GB2312"/>
          <w:b/>
          <w:bCs/>
          <w:szCs w:val="28"/>
        </w:rPr>
        <w:t>资金使用合规性：</w:t>
      </w:r>
      <w:r>
        <w:rPr>
          <w:rFonts w:hint="eastAsia" w:ascii="仿宋_GB2312"/>
          <w:szCs w:val="28"/>
        </w:rPr>
        <w:t>本项目资金的使用符合国家财经法规和《乌鲁木齐市血液中心内部控制管理手册》以及有关专项资金管理办法的规定。同时，资金的使用由业务科室提出申请，财务科根据申请上报支付计划，支付计划由主管局和财政局审批，审批通过后，由财务科通知各科室提供支付材料，财务科人员根据支付材料进行支付。资金的拨付有完整的审批程序和手续，符合项目预算批复或合同规定的用途，不存在截留、挤占、挪用、虚列支出等情况。故资金使用合规性得分3分。</w:t>
      </w:r>
    </w:p>
    <w:p w14:paraId="4C35CF03">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13</w:t>
      </w:r>
      <w:r>
        <w:rPr>
          <w:rFonts w:hint="eastAsia" w:ascii="仿宋_GB2312" w:hAnsi="仿宋" w:cs="宋体"/>
          <w:b/>
          <w:kern w:val="0"/>
          <w:szCs w:val="28"/>
        </w:rPr>
        <w:t>分，得分12.88分。</w:t>
      </w:r>
    </w:p>
    <w:p w14:paraId="7EA9DDE1">
      <w:pPr>
        <w:pStyle w:val="4"/>
        <w:ind w:firstLine="643"/>
      </w:pPr>
      <w:bookmarkStart w:id="43" w:name="_Toc16009"/>
      <w:r>
        <w:t>2.</w:t>
      </w:r>
      <w:r>
        <w:rPr>
          <w:rFonts w:hint="eastAsia"/>
        </w:rPr>
        <w:t>组织实施</w:t>
      </w:r>
      <w:bookmarkEnd w:id="43"/>
    </w:p>
    <w:p w14:paraId="5F488630">
      <w:pPr>
        <w:spacing w:line="360" w:lineRule="auto"/>
        <w:ind w:firstLine="562"/>
        <w:rPr>
          <w:rFonts w:ascii="仿宋_GB2312"/>
          <w:szCs w:val="28"/>
        </w:rPr>
      </w:pPr>
      <w:r>
        <w:rPr>
          <w:rFonts w:hint="eastAsia" w:ascii="仿宋_GB2312"/>
          <w:b/>
          <w:bCs/>
          <w:szCs w:val="28"/>
        </w:rPr>
        <w:t>管理制度健全性</w:t>
      </w:r>
      <w:r>
        <w:rPr>
          <w:rFonts w:hint="eastAsia" w:ascii="仿宋_GB2312"/>
          <w:szCs w:val="28"/>
        </w:rPr>
        <w:t>：乌鲁木齐市血液中心已制定相应的财务和业务管理制度，如《血站质量管理规范》《血站实验室质量管理规范》《市血液中心落实“三重一大”制度实施细则》《突发公共卫生事件应急条例》《血站技术操作规程（2019版）》《血站基本标准》等制度，且制度合法、合规、完整，为项目顺利实施提供重要保障。故管理制度健全性得分为3分。</w:t>
      </w:r>
    </w:p>
    <w:p w14:paraId="7153AB27">
      <w:pPr>
        <w:spacing w:line="360" w:lineRule="auto"/>
        <w:ind w:firstLine="562"/>
        <w:rPr>
          <w:rFonts w:ascii="仿宋_GB2312"/>
          <w:szCs w:val="28"/>
        </w:rPr>
      </w:pPr>
      <w:r>
        <w:rPr>
          <w:rFonts w:hint="eastAsia" w:ascii="仿宋_GB2312"/>
          <w:b/>
          <w:bCs/>
          <w:szCs w:val="28"/>
        </w:rPr>
        <w:t>制度执行有效性：</w:t>
      </w:r>
      <w:r>
        <w:rPr>
          <w:rFonts w:hint="eastAsia" w:ascii="仿宋_GB2312"/>
          <w:szCs w:val="28"/>
        </w:rPr>
        <w:t>根据评价小组核查情况，乌鲁木齐市血液中心严格遵守相关法律法规和相关管理规定，项目调整及支出调整手续完备，整体管理合理有序，项目完成后，及时将会计凭证、采购合同、中标通知书等相关资料分类归档，制度执行有效。故制度执行有效性指标得分</w:t>
      </w:r>
      <w:r>
        <w:rPr>
          <w:rFonts w:ascii="仿宋_GB2312"/>
          <w:szCs w:val="28"/>
        </w:rPr>
        <w:t>4</w:t>
      </w:r>
      <w:r>
        <w:rPr>
          <w:rFonts w:hint="eastAsia" w:ascii="仿宋_GB2312"/>
          <w:szCs w:val="28"/>
        </w:rPr>
        <w:t>分。</w:t>
      </w:r>
    </w:p>
    <w:p w14:paraId="05BFB236">
      <w:pPr>
        <w:autoSpaceDE w:val="0"/>
        <w:spacing w:line="600" w:lineRule="exact"/>
        <w:ind w:firstLine="562"/>
        <w:rPr>
          <w:rFonts w:ascii="仿宋_GB2312" w:hAnsi="仿宋" w:cs="宋体"/>
          <w:b/>
          <w:kern w:val="0"/>
          <w:szCs w:val="28"/>
        </w:rPr>
      </w:pPr>
      <w:bookmarkStart w:id="44" w:name="_Hlk67670213"/>
      <w:r>
        <w:rPr>
          <w:rFonts w:hint="eastAsia" w:ascii="仿宋_GB2312" w:hAnsi="仿宋" w:cs="宋体"/>
          <w:b/>
          <w:kern w:val="0"/>
          <w:szCs w:val="28"/>
        </w:rPr>
        <w:t>综上，该指标满分</w:t>
      </w:r>
      <w:r>
        <w:rPr>
          <w:rFonts w:ascii="仿宋_GB2312" w:hAnsi="仿宋" w:cs="宋体"/>
          <w:b/>
          <w:kern w:val="0"/>
          <w:szCs w:val="28"/>
        </w:rPr>
        <w:t>7</w:t>
      </w:r>
      <w:r>
        <w:rPr>
          <w:rFonts w:hint="eastAsia" w:ascii="仿宋_GB2312" w:hAnsi="仿宋" w:cs="宋体"/>
          <w:b/>
          <w:kern w:val="0"/>
          <w:szCs w:val="28"/>
        </w:rPr>
        <w:t>分，得分</w:t>
      </w:r>
      <w:r>
        <w:rPr>
          <w:rFonts w:ascii="仿宋_GB2312" w:hAnsi="仿宋" w:cs="宋体"/>
          <w:b/>
          <w:kern w:val="0"/>
          <w:szCs w:val="28"/>
        </w:rPr>
        <w:t>7</w:t>
      </w:r>
      <w:r>
        <w:rPr>
          <w:rFonts w:hint="eastAsia" w:ascii="仿宋_GB2312" w:hAnsi="仿宋" w:cs="宋体"/>
          <w:b/>
          <w:kern w:val="0"/>
          <w:szCs w:val="28"/>
        </w:rPr>
        <w:t>分。</w:t>
      </w:r>
      <w:bookmarkEnd w:id="44"/>
    </w:p>
    <w:p w14:paraId="09D7541C">
      <w:pPr>
        <w:pStyle w:val="3"/>
        <w:ind w:firstLine="643"/>
        <w:rPr>
          <w:rFonts w:ascii="仿宋" w:hAnsi="仿宋" w:eastAsia="仿宋"/>
          <w:lang w:bidi="en-US"/>
        </w:rPr>
      </w:pPr>
      <w:bookmarkStart w:id="45" w:name="_Toc4392"/>
      <w:bookmarkStart w:id="46" w:name="_Toc67911614"/>
      <w:r>
        <w:rPr>
          <w:rFonts w:hint="eastAsia" w:ascii="仿宋" w:hAnsi="仿宋" w:eastAsia="仿宋"/>
          <w:lang w:bidi="en-US"/>
        </w:rPr>
        <w:t>（三）项目产出情况</w:t>
      </w:r>
      <w:bookmarkEnd w:id="45"/>
      <w:bookmarkEnd w:id="46"/>
    </w:p>
    <w:p w14:paraId="247B7FE4">
      <w:pPr>
        <w:spacing w:line="360" w:lineRule="auto"/>
        <w:ind w:firstLine="560"/>
        <w:rPr>
          <w:rFonts w:ascii="仿宋_GB2312"/>
          <w:szCs w:val="28"/>
        </w:rPr>
      </w:pPr>
      <w:r>
        <w:rPr>
          <w:rFonts w:hint="eastAsia" w:ascii="仿宋_GB2312"/>
          <w:szCs w:val="28"/>
        </w:rPr>
        <w:t>项目产出指标由</w:t>
      </w:r>
      <w:r>
        <w:rPr>
          <w:rFonts w:ascii="仿宋_GB2312"/>
          <w:szCs w:val="28"/>
        </w:rPr>
        <w:t>4</w:t>
      </w:r>
      <w:r>
        <w:rPr>
          <w:rFonts w:hint="eastAsia" w:ascii="仿宋_GB2312"/>
          <w:szCs w:val="28"/>
        </w:rPr>
        <w:t>个二级指标和12个三级指标构成，权重为</w:t>
      </w:r>
      <w:r>
        <w:rPr>
          <w:rFonts w:ascii="仿宋_GB2312"/>
          <w:szCs w:val="28"/>
        </w:rPr>
        <w:t>40</w:t>
      </w:r>
      <w:r>
        <w:rPr>
          <w:rFonts w:hint="eastAsia" w:ascii="仿宋_GB2312"/>
          <w:szCs w:val="28"/>
        </w:rPr>
        <w:t>分，实际得分39.41分。</w:t>
      </w:r>
    </w:p>
    <w:p w14:paraId="4F79785F">
      <w:pPr>
        <w:pStyle w:val="4"/>
        <w:ind w:firstLine="643"/>
      </w:pPr>
      <w:bookmarkStart w:id="47" w:name="_Toc8006"/>
      <w:r>
        <w:rPr>
          <w:rFonts w:hint="eastAsia"/>
        </w:rPr>
        <w:t>1</w:t>
      </w:r>
      <w:r>
        <w:t>.</w:t>
      </w:r>
      <w:r>
        <w:rPr>
          <w:rFonts w:hint="eastAsia"/>
        </w:rPr>
        <w:t>产出数量</w:t>
      </w:r>
      <w:bookmarkEnd w:id="47"/>
    </w:p>
    <w:p w14:paraId="38FCC5A3">
      <w:pPr>
        <w:spacing w:line="360" w:lineRule="auto"/>
        <w:ind w:firstLine="560"/>
        <w:rPr>
          <w:rFonts w:ascii="仿宋_GB2312"/>
          <w:color w:val="auto"/>
          <w:szCs w:val="28"/>
        </w:rPr>
      </w:pPr>
      <w:r>
        <w:rPr>
          <w:rFonts w:hint="eastAsia" w:ascii="仿宋_GB2312"/>
          <w:b/>
          <w:bCs w:val="0"/>
          <w:szCs w:val="28"/>
        </w:rPr>
        <w:t>数量指标“电梯定期维保次数”</w:t>
      </w:r>
      <w:r>
        <w:rPr>
          <w:rFonts w:hint="eastAsia" w:ascii="仿宋_GB2312"/>
          <w:bCs/>
          <w:szCs w:val="28"/>
        </w:rPr>
        <w:t>的目标值是≥22次，2024</w:t>
      </w:r>
      <w:r>
        <w:rPr>
          <w:rFonts w:ascii="仿宋_GB2312"/>
          <w:bCs/>
          <w:szCs w:val="28"/>
        </w:rPr>
        <w:t>年度我单位实际完成</w:t>
      </w:r>
      <w:r>
        <w:rPr>
          <w:rFonts w:hint="eastAsia" w:ascii="仿宋_GB2312"/>
          <w:bCs/>
          <w:szCs w:val="28"/>
        </w:rPr>
        <w:t>24次，</w:t>
      </w:r>
      <w:r>
        <w:rPr>
          <w:rFonts w:hint="eastAsia" w:ascii="仿宋_GB2312"/>
          <w:bCs/>
          <w:szCs w:val="28"/>
          <w:lang w:val="en-US" w:eastAsia="zh-CN"/>
        </w:rPr>
        <w:t>实际完成情况与目标范围之间的偏差9.09%，属于合理范围内。为了保障电梯运行安全，与维保单位约定</w:t>
      </w:r>
      <w:r>
        <w:rPr>
          <w:rFonts w:hint="eastAsia" w:ascii="仿宋_GB2312"/>
          <w:bCs/>
          <w:szCs w:val="28"/>
        </w:rPr>
        <w:t>一月维护2次，一年共计24次。</w:t>
      </w:r>
      <w:r>
        <w:rPr>
          <w:rFonts w:hint="eastAsia" w:ascii="仿宋_GB2312"/>
          <w:bCs/>
          <w:szCs w:val="28"/>
          <w:lang w:val="en-US" w:eastAsia="zh-CN"/>
        </w:rPr>
        <w:t>后期，我单位将按照预定维保次数调整目标值，降低偏差率</w:t>
      </w:r>
      <w:r>
        <w:rPr>
          <w:rFonts w:hint="eastAsia" w:ascii="仿宋_GB2312"/>
          <w:b w:val="0"/>
          <w:bCs/>
          <w:szCs w:val="28"/>
          <w:lang w:val="en-US" w:eastAsia="zh-CN"/>
        </w:rPr>
        <w:t>。</w:t>
      </w:r>
      <w:r>
        <w:rPr>
          <w:rFonts w:hint="eastAsia" w:ascii="仿宋_GB2312"/>
          <w:b w:val="0"/>
          <w:bCs/>
          <w:color w:val="auto"/>
          <w:szCs w:val="28"/>
        </w:rPr>
        <w:t>实际完成率：</w:t>
      </w:r>
      <w:r>
        <w:rPr>
          <w:rFonts w:hint="eastAsia" w:ascii="仿宋_GB2312"/>
          <w:b w:val="0"/>
          <w:bCs/>
          <w:color w:val="auto"/>
          <w:szCs w:val="28"/>
          <w:lang w:val="en-US" w:eastAsia="zh-CN"/>
        </w:rPr>
        <w:t>109.09</w:t>
      </w:r>
      <w:r>
        <w:rPr>
          <w:rFonts w:hint="eastAsia" w:ascii="仿宋_GB2312"/>
          <w:b w:val="0"/>
          <w:bCs/>
          <w:color w:val="auto"/>
          <w:szCs w:val="28"/>
        </w:rPr>
        <w:t>%，</w:t>
      </w:r>
      <w:r>
        <w:rPr>
          <w:rFonts w:hint="eastAsia" w:ascii="仿宋_GB2312"/>
          <w:color w:val="auto"/>
          <w:szCs w:val="28"/>
        </w:rPr>
        <w:t>故实际完成率得分为2分。</w:t>
      </w:r>
    </w:p>
    <w:p w14:paraId="247A76E7">
      <w:pPr>
        <w:spacing w:line="360" w:lineRule="auto"/>
        <w:ind w:firstLine="560"/>
        <w:rPr>
          <w:rFonts w:ascii="仿宋_GB2312"/>
          <w:szCs w:val="28"/>
        </w:rPr>
      </w:pPr>
      <w:r>
        <w:rPr>
          <w:rFonts w:hint="eastAsia" w:ascii="仿宋_GB2312"/>
          <w:b/>
          <w:bCs w:val="0"/>
          <w:szCs w:val="28"/>
        </w:rPr>
        <w:t>数量指标“维修维护设备种类”</w:t>
      </w:r>
      <w:r>
        <w:rPr>
          <w:rFonts w:hint="eastAsia" w:ascii="仿宋_GB2312"/>
          <w:bCs/>
          <w:szCs w:val="28"/>
        </w:rPr>
        <w:t>的目标值是≥6类，2024</w:t>
      </w:r>
      <w:r>
        <w:rPr>
          <w:rFonts w:ascii="仿宋_GB2312"/>
          <w:bCs/>
          <w:szCs w:val="28"/>
        </w:rPr>
        <w:t>年度我单位实际完成</w:t>
      </w:r>
      <w:r>
        <w:rPr>
          <w:rFonts w:hint="eastAsia" w:ascii="仿宋_GB2312"/>
          <w:bCs/>
          <w:szCs w:val="28"/>
        </w:rPr>
        <w:t>6类，</w:t>
      </w:r>
      <w:r>
        <w:rPr>
          <w:rFonts w:hint="eastAsia" w:ascii="仿宋_GB2312"/>
          <w:bCs/>
          <w:szCs w:val="28"/>
          <w:lang w:val="en-US" w:eastAsia="zh-CN"/>
        </w:rPr>
        <w:t>分别为监控设备类、消防设备类、特种设备类、专业设备类、通用设备类和办公设备类。</w:t>
      </w:r>
      <w:r>
        <w:rPr>
          <w:rFonts w:hint="eastAsia" w:ascii="仿宋_GB2312"/>
          <w:b w:val="0"/>
          <w:bCs/>
          <w:szCs w:val="28"/>
          <w:lang w:val="en-US" w:eastAsia="zh-CN"/>
        </w:rPr>
        <w:t>实际完成率：100%，</w:t>
      </w:r>
      <w:r>
        <w:rPr>
          <w:rFonts w:hint="eastAsia" w:ascii="仿宋_GB2312"/>
          <w:szCs w:val="28"/>
        </w:rPr>
        <w:t>故实际完成率得分为2分。</w:t>
      </w:r>
    </w:p>
    <w:p w14:paraId="45C9AC8B">
      <w:pPr>
        <w:spacing w:line="360" w:lineRule="auto"/>
        <w:ind w:firstLine="560"/>
        <w:rPr>
          <w:rFonts w:ascii="仿宋_GB2312"/>
          <w:bCs/>
          <w:color w:val="auto"/>
          <w:szCs w:val="28"/>
        </w:rPr>
      </w:pPr>
      <w:r>
        <w:rPr>
          <w:rFonts w:hint="eastAsia" w:ascii="仿宋_GB2312"/>
          <w:b/>
          <w:bCs w:val="0"/>
          <w:szCs w:val="28"/>
        </w:rPr>
        <w:t>数量指标“采购试剂耗材种类”</w:t>
      </w:r>
      <w:r>
        <w:rPr>
          <w:rFonts w:hint="eastAsia" w:ascii="仿宋_GB2312"/>
          <w:bCs/>
          <w:szCs w:val="28"/>
        </w:rPr>
        <w:t>的目标值是≥170种，2024</w:t>
      </w:r>
      <w:r>
        <w:rPr>
          <w:rFonts w:ascii="仿宋_GB2312"/>
          <w:bCs/>
          <w:szCs w:val="28"/>
        </w:rPr>
        <w:t>年度我单位实际完成</w:t>
      </w:r>
      <w:r>
        <w:rPr>
          <w:rFonts w:hint="eastAsia" w:ascii="仿宋_GB2312"/>
          <w:bCs/>
          <w:szCs w:val="28"/>
        </w:rPr>
        <w:t>176种，</w:t>
      </w:r>
      <w:r>
        <w:rPr>
          <w:rFonts w:hint="eastAsia" w:ascii="仿宋_GB2312"/>
          <w:bCs/>
          <w:szCs w:val="28"/>
          <w:lang w:val="en-US" w:eastAsia="zh-CN"/>
        </w:rPr>
        <w:t>实际完成情况与目标范围之间的偏差3.53%，属于合理范围内。试剂耗材由各业务科室上报需求，</w:t>
      </w:r>
      <w:r>
        <w:rPr>
          <w:rFonts w:hint="eastAsia" w:ascii="仿宋_GB2312"/>
          <w:bCs/>
          <w:szCs w:val="28"/>
        </w:rPr>
        <w:t>原计划采购170种，后根据单位实际需求采</w:t>
      </w:r>
      <w:r>
        <w:rPr>
          <w:rFonts w:hint="eastAsia" w:ascii="仿宋_GB2312"/>
          <w:bCs/>
          <w:color w:val="auto"/>
          <w:szCs w:val="28"/>
        </w:rPr>
        <w:t>购种类为176种。</w:t>
      </w:r>
      <w:r>
        <w:rPr>
          <w:rFonts w:hint="eastAsia" w:ascii="仿宋_GB2312"/>
          <w:b w:val="0"/>
          <w:bCs/>
          <w:szCs w:val="28"/>
          <w:lang w:val="en-US" w:eastAsia="zh-CN"/>
        </w:rPr>
        <w:t>实际完成率：103.53%，</w:t>
      </w:r>
      <w:r>
        <w:rPr>
          <w:rFonts w:hint="eastAsia" w:ascii="仿宋_GB2312"/>
          <w:color w:val="auto"/>
          <w:szCs w:val="28"/>
        </w:rPr>
        <w:t>故实际完成率得分为2分。</w:t>
      </w:r>
    </w:p>
    <w:p w14:paraId="6C08044F">
      <w:pPr>
        <w:spacing w:line="360" w:lineRule="auto"/>
        <w:ind w:firstLine="560"/>
        <w:rPr>
          <w:rFonts w:ascii="仿宋_GB2312"/>
          <w:color w:val="auto"/>
          <w:szCs w:val="28"/>
        </w:rPr>
      </w:pPr>
      <w:r>
        <w:rPr>
          <w:rFonts w:hint="eastAsia" w:ascii="仿宋_GB2312"/>
          <w:b/>
          <w:bCs w:val="0"/>
          <w:szCs w:val="28"/>
        </w:rPr>
        <w:t>数量指标“临聘人员数量”</w:t>
      </w:r>
      <w:r>
        <w:rPr>
          <w:rFonts w:hint="eastAsia" w:ascii="仿宋_GB2312"/>
          <w:bCs/>
          <w:color w:val="auto"/>
          <w:szCs w:val="28"/>
        </w:rPr>
        <w:t>的目标值是≥34人，</w:t>
      </w:r>
      <w:r>
        <w:rPr>
          <w:rFonts w:ascii="仿宋_GB2312"/>
          <w:bCs/>
          <w:color w:val="auto"/>
          <w:szCs w:val="28"/>
        </w:rPr>
        <w:t>2024年度我单位实际完成</w:t>
      </w:r>
      <w:r>
        <w:rPr>
          <w:rFonts w:hint="eastAsia" w:ascii="仿宋_GB2312"/>
          <w:bCs/>
          <w:color w:val="auto"/>
          <w:szCs w:val="28"/>
        </w:rPr>
        <w:t>39人，</w:t>
      </w:r>
      <w:r>
        <w:rPr>
          <w:rFonts w:hint="eastAsia" w:ascii="仿宋_GB2312"/>
          <w:bCs/>
          <w:color w:val="auto"/>
          <w:szCs w:val="28"/>
          <w:lang w:val="en-US" w:eastAsia="zh-CN"/>
        </w:rPr>
        <w:t>因2024年我单位新增外采点位，原计划34人无法满足采血的人员需求，按照需求情况招募采血护士，故2024年实际临聘人员为39人。</w:t>
      </w:r>
      <w:r>
        <w:rPr>
          <w:rFonts w:hint="eastAsia" w:ascii="仿宋_GB2312"/>
          <w:b w:val="0"/>
          <w:bCs/>
          <w:szCs w:val="28"/>
          <w:lang w:val="en-US" w:eastAsia="zh-CN"/>
        </w:rPr>
        <w:t>实际完成率：</w:t>
      </w:r>
      <w:r>
        <w:rPr>
          <w:rFonts w:hint="eastAsia" w:ascii="仿宋_GB2312"/>
          <w:color w:val="auto"/>
          <w:szCs w:val="28"/>
          <w:lang w:val="en-US" w:eastAsia="zh-CN"/>
        </w:rPr>
        <w:t>114.71</w:t>
      </w:r>
      <w:r>
        <w:rPr>
          <w:rFonts w:hint="eastAsia" w:ascii="仿宋_GB2312"/>
          <w:color w:val="auto"/>
          <w:szCs w:val="28"/>
        </w:rPr>
        <w:t>%，故实际完成率得分为2分。</w:t>
      </w:r>
    </w:p>
    <w:p w14:paraId="2DC6FA92">
      <w:pPr>
        <w:autoSpaceDE w:val="0"/>
        <w:spacing w:line="600" w:lineRule="exact"/>
        <w:ind w:firstLine="562"/>
        <w:rPr>
          <w:rFonts w:hint="eastAsia" w:ascii="Times New Roman" w:hAnsi="Times New Roman" w:cs="宋体"/>
          <w:b/>
          <w:kern w:val="0"/>
          <w:szCs w:val="28"/>
          <w:highlight w:val="none"/>
        </w:rPr>
      </w:pPr>
      <w:bookmarkStart w:id="48" w:name="_Toc25899"/>
      <w:r>
        <w:rPr>
          <w:rFonts w:hint="eastAsia" w:ascii="Times New Roman" w:hAnsi="Times New Roman" w:cs="宋体"/>
          <w:b/>
          <w:kern w:val="0"/>
          <w:szCs w:val="28"/>
          <w:highlight w:val="none"/>
        </w:rPr>
        <w:t>综上，</w:t>
      </w:r>
      <w:r>
        <w:rPr>
          <w:rFonts w:hint="eastAsia" w:ascii="Times New Roman" w:hAnsi="Times New Roman" w:cs="宋体"/>
          <w:b/>
          <w:kern w:val="0"/>
          <w:szCs w:val="28"/>
          <w:highlight w:val="none"/>
          <w:lang w:val="en-US" w:eastAsia="zh-CN"/>
        </w:rPr>
        <w:t>该</w:t>
      </w:r>
      <w:r>
        <w:rPr>
          <w:rFonts w:hint="eastAsia" w:ascii="Times New Roman" w:hAnsi="Times New Roman" w:cs="宋体"/>
          <w:b/>
          <w:kern w:val="0"/>
          <w:szCs w:val="28"/>
          <w:highlight w:val="none"/>
        </w:rPr>
        <w:t>指标的实际完成率</w:t>
      </w:r>
      <w:r>
        <w:rPr>
          <w:rFonts w:hint="eastAsia" w:ascii="Times New Roman" w:hAnsi="Times New Roman" w:cs="宋体"/>
          <w:b/>
          <w:kern w:val="0"/>
          <w:szCs w:val="28"/>
          <w:highlight w:val="none"/>
          <w:lang w:val="en-US" w:eastAsia="zh-CN"/>
        </w:rPr>
        <w:t>106.83</w:t>
      </w:r>
      <w:r>
        <w:rPr>
          <w:rFonts w:hint="eastAsia" w:ascii="Times New Roman" w:hAnsi="Times New Roman" w:cs="宋体"/>
          <w:b/>
          <w:kern w:val="0"/>
          <w:szCs w:val="28"/>
          <w:highlight w:val="none"/>
        </w:rPr>
        <w:t>%，赋分</w:t>
      </w:r>
      <w:r>
        <w:rPr>
          <w:rFonts w:hint="eastAsia" w:ascii="Times New Roman" w:hAnsi="Times New Roman" w:cs="宋体"/>
          <w:b/>
          <w:kern w:val="0"/>
          <w:szCs w:val="28"/>
          <w:highlight w:val="none"/>
          <w:lang w:val="en-US" w:eastAsia="zh-CN"/>
        </w:rPr>
        <w:t>8</w:t>
      </w:r>
      <w:r>
        <w:rPr>
          <w:rFonts w:hint="eastAsia" w:ascii="Times New Roman" w:hAnsi="Times New Roman" w:cs="宋体"/>
          <w:b/>
          <w:kern w:val="0"/>
          <w:szCs w:val="28"/>
          <w:highlight w:val="none"/>
        </w:rPr>
        <w:t>分，得分为</w:t>
      </w:r>
      <w:r>
        <w:rPr>
          <w:rFonts w:hint="eastAsia" w:ascii="Times New Roman" w:hAnsi="Times New Roman" w:cs="宋体"/>
          <w:b/>
          <w:kern w:val="0"/>
          <w:szCs w:val="28"/>
          <w:highlight w:val="none"/>
          <w:lang w:val="en-US" w:eastAsia="zh-CN"/>
        </w:rPr>
        <w:t>8</w:t>
      </w:r>
      <w:r>
        <w:rPr>
          <w:rFonts w:hint="eastAsia" w:ascii="Times New Roman" w:hAnsi="Times New Roman" w:cs="宋体"/>
          <w:b/>
          <w:kern w:val="0"/>
          <w:szCs w:val="28"/>
          <w:highlight w:val="none"/>
        </w:rPr>
        <w:t>分。</w:t>
      </w:r>
    </w:p>
    <w:p w14:paraId="375CBDE9">
      <w:pPr>
        <w:pStyle w:val="4"/>
        <w:ind w:firstLine="643"/>
      </w:pPr>
      <w:r>
        <w:rPr>
          <w:rFonts w:hint="eastAsia"/>
        </w:rPr>
        <w:t>2</w:t>
      </w:r>
      <w:r>
        <w:t>.</w:t>
      </w:r>
      <w:r>
        <w:rPr>
          <w:rFonts w:hint="eastAsia"/>
        </w:rPr>
        <w:t>产出质量</w:t>
      </w:r>
      <w:bookmarkEnd w:id="48"/>
    </w:p>
    <w:p w14:paraId="004C1670">
      <w:pPr>
        <w:spacing w:line="360" w:lineRule="auto"/>
        <w:ind w:firstLine="562"/>
        <w:rPr>
          <w:rFonts w:hint="eastAsia" w:ascii="仿宋_GB2312"/>
          <w:szCs w:val="28"/>
        </w:rPr>
      </w:pPr>
      <w:r>
        <w:rPr>
          <w:rFonts w:hint="eastAsia" w:ascii="仿宋_GB2312"/>
          <w:b/>
          <w:bCs/>
          <w:szCs w:val="28"/>
        </w:rPr>
        <w:t>一次性验收合格率：</w:t>
      </w:r>
      <w:r>
        <w:rPr>
          <w:rFonts w:hint="eastAsia" w:ascii="仿宋_GB2312"/>
          <w:szCs w:val="28"/>
        </w:rPr>
        <w:t>我单位在试剂耗材入库前进行验收，验收合格后方可进行入库操作，2024年本项目试剂耗材经</w:t>
      </w:r>
      <w:r>
        <w:rPr>
          <w:rFonts w:hint="eastAsia" w:ascii="仿宋_GB2312"/>
          <w:szCs w:val="28"/>
          <w:lang w:val="en-US" w:eastAsia="zh-CN"/>
        </w:rPr>
        <w:t>验收合格后入库</w:t>
      </w:r>
      <w:r>
        <w:rPr>
          <w:rFonts w:hint="eastAsia" w:ascii="仿宋_GB2312"/>
          <w:szCs w:val="28"/>
        </w:rPr>
        <w:t>，</w:t>
      </w:r>
      <w:r>
        <w:rPr>
          <w:rFonts w:hint="eastAsia" w:ascii="仿宋_GB2312"/>
          <w:szCs w:val="28"/>
          <w:lang w:val="en-US" w:eastAsia="zh-CN"/>
        </w:rPr>
        <w:t>并由各业务科室领用。</w:t>
      </w:r>
      <w:r>
        <w:rPr>
          <w:rFonts w:hint="eastAsia" w:ascii="仿宋_GB2312"/>
          <w:szCs w:val="28"/>
        </w:rPr>
        <w:t>一次性验收合格率得分为10分。</w:t>
      </w:r>
    </w:p>
    <w:p w14:paraId="10FCEE0B">
      <w:pPr>
        <w:autoSpaceDE w:val="0"/>
        <w:spacing w:line="600" w:lineRule="exact"/>
        <w:ind w:firstLine="562"/>
        <w:rPr>
          <w:rFonts w:hint="eastAsia" w:ascii="仿宋_GB2312"/>
          <w:szCs w:val="28"/>
        </w:rPr>
      </w:pPr>
      <w:r>
        <w:rPr>
          <w:rFonts w:hint="eastAsia" w:ascii="Times New Roman" w:hAnsi="Times New Roman" w:cs="宋体"/>
          <w:b/>
          <w:kern w:val="0"/>
          <w:szCs w:val="28"/>
        </w:rPr>
        <w:t>综上，该指标满分</w:t>
      </w:r>
      <w:r>
        <w:rPr>
          <w:rFonts w:ascii="Times New Roman" w:hAnsi="Times New Roman" w:cs="宋体"/>
          <w:b/>
          <w:kern w:val="0"/>
          <w:szCs w:val="28"/>
        </w:rPr>
        <w:t>1</w:t>
      </w:r>
      <w:r>
        <w:rPr>
          <w:rFonts w:hint="eastAsia" w:ascii="Times New Roman" w:hAnsi="Times New Roman" w:cs="宋体"/>
          <w:b/>
          <w:kern w:val="0"/>
          <w:szCs w:val="28"/>
          <w:lang w:val="en-US" w:eastAsia="zh-CN"/>
        </w:rPr>
        <w:t>0</w:t>
      </w:r>
      <w:r>
        <w:rPr>
          <w:rFonts w:hint="eastAsia" w:ascii="Times New Roman" w:hAnsi="Times New Roman" w:cs="宋体"/>
          <w:b/>
          <w:kern w:val="0"/>
          <w:szCs w:val="28"/>
        </w:rPr>
        <w:t>分，得分1</w:t>
      </w:r>
      <w:r>
        <w:rPr>
          <w:rFonts w:hint="eastAsia" w:ascii="Times New Roman" w:hAnsi="Times New Roman" w:cs="宋体"/>
          <w:b/>
          <w:kern w:val="0"/>
          <w:szCs w:val="28"/>
          <w:lang w:val="en-US" w:eastAsia="zh-CN"/>
        </w:rPr>
        <w:t>0</w:t>
      </w:r>
      <w:r>
        <w:rPr>
          <w:rFonts w:hint="eastAsia" w:ascii="Times New Roman" w:hAnsi="Times New Roman" w:cs="宋体"/>
          <w:b/>
          <w:kern w:val="0"/>
          <w:szCs w:val="28"/>
        </w:rPr>
        <w:t>分。</w:t>
      </w:r>
    </w:p>
    <w:p w14:paraId="4957446D">
      <w:pPr>
        <w:pStyle w:val="4"/>
        <w:ind w:firstLine="643"/>
        <w:rPr>
          <w:rFonts w:hint="eastAsia"/>
        </w:rPr>
      </w:pPr>
      <w:bookmarkStart w:id="49" w:name="_Toc31791"/>
      <w:r>
        <w:rPr>
          <w:rFonts w:hint="eastAsia"/>
        </w:rPr>
        <w:t>3.产出时效</w:t>
      </w:r>
      <w:bookmarkEnd w:id="49"/>
    </w:p>
    <w:p w14:paraId="619E94D4">
      <w:pPr>
        <w:spacing w:line="360" w:lineRule="auto"/>
        <w:ind w:firstLine="562"/>
        <w:rPr>
          <w:rFonts w:ascii="仿宋_GB2312"/>
          <w:color w:val="FF0000"/>
          <w:szCs w:val="28"/>
        </w:rPr>
      </w:pPr>
      <w:r>
        <w:rPr>
          <w:rFonts w:hint="eastAsia" w:ascii="仿宋_GB2312"/>
          <w:b/>
          <w:bCs/>
          <w:color w:val="auto"/>
          <w:szCs w:val="28"/>
        </w:rPr>
        <w:t>预算拨付后完成采购时间：</w:t>
      </w:r>
      <w:r>
        <w:rPr>
          <w:rFonts w:hint="eastAsia" w:ascii="仿宋_GB2312"/>
          <w:color w:val="auto"/>
          <w:szCs w:val="28"/>
          <w:highlight w:val="none"/>
          <w:lang w:val="en-US" w:eastAsia="zh-CN"/>
        </w:rPr>
        <w:t>目</w:t>
      </w:r>
      <w:r>
        <w:rPr>
          <w:rFonts w:hint="eastAsia" w:ascii="仿宋_GB2312"/>
          <w:color w:val="auto"/>
          <w:szCs w:val="28"/>
          <w:lang w:val="en-US" w:eastAsia="zh-CN"/>
        </w:rPr>
        <w:t>标值：≤10个月。本项目</w:t>
      </w:r>
      <w:r>
        <w:rPr>
          <w:rFonts w:hint="eastAsia" w:ascii="仿宋_GB2312"/>
          <w:color w:val="auto"/>
          <w:szCs w:val="28"/>
        </w:rPr>
        <w:t>预算</w:t>
      </w:r>
      <w:r>
        <w:rPr>
          <w:rFonts w:hint="eastAsia" w:ascii="仿宋_GB2312"/>
          <w:color w:val="auto"/>
          <w:szCs w:val="28"/>
          <w:lang w:val="en-US" w:eastAsia="zh-CN"/>
        </w:rPr>
        <w:t>于</w:t>
      </w:r>
      <w:r>
        <w:rPr>
          <w:rFonts w:hint="eastAsia" w:ascii="仿宋_GB2312"/>
          <w:szCs w:val="28"/>
          <w:lang w:val="en-US" w:eastAsia="zh-CN"/>
        </w:rPr>
        <w:t>2024年</w:t>
      </w:r>
      <w:r>
        <w:rPr>
          <w:rFonts w:hint="eastAsia" w:ascii="仿宋_GB2312"/>
          <w:szCs w:val="28"/>
        </w:rPr>
        <w:t>1月拨付，我单位在10月完成采购。</w:t>
      </w:r>
      <w:r>
        <w:rPr>
          <w:rFonts w:hint="eastAsia" w:ascii="仿宋_GB2312"/>
          <w:szCs w:val="28"/>
          <w:lang w:val="en-US" w:eastAsia="zh-CN"/>
        </w:rPr>
        <w:t>预算下达后完成招标采购时间为9个月。</w:t>
      </w:r>
      <w:r>
        <w:rPr>
          <w:rFonts w:hint="eastAsia" w:ascii="仿宋_GB2312"/>
          <w:szCs w:val="28"/>
        </w:rPr>
        <w:t>故产出时效得分为10分。</w:t>
      </w:r>
    </w:p>
    <w:p w14:paraId="30FA36A6">
      <w:pPr>
        <w:autoSpaceDE w:val="0"/>
        <w:spacing w:line="600" w:lineRule="exact"/>
        <w:ind w:firstLine="562"/>
        <w:rPr>
          <w:rFonts w:hint="eastAsia" w:ascii="仿宋_GB2312"/>
          <w:szCs w:val="28"/>
        </w:rPr>
      </w:pPr>
      <w:r>
        <w:rPr>
          <w:rFonts w:hint="eastAsia" w:ascii="Times New Roman" w:hAnsi="Times New Roman" w:cs="宋体"/>
          <w:b/>
          <w:kern w:val="0"/>
          <w:szCs w:val="28"/>
        </w:rPr>
        <w:t>综上，该指标满分</w:t>
      </w:r>
      <w:r>
        <w:rPr>
          <w:rFonts w:ascii="Times New Roman" w:hAnsi="Times New Roman" w:cs="宋体"/>
          <w:b/>
          <w:kern w:val="0"/>
          <w:szCs w:val="28"/>
        </w:rPr>
        <w:t>1</w:t>
      </w:r>
      <w:r>
        <w:rPr>
          <w:rFonts w:hint="eastAsia" w:ascii="Times New Roman" w:hAnsi="Times New Roman" w:cs="宋体"/>
          <w:b/>
          <w:kern w:val="0"/>
          <w:szCs w:val="28"/>
          <w:lang w:val="en-US" w:eastAsia="zh-CN"/>
        </w:rPr>
        <w:t>0</w:t>
      </w:r>
      <w:r>
        <w:rPr>
          <w:rFonts w:hint="eastAsia" w:ascii="Times New Roman" w:hAnsi="Times New Roman" w:cs="宋体"/>
          <w:b/>
          <w:kern w:val="0"/>
          <w:szCs w:val="28"/>
        </w:rPr>
        <w:t>分，得分1</w:t>
      </w:r>
      <w:r>
        <w:rPr>
          <w:rFonts w:hint="eastAsia" w:ascii="Times New Roman" w:hAnsi="Times New Roman" w:cs="宋体"/>
          <w:b/>
          <w:kern w:val="0"/>
          <w:szCs w:val="28"/>
          <w:lang w:val="en-US" w:eastAsia="zh-CN"/>
        </w:rPr>
        <w:t>0</w:t>
      </w:r>
      <w:r>
        <w:rPr>
          <w:rFonts w:hint="eastAsia" w:ascii="Times New Roman" w:hAnsi="Times New Roman" w:cs="宋体"/>
          <w:b/>
          <w:kern w:val="0"/>
          <w:szCs w:val="28"/>
        </w:rPr>
        <w:t>分。</w:t>
      </w:r>
    </w:p>
    <w:p w14:paraId="41E26B77">
      <w:pPr>
        <w:pStyle w:val="4"/>
        <w:ind w:firstLine="643"/>
        <w:rPr>
          <w:rFonts w:hint="eastAsia"/>
          <w:color w:val="auto"/>
          <w:highlight w:val="none"/>
        </w:rPr>
      </w:pPr>
      <w:bookmarkStart w:id="50" w:name="_Toc67911615"/>
      <w:bookmarkStart w:id="51" w:name="_Toc4286"/>
      <w:r>
        <w:rPr>
          <w:rFonts w:hint="eastAsia"/>
          <w:color w:val="auto"/>
          <w:highlight w:val="none"/>
        </w:rPr>
        <w:t>4.产出成本</w:t>
      </w:r>
      <w:bookmarkEnd w:id="50"/>
      <w:bookmarkEnd w:id="51"/>
    </w:p>
    <w:p w14:paraId="45DD9FA8">
      <w:pPr>
        <w:spacing w:line="360" w:lineRule="auto"/>
        <w:ind w:firstLine="562"/>
        <w:rPr>
          <w:rFonts w:ascii="仿宋_GB2312"/>
          <w:bCs/>
          <w:color w:val="auto"/>
          <w:szCs w:val="28"/>
          <w:highlight w:val="none"/>
        </w:rPr>
      </w:pPr>
      <w:r>
        <w:rPr>
          <w:rFonts w:hint="eastAsia" w:ascii="仿宋_GB2312"/>
          <w:b/>
          <w:bCs/>
          <w:color w:val="auto"/>
          <w:szCs w:val="28"/>
          <w:highlight w:val="none"/>
        </w:rPr>
        <w:t>经济成本</w:t>
      </w:r>
      <w:r>
        <w:rPr>
          <w:rFonts w:ascii="仿宋_GB2312"/>
          <w:b/>
          <w:bCs/>
          <w:color w:val="auto"/>
          <w:szCs w:val="28"/>
          <w:highlight w:val="none"/>
        </w:rPr>
        <w:t>：</w:t>
      </w:r>
      <w:r>
        <w:rPr>
          <w:rFonts w:hint="eastAsia" w:ascii="仿宋_GB2312"/>
          <w:b/>
          <w:bCs/>
          <w:color w:val="auto"/>
          <w:szCs w:val="28"/>
          <w:highlight w:val="none"/>
        </w:rPr>
        <w:t>支付电费</w:t>
      </w:r>
      <w:r>
        <w:rPr>
          <w:rFonts w:hint="eastAsia" w:ascii="仿宋_GB2312"/>
          <w:bCs/>
          <w:color w:val="auto"/>
          <w:szCs w:val="28"/>
          <w:highlight w:val="none"/>
        </w:rPr>
        <w:t>：本项目电费预算85万元，实际支付85万元</w:t>
      </w:r>
      <w:r>
        <w:rPr>
          <w:rFonts w:hint="eastAsia" w:ascii="仿宋_GB2312"/>
          <w:bCs/>
          <w:color w:val="auto"/>
          <w:szCs w:val="28"/>
          <w:highlight w:val="none"/>
          <w:lang w:eastAsia="zh-CN"/>
        </w:rPr>
        <w:t>。</w:t>
      </w:r>
      <w:r>
        <w:rPr>
          <w:rFonts w:hint="eastAsia" w:ascii="仿宋_GB2312"/>
          <w:bCs/>
          <w:color w:val="auto"/>
          <w:szCs w:val="28"/>
          <w:highlight w:val="none"/>
          <w:lang w:val="en-US" w:eastAsia="zh-CN"/>
        </w:rPr>
        <w:t>我单位</w:t>
      </w:r>
      <w:r>
        <w:rPr>
          <w:rFonts w:hint="eastAsia" w:ascii="仿宋_GB2312"/>
        </w:rPr>
        <w:t>因采供血业务的特殊性，血库、检验、制备等设备需24小时用电</w:t>
      </w:r>
      <w:r>
        <w:rPr>
          <w:rFonts w:hint="eastAsia" w:ascii="仿宋_GB2312"/>
          <w:bCs/>
          <w:color w:val="auto"/>
          <w:szCs w:val="28"/>
          <w:highlight w:val="none"/>
          <w:lang w:eastAsia="zh-CN"/>
        </w:rPr>
        <w:t>。</w:t>
      </w:r>
      <w:r>
        <w:rPr>
          <w:rFonts w:hint="eastAsia" w:ascii="仿宋_GB2312"/>
          <w:b w:val="0"/>
          <w:bCs w:val="0"/>
          <w:color w:val="auto"/>
          <w:szCs w:val="28"/>
          <w:highlight w:val="none"/>
        </w:rPr>
        <w:t>实际完成率：100%</w:t>
      </w:r>
      <w:r>
        <w:rPr>
          <w:rFonts w:hint="eastAsia" w:ascii="仿宋_GB2312"/>
          <w:b w:val="0"/>
          <w:bCs w:val="0"/>
          <w:color w:val="auto"/>
          <w:szCs w:val="28"/>
          <w:highlight w:val="none"/>
          <w:lang w:eastAsia="zh-CN"/>
        </w:rPr>
        <w:t>，</w:t>
      </w:r>
      <w:r>
        <w:rPr>
          <w:rFonts w:hint="eastAsia" w:ascii="仿宋_GB2312"/>
          <w:bCs/>
          <w:color w:val="auto"/>
          <w:szCs w:val="28"/>
          <w:highlight w:val="none"/>
        </w:rPr>
        <w:t>得分为2分。</w:t>
      </w:r>
    </w:p>
    <w:p w14:paraId="7AD28665">
      <w:pPr>
        <w:spacing w:line="360" w:lineRule="auto"/>
        <w:ind w:firstLine="562"/>
        <w:rPr>
          <w:rFonts w:ascii="仿宋_GB2312"/>
          <w:b w:val="0"/>
          <w:bCs/>
          <w:color w:val="auto"/>
          <w:szCs w:val="28"/>
          <w:highlight w:val="none"/>
        </w:rPr>
      </w:pPr>
      <w:r>
        <w:rPr>
          <w:rFonts w:hint="eastAsia" w:ascii="仿宋_GB2312"/>
          <w:b/>
          <w:bCs/>
          <w:color w:val="auto"/>
          <w:szCs w:val="28"/>
          <w:highlight w:val="none"/>
        </w:rPr>
        <w:t>经济成本</w:t>
      </w:r>
      <w:r>
        <w:rPr>
          <w:rFonts w:ascii="仿宋_GB2312"/>
          <w:b/>
          <w:bCs/>
          <w:color w:val="auto"/>
          <w:szCs w:val="28"/>
          <w:highlight w:val="none"/>
        </w:rPr>
        <w:t>：</w:t>
      </w:r>
      <w:r>
        <w:rPr>
          <w:rFonts w:hint="eastAsia" w:ascii="仿宋_GB2312"/>
          <w:b/>
          <w:bCs/>
          <w:color w:val="auto"/>
          <w:szCs w:val="28"/>
          <w:highlight w:val="none"/>
        </w:rPr>
        <w:t>支付设备维修、电梯维修维保等费用</w:t>
      </w:r>
      <w:r>
        <w:rPr>
          <w:rFonts w:hint="eastAsia" w:ascii="仿宋_GB2312"/>
          <w:bCs/>
          <w:color w:val="auto"/>
          <w:szCs w:val="28"/>
          <w:highlight w:val="none"/>
        </w:rPr>
        <w:t>：本项目设备维修、电梯维修维保等费用预算165.68万元，实际支出144.93万元。</w:t>
      </w:r>
      <w:r>
        <w:rPr>
          <w:rFonts w:hint="eastAsia" w:ascii="仿宋_GB2312"/>
          <w:bCs/>
          <w:color w:val="auto"/>
          <w:szCs w:val="28"/>
          <w:highlight w:val="none"/>
          <w:lang w:val="en-US" w:eastAsia="zh-CN"/>
        </w:rPr>
        <w:t>2024年</w:t>
      </w:r>
      <w:r>
        <w:rPr>
          <w:rFonts w:hint="eastAsia" w:ascii="仿宋_GB2312"/>
          <w:bCs/>
          <w:color w:val="auto"/>
          <w:szCs w:val="28"/>
          <w:highlight w:val="none"/>
        </w:rPr>
        <w:t>根据我中心实际情况进行设备及电梯维修维保，</w:t>
      </w:r>
      <w:r>
        <w:rPr>
          <w:rFonts w:hint="eastAsia" w:ascii="仿宋_GB2312"/>
          <w:bCs/>
          <w:color w:val="auto"/>
          <w:szCs w:val="28"/>
          <w:highlight w:val="none"/>
          <w:lang w:val="en-US" w:eastAsia="zh-CN"/>
        </w:rPr>
        <w:t>分别对</w:t>
      </w:r>
      <w:r>
        <w:rPr>
          <w:rFonts w:hint="eastAsia" w:ascii="仿宋_GB2312"/>
          <w:bCs/>
          <w:szCs w:val="28"/>
          <w:lang w:val="en-US" w:eastAsia="zh-CN"/>
        </w:rPr>
        <w:t>监控设备类、消防设备类、特种设备类、专业设备类、通用设备类和办公设备类等六类设备维修、维保，</w:t>
      </w:r>
      <w:r>
        <w:rPr>
          <w:rFonts w:hint="eastAsia" w:ascii="仿宋_GB2312"/>
          <w:bCs/>
          <w:color w:val="auto"/>
          <w:szCs w:val="28"/>
          <w:highlight w:val="none"/>
        </w:rPr>
        <w:t>剩余资金未使用</w:t>
      </w:r>
      <w:r>
        <w:rPr>
          <w:rFonts w:hint="eastAsia" w:ascii="仿宋_GB2312"/>
          <w:b w:val="0"/>
          <w:bCs/>
          <w:color w:val="auto"/>
          <w:szCs w:val="28"/>
          <w:highlight w:val="none"/>
          <w:lang w:eastAsia="zh-CN"/>
        </w:rPr>
        <w:t>。</w:t>
      </w:r>
      <w:r>
        <w:rPr>
          <w:rFonts w:hint="eastAsia" w:ascii="仿宋_GB2312"/>
          <w:b w:val="0"/>
          <w:bCs/>
          <w:color w:val="auto"/>
          <w:szCs w:val="28"/>
          <w:highlight w:val="none"/>
        </w:rPr>
        <w:t>实际完成率：</w:t>
      </w:r>
      <w:r>
        <w:rPr>
          <w:rFonts w:hint="eastAsia" w:ascii="仿宋_GB2312"/>
          <w:b w:val="0"/>
          <w:bCs/>
          <w:color w:val="auto"/>
          <w:szCs w:val="28"/>
          <w:highlight w:val="none"/>
          <w:lang w:val="en-US" w:eastAsia="zh-CN"/>
        </w:rPr>
        <w:t>87.48</w:t>
      </w:r>
      <w:r>
        <w:rPr>
          <w:rFonts w:hint="eastAsia" w:ascii="仿宋_GB2312"/>
          <w:b w:val="0"/>
          <w:bCs/>
          <w:color w:val="auto"/>
          <w:szCs w:val="28"/>
          <w:highlight w:val="none"/>
        </w:rPr>
        <w:t>%</w:t>
      </w:r>
      <w:r>
        <w:rPr>
          <w:rFonts w:hint="eastAsia" w:ascii="仿宋_GB2312"/>
          <w:b w:val="0"/>
          <w:bCs/>
          <w:color w:val="auto"/>
          <w:szCs w:val="28"/>
          <w:highlight w:val="none"/>
          <w:lang w:eastAsia="zh-CN"/>
        </w:rPr>
        <w:t>，</w:t>
      </w:r>
      <w:r>
        <w:rPr>
          <w:rFonts w:hint="eastAsia" w:ascii="仿宋_GB2312"/>
          <w:b w:val="0"/>
          <w:bCs/>
          <w:color w:val="auto"/>
          <w:szCs w:val="28"/>
          <w:highlight w:val="none"/>
        </w:rPr>
        <w:t>得分为1.75分。</w:t>
      </w:r>
    </w:p>
    <w:p w14:paraId="27ADD471">
      <w:pPr>
        <w:spacing w:line="360" w:lineRule="auto"/>
        <w:ind w:firstLine="562"/>
        <w:rPr>
          <w:rFonts w:hint="default" w:ascii="仿宋_GB2312"/>
          <w:bCs/>
          <w:color w:val="auto"/>
          <w:szCs w:val="28"/>
          <w:highlight w:val="none"/>
          <w:lang w:val="en-US" w:eastAsia="zh-CN"/>
        </w:rPr>
      </w:pPr>
      <w:r>
        <w:rPr>
          <w:rFonts w:hint="eastAsia" w:ascii="仿宋_GB2312"/>
          <w:b/>
          <w:bCs/>
          <w:color w:val="auto"/>
          <w:szCs w:val="28"/>
          <w:highlight w:val="none"/>
        </w:rPr>
        <w:t>经济成本</w:t>
      </w:r>
      <w:r>
        <w:rPr>
          <w:rFonts w:ascii="仿宋_GB2312"/>
          <w:b/>
          <w:bCs/>
          <w:color w:val="auto"/>
          <w:szCs w:val="28"/>
          <w:highlight w:val="none"/>
        </w:rPr>
        <w:t>：</w:t>
      </w:r>
      <w:r>
        <w:rPr>
          <w:rFonts w:hint="eastAsia" w:ascii="仿宋_GB2312"/>
          <w:b/>
          <w:bCs/>
          <w:color w:val="auto"/>
          <w:szCs w:val="28"/>
          <w:highlight w:val="none"/>
        </w:rPr>
        <w:t>支付试剂耗材及外调血费：</w:t>
      </w:r>
      <w:r>
        <w:rPr>
          <w:rFonts w:hint="eastAsia" w:ascii="仿宋_GB2312"/>
          <w:bCs/>
          <w:color w:val="auto"/>
          <w:szCs w:val="28"/>
          <w:highlight w:val="none"/>
          <w:lang w:val="en-US" w:eastAsia="zh-CN"/>
        </w:rPr>
        <w:t>本项目试剂耗材及外调血费预算580.98万元，实际支出580.68万元。其中：449.75万元为与哈密血站、和田血站等15家血站结算的外调血费；130.93万元为试剂耗材，试剂耗材的采购严格遵循相关规定要求，于中国政府采购网发布公告，进行公开招标，经专家评审后确定中标单位，与新疆三徕曼商贸有限公司、新疆康斯敦科技有限公司等多家公司签订采购合同。差额为试剂耗材招标采购差价。无超支</w:t>
      </w:r>
      <w:r>
        <w:rPr>
          <w:rFonts w:hint="eastAsia" w:ascii="仿宋_GB2312"/>
          <w:b w:val="0"/>
          <w:bCs/>
          <w:color w:val="auto"/>
          <w:szCs w:val="28"/>
          <w:highlight w:val="none"/>
          <w:lang w:eastAsia="zh-CN"/>
        </w:rPr>
        <w:t>。</w:t>
      </w:r>
      <w:r>
        <w:rPr>
          <w:rFonts w:hint="eastAsia" w:ascii="仿宋_GB2312"/>
          <w:b w:val="0"/>
          <w:bCs/>
          <w:color w:val="auto"/>
          <w:szCs w:val="28"/>
          <w:highlight w:val="none"/>
        </w:rPr>
        <w:t>实际完成率：</w:t>
      </w:r>
      <w:r>
        <w:rPr>
          <w:rFonts w:hint="eastAsia" w:ascii="仿宋_GB2312"/>
          <w:b w:val="0"/>
          <w:bCs/>
          <w:color w:val="auto"/>
          <w:szCs w:val="28"/>
          <w:highlight w:val="none"/>
          <w:lang w:val="en-US" w:eastAsia="zh-CN"/>
        </w:rPr>
        <w:t>99.95</w:t>
      </w:r>
      <w:r>
        <w:rPr>
          <w:rFonts w:hint="eastAsia" w:ascii="仿宋_GB2312"/>
          <w:b w:val="0"/>
          <w:bCs/>
          <w:color w:val="auto"/>
          <w:szCs w:val="28"/>
          <w:highlight w:val="none"/>
        </w:rPr>
        <w:t>%</w:t>
      </w:r>
      <w:r>
        <w:rPr>
          <w:rFonts w:hint="eastAsia" w:ascii="仿宋_GB2312"/>
          <w:color w:val="auto"/>
          <w:szCs w:val="28"/>
          <w:highlight w:val="none"/>
          <w:lang w:eastAsia="zh-CN"/>
        </w:rPr>
        <w:t>，</w:t>
      </w:r>
      <w:r>
        <w:rPr>
          <w:rFonts w:hint="eastAsia" w:ascii="仿宋_GB2312"/>
          <w:bCs/>
          <w:color w:val="auto"/>
          <w:szCs w:val="28"/>
          <w:highlight w:val="none"/>
          <w:lang w:val="en-US" w:eastAsia="zh-CN"/>
        </w:rPr>
        <w:t>得分为2分。</w:t>
      </w:r>
    </w:p>
    <w:p w14:paraId="04CB1294">
      <w:pPr>
        <w:spacing w:line="360" w:lineRule="auto"/>
        <w:ind w:firstLine="562"/>
        <w:rPr>
          <w:rFonts w:ascii="仿宋_GB2312"/>
          <w:bCs/>
          <w:color w:val="auto"/>
          <w:szCs w:val="28"/>
          <w:highlight w:val="none"/>
        </w:rPr>
      </w:pPr>
      <w:r>
        <w:rPr>
          <w:rFonts w:hint="eastAsia" w:ascii="仿宋_GB2312"/>
          <w:b/>
          <w:bCs/>
          <w:color w:val="auto"/>
          <w:szCs w:val="28"/>
          <w:highlight w:val="none"/>
        </w:rPr>
        <w:t>经济成本</w:t>
      </w:r>
      <w:r>
        <w:rPr>
          <w:rFonts w:ascii="仿宋_GB2312"/>
          <w:b/>
          <w:bCs/>
          <w:color w:val="auto"/>
          <w:szCs w:val="28"/>
          <w:highlight w:val="none"/>
        </w:rPr>
        <w:t>：</w:t>
      </w:r>
      <w:r>
        <w:rPr>
          <w:rFonts w:hint="eastAsia" w:ascii="仿宋_GB2312"/>
          <w:b/>
          <w:bCs/>
          <w:color w:val="auto"/>
          <w:szCs w:val="28"/>
          <w:highlight w:val="none"/>
        </w:rPr>
        <w:t>支付聘用人员劳务费：</w:t>
      </w:r>
      <w:r>
        <w:rPr>
          <w:rFonts w:hint="eastAsia" w:ascii="仿宋_GB2312"/>
          <w:bCs/>
          <w:color w:val="auto"/>
          <w:szCs w:val="28"/>
          <w:highlight w:val="none"/>
        </w:rPr>
        <w:t>本项目聘用人员劳务费预算90万元，实际支出90万元</w:t>
      </w:r>
      <w:r>
        <w:rPr>
          <w:rFonts w:hint="eastAsia" w:ascii="仿宋_GB2312"/>
          <w:bCs/>
          <w:color w:val="auto"/>
          <w:szCs w:val="28"/>
          <w:highlight w:val="none"/>
          <w:lang w:eastAsia="zh-CN"/>
        </w:rPr>
        <w:t>。</w:t>
      </w:r>
      <w:r>
        <w:rPr>
          <w:rFonts w:hint="eastAsia" w:ascii="仿宋_GB2312"/>
          <w:bCs/>
          <w:color w:val="auto"/>
          <w:szCs w:val="28"/>
          <w:highlight w:val="none"/>
          <w:lang w:val="en-US" w:eastAsia="zh-CN"/>
        </w:rPr>
        <w:t>我单位及时给聘用人员发放劳务费，各科室每月按时向人事提供考勤记录，人事根据考勤编写发放通知，财务科根据发放通知进行发放。</w:t>
      </w:r>
      <w:r>
        <w:rPr>
          <w:rFonts w:hint="eastAsia" w:ascii="仿宋_GB2312"/>
          <w:b w:val="0"/>
          <w:bCs w:val="0"/>
          <w:color w:val="auto"/>
          <w:szCs w:val="28"/>
          <w:highlight w:val="none"/>
        </w:rPr>
        <w:t>实际完成率：</w:t>
      </w:r>
      <w:r>
        <w:rPr>
          <w:rFonts w:hint="eastAsia" w:ascii="仿宋_GB2312"/>
          <w:b w:val="0"/>
          <w:bCs w:val="0"/>
          <w:color w:val="auto"/>
          <w:szCs w:val="28"/>
          <w:highlight w:val="none"/>
          <w:lang w:val="en-US" w:eastAsia="zh-CN"/>
        </w:rPr>
        <w:t>100</w:t>
      </w:r>
      <w:r>
        <w:rPr>
          <w:rFonts w:hint="eastAsia" w:ascii="仿宋_GB2312"/>
          <w:b w:val="0"/>
          <w:bCs w:val="0"/>
          <w:color w:val="auto"/>
          <w:szCs w:val="28"/>
          <w:highlight w:val="none"/>
        </w:rPr>
        <w:t>%</w:t>
      </w:r>
      <w:r>
        <w:rPr>
          <w:rFonts w:hint="eastAsia" w:ascii="仿宋_GB2312"/>
          <w:b w:val="0"/>
          <w:bCs w:val="0"/>
          <w:color w:val="auto"/>
          <w:szCs w:val="28"/>
          <w:highlight w:val="none"/>
          <w:lang w:eastAsia="zh-CN"/>
        </w:rPr>
        <w:t>，</w:t>
      </w:r>
      <w:r>
        <w:rPr>
          <w:rFonts w:hint="eastAsia" w:ascii="仿宋_GB2312"/>
          <w:b w:val="0"/>
          <w:bCs w:val="0"/>
          <w:color w:val="auto"/>
          <w:szCs w:val="28"/>
          <w:highlight w:val="none"/>
        </w:rPr>
        <w:t>得分</w:t>
      </w:r>
      <w:r>
        <w:rPr>
          <w:rFonts w:hint="eastAsia" w:ascii="仿宋_GB2312"/>
          <w:bCs/>
          <w:color w:val="auto"/>
          <w:szCs w:val="28"/>
          <w:highlight w:val="none"/>
        </w:rPr>
        <w:t>为2分。</w:t>
      </w:r>
    </w:p>
    <w:p w14:paraId="6F18F8D7">
      <w:pPr>
        <w:spacing w:line="360" w:lineRule="auto"/>
        <w:ind w:firstLine="562"/>
        <w:rPr>
          <w:rFonts w:ascii="仿宋_GB2312"/>
          <w:bCs/>
          <w:color w:val="auto"/>
          <w:szCs w:val="28"/>
          <w:highlight w:val="none"/>
        </w:rPr>
      </w:pPr>
      <w:r>
        <w:rPr>
          <w:rFonts w:hint="eastAsia" w:ascii="仿宋_GB2312"/>
          <w:b/>
          <w:bCs/>
          <w:color w:val="auto"/>
          <w:szCs w:val="28"/>
          <w:highlight w:val="none"/>
        </w:rPr>
        <w:t>经济成本</w:t>
      </w:r>
      <w:r>
        <w:rPr>
          <w:rFonts w:ascii="仿宋_GB2312"/>
          <w:b/>
          <w:bCs/>
          <w:color w:val="auto"/>
          <w:szCs w:val="28"/>
          <w:highlight w:val="none"/>
        </w:rPr>
        <w:t>：</w:t>
      </w:r>
      <w:r>
        <w:rPr>
          <w:rFonts w:hint="eastAsia" w:ascii="仿宋_GB2312"/>
          <w:b/>
          <w:bCs/>
          <w:color w:val="auto"/>
          <w:szCs w:val="28"/>
          <w:highlight w:val="none"/>
        </w:rPr>
        <w:t>支付献血者交通补贴、血费报销、医院奖励金等：</w:t>
      </w:r>
      <w:r>
        <w:rPr>
          <w:rFonts w:hint="eastAsia" w:ascii="仿宋_GB2312"/>
          <w:bCs/>
          <w:color w:val="auto"/>
          <w:szCs w:val="28"/>
          <w:highlight w:val="none"/>
        </w:rPr>
        <w:t>本项目献血者交通补贴、血费报销、医院奖励金等预算224.33万元，实际支出222.99万元</w:t>
      </w:r>
      <w:r>
        <w:rPr>
          <w:rFonts w:hint="eastAsia" w:ascii="仿宋_GB2312"/>
          <w:bCs/>
          <w:color w:val="auto"/>
          <w:szCs w:val="28"/>
          <w:highlight w:val="none"/>
          <w:lang w:eastAsia="zh-CN"/>
        </w:rPr>
        <w:t>。</w:t>
      </w:r>
      <w:r>
        <w:rPr>
          <w:rFonts w:hint="eastAsia" w:ascii="仿宋_GB2312"/>
          <w:bCs/>
          <w:color w:val="auto"/>
          <w:szCs w:val="28"/>
          <w:highlight w:val="none"/>
          <w:lang w:val="en-US" w:eastAsia="zh-CN"/>
        </w:rPr>
        <w:t>主要用于：血费报销264人次、交通费14267人次、医院奖励金20家医院。根据《中华人民共和国献血法（自治区实施&lt;中华人民共和国献血法&gt;若干规定）》规定献血者自献血之日起五年内不限量免费用血；五年后按献血量等量免费用血；献血累计达800ml以上的，终身免费用血；根据2006年卫生部发布的《关于限期停止有偿机采血小板的通知》一律停止有偿机采血小板，无偿捐献机采血小板的佳通费用应据实报销。</w:t>
      </w:r>
      <w:r>
        <w:rPr>
          <w:rFonts w:hint="eastAsia" w:ascii="仿宋_GB2312"/>
          <w:bCs/>
          <w:color w:val="auto"/>
          <w:szCs w:val="28"/>
          <w:highlight w:val="none"/>
        </w:rPr>
        <w:t>交通费、血费报销等资金需根据当年实际采血及用血报销情况进行支付，无法准确预期，因此该预算未全部支付</w:t>
      </w:r>
      <w:r>
        <w:rPr>
          <w:rFonts w:hint="eastAsia" w:ascii="仿宋_GB2312"/>
          <w:bCs/>
          <w:color w:val="auto"/>
          <w:szCs w:val="28"/>
          <w:highlight w:val="none"/>
          <w:lang w:eastAsia="zh-CN"/>
        </w:rPr>
        <w:t>。</w:t>
      </w:r>
      <w:r>
        <w:rPr>
          <w:rFonts w:hint="eastAsia" w:ascii="仿宋_GB2312"/>
          <w:b w:val="0"/>
          <w:bCs w:val="0"/>
          <w:color w:val="auto"/>
          <w:szCs w:val="28"/>
          <w:highlight w:val="none"/>
        </w:rPr>
        <w:t>实际完成率：</w:t>
      </w:r>
      <w:r>
        <w:rPr>
          <w:rFonts w:hint="eastAsia" w:ascii="仿宋_GB2312"/>
          <w:b w:val="0"/>
          <w:bCs w:val="0"/>
          <w:color w:val="auto"/>
          <w:szCs w:val="28"/>
          <w:highlight w:val="none"/>
          <w:lang w:val="en-US" w:eastAsia="zh-CN"/>
        </w:rPr>
        <w:t>99.40</w:t>
      </w:r>
      <w:r>
        <w:rPr>
          <w:rFonts w:hint="eastAsia" w:ascii="仿宋_GB2312"/>
          <w:b w:val="0"/>
          <w:bCs w:val="0"/>
          <w:color w:val="auto"/>
          <w:szCs w:val="28"/>
          <w:highlight w:val="none"/>
        </w:rPr>
        <w:t>%</w:t>
      </w:r>
      <w:r>
        <w:rPr>
          <w:rFonts w:hint="eastAsia" w:ascii="仿宋_GB2312"/>
          <w:b w:val="0"/>
          <w:bCs w:val="0"/>
          <w:color w:val="auto"/>
          <w:szCs w:val="28"/>
          <w:highlight w:val="none"/>
          <w:lang w:eastAsia="zh-CN"/>
        </w:rPr>
        <w:t>，</w:t>
      </w:r>
      <w:r>
        <w:rPr>
          <w:rFonts w:hint="eastAsia" w:ascii="仿宋_GB2312"/>
          <w:b w:val="0"/>
          <w:bCs w:val="0"/>
          <w:color w:val="auto"/>
          <w:szCs w:val="28"/>
          <w:highlight w:val="none"/>
        </w:rPr>
        <w:t>故</w:t>
      </w:r>
      <w:r>
        <w:rPr>
          <w:rFonts w:hint="eastAsia" w:ascii="仿宋_GB2312"/>
          <w:bCs/>
          <w:color w:val="auto"/>
          <w:szCs w:val="28"/>
          <w:highlight w:val="none"/>
        </w:rPr>
        <w:t>得分为1.99分。</w:t>
      </w:r>
    </w:p>
    <w:p w14:paraId="1E962EDA">
      <w:pPr>
        <w:spacing w:line="360" w:lineRule="auto"/>
        <w:ind w:firstLine="562"/>
        <w:rPr>
          <w:rFonts w:hint="eastAsia" w:ascii="仿宋_GB2312"/>
          <w:bCs/>
          <w:color w:val="auto"/>
          <w:szCs w:val="28"/>
          <w:highlight w:val="none"/>
        </w:rPr>
      </w:pPr>
      <w:r>
        <w:rPr>
          <w:rFonts w:hint="eastAsia" w:ascii="仿宋_GB2312"/>
          <w:b/>
          <w:bCs/>
          <w:color w:val="auto"/>
          <w:szCs w:val="28"/>
          <w:highlight w:val="none"/>
        </w:rPr>
        <w:t>经济成本</w:t>
      </w:r>
      <w:r>
        <w:rPr>
          <w:rFonts w:ascii="仿宋_GB2312"/>
          <w:b/>
          <w:bCs/>
          <w:color w:val="auto"/>
          <w:szCs w:val="28"/>
          <w:highlight w:val="none"/>
        </w:rPr>
        <w:t>：</w:t>
      </w:r>
      <w:r>
        <w:rPr>
          <w:rFonts w:hint="eastAsia" w:ascii="仿宋_GB2312"/>
          <w:b/>
          <w:bCs/>
          <w:color w:val="auto"/>
          <w:szCs w:val="28"/>
          <w:highlight w:val="none"/>
        </w:rPr>
        <w:t>支付献血者活动经费、水票、污水处理等费用：</w:t>
      </w:r>
      <w:r>
        <w:rPr>
          <w:rFonts w:hint="eastAsia" w:ascii="仿宋_GB2312"/>
          <w:bCs/>
          <w:color w:val="auto"/>
          <w:szCs w:val="28"/>
          <w:highlight w:val="none"/>
        </w:rPr>
        <w:t>本项目献血者活动经费、水票、污水处理等费用预算34.5万元，实际支出28.89万元，</w:t>
      </w:r>
      <w:r>
        <w:rPr>
          <w:rFonts w:hint="eastAsia" w:ascii="仿宋_GB2312"/>
          <w:bCs/>
          <w:color w:val="auto"/>
          <w:szCs w:val="28"/>
          <w:highlight w:val="none"/>
          <w:lang w:val="en-US" w:eastAsia="zh-CN"/>
        </w:rPr>
        <w:t>主要用于</w:t>
      </w:r>
      <w:r>
        <w:rPr>
          <w:rFonts w:hint="eastAsia" w:ascii="仿宋_GB2312"/>
          <w:bCs/>
          <w:color w:val="auto"/>
          <w:szCs w:val="28"/>
          <w:highlight w:val="none"/>
        </w:rPr>
        <w:t>献血者活动经费</w:t>
      </w:r>
      <w:r>
        <w:rPr>
          <w:rFonts w:hint="eastAsia" w:ascii="仿宋_GB2312"/>
          <w:bCs/>
          <w:color w:val="auto"/>
          <w:szCs w:val="28"/>
          <w:highlight w:val="none"/>
          <w:lang w:val="en-US" w:eastAsia="zh-CN"/>
        </w:rPr>
        <w:t>21.5万元，</w:t>
      </w:r>
      <w:r>
        <w:rPr>
          <w:rFonts w:hint="eastAsia" w:ascii="仿宋_GB2312"/>
          <w:bCs/>
          <w:color w:val="auto"/>
          <w:szCs w:val="28"/>
          <w:highlight w:val="none"/>
        </w:rPr>
        <w:t>按照当年实际情况支出，未达预期</w:t>
      </w:r>
      <w:r>
        <w:rPr>
          <w:rFonts w:hint="eastAsia" w:ascii="仿宋_GB2312"/>
          <w:bCs/>
          <w:color w:val="auto"/>
          <w:szCs w:val="28"/>
          <w:highlight w:val="none"/>
          <w:lang w:eastAsia="zh-CN"/>
        </w:rPr>
        <w:t>。</w:t>
      </w:r>
      <w:r>
        <w:rPr>
          <w:rFonts w:hint="eastAsia" w:ascii="仿宋_GB2312"/>
          <w:bCs/>
          <w:color w:val="auto"/>
          <w:szCs w:val="28"/>
          <w:highlight w:val="none"/>
          <w:lang w:val="en-US" w:eastAsia="zh-CN"/>
        </w:rPr>
        <w:t>完成值与目标值偏差为16.26%。后期我单位将编制更加明细的活动方案，提高资金的执行率。</w:t>
      </w:r>
      <w:r>
        <w:rPr>
          <w:rFonts w:hint="eastAsia" w:ascii="仿宋_GB2312"/>
          <w:b w:val="0"/>
          <w:bCs w:val="0"/>
          <w:color w:val="auto"/>
          <w:szCs w:val="28"/>
          <w:highlight w:val="none"/>
        </w:rPr>
        <w:t>实际完成率：</w:t>
      </w:r>
      <w:r>
        <w:rPr>
          <w:rFonts w:hint="eastAsia" w:ascii="仿宋_GB2312"/>
          <w:b w:val="0"/>
          <w:bCs w:val="0"/>
          <w:color w:val="auto"/>
          <w:szCs w:val="28"/>
          <w:highlight w:val="none"/>
          <w:lang w:val="en-US" w:eastAsia="zh-CN"/>
        </w:rPr>
        <w:t>83.74</w:t>
      </w:r>
      <w:r>
        <w:rPr>
          <w:rFonts w:hint="eastAsia" w:ascii="仿宋_GB2312"/>
          <w:b w:val="0"/>
          <w:bCs w:val="0"/>
          <w:color w:val="auto"/>
          <w:szCs w:val="28"/>
          <w:highlight w:val="none"/>
        </w:rPr>
        <w:t>%</w:t>
      </w:r>
      <w:r>
        <w:rPr>
          <w:rFonts w:hint="eastAsia" w:ascii="仿宋_GB2312"/>
          <w:b w:val="0"/>
          <w:bCs w:val="0"/>
          <w:color w:val="auto"/>
          <w:szCs w:val="28"/>
          <w:highlight w:val="none"/>
          <w:lang w:eastAsia="zh-CN"/>
        </w:rPr>
        <w:t>，</w:t>
      </w:r>
      <w:r>
        <w:rPr>
          <w:rFonts w:hint="eastAsia" w:ascii="仿宋_GB2312"/>
          <w:bCs/>
          <w:color w:val="auto"/>
          <w:szCs w:val="28"/>
          <w:highlight w:val="none"/>
        </w:rPr>
        <w:t>故得分为1.67分。</w:t>
      </w:r>
    </w:p>
    <w:p w14:paraId="774358D2">
      <w:pPr>
        <w:autoSpaceDE w:val="0"/>
        <w:spacing w:line="600" w:lineRule="exact"/>
        <w:ind w:firstLine="562"/>
        <w:rPr>
          <w:rFonts w:hint="eastAsia" w:ascii="仿宋_GB2312"/>
          <w:bCs/>
          <w:color w:val="auto"/>
          <w:szCs w:val="28"/>
          <w:highlight w:val="none"/>
        </w:rPr>
      </w:pPr>
      <w:r>
        <w:rPr>
          <w:rFonts w:hint="eastAsia" w:ascii="Times New Roman" w:hAnsi="Times New Roman" w:cs="宋体"/>
          <w:b/>
          <w:color w:val="auto"/>
          <w:kern w:val="0"/>
          <w:szCs w:val="28"/>
          <w:highlight w:val="none"/>
        </w:rPr>
        <w:t>综上，</w:t>
      </w:r>
      <w:r>
        <w:rPr>
          <w:rFonts w:hint="eastAsia" w:ascii="Times New Roman" w:hAnsi="Times New Roman" w:cs="宋体"/>
          <w:b/>
          <w:color w:val="auto"/>
          <w:kern w:val="0"/>
          <w:szCs w:val="28"/>
          <w:highlight w:val="none"/>
          <w:lang w:val="en-US" w:eastAsia="zh-CN"/>
        </w:rPr>
        <w:t>产出成本</w:t>
      </w:r>
      <w:r>
        <w:rPr>
          <w:rFonts w:hint="eastAsia" w:ascii="Times New Roman" w:hAnsi="Times New Roman" w:cs="宋体"/>
          <w:b/>
          <w:color w:val="auto"/>
          <w:kern w:val="0"/>
          <w:szCs w:val="28"/>
          <w:highlight w:val="none"/>
        </w:rPr>
        <w:t>指标满分</w:t>
      </w:r>
      <w:r>
        <w:rPr>
          <w:rFonts w:hint="eastAsia" w:ascii="Times New Roman" w:hAnsi="Times New Roman" w:cs="宋体"/>
          <w:b/>
          <w:color w:val="auto"/>
          <w:kern w:val="0"/>
          <w:szCs w:val="28"/>
          <w:highlight w:val="none"/>
          <w:lang w:val="en-US" w:eastAsia="zh-CN"/>
        </w:rPr>
        <w:t>12</w:t>
      </w:r>
      <w:r>
        <w:rPr>
          <w:rFonts w:hint="eastAsia" w:ascii="Times New Roman" w:hAnsi="Times New Roman" w:cs="宋体"/>
          <w:b/>
          <w:color w:val="auto"/>
          <w:kern w:val="0"/>
          <w:szCs w:val="28"/>
          <w:highlight w:val="none"/>
        </w:rPr>
        <w:t>分，得分</w:t>
      </w:r>
      <w:r>
        <w:rPr>
          <w:rFonts w:hint="eastAsia" w:ascii="Times New Roman" w:hAnsi="Times New Roman" w:cs="宋体"/>
          <w:b/>
          <w:color w:val="auto"/>
          <w:kern w:val="0"/>
          <w:szCs w:val="28"/>
          <w:highlight w:val="none"/>
          <w:lang w:val="en-US" w:eastAsia="zh-CN"/>
        </w:rPr>
        <w:t>11.41</w:t>
      </w:r>
      <w:r>
        <w:rPr>
          <w:rFonts w:hint="eastAsia" w:ascii="Times New Roman" w:hAnsi="Times New Roman" w:cs="宋体"/>
          <w:b/>
          <w:color w:val="auto"/>
          <w:kern w:val="0"/>
          <w:szCs w:val="28"/>
          <w:highlight w:val="none"/>
        </w:rPr>
        <w:t>分。</w:t>
      </w:r>
    </w:p>
    <w:p w14:paraId="0941391D">
      <w:pPr>
        <w:pStyle w:val="3"/>
        <w:ind w:firstLine="643"/>
        <w:rPr>
          <w:rFonts w:ascii="仿宋" w:hAnsi="仿宋" w:eastAsia="仿宋"/>
          <w:lang w:bidi="en-US"/>
        </w:rPr>
      </w:pPr>
      <w:bookmarkStart w:id="52" w:name="_Toc19243"/>
      <w:r>
        <w:rPr>
          <w:rFonts w:ascii="仿宋" w:hAnsi="仿宋" w:eastAsia="仿宋"/>
          <w:lang w:bidi="en-US"/>
        </w:rPr>
        <w:t>（四）项目效益</w:t>
      </w:r>
      <w:bookmarkEnd w:id="52"/>
    </w:p>
    <w:p w14:paraId="1B9678E3">
      <w:pPr>
        <w:spacing w:line="360" w:lineRule="auto"/>
        <w:ind w:firstLine="560"/>
        <w:rPr>
          <w:rFonts w:ascii="仿宋_GB2312"/>
          <w:szCs w:val="28"/>
        </w:rPr>
      </w:pPr>
      <w:r>
        <w:rPr>
          <w:rFonts w:hint="eastAsia" w:ascii="仿宋_GB2312"/>
          <w:szCs w:val="28"/>
        </w:rPr>
        <w:t>项目效益指标由</w:t>
      </w:r>
      <w:r>
        <w:rPr>
          <w:rFonts w:ascii="仿宋_GB2312"/>
          <w:szCs w:val="28"/>
        </w:rPr>
        <w:t>1</w:t>
      </w:r>
      <w:r>
        <w:rPr>
          <w:rFonts w:hint="eastAsia" w:ascii="仿宋_GB2312"/>
          <w:szCs w:val="28"/>
        </w:rPr>
        <w:t>个二级指标和1个三级指标构成，权重为1</w:t>
      </w:r>
      <w:r>
        <w:rPr>
          <w:rFonts w:ascii="仿宋_GB2312"/>
          <w:szCs w:val="28"/>
        </w:rPr>
        <w:t>0</w:t>
      </w:r>
      <w:r>
        <w:rPr>
          <w:rFonts w:hint="eastAsia" w:ascii="仿宋_GB2312"/>
          <w:szCs w:val="28"/>
        </w:rPr>
        <w:t>分，实际得分10分。</w:t>
      </w:r>
    </w:p>
    <w:p w14:paraId="3F242E74">
      <w:pPr>
        <w:spacing w:line="360" w:lineRule="auto"/>
        <w:ind w:firstLine="562"/>
        <w:rPr>
          <w:rFonts w:ascii="仿宋_GB2312"/>
          <w:b/>
          <w:bCs/>
          <w:szCs w:val="28"/>
        </w:rPr>
      </w:pPr>
      <w:r>
        <w:rPr>
          <w:rFonts w:hint="eastAsia" w:ascii="仿宋_GB2312"/>
          <w:b/>
          <w:bCs/>
          <w:szCs w:val="28"/>
        </w:rPr>
        <w:t>（1）实施效益</w:t>
      </w:r>
    </w:p>
    <w:p w14:paraId="490C586F">
      <w:pPr>
        <w:spacing w:line="360" w:lineRule="auto"/>
        <w:ind w:firstLine="562"/>
        <w:rPr>
          <w:rFonts w:ascii="仿宋_GB2312"/>
          <w:szCs w:val="28"/>
        </w:rPr>
      </w:pPr>
      <w:r>
        <w:rPr>
          <w:rFonts w:hint="eastAsia" w:ascii="仿宋_GB2312"/>
          <w:b/>
          <w:bCs/>
          <w:szCs w:val="28"/>
        </w:rPr>
        <w:t>经济效益指标：</w:t>
      </w:r>
      <w:r>
        <w:rPr>
          <w:rFonts w:hint="eastAsia" w:ascii="仿宋_GB2312"/>
          <w:szCs w:val="28"/>
        </w:rPr>
        <w:t>不适用。</w:t>
      </w:r>
    </w:p>
    <w:p w14:paraId="1C5CC374">
      <w:pPr>
        <w:spacing w:line="360" w:lineRule="auto"/>
        <w:ind w:firstLine="562"/>
        <w:rPr>
          <w:rFonts w:ascii="仿宋_GB2312"/>
          <w:szCs w:val="28"/>
        </w:rPr>
      </w:pPr>
      <w:r>
        <w:rPr>
          <w:rFonts w:hint="eastAsia" w:ascii="仿宋_GB2312"/>
          <w:b/>
          <w:bCs/>
          <w:szCs w:val="28"/>
        </w:rPr>
        <w:t>社会效益指标</w:t>
      </w:r>
      <w:r>
        <w:rPr>
          <w:rFonts w:hint="eastAsia" w:ascii="仿宋_GB2312"/>
          <w:szCs w:val="28"/>
        </w:rPr>
        <w:t>：评价指标“保障临床用血安全”，指标值：有效保障，实际完成值：达成年度指标。本项目的实施项目实施后，保障采供血工作中采集、检验、存储、办公、照明正常运行。确保我区血液质量安全。满足临床用血的需求。进一步做好献血者的关爱、献血者服务。完成2024年血液调剂及支付工作制备各类血液成分，满足临床所需。</w:t>
      </w:r>
    </w:p>
    <w:p w14:paraId="75462949">
      <w:pPr>
        <w:spacing w:line="360" w:lineRule="auto"/>
        <w:ind w:firstLine="562"/>
        <w:rPr>
          <w:rFonts w:ascii="仿宋_GB2312"/>
          <w:szCs w:val="28"/>
        </w:rPr>
      </w:pPr>
      <w:r>
        <w:rPr>
          <w:rFonts w:hint="eastAsia" w:ascii="仿宋_GB2312"/>
          <w:b/>
          <w:bCs/>
          <w:szCs w:val="28"/>
        </w:rPr>
        <w:t>生态效益指标</w:t>
      </w:r>
      <w:r>
        <w:rPr>
          <w:rFonts w:hint="eastAsia" w:ascii="仿宋_GB2312"/>
          <w:szCs w:val="28"/>
        </w:rPr>
        <w:t>：不适用。</w:t>
      </w:r>
    </w:p>
    <w:p w14:paraId="0311B307">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10</w:t>
      </w:r>
      <w:r>
        <w:rPr>
          <w:rFonts w:hint="eastAsia" w:ascii="仿宋_GB2312" w:hAnsi="仿宋" w:cs="宋体"/>
          <w:b/>
          <w:kern w:val="0"/>
          <w:szCs w:val="28"/>
        </w:rPr>
        <w:t>分，得分10分。</w:t>
      </w:r>
    </w:p>
    <w:p w14:paraId="526DDE51">
      <w:pPr>
        <w:pStyle w:val="3"/>
        <w:ind w:firstLine="643"/>
        <w:rPr>
          <w:rFonts w:ascii="仿宋" w:hAnsi="仿宋" w:eastAsia="仿宋"/>
          <w:lang w:bidi="en-US"/>
        </w:rPr>
      </w:pPr>
      <w:bookmarkStart w:id="53" w:name="_Toc165277255"/>
      <w:bookmarkStart w:id="54" w:name="_Toc25797"/>
      <w:r>
        <w:rPr>
          <w:rFonts w:hint="eastAsia" w:ascii="仿宋" w:hAnsi="仿宋" w:eastAsia="仿宋"/>
          <w:lang w:bidi="en-US"/>
        </w:rPr>
        <w:t>（五）</w:t>
      </w:r>
      <w:r>
        <w:rPr>
          <w:rFonts w:ascii="仿宋" w:hAnsi="仿宋" w:eastAsia="仿宋"/>
          <w:lang w:bidi="en-US"/>
        </w:rPr>
        <w:t>满意度指标完成情况分析</w:t>
      </w:r>
      <w:bookmarkEnd w:id="53"/>
      <w:bookmarkEnd w:id="54"/>
    </w:p>
    <w:p w14:paraId="36E70DE3">
      <w:pPr>
        <w:spacing w:line="360" w:lineRule="auto"/>
        <w:ind w:firstLine="562"/>
        <w:rPr>
          <w:rFonts w:ascii="仿宋_GB2312"/>
          <w:b/>
          <w:bCs/>
          <w:szCs w:val="28"/>
        </w:rPr>
      </w:pPr>
      <w:r>
        <w:rPr>
          <w:rFonts w:hint="eastAsia" w:ascii="仿宋_GB2312"/>
          <w:b/>
          <w:bCs/>
          <w:szCs w:val="28"/>
        </w:rPr>
        <w:t>（</w:t>
      </w:r>
      <w:r>
        <w:rPr>
          <w:rFonts w:ascii="仿宋_GB2312"/>
          <w:b/>
          <w:bCs/>
          <w:szCs w:val="28"/>
        </w:rPr>
        <w:t>1</w:t>
      </w:r>
      <w:r>
        <w:rPr>
          <w:rFonts w:hint="eastAsia" w:ascii="仿宋_GB2312"/>
          <w:b/>
          <w:bCs/>
          <w:szCs w:val="28"/>
        </w:rPr>
        <w:t>）满意度指标</w:t>
      </w:r>
    </w:p>
    <w:p w14:paraId="21DA792F">
      <w:pPr>
        <w:spacing w:line="360" w:lineRule="auto"/>
        <w:ind w:firstLine="562"/>
        <w:rPr>
          <w:rFonts w:ascii="仿宋_GB2312"/>
          <w:szCs w:val="28"/>
        </w:rPr>
      </w:pPr>
      <w:r>
        <w:rPr>
          <w:rFonts w:hint="eastAsia" w:ascii="仿宋_GB2312"/>
          <w:b/>
          <w:bCs/>
          <w:szCs w:val="28"/>
          <w:highlight w:val="none"/>
        </w:rPr>
        <w:t>群众满意度：</w:t>
      </w:r>
      <w:r>
        <w:rPr>
          <w:rFonts w:hint="eastAsia" w:ascii="仿宋_GB2312"/>
          <w:color w:val="auto"/>
          <w:szCs w:val="28"/>
          <w:highlight w:val="none"/>
        </w:rPr>
        <w:t>评价指标“献血者满意度测评率”，指标值：</w:t>
      </w:r>
      <w:r>
        <w:rPr>
          <w:rFonts w:hint="eastAsia" w:ascii="华文宋体" w:hAnsi="华文宋体" w:eastAsia="华文宋体"/>
          <w:color w:val="auto"/>
          <w:szCs w:val="28"/>
          <w:highlight w:val="none"/>
        </w:rPr>
        <w:t>≥</w:t>
      </w:r>
      <w:r>
        <w:rPr>
          <w:rFonts w:hint="eastAsia" w:ascii="仿宋_GB2312"/>
          <w:color w:val="auto"/>
          <w:szCs w:val="28"/>
          <w:highlight w:val="none"/>
        </w:rPr>
        <w:t>20%，实际完成值：22.5%。</w:t>
      </w:r>
      <w:r>
        <w:rPr>
          <w:rFonts w:hint="eastAsia" w:ascii="仿宋_GB2312"/>
          <w:color w:val="auto"/>
          <w:szCs w:val="28"/>
          <w:highlight w:val="none"/>
          <w:lang w:val="en-US" w:eastAsia="zh-CN"/>
        </w:rPr>
        <w:t>我单位</w:t>
      </w:r>
      <w:r>
        <w:rPr>
          <w:rFonts w:hint="eastAsia" w:ascii="仿宋_GB2312"/>
          <w:color w:val="auto"/>
          <w:szCs w:val="28"/>
          <w:highlight w:val="none"/>
        </w:rPr>
        <w:t>2024年，我单位采血人次共计79900人次，共17780人次参与测评，实际参与测评率为22.25%，</w:t>
      </w:r>
      <w:r>
        <w:rPr>
          <w:rFonts w:hint="eastAsia" w:ascii="仿宋_GB2312"/>
          <w:color w:val="auto"/>
          <w:szCs w:val="28"/>
          <w:highlight w:val="none"/>
          <w:lang w:val="en-US" w:eastAsia="zh-CN"/>
        </w:rPr>
        <w:t>献血者和医院满意度测评平台自2021年12月试运行时起，各个血站并不能看到测评结果，只能看到测评人次，因此我单位设置献血者满意度测评率指标。</w:t>
      </w:r>
      <w:r>
        <w:rPr>
          <w:rFonts w:hint="eastAsia" w:ascii="仿宋_GB2312"/>
          <w:color w:val="auto"/>
          <w:szCs w:val="28"/>
          <w:highlight w:val="none"/>
        </w:rPr>
        <w:t>故满意度指标得分为10分。</w:t>
      </w:r>
    </w:p>
    <w:p w14:paraId="674FD287">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10</w:t>
      </w:r>
      <w:r>
        <w:rPr>
          <w:rFonts w:hint="eastAsia" w:ascii="仿宋_GB2312" w:hAnsi="仿宋" w:cs="宋体"/>
          <w:b/>
          <w:kern w:val="0"/>
          <w:szCs w:val="28"/>
        </w:rPr>
        <w:t>分，得分10分。</w:t>
      </w:r>
    </w:p>
    <w:p w14:paraId="60879087">
      <w:pPr>
        <w:pStyle w:val="2"/>
        <w:ind w:firstLine="0" w:firstLineChars="0"/>
        <w:jc w:val="left"/>
        <w:rPr>
          <w:rFonts w:ascii="仿宋" w:hAnsi="仿宋" w:eastAsia="仿宋"/>
          <w:sz w:val="36"/>
          <w:szCs w:val="36"/>
          <w:lang w:bidi="en-US"/>
        </w:rPr>
      </w:pPr>
      <w:bookmarkStart w:id="55" w:name="_Toc67911617"/>
      <w:bookmarkStart w:id="56" w:name="_Toc27077"/>
      <w:r>
        <w:rPr>
          <w:rFonts w:hint="eastAsia" w:ascii="仿宋" w:hAnsi="仿宋" w:eastAsia="仿宋"/>
          <w:sz w:val="36"/>
          <w:szCs w:val="36"/>
          <w:lang w:bidi="en-US"/>
        </w:rPr>
        <w:t>五、主要经验及做法、存在的问题及原因分析</w:t>
      </w:r>
      <w:bookmarkEnd w:id="55"/>
      <w:bookmarkEnd w:id="56"/>
    </w:p>
    <w:p w14:paraId="20ACEABF">
      <w:pPr>
        <w:pStyle w:val="3"/>
        <w:ind w:firstLine="643"/>
        <w:rPr>
          <w:rFonts w:ascii="仿宋" w:hAnsi="仿宋" w:eastAsia="仿宋"/>
          <w:lang w:bidi="en-US"/>
        </w:rPr>
      </w:pPr>
      <w:bookmarkStart w:id="57" w:name="_Toc67911618"/>
      <w:bookmarkStart w:id="58" w:name="_Toc8201"/>
      <w:r>
        <w:rPr>
          <w:rFonts w:hint="eastAsia" w:ascii="仿宋" w:hAnsi="仿宋" w:eastAsia="仿宋"/>
          <w:lang w:bidi="en-US"/>
        </w:rPr>
        <w:t>（一）主要经验及做法</w:t>
      </w:r>
      <w:bookmarkEnd w:id="57"/>
      <w:bookmarkEnd w:id="58"/>
    </w:p>
    <w:p w14:paraId="1BAEC752">
      <w:pPr>
        <w:spacing w:line="540" w:lineRule="exact"/>
        <w:ind w:firstLine="562"/>
        <w:rPr>
          <w:rFonts w:ascii="仿宋_GB2312"/>
          <w:szCs w:val="28"/>
        </w:rPr>
      </w:pPr>
      <w:r>
        <w:rPr>
          <w:rFonts w:hint="eastAsia" w:ascii="仿宋_GB2312" w:hAnsi="仿宋" w:cs="宋体"/>
          <w:b/>
          <w:kern w:val="0"/>
          <w:szCs w:val="28"/>
        </w:rPr>
        <w:t>1.</w:t>
      </w:r>
      <w:r>
        <w:rPr>
          <w:rFonts w:hint="eastAsia" w:ascii="仿宋_GB2312"/>
          <w:szCs w:val="28"/>
        </w:rPr>
        <w:t>项目立项符合法律法规、相关政策、发展规划以及部门职责，立项程序规范，预算额度测算依据充分，资金分配额度合理，严格按照文件规定的支出功能分类科目，支出经济分类科目执行资金，做到专款专用，同时加快项目执行进度。做好绩效全过程监督，保证项目顺利完成。</w:t>
      </w:r>
    </w:p>
    <w:p w14:paraId="71906318">
      <w:pPr>
        <w:spacing w:line="540" w:lineRule="exact"/>
        <w:ind w:firstLine="624"/>
        <w:rPr>
          <w:rFonts w:ascii="仿宋_GB2312"/>
          <w:szCs w:val="28"/>
        </w:rPr>
      </w:pPr>
      <w:r>
        <w:rPr>
          <w:rStyle w:val="16"/>
          <w:rFonts w:hint="eastAsia" w:ascii="Times New Roman" w:hAnsi="Times New Roman" w:eastAsia="楷体"/>
          <w:b w:val="0"/>
          <w:bCs w:val="0"/>
          <w:spacing w:val="-4"/>
          <w:sz w:val="32"/>
          <w:szCs w:val="32"/>
        </w:rPr>
        <w:t>2.</w:t>
      </w:r>
      <w:r>
        <w:rPr>
          <w:rFonts w:hint="eastAsia" w:ascii="仿宋_GB2312"/>
          <w:szCs w:val="28"/>
        </w:rPr>
        <w:t>加强领导，落实责任，明确各部门的工作职责。确保项目建设中存在的问题得到及时解决。</w:t>
      </w:r>
    </w:p>
    <w:p w14:paraId="5A3A46B3">
      <w:pPr>
        <w:autoSpaceDE w:val="0"/>
        <w:spacing w:line="600" w:lineRule="exact"/>
        <w:ind w:firstLine="624"/>
        <w:rPr>
          <w:rFonts w:ascii="仿宋_GB2312" w:hAnsi="仿宋" w:cs="宋体"/>
          <w:kern w:val="0"/>
          <w:szCs w:val="28"/>
        </w:rPr>
      </w:pPr>
      <w:r>
        <w:rPr>
          <w:rStyle w:val="16"/>
          <w:rFonts w:hint="eastAsia" w:ascii="Times New Roman" w:hAnsi="Times New Roman" w:eastAsia="楷体"/>
          <w:b w:val="0"/>
          <w:bCs w:val="0"/>
          <w:spacing w:val="-4"/>
          <w:sz w:val="32"/>
          <w:szCs w:val="32"/>
        </w:rPr>
        <w:t>3.</w:t>
      </w:r>
      <w:r>
        <w:rPr>
          <w:rFonts w:hint="eastAsia" w:ascii="仿宋_GB2312"/>
          <w:szCs w:val="28"/>
        </w:rPr>
        <w:t>落实资金问题，严格程序，确保资金效益。项目建设坚持层层审批原则，做到操作程序规范，严格按照上级审批项目建设规模等相关要求开展工作，并严格按照资金使用的相关管理要求执行，严格资金使用范围，保证项目资金专款专用。杜绝截留、挪用、滞留、浪费资金等现象的发生，确保资金使用安全和最大效益的发挥。</w:t>
      </w:r>
    </w:p>
    <w:p w14:paraId="5F133E4A">
      <w:pPr>
        <w:pStyle w:val="3"/>
        <w:ind w:firstLine="643"/>
        <w:rPr>
          <w:rFonts w:ascii="仿宋" w:hAnsi="仿宋" w:eastAsia="仿宋"/>
          <w:lang w:bidi="en-US"/>
        </w:rPr>
      </w:pPr>
      <w:bookmarkStart w:id="59" w:name="_Toc15715"/>
      <w:r>
        <w:rPr>
          <w:rFonts w:hint="eastAsia" w:ascii="仿宋" w:hAnsi="仿宋" w:eastAsia="仿宋"/>
          <w:lang w:bidi="en-US"/>
        </w:rPr>
        <w:t>（二）存在的问题及原因分析</w:t>
      </w:r>
      <w:bookmarkEnd w:id="59"/>
    </w:p>
    <w:p w14:paraId="01147E71">
      <w:pPr>
        <w:spacing w:line="360" w:lineRule="auto"/>
        <w:ind w:firstLine="624"/>
        <w:rPr>
          <w:rFonts w:hint="default" w:ascii="仿宋_GB2312" w:hAnsi="仿宋" w:cs="宋体"/>
          <w:kern w:val="0"/>
          <w:szCs w:val="28"/>
          <w:lang w:val="en-US" w:eastAsia="zh-CN"/>
        </w:rPr>
      </w:pPr>
      <w:r>
        <w:rPr>
          <w:rStyle w:val="16"/>
          <w:rFonts w:hint="eastAsia" w:ascii="Times New Roman" w:hAnsi="Times New Roman" w:eastAsia="楷体" w:cs="Times New Roman"/>
          <w:b w:val="0"/>
          <w:bCs w:val="0"/>
          <w:spacing w:val="-4"/>
          <w:sz w:val="32"/>
          <w:szCs w:val="32"/>
        </w:rPr>
        <w:t>1.</w:t>
      </w:r>
      <w:r>
        <w:rPr>
          <w:rFonts w:hint="eastAsia" w:ascii="仿宋_GB2312" w:hAnsi="仿宋" w:cs="宋体"/>
          <w:kern w:val="0"/>
          <w:szCs w:val="28"/>
          <w:lang w:val="en-US" w:eastAsia="zh-CN"/>
        </w:rPr>
        <w:t>部分预算资金执行率偏低，资金使用效率待优化。维修维护费用预算资金、活动经费资金等根据单位实际需要灵活安排的资金，执行率偏低。主要原因是，维修维护费资金大部分用于业务科室专用设备的维修、维保，当年要结合设备的使用年限等实际情况进行维修安排，不能完全在年初测算；活动经费按照活动方案进行支出，也较为灵活。灵活使用的资金需加强资金测算，准确预测资金需求，提高资金使用效率。</w:t>
      </w:r>
    </w:p>
    <w:p w14:paraId="2A642C05">
      <w:pPr>
        <w:spacing w:line="360" w:lineRule="auto"/>
        <w:ind w:firstLine="624"/>
        <w:rPr>
          <w:rFonts w:ascii="仿宋_GB2312" w:hAnsi="仿宋" w:cs="宋体"/>
          <w:kern w:val="0"/>
          <w:szCs w:val="28"/>
        </w:rPr>
      </w:pPr>
      <w:r>
        <w:rPr>
          <w:rStyle w:val="16"/>
          <w:rFonts w:hint="eastAsia" w:ascii="Times New Roman" w:hAnsi="Times New Roman" w:eastAsia="楷体" w:cs="Times New Roman"/>
          <w:b w:val="0"/>
          <w:bCs w:val="0"/>
          <w:spacing w:val="-4"/>
          <w:sz w:val="32"/>
          <w:szCs w:val="32"/>
        </w:rPr>
        <w:t>2.</w:t>
      </w:r>
      <w:r>
        <w:rPr>
          <w:rFonts w:hint="eastAsia" w:ascii="仿宋_GB2312" w:hAnsi="仿宋" w:cs="宋体"/>
          <w:kern w:val="0"/>
          <w:szCs w:val="28"/>
        </w:rPr>
        <w:t>部门协同需加强。项目绩效评价，财务仅了解资金到位及支付情况，具体项目实施及进展不太了解，需消耗很长时间了解项目整体情况，所以填报评价报告时有一定难度，需与业务科室详细沟通后才能填写评价报告。在后期的项目执行中，需加强财务科与其他业务科室的协同合作。</w:t>
      </w:r>
    </w:p>
    <w:p w14:paraId="421C3794">
      <w:pPr>
        <w:pStyle w:val="2"/>
        <w:numPr>
          <w:ilvl w:val="0"/>
          <w:numId w:val="0"/>
        </w:numPr>
        <w:jc w:val="left"/>
        <w:rPr>
          <w:rFonts w:ascii="仿宋" w:hAnsi="仿宋" w:eastAsia="仿宋"/>
          <w:sz w:val="36"/>
          <w:szCs w:val="36"/>
          <w:lang w:bidi="en-US"/>
        </w:rPr>
      </w:pPr>
      <w:bookmarkStart w:id="60" w:name="_Toc67911620"/>
      <w:bookmarkStart w:id="61" w:name="_Toc13588"/>
      <w:bookmarkStart w:id="62" w:name="_Toc67911619"/>
      <w:r>
        <w:rPr>
          <w:rFonts w:hint="eastAsia" w:ascii="仿宋" w:hAnsi="仿宋" w:eastAsia="仿宋"/>
          <w:sz w:val="36"/>
          <w:szCs w:val="36"/>
          <w:lang w:val="en-US" w:eastAsia="zh-CN" w:bidi="en-US"/>
        </w:rPr>
        <w:t>六、</w:t>
      </w:r>
      <w:r>
        <w:rPr>
          <w:rFonts w:hint="eastAsia" w:ascii="仿宋" w:hAnsi="仿宋" w:eastAsia="仿宋"/>
          <w:sz w:val="36"/>
          <w:szCs w:val="36"/>
          <w:lang w:bidi="en-US"/>
        </w:rPr>
        <w:t>有关建议</w:t>
      </w:r>
      <w:bookmarkEnd w:id="60"/>
      <w:bookmarkEnd w:id="61"/>
    </w:p>
    <w:p w14:paraId="2ABB93BC">
      <w:pPr>
        <w:pStyle w:val="2"/>
        <w:spacing w:before="0" w:after="0" w:line="360" w:lineRule="auto"/>
        <w:ind w:firstLine="560"/>
        <w:jc w:val="left"/>
        <w:rPr>
          <w:rFonts w:ascii="仿宋_GB2312"/>
          <w:b w:val="0"/>
          <w:bCs w:val="0"/>
          <w:kern w:val="2"/>
          <w:sz w:val="28"/>
          <w:szCs w:val="28"/>
        </w:rPr>
      </w:pPr>
      <w:bookmarkStart w:id="63" w:name="_Toc28216"/>
      <w:r>
        <w:rPr>
          <w:rFonts w:hint="eastAsia" w:ascii="仿宋_GB2312"/>
          <w:b w:val="0"/>
          <w:bCs w:val="0"/>
          <w:kern w:val="2"/>
          <w:sz w:val="28"/>
          <w:szCs w:val="28"/>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bookmarkEnd w:id="63"/>
    </w:p>
    <w:p w14:paraId="1ACF26FC">
      <w:pPr>
        <w:spacing w:line="540" w:lineRule="exact"/>
        <w:ind w:firstLine="560"/>
        <w:rPr>
          <w:rFonts w:ascii="仿宋_GB2312" w:hAnsi="仿宋" w:cs="宋体"/>
          <w:kern w:val="0"/>
          <w:szCs w:val="28"/>
        </w:rPr>
      </w:pPr>
      <w:r>
        <w:rPr>
          <w:rFonts w:hint="eastAsia" w:ascii="仿宋_GB2312" w:hAnsi="仿宋" w:cs="宋体"/>
          <w:kern w:val="0"/>
          <w:szCs w:val="28"/>
        </w:rPr>
        <w:t>对项目决策的建议：该项目全面性、完整性较好，真实、准确，保证采血、供血安全，保证血液的采集、检测、储存和临床用血的供应，开展成分血制备。我单位继续做好年初目标值的测算，保证尽可能准确。</w:t>
      </w:r>
    </w:p>
    <w:p w14:paraId="40DA7802">
      <w:pPr>
        <w:spacing w:line="540" w:lineRule="exact"/>
        <w:ind w:firstLine="560"/>
        <w:rPr>
          <w:rFonts w:ascii="仿宋_GB2312" w:hAnsi="仿宋" w:cs="宋体"/>
          <w:kern w:val="0"/>
          <w:szCs w:val="28"/>
        </w:rPr>
      </w:pPr>
      <w:r>
        <w:rPr>
          <w:rFonts w:hint="eastAsia" w:ascii="仿宋_GB2312" w:hAnsi="仿宋" w:cs="宋体"/>
          <w:kern w:val="0"/>
          <w:szCs w:val="28"/>
        </w:rPr>
        <w:t>对预算安排与执行的建议:针对临床用血需求，保证采供血业务的正常开展，保证血液的采集、检测、储存和临床用血的供应，建议按照预算安排的项目资金，办理相关支付，保障项目的正常支付。</w:t>
      </w:r>
    </w:p>
    <w:p w14:paraId="76B0A958">
      <w:pPr>
        <w:spacing w:line="540" w:lineRule="exact"/>
        <w:ind w:firstLine="560"/>
        <w:rPr>
          <w:rFonts w:ascii="仿宋_GB2312" w:hAnsi="仿宋" w:cs="宋体"/>
          <w:kern w:val="0"/>
          <w:szCs w:val="28"/>
        </w:rPr>
      </w:pPr>
      <w:r>
        <w:rPr>
          <w:rFonts w:hint="eastAsia" w:ascii="仿宋_GB2312" w:hAnsi="仿宋" w:cs="宋体"/>
          <w:kern w:val="0"/>
          <w:szCs w:val="28"/>
        </w:rPr>
        <w:t>对资金管理的建议：针对临床用血需求，保证采供血业务的正常开展，保证血液的采集、检测、储存和临床用血的供应，建议按照预算安排的项目资金，办理相关支付，保障项目的正常支付。</w:t>
      </w:r>
    </w:p>
    <w:p w14:paraId="5D1EB80E">
      <w:pPr>
        <w:spacing w:line="540" w:lineRule="exact"/>
        <w:ind w:firstLine="560"/>
      </w:pPr>
      <w:r>
        <w:rPr>
          <w:rFonts w:hint="eastAsia" w:ascii="仿宋_GB2312" w:hAnsi="仿宋" w:cs="宋体"/>
          <w:kern w:val="0"/>
          <w:szCs w:val="28"/>
        </w:rPr>
        <w:t>项目管理的建议：项目执行过程中有序开展工作，财务科要应与业务科室协同工作按时收集数据资料。在项目实施过程中药加强事前、事中、事后管理，争取项目保质保量的完成，以保障采供血业务的正常开展，保证血液采集、检测、储存和临床用血的供应。</w:t>
      </w:r>
    </w:p>
    <w:p w14:paraId="2052AE1F">
      <w:pPr>
        <w:pStyle w:val="2"/>
        <w:ind w:firstLine="0" w:firstLineChars="0"/>
        <w:jc w:val="left"/>
        <w:rPr>
          <w:highlight w:val="none"/>
        </w:rPr>
      </w:pPr>
      <w:bookmarkStart w:id="64" w:name="_Toc29650"/>
      <w:r>
        <w:rPr>
          <w:rFonts w:hint="eastAsia" w:ascii="仿宋" w:hAnsi="仿宋" w:eastAsia="仿宋"/>
          <w:sz w:val="36"/>
          <w:szCs w:val="36"/>
          <w:highlight w:val="none"/>
          <w:lang w:bidi="en-US"/>
        </w:rPr>
        <w:t>七、其他需要说明的问题</w:t>
      </w:r>
      <w:bookmarkEnd w:id="62"/>
      <w:bookmarkEnd w:id="64"/>
    </w:p>
    <w:p w14:paraId="1B55926C">
      <w:pPr>
        <w:spacing w:line="360" w:lineRule="auto"/>
        <w:ind w:firstLine="560"/>
        <w:rPr>
          <w:rFonts w:hint="default" w:ascii="仿宋_GB2312" w:eastAsia="仿宋_GB2312"/>
          <w:szCs w:val="28"/>
          <w:lang w:val="en-US" w:eastAsia="zh-CN"/>
        </w:rPr>
      </w:pPr>
      <w:r>
        <w:rPr>
          <w:rFonts w:hint="eastAsia" w:ascii="仿宋_GB2312"/>
          <w:szCs w:val="28"/>
        </w:rPr>
        <w:t>1</w:t>
      </w:r>
      <w:r>
        <w:rPr>
          <w:rFonts w:ascii="仿宋_GB2312"/>
          <w:szCs w:val="28"/>
        </w:rPr>
        <w:t>.</w:t>
      </w:r>
      <w:r>
        <w:rPr>
          <w:rFonts w:hint="eastAsia" w:ascii="仿宋_GB2312"/>
          <w:szCs w:val="28"/>
        </w:rPr>
        <w:t>项目支出政策和路径设计科学，符合实际需要</w:t>
      </w:r>
      <w:r>
        <w:rPr>
          <w:rFonts w:hint="eastAsia" w:ascii="仿宋_GB2312"/>
          <w:szCs w:val="28"/>
          <w:lang w:eastAsia="zh-CN"/>
        </w:rPr>
        <w:t>。</w:t>
      </w:r>
      <w:r>
        <w:rPr>
          <w:rFonts w:hint="eastAsia" w:ascii="仿宋_GB2312"/>
          <w:szCs w:val="28"/>
          <w:lang w:val="en-US" w:eastAsia="zh-CN"/>
        </w:rPr>
        <w:t>本项目支出严格围绕《中华人民共和国预算法》等法律法规要求，围绕我单位采供血职能，以实际业务需求为主线，资金分配合理，符合我单位实际需要。</w:t>
      </w:r>
    </w:p>
    <w:p w14:paraId="5E92D5AF">
      <w:pPr>
        <w:spacing w:line="360" w:lineRule="auto"/>
        <w:ind w:firstLine="560"/>
        <w:rPr>
          <w:rFonts w:hint="default" w:ascii="仿宋_GB2312" w:eastAsia="仿宋_GB2312"/>
          <w:szCs w:val="28"/>
          <w:lang w:val="en-US" w:eastAsia="zh-CN"/>
        </w:rPr>
      </w:pPr>
      <w:r>
        <w:rPr>
          <w:rFonts w:hint="eastAsia" w:ascii="仿宋_GB2312"/>
          <w:szCs w:val="28"/>
          <w:lang w:val="en-US" w:eastAsia="zh-CN"/>
        </w:rPr>
        <w:t>2</w:t>
      </w:r>
      <w:r>
        <w:rPr>
          <w:rFonts w:ascii="仿宋_GB2312"/>
          <w:szCs w:val="28"/>
        </w:rPr>
        <w:t>.</w:t>
      </w:r>
      <w:r>
        <w:rPr>
          <w:rFonts w:hint="eastAsia" w:ascii="仿宋_GB2312"/>
          <w:szCs w:val="28"/>
        </w:rPr>
        <w:t>未发现虚假行为和骗取财政资金的问题。</w:t>
      </w:r>
      <w:r>
        <w:rPr>
          <w:rFonts w:hint="eastAsia" w:ascii="仿宋_GB2312"/>
          <w:szCs w:val="28"/>
          <w:lang w:val="en-US" w:eastAsia="zh-CN"/>
        </w:rPr>
        <w:t>本项目严格执行财政资金管理制度，未发现虚假列支、套取或骗取财政资金等违规行为。资金使用全部遵循《乌鲁木齐市血液中心内部控制管理手册》及财政规范，支出审批均按照要求进行，支付凭证完整，佐证材料齐。项目执行中，预算调整严格履行报批程序，未执行资金按照财政要求收回。</w:t>
      </w: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Gungsuh">
    <w:panose1 w:val="02030600000101010101"/>
    <w:charset w:val="81"/>
    <w:family w:val="roman"/>
    <w:pitch w:val="default"/>
    <w:sig w:usb0="B00002AF" w:usb1="69D77CFB" w:usb2="00000030" w:usb3="00000000" w:csb0="4008009F" w:csb1="DFD70000"/>
  </w:font>
  <w:font w:name="华文宋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6923E">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CF697B">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198C48">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sdtPr>
    <w:sdtEndPr>
      <w:rPr>
        <w:rFonts w:hint="eastAsia" w:ascii="仿宋_GB2312" w:eastAsia="仿宋_GB2312"/>
        <w:sz w:val="21"/>
        <w:szCs w:val="21"/>
      </w:rPr>
    </w:sdtEndPr>
    <w:sdtContent>
      <w:p w14:paraId="4E76C392">
        <w:pPr>
          <w:pStyle w:val="8"/>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15</w:t>
        </w:r>
        <w:r>
          <w:rPr>
            <w:rFonts w:hint="eastAsia" w:ascii="仿宋_GB2312" w:eastAsia="仿宋_GB2312"/>
            <w:sz w:val="21"/>
            <w:szCs w:val="21"/>
          </w:rPr>
          <w:fldChar w:fldCharType="end"/>
        </w:r>
      </w:p>
    </w:sdtContent>
  </w:sdt>
  <w:p w14:paraId="0D011C03">
    <w:pPr>
      <w:pStyle w:val="8"/>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sdtPr>
    <w:sdtEndPr>
      <w:rPr>
        <w:rFonts w:hint="eastAsia" w:ascii="仿宋_GB2312" w:eastAsia="仿宋_GB2312"/>
        <w:sz w:val="21"/>
        <w:szCs w:val="21"/>
      </w:rPr>
    </w:sdtEndPr>
    <w:sdtContent>
      <w:p w14:paraId="76B27C31">
        <w:pPr>
          <w:pStyle w:val="8"/>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33</w:t>
        </w:r>
        <w:r>
          <w:rPr>
            <w:rFonts w:hint="eastAsia" w:ascii="仿宋_GB2312" w:eastAsia="仿宋_GB2312"/>
            <w:sz w:val="21"/>
            <w:szCs w:val="21"/>
          </w:rPr>
          <w:fldChar w:fldCharType="end"/>
        </w:r>
      </w:p>
    </w:sdtContent>
  </w:sdt>
  <w:p w14:paraId="776F47F5">
    <w:pPr>
      <w:pStyle w:val="8"/>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14:paraId="10E29D10">
      <w:pPr>
        <w:pStyle w:val="11"/>
        <w:ind w:firstLine="0" w:firstLineChars="0"/>
        <w:jc w:val="both"/>
        <w:rPr>
          <w:rFonts w:ascii="仿宋_GB2312"/>
        </w:rPr>
      </w:pPr>
      <w:r>
        <w:rPr>
          <w:rStyle w:val="18"/>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14:paraId="170354E3">
      <w:pPr>
        <w:pStyle w:val="11"/>
        <w:ind w:firstLine="0" w:firstLineChars="0"/>
        <w:jc w:val="both"/>
        <w:rPr>
          <w:rFonts w:ascii="仿宋_GB2312"/>
        </w:rPr>
      </w:pP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0AC07B">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B10E03">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FD4479">
    <w:pPr>
      <w:pStyle w:val="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EF489A">
    <w:pPr>
      <w:pStyle w:val="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6B63D1">
    <w:pPr>
      <w:pStyle w:val="9"/>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NotTrackMoves/>
  <w:documentProtection w:enforcement="0"/>
  <w:defaultTabStop w:val="420"/>
  <w:drawingGridHorizontalSpacing w:val="140"/>
  <w:drawingGridVerticalSpacing w:val="38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hZWFiYWQ4ODczNDIyY2E1NmRkOTljMDE2ZDBhZTgifQ=="/>
  </w:docVars>
  <w:rsids>
    <w:rsidRoot w:val="00000000"/>
    <w:rsid w:val="01B96D6A"/>
    <w:rsid w:val="0DD97567"/>
    <w:rsid w:val="4211684D"/>
    <w:rsid w:val="43104E14"/>
    <w:rsid w:val="4F024FE0"/>
    <w:rsid w:val="528B18B8"/>
    <w:rsid w:val="70EC465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ind w:left="840" w:leftChars="400"/>
    </w:pPr>
  </w:style>
  <w:style w:type="paragraph" w:styleId="6">
    <w:name w:val="Date"/>
    <w:basedOn w:val="1"/>
    <w:next w:val="1"/>
    <w:link w:val="24"/>
    <w:semiHidden/>
    <w:unhideWhenUsed/>
    <w:qFormat/>
    <w:uiPriority w:val="99"/>
    <w:pPr>
      <w:ind w:left="100" w:leftChars="2500"/>
    </w:pPr>
  </w:style>
  <w:style w:type="paragraph" w:styleId="7">
    <w:name w:val="Balloon Text"/>
    <w:basedOn w:val="1"/>
    <w:link w:val="33"/>
    <w:semiHidden/>
    <w:unhideWhenUsed/>
    <w:qFormat/>
    <w:uiPriority w:val="99"/>
    <w:rPr>
      <w:sz w:val="18"/>
      <w:szCs w:val="18"/>
    </w:rPr>
  </w:style>
  <w:style w:type="paragraph" w:styleId="8">
    <w:name w:val="footer"/>
    <w:basedOn w:val="1"/>
    <w:link w:val="23"/>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9">
    <w:name w:val="header"/>
    <w:basedOn w:val="1"/>
    <w:link w:val="22"/>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0">
    <w:name w:val="toc 1"/>
    <w:basedOn w:val="1"/>
    <w:next w:val="1"/>
    <w:unhideWhenUsed/>
    <w:qFormat/>
    <w:uiPriority w:val="39"/>
  </w:style>
  <w:style w:type="paragraph" w:styleId="11">
    <w:name w:val="footnote text"/>
    <w:basedOn w:val="1"/>
    <w:link w:val="26"/>
    <w:semiHidden/>
    <w:unhideWhenUsed/>
    <w:qFormat/>
    <w:uiPriority w:val="99"/>
    <w:pPr>
      <w:snapToGrid w:val="0"/>
      <w:jc w:val="left"/>
    </w:pPr>
    <w:rPr>
      <w:sz w:val="18"/>
      <w:szCs w:val="18"/>
    </w:rPr>
  </w:style>
  <w:style w:type="paragraph" w:styleId="12">
    <w:name w:val="toc 2"/>
    <w:basedOn w:val="1"/>
    <w:next w:val="1"/>
    <w:unhideWhenUsed/>
    <w:qFormat/>
    <w:uiPriority w:val="39"/>
    <w:pPr>
      <w:ind w:left="420" w:leftChars="200"/>
    </w:p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qFormat/>
    <w:uiPriority w:val="0"/>
    <w:rPr>
      <w:b/>
      <w:bCs/>
    </w:rPr>
  </w:style>
  <w:style w:type="character" w:styleId="17">
    <w:name w:val="Hyperlink"/>
    <w:basedOn w:val="15"/>
    <w:unhideWhenUsed/>
    <w:qFormat/>
    <w:uiPriority w:val="99"/>
    <w:rPr>
      <w:color w:val="0563C1" w:themeColor="hyperlink"/>
      <w:u w:val="single"/>
      <w14:textFill>
        <w14:solidFill>
          <w14:schemeClr w14:val="hlink"/>
        </w14:solidFill>
      </w14:textFill>
    </w:rPr>
  </w:style>
  <w:style w:type="character" w:styleId="18">
    <w:name w:val="footnote reference"/>
    <w:basedOn w:val="15"/>
    <w:semiHidden/>
    <w:unhideWhenUsed/>
    <w:qFormat/>
    <w:uiPriority w:val="99"/>
    <w:rPr>
      <w:vertAlign w:val="superscript"/>
    </w:rPr>
  </w:style>
  <w:style w:type="paragraph" w:customStyle="1" w:styleId="19">
    <w:name w:val="Comment Text"/>
    <w:basedOn w:val="1"/>
    <w:link w:val="31"/>
    <w:unhideWhenUsed/>
    <w:qFormat/>
    <w:uiPriority w:val="99"/>
    <w:pPr>
      <w:jc w:val="left"/>
    </w:pPr>
  </w:style>
  <w:style w:type="paragraph" w:customStyle="1" w:styleId="20">
    <w:name w:val="Comment Subject"/>
    <w:basedOn w:val="19"/>
    <w:next w:val="19"/>
    <w:link w:val="32"/>
    <w:semiHidden/>
    <w:unhideWhenUsed/>
    <w:qFormat/>
    <w:uiPriority w:val="99"/>
    <w:rPr>
      <w:b/>
      <w:bCs/>
    </w:rPr>
  </w:style>
  <w:style w:type="character" w:customStyle="1" w:styleId="21">
    <w:name w:val="Comment Reference"/>
    <w:basedOn w:val="15"/>
    <w:semiHidden/>
    <w:unhideWhenUsed/>
    <w:qFormat/>
    <w:uiPriority w:val="99"/>
    <w:rPr>
      <w:sz w:val="21"/>
      <w:szCs w:val="21"/>
    </w:rPr>
  </w:style>
  <w:style w:type="character" w:customStyle="1" w:styleId="22">
    <w:name w:val="页眉 Char"/>
    <w:basedOn w:val="15"/>
    <w:link w:val="9"/>
    <w:qFormat/>
    <w:uiPriority w:val="99"/>
    <w:rPr>
      <w:sz w:val="18"/>
      <w:szCs w:val="18"/>
    </w:rPr>
  </w:style>
  <w:style w:type="character" w:customStyle="1" w:styleId="23">
    <w:name w:val="页脚 Char"/>
    <w:basedOn w:val="15"/>
    <w:link w:val="8"/>
    <w:qFormat/>
    <w:uiPriority w:val="99"/>
    <w:rPr>
      <w:sz w:val="18"/>
      <w:szCs w:val="18"/>
    </w:rPr>
  </w:style>
  <w:style w:type="character" w:customStyle="1" w:styleId="24">
    <w:name w:val="日期 Char"/>
    <w:basedOn w:val="15"/>
    <w:link w:val="6"/>
    <w:semiHidden/>
    <w:qFormat/>
    <w:uiPriority w:val="99"/>
    <w:rPr>
      <w:rFonts w:ascii="Calibri" w:hAnsi="Calibri" w:eastAsia="仿宋_GB2312" w:cs="黑体"/>
      <w:sz w:val="28"/>
    </w:rPr>
  </w:style>
  <w:style w:type="character" w:customStyle="1" w:styleId="25">
    <w:name w:val="标题 2 Char"/>
    <w:basedOn w:val="15"/>
    <w:link w:val="3"/>
    <w:qFormat/>
    <w:uiPriority w:val="9"/>
    <w:rPr>
      <w:rFonts w:asciiTheme="majorHAnsi" w:hAnsiTheme="majorHAnsi" w:eastAsiaTheme="majorEastAsia" w:cstheme="majorBidi"/>
      <w:b/>
      <w:bCs/>
      <w:sz w:val="32"/>
      <w:szCs w:val="32"/>
    </w:rPr>
  </w:style>
  <w:style w:type="character" w:customStyle="1" w:styleId="26">
    <w:name w:val="脚注文本 Char"/>
    <w:basedOn w:val="15"/>
    <w:link w:val="11"/>
    <w:semiHidden/>
    <w:qFormat/>
    <w:uiPriority w:val="99"/>
    <w:rPr>
      <w:rFonts w:ascii="Calibri" w:hAnsi="Calibri" w:eastAsia="仿宋_GB2312" w:cs="黑体"/>
      <w:sz w:val="18"/>
      <w:szCs w:val="18"/>
    </w:rPr>
  </w:style>
  <w:style w:type="paragraph" w:styleId="27">
    <w:name w:val="List Paragraph"/>
    <w:basedOn w:val="1"/>
    <w:qFormat/>
    <w:uiPriority w:val="34"/>
    <w:pPr>
      <w:ind w:firstLine="420"/>
    </w:pPr>
  </w:style>
  <w:style w:type="table" w:customStyle="1" w:styleId="28">
    <w:name w:val="网格型1"/>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9">
    <w:name w:val="标题 1 Char"/>
    <w:basedOn w:val="15"/>
    <w:link w:val="2"/>
    <w:qFormat/>
    <w:uiPriority w:val="9"/>
    <w:rPr>
      <w:rFonts w:ascii="Calibri" w:hAnsi="Calibri" w:eastAsia="仿宋_GB2312" w:cs="黑体"/>
      <w:b/>
      <w:bCs/>
      <w:kern w:val="44"/>
      <w:sz w:val="44"/>
      <w:szCs w:val="44"/>
    </w:rPr>
  </w:style>
  <w:style w:type="paragraph" w:customStyle="1" w:styleId="30">
    <w:name w:val="TOC 标题1"/>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1">
    <w:name w:val="批注文字 Char"/>
    <w:basedOn w:val="15"/>
    <w:link w:val="19"/>
    <w:qFormat/>
    <w:uiPriority w:val="99"/>
    <w:rPr>
      <w:rFonts w:ascii="Calibri" w:hAnsi="Calibri" w:eastAsia="仿宋_GB2312" w:cs="黑体"/>
      <w:sz w:val="28"/>
    </w:rPr>
  </w:style>
  <w:style w:type="character" w:customStyle="1" w:styleId="32">
    <w:name w:val="批注主题 Char"/>
    <w:basedOn w:val="31"/>
    <w:link w:val="20"/>
    <w:semiHidden/>
    <w:qFormat/>
    <w:uiPriority w:val="99"/>
    <w:rPr>
      <w:rFonts w:ascii="Calibri" w:hAnsi="Calibri" w:eastAsia="仿宋_GB2312" w:cs="黑体"/>
      <w:b/>
      <w:bCs/>
      <w:sz w:val="28"/>
    </w:rPr>
  </w:style>
  <w:style w:type="character" w:customStyle="1" w:styleId="33">
    <w:name w:val="批注框文本 Char"/>
    <w:basedOn w:val="15"/>
    <w:link w:val="7"/>
    <w:semiHidden/>
    <w:qFormat/>
    <w:uiPriority w:val="99"/>
    <w:rPr>
      <w:rFonts w:ascii="Calibri" w:hAnsi="Calibri" w:eastAsia="仿宋_GB2312" w:cs="黑体"/>
      <w:sz w:val="18"/>
      <w:szCs w:val="18"/>
    </w:rPr>
  </w:style>
  <w:style w:type="character" w:customStyle="1" w:styleId="34">
    <w:name w:val="标题 3 Char"/>
    <w:basedOn w:val="15"/>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3.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904585F22E984B8A838AE1F86E8CC14D_12</vt:lpwstr>
  </property>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904585F22E984B8A838AE1F86E8CC14D_12</vt:lpwstr>
  </property>
</Properties>
</file>

<file path=customXml/itemProps1.xml><?xml version="1.0" encoding="utf-8"?>
<ds:datastoreItem xmlns:ds="http://schemas.openxmlformats.org/officeDocument/2006/customXml" ds:itemID="{7a577d70-ae6b-4539-9949-4656bdb709fa}">
  <ds:schemaRefs/>
</ds:datastoreItem>
</file>

<file path=customXml/itemProps2.xml><?xml version="1.0" encoding="utf-8"?>
<ds:datastoreItem xmlns:ds="http://schemas.openxmlformats.org/officeDocument/2006/customXml" ds:itemID="{757D7C89-BBE7-4D06-B957-44617AFE8E94}">
  <ds:schemaRefs/>
</ds:datastoreItem>
</file>

<file path=customXml/itemProps3.xml><?xml version="1.0" encoding="utf-8"?>
<ds:datastoreItem xmlns:ds="http://schemas.openxmlformats.org/officeDocument/2006/customXml" ds:itemID="{5cac3588-8755-4ac3-bf62-69ed027dd774}">
  <ds:schemaRefs/>
</ds:datastoreItem>
</file>

<file path=docProps/app.xml><?xml version="1.0" encoding="utf-8"?>
<Properties xmlns="http://schemas.openxmlformats.org/officeDocument/2006/extended-properties" xmlns:vt="http://schemas.openxmlformats.org/officeDocument/2006/docPropsVTypes">
  <Template>Normal</Template>
  <Pages>37</Pages>
  <Words>17498</Words>
  <Characters>18671</Characters>
  <Lines>143</Lines>
  <Paragraphs>40</Paragraphs>
  <TotalTime>37</TotalTime>
  <ScaleCrop>false</ScaleCrop>
  <LinksUpToDate>false</LinksUpToDate>
  <CharactersWithSpaces>18878</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lenovo</cp:lastModifiedBy>
  <cp:lastPrinted>2023-04-11T02:57:00Z</cp:lastPrinted>
  <dcterms:modified xsi:type="dcterms:W3CDTF">2025-10-09T03:39:16Z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904585F22E984B8A838AE1F86E8CC14D_12</vt:lpwstr>
  </property>
</Properties>
</file>