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4AFDF"/>
    <w:p w14:paraId="631EEA36">
      <w:pPr>
        <w:rPr>
          <w:highlight w:val="none"/>
        </w:rPr>
      </w:pPr>
    </w:p>
    <w:p w14:paraId="347F6839">
      <w:pPr>
        <w:spacing w:line="480" w:lineRule="auto"/>
        <w:ind w:firstLine="0" w:firstLineChars="0"/>
        <w:rPr>
          <w:rFonts w:ascii="Times New Roman" w:hAnsi="Times New Roman" w:eastAsia="黑体" w:cs="Times New Roman"/>
          <w:b/>
          <w:kern w:val="0"/>
          <w:sz w:val="50"/>
          <w:szCs w:val="50"/>
          <w:highlight w:val="none"/>
          <w:lang w:bidi="en-US"/>
        </w:rPr>
      </w:pPr>
    </w:p>
    <w:p w14:paraId="44C28A38">
      <w:pPr>
        <w:spacing w:line="480" w:lineRule="auto"/>
        <w:ind w:firstLine="0" w:firstLineChars="0"/>
        <w:rPr>
          <w:rFonts w:ascii="Times New Roman" w:hAnsi="Times New Roman" w:eastAsia="黑体" w:cs="Times New Roman"/>
          <w:b/>
          <w:kern w:val="0"/>
          <w:sz w:val="50"/>
          <w:szCs w:val="50"/>
          <w:highlight w:val="none"/>
          <w:lang w:bidi="en-US"/>
        </w:rPr>
      </w:pPr>
    </w:p>
    <w:p w14:paraId="41BDDCD8">
      <w:pPr>
        <w:spacing w:line="480" w:lineRule="auto"/>
        <w:ind w:firstLine="0" w:firstLineChars="0"/>
        <w:jc w:val="center"/>
        <w:rPr>
          <w:rFonts w:ascii="Times New Roman" w:hAnsi="Times New Roman" w:eastAsia="黑体" w:cs="Times New Roman"/>
          <w:b/>
          <w:kern w:val="0"/>
          <w:sz w:val="50"/>
          <w:szCs w:val="50"/>
          <w:highlight w:val="none"/>
          <w:lang w:bidi="en-US"/>
        </w:rPr>
      </w:pPr>
    </w:p>
    <w:p w14:paraId="5C12AFC7">
      <w:pPr>
        <w:spacing w:before="120" w:after="120" w:line="480" w:lineRule="auto"/>
        <w:ind w:firstLine="0" w:firstLineChars="0"/>
        <w:jc w:val="center"/>
        <w:rPr>
          <w:rFonts w:ascii="仿宋_GB2312" w:hAnsi="Arial"/>
          <w:b/>
          <w:sz w:val="44"/>
          <w:szCs w:val="44"/>
          <w:highlight w:val="none"/>
        </w:rPr>
      </w:pPr>
      <w:r>
        <w:rPr>
          <w:rFonts w:hint="eastAsia" w:ascii="仿宋_GB2312" w:hAnsi="Arial"/>
          <w:b/>
          <w:sz w:val="44"/>
          <w:szCs w:val="44"/>
          <w:highlight w:val="none"/>
        </w:rPr>
        <w:t>财政项目支出绩效评价报告</w:t>
      </w:r>
    </w:p>
    <w:p w14:paraId="6ACD08BF">
      <w:pPr>
        <w:spacing w:line="480" w:lineRule="auto"/>
        <w:ind w:firstLine="0" w:firstLineChars="0"/>
        <w:jc w:val="center"/>
        <w:rPr>
          <w:rFonts w:ascii="Times New Roman" w:hAnsi="Times New Roman" w:eastAsia="黑体" w:cs="Times New Roman"/>
          <w:b/>
          <w:kern w:val="0"/>
          <w:sz w:val="50"/>
          <w:szCs w:val="50"/>
          <w:highlight w:val="none"/>
          <w:lang w:bidi="en-US"/>
        </w:rPr>
      </w:pPr>
    </w:p>
    <w:p w14:paraId="30E13754">
      <w:pPr>
        <w:spacing w:line="480" w:lineRule="auto"/>
        <w:ind w:firstLine="0" w:firstLineChars="0"/>
        <w:jc w:val="center"/>
        <w:rPr>
          <w:rFonts w:ascii="Times New Roman" w:hAnsi="Times New Roman" w:eastAsia="黑体" w:cs="Times New Roman"/>
          <w:b/>
          <w:kern w:val="0"/>
          <w:sz w:val="50"/>
          <w:szCs w:val="50"/>
          <w:highlight w:val="none"/>
          <w:lang w:bidi="en-US"/>
        </w:rPr>
      </w:pPr>
    </w:p>
    <w:p w14:paraId="3B12B33D">
      <w:pPr>
        <w:spacing w:line="480" w:lineRule="auto"/>
        <w:ind w:firstLine="0" w:firstLineChars="0"/>
        <w:jc w:val="center"/>
        <w:rPr>
          <w:rFonts w:ascii="Times New Roman" w:hAnsi="Times New Roman" w:eastAsia="黑体" w:cs="Times New Roman"/>
          <w:b/>
          <w:kern w:val="0"/>
          <w:sz w:val="50"/>
          <w:szCs w:val="50"/>
          <w:highlight w:val="none"/>
          <w:lang w:bidi="en-US"/>
        </w:rPr>
      </w:pPr>
    </w:p>
    <w:p w14:paraId="17031237">
      <w:pPr>
        <w:spacing w:line="480" w:lineRule="auto"/>
        <w:ind w:firstLine="0" w:firstLineChars="0"/>
        <w:jc w:val="center"/>
        <w:rPr>
          <w:rFonts w:ascii="Times New Roman" w:hAnsi="Times New Roman" w:eastAsia="黑体" w:cs="Times New Roman"/>
          <w:b/>
          <w:kern w:val="0"/>
          <w:sz w:val="50"/>
          <w:szCs w:val="50"/>
          <w:highlight w:val="none"/>
          <w:lang w:bidi="en-US"/>
        </w:rPr>
      </w:pPr>
    </w:p>
    <w:p w14:paraId="177DAD39">
      <w:pPr>
        <w:spacing w:line="480" w:lineRule="auto"/>
        <w:ind w:firstLine="0" w:firstLineChars="0"/>
        <w:jc w:val="center"/>
        <w:rPr>
          <w:rFonts w:ascii="Times New Roman" w:hAnsi="Times New Roman" w:eastAsia="黑体" w:cs="Times New Roman"/>
          <w:b/>
          <w:kern w:val="0"/>
          <w:sz w:val="50"/>
          <w:szCs w:val="50"/>
          <w:highlight w:val="none"/>
          <w:lang w:bidi="en-US"/>
        </w:rPr>
      </w:pPr>
    </w:p>
    <w:p w14:paraId="7B192737">
      <w:pPr>
        <w:spacing w:line="480" w:lineRule="auto"/>
        <w:ind w:firstLine="0" w:firstLineChars="0"/>
        <w:jc w:val="center"/>
        <w:rPr>
          <w:rFonts w:ascii="Times New Roman" w:hAnsi="Times New Roman" w:eastAsia="黑体" w:cs="Times New Roman"/>
          <w:b/>
          <w:kern w:val="0"/>
          <w:sz w:val="50"/>
          <w:szCs w:val="50"/>
          <w:highlight w:val="none"/>
          <w:lang w:bidi="en-US"/>
        </w:rPr>
      </w:pPr>
    </w:p>
    <w:p w14:paraId="1AE0AFB2">
      <w:pPr>
        <w:spacing w:line="480" w:lineRule="auto"/>
        <w:ind w:firstLine="0" w:firstLineChars="0"/>
        <w:jc w:val="center"/>
        <w:rPr>
          <w:rFonts w:ascii="仿宋_GB2312" w:hAnsi="Times New Roman" w:cs="Times New Roman"/>
          <w:kern w:val="0"/>
          <w:sz w:val="30"/>
          <w:szCs w:val="30"/>
          <w:highlight w:val="none"/>
          <w:lang w:bidi="en-US"/>
        </w:rPr>
      </w:pPr>
    </w:p>
    <w:p w14:paraId="5763B02F">
      <w:pPr>
        <w:spacing w:line="480" w:lineRule="auto"/>
        <w:ind w:firstLine="1411" w:firstLineChars="4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项目名称：采供血业务运行经费-政采</w:t>
      </w:r>
    </w:p>
    <w:p w14:paraId="4FF5BBEA">
      <w:pPr>
        <w:spacing w:line="480" w:lineRule="auto"/>
        <w:ind w:left="280" w:leftChars="100" w:firstLine="1091" w:firstLineChars="3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项目单位：乌鲁木齐市血液中心</w:t>
      </w:r>
    </w:p>
    <w:p w14:paraId="0B79CC9D">
      <w:pPr>
        <w:spacing w:line="480" w:lineRule="auto"/>
        <w:ind w:left="280" w:leftChars="100" w:firstLine="1091" w:firstLineChars="3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主管部门：乌鲁木齐市卫生健康委员会</w:t>
      </w:r>
    </w:p>
    <w:p w14:paraId="5F9F7BCD">
      <w:pPr>
        <w:spacing w:line="480" w:lineRule="auto"/>
        <w:ind w:firstLine="1411" w:firstLineChars="441"/>
        <w:jc w:val="left"/>
        <w:rPr>
          <w:rFonts w:ascii="仿宋_GB2312" w:hAnsi="Times New Roman" w:cs="Times New Roman"/>
          <w:kern w:val="0"/>
          <w:sz w:val="32"/>
          <w:szCs w:val="32"/>
          <w:highlight w:val="none"/>
          <w:lang w:bidi="en-US"/>
        </w:rPr>
      </w:pPr>
    </w:p>
    <w:p w14:paraId="794486A5">
      <w:pPr>
        <w:spacing w:line="480" w:lineRule="auto"/>
        <w:ind w:firstLine="0" w:firstLineChars="0"/>
        <w:rPr>
          <w:rFonts w:ascii="黑体" w:hAnsi="Times New Roman" w:eastAsia="黑体" w:cs="Times New Roman"/>
          <w:b/>
          <w:kern w:val="0"/>
          <w:sz w:val="32"/>
          <w:szCs w:val="32"/>
          <w:highlight w:val="none"/>
          <w:lang w:bidi="en-US"/>
        </w:rPr>
      </w:pPr>
    </w:p>
    <w:p w14:paraId="3BE792E5">
      <w:pPr>
        <w:spacing w:line="480" w:lineRule="auto"/>
        <w:ind w:firstLine="0" w:firstLineChars="0"/>
        <w:rPr>
          <w:rFonts w:ascii="黑体" w:hAnsi="Times New Roman" w:eastAsia="黑体" w:cs="Times New Roman"/>
          <w:b/>
          <w:kern w:val="0"/>
          <w:sz w:val="32"/>
          <w:szCs w:val="32"/>
          <w:highlight w:val="none"/>
          <w:lang w:bidi="en-US"/>
        </w:rPr>
      </w:pPr>
    </w:p>
    <w:p w14:paraId="0747BAB1">
      <w:pPr>
        <w:spacing w:line="480" w:lineRule="auto"/>
        <w:ind w:firstLine="0" w:firstLineChars="0"/>
        <w:jc w:val="center"/>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202</w:t>
      </w:r>
      <w:r>
        <w:rPr>
          <w:rFonts w:hint="eastAsia" w:ascii="仿宋_GB2312" w:hAnsi="Times New Roman" w:cs="Times New Roman"/>
          <w:kern w:val="0"/>
          <w:sz w:val="32"/>
          <w:szCs w:val="32"/>
          <w:highlight w:val="none"/>
          <w:lang w:val="en-US" w:eastAsia="zh-CN" w:bidi="en-US"/>
        </w:rPr>
        <w:t>5</w:t>
      </w:r>
      <w:r>
        <w:rPr>
          <w:rFonts w:hint="eastAsia" w:ascii="仿宋_GB2312" w:hAnsi="Times New Roman" w:cs="Times New Roman"/>
          <w:kern w:val="0"/>
          <w:sz w:val="32"/>
          <w:szCs w:val="32"/>
          <w:highlight w:val="none"/>
          <w:lang w:bidi="en-US"/>
        </w:rPr>
        <w:t>年0</w:t>
      </w:r>
      <w:r>
        <w:rPr>
          <w:rFonts w:ascii="仿宋_GB2312" w:hAnsi="Times New Roman" w:cs="Times New Roman"/>
          <w:kern w:val="0"/>
          <w:sz w:val="32"/>
          <w:szCs w:val="32"/>
          <w:highlight w:val="none"/>
          <w:lang w:bidi="en-US"/>
        </w:rPr>
        <w:t>4</w:t>
      </w:r>
      <w:r>
        <w:rPr>
          <w:rFonts w:hint="eastAsia" w:ascii="仿宋_GB2312" w:hAnsi="Times New Roman" w:cs="Times New Roman"/>
          <w:kern w:val="0"/>
          <w:sz w:val="32"/>
          <w:szCs w:val="32"/>
          <w:highlight w:val="none"/>
          <w:lang w:bidi="en-US"/>
        </w:rPr>
        <w:t>月</w:t>
      </w:r>
    </w:p>
    <w:p w14:paraId="1C7C9F2F">
      <w:pPr>
        <w:spacing w:line="480" w:lineRule="auto"/>
        <w:ind w:firstLine="0" w:firstLineChars="0"/>
        <w:jc w:val="center"/>
        <w:rPr>
          <w:rFonts w:ascii="仿宋_GB2312" w:hAnsi="Times New Roman" w:cs="Times New Roman"/>
          <w:kern w:val="0"/>
          <w:sz w:val="32"/>
          <w:szCs w:val="32"/>
          <w:highlight w:val="none"/>
          <w:lang w:bidi="en-US"/>
        </w:rPr>
      </w:pPr>
    </w:p>
    <w:p w14:paraId="3752F09B">
      <w:pPr>
        <w:tabs>
          <w:tab w:val="left" w:pos="3324"/>
        </w:tabs>
        <w:spacing w:line="480" w:lineRule="auto"/>
        <w:ind w:firstLine="0" w:firstLineChars="0"/>
        <w:rPr>
          <w:rFonts w:ascii="仿宋_GB2312" w:hAnsi="Times New Roman" w:cs="Times New Roman"/>
          <w:kern w:val="0"/>
          <w:sz w:val="32"/>
          <w:szCs w:val="32"/>
          <w:highlight w:val="none"/>
          <w:lang w:bidi="en-US"/>
        </w:rPr>
      </w:pPr>
      <w:r>
        <w:rPr>
          <w:rFonts w:ascii="仿宋_GB2312" w:hAnsi="Times New Roman" w:cs="Times New Roman"/>
          <w:kern w:val="0"/>
          <w:sz w:val="32"/>
          <w:szCs w:val="32"/>
          <w:highlight w:val="none"/>
          <w:lang w:bidi="en-US"/>
        </w:rPr>
        <w:tab/>
      </w:r>
    </w:p>
    <w:p w14:paraId="3AA05B80">
      <w:pPr>
        <w:ind w:firstLine="640"/>
        <w:rPr>
          <w:rFonts w:ascii="仿宋_GB2312" w:hAnsi="Times New Roman" w:cs="Times New Roman"/>
          <w:kern w:val="0"/>
          <w:sz w:val="32"/>
          <w:szCs w:val="32"/>
          <w:highlight w:val="none"/>
          <w:lang w:bidi="en-US"/>
        </w:rPr>
      </w:pPr>
    </w:p>
    <w:sdt>
      <w:sdtPr>
        <w:rPr>
          <w:rFonts w:ascii="Calibri" w:hAnsi="Calibri" w:eastAsia="仿宋_GB2312" w:cs="黑体"/>
          <w:color w:val="auto"/>
          <w:kern w:val="2"/>
          <w:sz w:val="28"/>
          <w:szCs w:val="22"/>
          <w:highlight w:val="none"/>
          <w:lang w:val="zh-CN"/>
        </w:rPr>
        <w:id w:val="-1822651860"/>
        <w:docPartObj>
          <w:docPartGallery w:val="Table of Contents"/>
          <w:docPartUnique/>
        </w:docPartObj>
      </w:sdtPr>
      <w:sdtEndPr>
        <w:rPr>
          <w:rFonts w:ascii="Calibri" w:hAnsi="Calibri" w:eastAsia="仿宋_GB2312" w:cs="黑体"/>
          <w:b/>
          <w:bCs/>
          <w:color w:val="auto"/>
          <w:kern w:val="2"/>
          <w:sz w:val="28"/>
          <w:szCs w:val="22"/>
          <w:highlight w:val="none"/>
          <w:lang w:val="zh-CN"/>
        </w:rPr>
      </w:sdtEndPr>
      <w:sdtContent>
        <w:p w14:paraId="0185CC68">
          <w:pPr>
            <w:pStyle w:val="30"/>
            <w:ind w:firstLine="560"/>
            <w:jc w:val="center"/>
            <w:rPr>
              <w:color w:val="auto"/>
              <w:highlight w:val="none"/>
            </w:rPr>
          </w:pPr>
          <w:r>
            <w:rPr>
              <w:color w:val="auto"/>
              <w:highlight w:val="none"/>
              <w:lang w:val="zh-CN"/>
            </w:rPr>
            <w:t>目录</w:t>
          </w:r>
        </w:p>
        <w:p w14:paraId="169D4985">
          <w:pPr>
            <w:pStyle w:val="10"/>
            <w:tabs>
              <w:tab w:val="right" w:leader="dot" w:pos="8306"/>
            </w:tabs>
            <w:rPr>
              <w:highlight w:val="none"/>
            </w:rPr>
          </w:pPr>
          <w:r>
            <w:rPr>
              <w:highlight w:val="none"/>
            </w:rPr>
            <w:fldChar w:fldCharType="begin"/>
          </w:r>
          <w:r>
            <w:rPr>
              <w:highlight w:val="none"/>
            </w:rPr>
            <w:instrText xml:space="preserve">TOC \o "1-3" \h \z \u</w:instrText>
          </w:r>
          <w:r>
            <w:rPr>
              <w:highlight w:val="none"/>
            </w:rPr>
            <w:fldChar w:fldCharType="separate"/>
          </w:r>
          <w:r>
            <w:fldChar w:fldCharType="begin"/>
          </w:r>
          <w:r>
            <w:instrText xml:space="preserve"> HYPERLINK \l "_Toc29028" </w:instrText>
          </w:r>
          <w:r>
            <w:fldChar w:fldCharType="separate"/>
          </w:r>
          <w:r>
            <w:rPr>
              <w:rFonts w:hint="eastAsia" w:ascii="仿宋" w:hAnsi="仿宋" w:eastAsia="仿宋"/>
              <w:szCs w:val="36"/>
              <w:highlight w:val="none"/>
              <w:lang w:bidi="en-US"/>
            </w:rPr>
            <w:t>一、基本情况</w:t>
          </w:r>
          <w:r>
            <w:rPr>
              <w:highlight w:val="none"/>
            </w:rPr>
            <w:tab/>
          </w:r>
          <w:r>
            <w:rPr>
              <w:highlight w:val="none"/>
            </w:rPr>
            <w:fldChar w:fldCharType="begin"/>
          </w:r>
          <w:r>
            <w:rPr>
              <w:highlight w:val="none"/>
            </w:rPr>
            <w:instrText xml:space="preserve"> PAGEREF _Toc29028 \h </w:instrText>
          </w:r>
          <w:r>
            <w:rPr>
              <w:highlight w:val="none"/>
            </w:rPr>
            <w:fldChar w:fldCharType="separate"/>
          </w:r>
          <w:r>
            <w:rPr>
              <w:highlight w:val="none"/>
            </w:rPr>
            <w:t>1</w:t>
          </w:r>
          <w:r>
            <w:rPr>
              <w:highlight w:val="none"/>
            </w:rPr>
            <w:fldChar w:fldCharType="end"/>
          </w:r>
          <w:r>
            <w:rPr>
              <w:highlight w:val="none"/>
            </w:rPr>
            <w:fldChar w:fldCharType="end"/>
          </w:r>
        </w:p>
        <w:p w14:paraId="35B549D4">
          <w:pPr>
            <w:pStyle w:val="12"/>
            <w:tabs>
              <w:tab w:val="right" w:leader="dot" w:pos="8306"/>
            </w:tabs>
            <w:rPr>
              <w:highlight w:val="none"/>
            </w:rPr>
          </w:pPr>
          <w:r>
            <w:fldChar w:fldCharType="begin"/>
          </w:r>
          <w:r>
            <w:instrText xml:space="preserve"> HYPERLINK \l "_Toc19482" </w:instrText>
          </w:r>
          <w:r>
            <w:fldChar w:fldCharType="separate"/>
          </w:r>
          <w:r>
            <w:rPr>
              <w:rFonts w:hint="eastAsia" w:ascii="仿宋" w:hAnsi="仿宋" w:eastAsia="仿宋"/>
              <w:highlight w:val="none"/>
              <w:lang w:bidi="en-US"/>
            </w:rPr>
            <w:t>（一）项目概况：</w:t>
          </w:r>
          <w:r>
            <w:rPr>
              <w:highlight w:val="none"/>
            </w:rPr>
            <w:tab/>
          </w:r>
          <w:r>
            <w:rPr>
              <w:highlight w:val="none"/>
            </w:rPr>
            <w:fldChar w:fldCharType="begin"/>
          </w:r>
          <w:r>
            <w:rPr>
              <w:highlight w:val="none"/>
            </w:rPr>
            <w:instrText xml:space="preserve"> PAGEREF _Toc19482 \h </w:instrText>
          </w:r>
          <w:r>
            <w:rPr>
              <w:highlight w:val="none"/>
            </w:rPr>
            <w:fldChar w:fldCharType="separate"/>
          </w:r>
          <w:r>
            <w:rPr>
              <w:highlight w:val="none"/>
            </w:rPr>
            <w:t>1</w:t>
          </w:r>
          <w:r>
            <w:rPr>
              <w:highlight w:val="none"/>
            </w:rPr>
            <w:fldChar w:fldCharType="end"/>
          </w:r>
          <w:r>
            <w:rPr>
              <w:highlight w:val="none"/>
            </w:rPr>
            <w:fldChar w:fldCharType="end"/>
          </w:r>
        </w:p>
        <w:p w14:paraId="662979F2">
          <w:pPr>
            <w:pStyle w:val="5"/>
            <w:tabs>
              <w:tab w:val="right" w:leader="dot" w:pos="8306"/>
            </w:tabs>
            <w:rPr>
              <w:highlight w:val="none"/>
            </w:rPr>
          </w:pPr>
          <w:r>
            <w:fldChar w:fldCharType="begin"/>
          </w:r>
          <w:r>
            <w:instrText xml:space="preserve"> HYPERLINK \l "_Toc10330" </w:instrText>
          </w:r>
          <w:r>
            <w:fldChar w:fldCharType="separate"/>
          </w:r>
          <w:r>
            <w:rPr>
              <w:rFonts w:hint="eastAsia"/>
              <w:highlight w:val="none"/>
            </w:rPr>
            <w:t>1．项目背景、主要内容及实施情况</w:t>
          </w:r>
          <w:r>
            <w:rPr>
              <w:highlight w:val="none"/>
            </w:rPr>
            <w:tab/>
          </w:r>
          <w:r>
            <w:rPr>
              <w:highlight w:val="none"/>
            </w:rPr>
            <w:fldChar w:fldCharType="begin"/>
          </w:r>
          <w:r>
            <w:rPr>
              <w:highlight w:val="none"/>
            </w:rPr>
            <w:instrText xml:space="preserve"> PAGEREF _Toc10330 \h </w:instrText>
          </w:r>
          <w:r>
            <w:rPr>
              <w:highlight w:val="none"/>
            </w:rPr>
            <w:fldChar w:fldCharType="separate"/>
          </w:r>
          <w:r>
            <w:rPr>
              <w:highlight w:val="none"/>
            </w:rPr>
            <w:t>1</w:t>
          </w:r>
          <w:r>
            <w:rPr>
              <w:highlight w:val="none"/>
            </w:rPr>
            <w:fldChar w:fldCharType="end"/>
          </w:r>
          <w:r>
            <w:rPr>
              <w:highlight w:val="none"/>
            </w:rPr>
            <w:fldChar w:fldCharType="end"/>
          </w:r>
        </w:p>
        <w:p w14:paraId="729474DE">
          <w:pPr>
            <w:pStyle w:val="5"/>
            <w:tabs>
              <w:tab w:val="right" w:leader="dot" w:pos="8306"/>
            </w:tabs>
            <w:rPr>
              <w:highlight w:val="none"/>
            </w:rPr>
          </w:pPr>
          <w:r>
            <w:fldChar w:fldCharType="begin"/>
          </w:r>
          <w:r>
            <w:instrText xml:space="preserve"> HYPERLINK \l "_Toc16100" </w:instrText>
          </w:r>
          <w:r>
            <w:fldChar w:fldCharType="separate"/>
          </w:r>
          <w:r>
            <w:rPr>
              <w:rFonts w:hint="eastAsia"/>
              <w:highlight w:val="none"/>
            </w:rPr>
            <w:t>2</w:t>
          </w:r>
          <w:r>
            <w:rPr>
              <w:highlight w:val="none"/>
            </w:rPr>
            <w:t>.资金投入和使用情况</w:t>
          </w:r>
          <w:r>
            <w:rPr>
              <w:highlight w:val="none"/>
            </w:rPr>
            <w:tab/>
          </w:r>
          <w:r>
            <w:rPr>
              <w:highlight w:val="none"/>
            </w:rPr>
            <w:fldChar w:fldCharType="begin"/>
          </w:r>
          <w:r>
            <w:rPr>
              <w:highlight w:val="none"/>
            </w:rPr>
            <w:instrText xml:space="preserve"> PAGEREF _Toc16100 \h </w:instrText>
          </w:r>
          <w:r>
            <w:rPr>
              <w:highlight w:val="none"/>
            </w:rPr>
            <w:fldChar w:fldCharType="separate"/>
          </w:r>
          <w:r>
            <w:rPr>
              <w:highlight w:val="none"/>
            </w:rPr>
            <w:t>2</w:t>
          </w:r>
          <w:r>
            <w:rPr>
              <w:highlight w:val="none"/>
            </w:rPr>
            <w:fldChar w:fldCharType="end"/>
          </w:r>
          <w:r>
            <w:rPr>
              <w:highlight w:val="none"/>
            </w:rPr>
            <w:fldChar w:fldCharType="end"/>
          </w:r>
        </w:p>
        <w:p w14:paraId="784C5953">
          <w:pPr>
            <w:pStyle w:val="12"/>
            <w:tabs>
              <w:tab w:val="right" w:leader="dot" w:pos="8306"/>
            </w:tabs>
            <w:rPr>
              <w:highlight w:val="none"/>
            </w:rPr>
          </w:pPr>
          <w:r>
            <w:fldChar w:fldCharType="begin"/>
          </w:r>
          <w:r>
            <w:instrText xml:space="preserve"> HYPERLINK \l "_Toc26643" </w:instrText>
          </w:r>
          <w:r>
            <w:fldChar w:fldCharType="separate"/>
          </w:r>
          <w:r>
            <w:rPr>
              <w:rFonts w:hint="eastAsia" w:ascii="仿宋" w:hAnsi="仿宋" w:eastAsia="仿宋"/>
              <w:highlight w:val="none"/>
              <w:lang w:bidi="en-US"/>
            </w:rPr>
            <w:t>（二）项目绩效目标：</w:t>
          </w:r>
          <w:r>
            <w:rPr>
              <w:highlight w:val="none"/>
            </w:rPr>
            <w:tab/>
          </w:r>
          <w:r>
            <w:rPr>
              <w:highlight w:val="none"/>
            </w:rPr>
            <w:fldChar w:fldCharType="begin"/>
          </w:r>
          <w:r>
            <w:rPr>
              <w:highlight w:val="none"/>
            </w:rPr>
            <w:instrText xml:space="preserve"> PAGEREF _Toc26643 \h </w:instrText>
          </w:r>
          <w:r>
            <w:rPr>
              <w:highlight w:val="none"/>
            </w:rPr>
            <w:fldChar w:fldCharType="separate"/>
          </w:r>
          <w:r>
            <w:rPr>
              <w:highlight w:val="none"/>
            </w:rPr>
            <w:t>3</w:t>
          </w:r>
          <w:r>
            <w:rPr>
              <w:highlight w:val="none"/>
            </w:rPr>
            <w:fldChar w:fldCharType="end"/>
          </w:r>
          <w:r>
            <w:rPr>
              <w:highlight w:val="none"/>
            </w:rPr>
            <w:fldChar w:fldCharType="end"/>
          </w:r>
        </w:p>
        <w:p w14:paraId="1F1371E1">
          <w:pPr>
            <w:pStyle w:val="10"/>
            <w:tabs>
              <w:tab w:val="right" w:leader="dot" w:pos="8306"/>
            </w:tabs>
            <w:rPr>
              <w:highlight w:val="none"/>
            </w:rPr>
          </w:pPr>
          <w:r>
            <w:fldChar w:fldCharType="begin"/>
          </w:r>
          <w:r>
            <w:instrText xml:space="preserve"> HYPERLINK \l "_Toc6675" </w:instrText>
          </w:r>
          <w:r>
            <w:fldChar w:fldCharType="separate"/>
          </w:r>
          <w:r>
            <w:rPr>
              <w:rFonts w:hint="eastAsia" w:ascii="仿宋" w:hAnsi="仿宋" w:eastAsia="仿宋"/>
              <w:szCs w:val="36"/>
              <w:highlight w:val="none"/>
              <w:lang w:bidi="en-US"/>
            </w:rPr>
            <w:t>二、绩效评价工作开展情况</w:t>
          </w:r>
          <w:r>
            <w:rPr>
              <w:highlight w:val="none"/>
            </w:rPr>
            <w:tab/>
          </w:r>
          <w:r>
            <w:rPr>
              <w:highlight w:val="none"/>
            </w:rPr>
            <w:fldChar w:fldCharType="begin"/>
          </w:r>
          <w:r>
            <w:rPr>
              <w:highlight w:val="none"/>
            </w:rPr>
            <w:instrText xml:space="preserve"> PAGEREF _Toc6675 \h </w:instrText>
          </w:r>
          <w:r>
            <w:rPr>
              <w:highlight w:val="none"/>
            </w:rPr>
            <w:fldChar w:fldCharType="separate"/>
          </w:r>
          <w:r>
            <w:rPr>
              <w:highlight w:val="none"/>
            </w:rPr>
            <w:t>4</w:t>
          </w:r>
          <w:r>
            <w:rPr>
              <w:highlight w:val="none"/>
            </w:rPr>
            <w:fldChar w:fldCharType="end"/>
          </w:r>
          <w:r>
            <w:rPr>
              <w:highlight w:val="none"/>
            </w:rPr>
            <w:fldChar w:fldCharType="end"/>
          </w:r>
        </w:p>
        <w:p w14:paraId="7E8F5ECD">
          <w:pPr>
            <w:pStyle w:val="12"/>
            <w:tabs>
              <w:tab w:val="right" w:leader="dot" w:pos="8306"/>
            </w:tabs>
            <w:rPr>
              <w:highlight w:val="none"/>
            </w:rPr>
          </w:pPr>
          <w:r>
            <w:fldChar w:fldCharType="begin"/>
          </w:r>
          <w:r>
            <w:instrText xml:space="preserve"> HYPERLINK \l "_Toc24481" </w:instrText>
          </w:r>
          <w:r>
            <w:fldChar w:fldCharType="separate"/>
          </w:r>
          <w:r>
            <w:rPr>
              <w:rFonts w:hint="eastAsia" w:ascii="仿宋" w:hAnsi="仿宋" w:eastAsia="仿宋"/>
              <w:highlight w:val="none"/>
              <w:lang w:bidi="en-US"/>
            </w:rPr>
            <w:t>（一）绩效评价目的、对象和范围</w:t>
          </w:r>
          <w:r>
            <w:rPr>
              <w:highlight w:val="none"/>
            </w:rPr>
            <w:tab/>
          </w:r>
          <w:r>
            <w:rPr>
              <w:highlight w:val="none"/>
            </w:rPr>
            <w:fldChar w:fldCharType="begin"/>
          </w:r>
          <w:r>
            <w:rPr>
              <w:highlight w:val="none"/>
            </w:rPr>
            <w:instrText xml:space="preserve"> PAGEREF _Toc24481 \h </w:instrText>
          </w:r>
          <w:r>
            <w:rPr>
              <w:highlight w:val="none"/>
            </w:rPr>
            <w:fldChar w:fldCharType="separate"/>
          </w:r>
          <w:r>
            <w:rPr>
              <w:highlight w:val="none"/>
            </w:rPr>
            <w:t>4</w:t>
          </w:r>
          <w:r>
            <w:rPr>
              <w:highlight w:val="none"/>
            </w:rPr>
            <w:fldChar w:fldCharType="end"/>
          </w:r>
          <w:r>
            <w:rPr>
              <w:highlight w:val="none"/>
            </w:rPr>
            <w:fldChar w:fldCharType="end"/>
          </w:r>
        </w:p>
        <w:p w14:paraId="32CB76BA">
          <w:pPr>
            <w:pStyle w:val="5"/>
            <w:tabs>
              <w:tab w:val="right" w:leader="dot" w:pos="8306"/>
            </w:tabs>
            <w:rPr>
              <w:highlight w:val="none"/>
            </w:rPr>
          </w:pPr>
          <w:r>
            <w:fldChar w:fldCharType="begin"/>
          </w:r>
          <w:r>
            <w:instrText xml:space="preserve"> HYPERLINK \l "_Toc4028" </w:instrText>
          </w:r>
          <w:r>
            <w:fldChar w:fldCharType="separate"/>
          </w:r>
          <w:r>
            <w:rPr>
              <w:rFonts w:hint="eastAsia"/>
              <w:highlight w:val="none"/>
            </w:rPr>
            <w:t>1</w:t>
          </w:r>
          <w:r>
            <w:rPr>
              <w:highlight w:val="none"/>
            </w:rPr>
            <w:t>.绩效评价完整性</w:t>
          </w:r>
          <w:r>
            <w:rPr>
              <w:highlight w:val="none"/>
            </w:rPr>
            <w:tab/>
          </w:r>
          <w:r>
            <w:rPr>
              <w:highlight w:val="none"/>
            </w:rPr>
            <w:fldChar w:fldCharType="begin"/>
          </w:r>
          <w:r>
            <w:rPr>
              <w:highlight w:val="none"/>
            </w:rPr>
            <w:instrText xml:space="preserve"> PAGEREF _Toc4028 \h </w:instrText>
          </w:r>
          <w:r>
            <w:rPr>
              <w:highlight w:val="none"/>
            </w:rPr>
            <w:fldChar w:fldCharType="separate"/>
          </w:r>
          <w:r>
            <w:rPr>
              <w:highlight w:val="none"/>
            </w:rPr>
            <w:t>4</w:t>
          </w:r>
          <w:r>
            <w:rPr>
              <w:highlight w:val="none"/>
            </w:rPr>
            <w:fldChar w:fldCharType="end"/>
          </w:r>
          <w:r>
            <w:rPr>
              <w:highlight w:val="none"/>
            </w:rPr>
            <w:fldChar w:fldCharType="end"/>
          </w:r>
        </w:p>
        <w:p w14:paraId="7435C30B">
          <w:pPr>
            <w:pStyle w:val="5"/>
            <w:tabs>
              <w:tab w:val="right" w:leader="dot" w:pos="8306"/>
            </w:tabs>
            <w:rPr>
              <w:highlight w:val="none"/>
            </w:rPr>
          </w:pPr>
          <w:r>
            <w:fldChar w:fldCharType="begin"/>
          </w:r>
          <w:r>
            <w:instrText xml:space="preserve"> HYPERLINK \l "_Toc714" </w:instrText>
          </w:r>
          <w:r>
            <w:fldChar w:fldCharType="separate"/>
          </w:r>
          <w:r>
            <w:rPr>
              <w:highlight w:val="none"/>
            </w:rPr>
            <w:t>2</w:t>
          </w:r>
          <w:r>
            <w:rPr>
              <w:rFonts w:hint="eastAsia"/>
              <w:highlight w:val="none"/>
            </w:rPr>
            <w:t>.评价目的</w:t>
          </w:r>
          <w:r>
            <w:rPr>
              <w:highlight w:val="none"/>
            </w:rPr>
            <w:tab/>
          </w:r>
          <w:r>
            <w:rPr>
              <w:highlight w:val="none"/>
            </w:rPr>
            <w:fldChar w:fldCharType="begin"/>
          </w:r>
          <w:r>
            <w:rPr>
              <w:highlight w:val="none"/>
            </w:rPr>
            <w:instrText xml:space="preserve"> PAGEREF _Toc714 \h </w:instrText>
          </w:r>
          <w:r>
            <w:rPr>
              <w:highlight w:val="none"/>
            </w:rPr>
            <w:fldChar w:fldCharType="separate"/>
          </w:r>
          <w:r>
            <w:rPr>
              <w:highlight w:val="none"/>
            </w:rPr>
            <w:t>5</w:t>
          </w:r>
          <w:r>
            <w:rPr>
              <w:highlight w:val="none"/>
            </w:rPr>
            <w:fldChar w:fldCharType="end"/>
          </w:r>
          <w:r>
            <w:rPr>
              <w:highlight w:val="none"/>
            </w:rPr>
            <w:fldChar w:fldCharType="end"/>
          </w:r>
        </w:p>
        <w:p w14:paraId="33C2D94B">
          <w:pPr>
            <w:pStyle w:val="5"/>
            <w:tabs>
              <w:tab w:val="right" w:leader="dot" w:pos="8306"/>
            </w:tabs>
            <w:rPr>
              <w:highlight w:val="none"/>
            </w:rPr>
          </w:pPr>
          <w:r>
            <w:fldChar w:fldCharType="begin"/>
          </w:r>
          <w:r>
            <w:instrText xml:space="preserve"> HYPERLINK \l "_Toc20083" </w:instrText>
          </w:r>
          <w:r>
            <w:fldChar w:fldCharType="separate"/>
          </w:r>
          <w:r>
            <w:rPr>
              <w:highlight w:val="none"/>
            </w:rPr>
            <w:t>3</w:t>
          </w:r>
          <w:r>
            <w:rPr>
              <w:rFonts w:hint="eastAsia"/>
              <w:highlight w:val="none"/>
            </w:rPr>
            <w:t>.评价对象</w:t>
          </w:r>
          <w:r>
            <w:rPr>
              <w:highlight w:val="none"/>
            </w:rPr>
            <w:tab/>
          </w:r>
          <w:r>
            <w:rPr>
              <w:highlight w:val="none"/>
            </w:rPr>
            <w:fldChar w:fldCharType="begin"/>
          </w:r>
          <w:r>
            <w:rPr>
              <w:highlight w:val="none"/>
            </w:rPr>
            <w:instrText xml:space="preserve"> PAGEREF _Toc20083 \h </w:instrText>
          </w:r>
          <w:r>
            <w:rPr>
              <w:highlight w:val="none"/>
            </w:rPr>
            <w:fldChar w:fldCharType="separate"/>
          </w:r>
          <w:r>
            <w:rPr>
              <w:highlight w:val="none"/>
            </w:rPr>
            <w:t>6</w:t>
          </w:r>
          <w:r>
            <w:rPr>
              <w:highlight w:val="none"/>
            </w:rPr>
            <w:fldChar w:fldCharType="end"/>
          </w:r>
          <w:r>
            <w:rPr>
              <w:highlight w:val="none"/>
            </w:rPr>
            <w:fldChar w:fldCharType="end"/>
          </w:r>
        </w:p>
        <w:p w14:paraId="784B1E53">
          <w:pPr>
            <w:pStyle w:val="5"/>
            <w:tabs>
              <w:tab w:val="right" w:leader="dot" w:pos="8306"/>
            </w:tabs>
            <w:rPr>
              <w:highlight w:val="none"/>
            </w:rPr>
          </w:pPr>
          <w:r>
            <w:fldChar w:fldCharType="begin"/>
          </w:r>
          <w:r>
            <w:instrText xml:space="preserve"> HYPERLINK \l "_Toc12335" </w:instrText>
          </w:r>
          <w:r>
            <w:fldChar w:fldCharType="separate"/>
          </w:r>
          <w:r>
            <w:rPr>
              <w:rFonts w:hint="eastAsia"/>
              <w:highlight w:val="none"/>
            </w:rPr>
            <w:t>4</w:t>
          </w:r>
          <w:r>
            <w:rPr>
              <w:highlight w:val="none"/>
            </w:rPr>
            <w:t>.</w:t>
          </w:r>
          <w:r>
            <w:rPr>
              <w:rFonts w:hint="eastAsia"/>
              <w:highlight w:val="none"/>
            </w:rPr>
            <w:t>绩效评价范围</w:t>
          </w:r>
          <w:r>
            <w:rPr>
              <w:highlight w:val="none"/>
            </w:rPr>
            <w:tab/>
          </w:r>
          <w:r>
            <w:rPr>
              <w:highlight w:val="none"/>
            </w:rPr>
            <w:fldChar w:fldCharType="begin"/>
          </w:r>
          <w:r>
            <w:rPr>
              <w:highlight w:val="none"/>
            </w:rPr>
            <w:instrText xml:space="preserve"> PAGEREF _Toc12335 \h </w:instrText>
          </w:r>
          <w:r>
            <w:rPr>
              <w:highlight w:val="none"/>
            </w:rPr>
            <w:fldChar w:fldCharType="separate"/>
          </w:r>
          <w:r>
            <w:rPr>
              <w:highlight w:val="none"/>
            </w:rPr>
            <w:t>6</w:t>
          </w:r>
          <w:r>
            <w:rPr>
              <w:highlight w:val="none"/>
            </w:rPr>
            <w:fldChar w:fldCharType="end"/>
          </w:r>
          <w:r>
            <w:rPr>
              <w:highlight w:val="none"/>
            </w:rPr>
            <w:fldChar w:fldCharType="end"/>
          </w:r>
        </w:p>
        <w:p w14:paraId="6424297E">
          <w:pPr>
            <w:pStyle w:val="12"/>
            <w:tabs>
              <w:tab w:val="right" w:leader="dot" w:pos="8306"/>
            </w:tabs>
            <w:rPr>
              <w:highlight w:val="none"/>
            </w:rPr>
          </w:pPr>
          <w:r>
            <w:fldChar w:fldCharType="begin"/>
          </w:r>
          <w:r>
            <w:instrText xml:space="preserve"> HYPERLINK \l "_Toc25412" </w:instrText>
          </w:r>
          <w:r>
            <w:fldChar w:fldCharType="separate"/>
          </w:r>
          <w:r>
            <w:rPr>
              <w:rFonts w:hint="eastAsia" w:ascii="仿宋" w:hAnsi="仿宋" w:eastAsia="仿宋"/>
              <w:highlight w:val="none"/>
              <w:lang w:bidi="en-US"/>
            </w:rPr>
            <w:t>（二）绩效评价原则、指标体系、方法及标准</w:t>
          </w:r>
          <w:r>
            <w:rPr>
              <w:highlight w:val="none"/>
            </w:rPr>
            <w:tab/>
          </w:r>
          <w:r>
            <w:rPr>
              <w:highlight w:val="none"/>
            </w:rPr>
            <w:fldChar w:fldCharType="begin"/>
          </w:r>
          <w:r>
            <w:rPr>
              <w:highlight w:val="none"/>
            </w:rPr>
            <w:instrText xml:space="preserve"> PAGEREF _Toc25412 \h </w:instrText>
          </w:r>
          <w:r>
            <w:rPr>
              <w:highlight w:val="none"/>
            </w:rPr>
            <w:fldChar w:fldCharType="separate"/>
          </w:r>
          <w:r>
            <w:rPr>
              <w:highlight w:val="none"/>
            </w:rPr>
            <w:t>7</w:t>
          </w:r>
          <w:r>
            <w:rPr>
              <w:highlight w:val="none"/>
            </w:rPr>
            <w:fldChar w:fldCharType="end"/>
          </w:r>
          <w:r>
            <w:rPr>
              <w:highlight w:val="none"/>
            </w:rPr>
            <w:fldChar w:fldCharType="end"/>
          </w:r>
        </w:p>
        <w:p w14:paraId="275F18AB">
          <w:pPr>
            <w:pStyle w:val="5"/>
            <w:tabs>
              <w:tab w:val="right" w:leader="dot" w:pos="8306"/>
            </w:tabs>
            <w:rPr>
              <w:highlight w:val="none"/>
            </w:rPr>
          </w:pPr>
          <w:r>
            <w:fldChar w:fldCharType="begin"/>
          </w:r>
          <w:r>
            <w:instrText xml:space="preserve"> HYPERLINK \l "_Toc3540" </w:instrText>
          </w:r>
          <w:r>
            <w:fldChar w:fldCharType="separate"/>
          </w:r>
          <w:r>
            <w:rPr>
              <w:rFonts w:hint="eastAsia"/>
              <w:highlight w:val="none"/>
            </w:rPr>
            <w:t>1</w:t>
          </w:r>
          <w:r>
            <w:rPr>
              <w:highlight w:val="none"/>
            </w:rPr>
            <w:t>.</w:t>
          </w:r>
          <w:r>
            <w:rPr>
              <w:rFonts w:hint="eastAsia"/>
              <w:highlight w:val="none"/>
            </w:rPr>
            <w:t>评价原则</w:t>
          </w:r>
          <w:r>
            <w:rPr>
              <w:highlight w:val="none"/>
            </w:rPr>
            <w:tab/>
          </w:r>
          <w:r>
            <w:rPr>
              <w:highlight w:val="none"/>
            </w:rPr>
            <w:fldChar w:fldCharType="begin"/>
          </w:r>
          <w:r>
            <w:rPr>
              <w:highlight w:val="none"/>
            </w:rPr>
            <w:instrText xml:space="preserve"> PAGEREF _Toc3540 \h </w:instrText>
          </w:r>
          <w:r>
            <w:rPr>
              <w:highlight w:val="none"/>
            </w:rPr>
            <w:fldChar w:fldCharType="separate"/>
          </w:r>
          <w:r>
            <w:rPr>
              <w:highlight w:val="none"/>
            </w:rPr>
            <w:t>7</w:t>
          </w:r>
          <w:r>
            <w:rPr>
              <w:highlight w:val="none"/>
            </w:rPr>
            <w:fldChar w:fldCharType="end"/>
          </w:r>
          <w:r>
            <w:rPr>
              <w:highlight w:val="none"/>
            </w:rPr>
            <w:fldChar w:fldCharType="end"/>
          </w:r>
        </w:p>
        <w:p w14:paraId="507EFF64">
          <w:pPr>
            <w:pStyle w:val="5"/>
            <w:tabs>
              <w:tab w:val="right" w:leader="dot" w:pos="8306"/>
            </w:tabs>
            <w:rPr>
              <w:highlight w:val="none"/>
            </w:rPr>
          </w:pPr>
          <w:r>
            <w:fldChar w:fldCharType="begin"/>
          </w:r>
          <w:r>
            <w:instrText xml:space="preserve"> HYPERLINK \l "_Toc7340" </w:instrText>
          </w:r>
          <w:r>
            <w:fldChar w:fldCharType="separate"/>
          </w:r>
          <w:r>
            <w:rPr>
              <w:highlight w:val="none"/>
            </w:rPr>
            <w:t>2.</w:t>
          </w:r>
          <w:r>
            <w:rPr>
              <w:rFonts w:hint="eastAsia"/>
              <w:highlight w:val="none"/>
            </w:rPr>
            <w:t>评价指标体系</w:t>
          </w:r>
          <w:r>
            <w:rPr>
              <w:highlight w:val="none"/>
            </w:rPr>
            <w:tab/>
          </w:r>
          <w:r>
            <w:rPr>
              <w:highlight w:val="none"/>
            </w:rPr>
            <w:fldChar w:fldCharType="begin"/>
          </w:r>
          <w:r>
            <w:rPr>
              <w:highlight w:val="none"/>
            </w:rPr>
            <w:instrText xml:space="preserve"> PAGEREF _Toc7340 \h </w:instrText>
          </w:r>
          <w:r>
            <w:rPr>
              <w:highlight w:val="none"/>
            </w:rPr>
            <w:fldChar w:fldCharType="separate"/>
          </w:r>
          <w:r>
            <w:rPr>
              <w:highlight w:val="none"/>
            </w:rPr>
            <w:t>8</w:t>
          </w:r>
          <w:r>
            <w:rPr>
              <w:highlight w:val="none"/>
            </w:rPr>
            <w:fldChar w:fldCharType="end"/>
          </w:r>
          <w:r>
            <w:rPr>
              <w:highlight w:val="none"/>
            </w:rPr>
            <w:fldChar w:fldCharType="end"/>
          </w:r>
        </w:p>
        <w:p w14:paraId="77C45DE5">
          <w:pPr>
            <w:pStyle w:val="5"/>
            <w:tabs>
              <w:tab w:val="right" w:leader="dot" w:pos="8306"/>
            </w:tabs>
            <w:rPr>
              <w:highlight w:val="none"/>
            </w:rPr>
          </w:pPr>
          <w:r>
            <w:fldChar w:fldCharType="begin"/>
          </w:r>
          <w:r>
            <w:instrText xml:space="preserve"> HYPERLINK \l "_Toc30399" </w:instrText>
          </w:r>
          <w:r>
            <w:fldChar w:fldCharType="separate"/>
          </w:r>
          <w:r>
            <w:rPr>
              <w:highlight w:val="none"/>
            </w:rPr>
            <w:t>3.</w:t>
          </w:r>
          <w:r>
            <w:rPr>
              <w:rFonts w:hint="eastAsia"/>
              <w:highlight w:val="none"/>
            </w:rPr>
            <w:t>评价方法</w:t>
          </w:r>
          <w:r>
            <w:rPr>
              <w:highlight w:val="none"/>
            </w:rPr>
            <w:tab/>
          </w:r>
          <w:r>
            <w:rPr>
              <w:highlight w:val="none"/>
            </w:rPr>
            <w:fldChar w:fldCharType="begin"/>
          </w:r>
          <w:r>
            <w:rPr>
              <w:highlight w:val="none"/>
            </w:rPr>
            <w:instrText xml:space="preserve"> PAGEREF _Toc30399 \h </w:instrText>
          </w:r>
          <w:r>
            <w:rPr>
              <w:highlight w:val="none"/>
            </w:rPr>
            <w:fldChar w:fldCharType="separate"/>
          </w:r>
          <w:r>
            <w:rPr>
              <w:highlight w:val="none"/>
            </w:rPr>
            <w:t>15</w:t>
          </w:r>
          <w:r>
            <w:rPr>
              <w:highlight w:val="none"/>
            </w:rPr>
            <w:fldChar w:fldCharType="end"/>
          </w:r>
          <w:r>
            <w:rPr>
              <w:highlight w:val="none"/>
            </w:rPr>
            <w:fldChar w:fldCharType="end"/>
          </w:r>
        </w:p>
        <w:p w14:paraId="440DA429">
          <w:pPr>
            <w:pStyle w:val="5"/>
            <w:tabs>
              <w:tab w:val="right" w:leader="dot" w:pos="8306"/>
            </w:tabs>
            <w:rPr>
              <w:highlight w:val="none"/>
            </w:rPr>
          </w:pPr>
          <w:r>
            <w:fldChar w:fldCharType="begin"/>
          </w:r>
          <w:r>
            <w:instrText xml:space="preserve"> HYPERLINK \l "_Toc32292" </w:instrText>
          </w:r>
          <w:r>
            <w:fldChar w:fldCharType="separate"/>
          </w:r>
          <w:r>
            <w:rPr>
              <w:highlight w:val="none"/>
            </w:rPr>
            <w:t>4.</w:t>
          </w:r>
          <w:r>
            <w:rPr>
              <w:rFonts w:hint="eastAsia"/>
              <w:highlight w:val="none"/>
            </w:rPr>
            <w:t>评价标准</w:t>
          </w:r>
          <w:r>
            <w:rPr>
              <w:highlight w:val="none"/>
            </w:rPr>
            <w:tab/>
          </w:r>
          <w:r>
            <w:rPr>
              <w:highlight w:val="none"/>
            </w:rPr>
            <w:fldChar w:fldCharType="begin"/>
          </w:r>
          <w:r>
            <w:rPr>
              <w:highlight w:val="none"/>
            </w:rPr>
            <w:instrText xml:space="preserve"> PAGEREF _Toc32292 \h </w:instrText>
          </w:r>
          <w:r>
            <w:rPr>
              <w:highlight w:val="none"/>
            </w:rPr>
            <w:fldChar w:fldCharType="separate"/>
          </w:r>
          <w:r>
            <w:rPr>
              <w:highlight w:val="none"/>
            </w:rPr>
            <w:t>16</w:t>
          </w:r>
          <w:r>
            <w:rPr>
              <w:highlight w:val="none"/>
            </w:rPr>
            <w:fldChar w:fldCharType="end"/>
          </w:r>
          <w:r>
            <w:rPr>
              <w:highlight w:val="none"/>
            </w:rPr>
            <w:fldChar w:fldCharType="end"/>
          </w:r>
        </w:p>
        <w:p w14:paraId="1778A6A3">
          <w:pPr>
            <w:pStyle w:val="12"/>
            <w:tabs>
              <w:tab w:val="right" w:leader="dot" w:pos="8306"/>
            </w:tabs>
            <w:rPr>
              <w:highlight w:val="none"/>
            </w:rPr>
          </w:pPr>
          <w:r>
            <w:fldChar w:fldCharType="begin"/>
          </w:r>
          <w:r>
            <w:instrText xml:space="preserve"> HYPERLINK \l "_Toc27340" </w:instrText>
          </w:r>
          <w:r>
            <w:fldChar w:fldCharType="separate"/>
          </w:r>
          <w:r>
            <w:rPr>
              <w:rFonts w:hint="eastAsia" w:ascii="仿宋" w:hAnsi="仿宋" w:eastAsia="仿宋"/>
              <w:highlight w:val="none"/>
              <w:lang w:bidi="en-US"/>
            </w:rPr>
            <w:t>（三）绩效评价工作过程</w:t>
          </w:r>
          <w:r>
            <w:rPr>
              <w:highlight w:val="none"/>
            </w:rPr>
            <w:tab/>
          </w:r>
          <w:r>
            <w:rPr>
              <w:highlight w:val="none"/>
            </w:rPr>
            <w:fldChar w:fldCharType="begin"/>
          </w:r>
          <w:r>
            <w:rPr>
              <w:highlight w:val="none"/>
            </w:rPr>
            <w:instrText xml:space="preserve"> PAGEREF _Toc27340 \h </w:instrText>
          </w:r>
          <w:r>
            <w:rPr>
              <w:highlight w:val="none"/>
            </w:rPr>
            <w:fldChar w:fldCharType="separate"/>
          </w:r>
          <w:r>
            <w:rPr>
              <w:highlight w:val="none"/>
            </w:rPr>
            <w:t>17</w:t>
          </w:r>
          <w:r>
            <w:rPr>
              <w:highlight w:val="none"/>
            </w:rPr>
            <w:fldChar w:fldCharType="end"/>
          </w:r>
          <w:r>
            <w:rPr>
              <w:highlight w:val="none"/>
            </w:rPr>
            <w:fldChar w:fldCharType="end"/>
          </w:r>
        </w:p>
        <w:p w14:paraId="1680B1BB">
          <w:pPr>
            <w:pStyle w:val="10"/>
            <w:tabs>
              <w:tab w:val="right" w:leader="dot" w:pos="8306"/>
            </w:tabs>
            <w:rPr>
              <w:highlight w:val="none"/>
            </w:rPr>
          </w:pPr>
          <w:r>
            <w:fldChar w:fldCharType="begin"/>
          </w:r>
          <w:r>
            <w:instrText xml:space="preserve"> HYPERLINK \l "_Toc4411" </w:instrText>
          </w:r>
          <w:r>
            <w:fldChar w:fldCharType="separate"/>
          </w:r>
          <w:r>
            <w:rPr>
              <w:rFonts w:hint="eastAsia" w:ascii="仿宋" w:hAnsi="仿宋" w:eastAsia="仿宋"/>
              <w:szCs w:val="36"/>
              <w:highlight w:val="none"/>
              <w:lang w:bidi="en-US"/>
            </w:rPr>
            <w:t>三、综合评价情况及评价结论</w:t>
          </w:r>
          <w:r>
            <w:rPr>
              <w:highlight w:val="none"/>
            </w:rPr>
            <w:tab/>
          </w:r>
          <w:r>
            <w:rPr>
              <w:highlight w:val="none"/>
            </w:rPr>
            <w:fldChar w:fldCharType="begin"/>
          </w:r>
          <w:r>
            <w:rPr>
              <w:highlight w:val="none"/>
            </w:rPr>
            <w:instrText xml:space="preserve"> PAGEREF _Toc4411 \h </w:instrText>
          </w:r>
          <w:r>
            <w:rPr>
              <w:highlight w:val="none"/>
            </w:rPr>
            <w:fldChar w:fldCharType="separate"/>
          </w:r>
          <w:r>
            <w:rPr>
              <w:highlight w:val="none"/>
            </w:rPr>
            <w:t>17</w:t>
          </w:r>
          <w:r>
            <w:rPr>
              <w:highlight w:val="none"/>
            </w:rPr>
            <w:fldChar w:fldCharType="end"/>
          </w:r>
          <w:r>
            <w:rPr>
              <w:highlight w:val="none"/>
            </w:rPr>
            <w:fldChar w:fldCharType="end"/>
          </w:r>
        </w:p>
        <w:p w14:paraId="65455F15">
          <w:pPr>
            <w:pStyle w:val="12"/>
            <w:tabs>
              <w:tab w:val="right" w:leader="dot" w:pos="8306"/>
            </w:tabs>
            <w:rPr>
              <w:highlight w:val="none"/>
            </w:rPr>
          </w:pPr>
          <w:r>
            <w:fldChar w:fldCharType="begin"/>
          </w:r>
          <w:r>
            <w:instrText xml:space="preserve"> HYPERLINK \l "_Toc14827" </w:instrText>
          </w:r>
          <w:r>
            <w:fldChar w:fldCharType="separate"/>
          </w:r>
          <w:r>
            <w:rPr>
              <w:rFonts w:hint="eastAsia" w:ascii="仿宋" w:hAnsi="仿宋" w:eastAsia="仿宋"/>
              <w:highlight w:val="none"/>
              <w:lang w:bidi="en-US"/>
            </w:rPr>
            <w:t>（一）评价结论</w:t>
          </w:r>
          <w:r>
            <w:rPr>
              <w:highlight w:val="none"/>
            </w:rPr>
            <w:tab/>
          </w:r>
          <w:r>
            <w:rPr>
              <w:highlight w:val="none"/>
            </w:rPr>
            <w:fldChar w:fldCharType="begin"/>
          </w:r>
          <w:r>
            <w:rPr>
              <w:highlight w:val="none"/>
            </w:rPr>
            <w:instrText xml:space="preserve"> PAGEREF _Toc14827 \h </w:instrText>
          </w:r>
          <w:r>
            <w:rPr>
              <w:highlight w:val="none"/>
            </w:rPr>
            <w:fldChar w:fldCharType="separate"/>
          </w:r>
          <w:r>
            <w:rPr>
              <w:highlight w:val="none"/>
            </w:rPr>
            <w:t>17</w:t>
          </w:r>
          <w:r>
            <w:rPr>
              <w:highlight w:val="none"/>
            </w:rPr>
            <w:fldChar w:fldCharType="end"/>
          </w:r>
          <w:r>
            <w:rPr>
              <w:highlight w:val="none"/>
            </w:rPr>
            <w:fldChar w:fldCharType="end"/>
          </w:r>
        </w:p>
        <w:p w14:paraId="69DC4A0B">
          <w:pPr>
            <w:pStyle w:val="12"/>
            <w:tabs>
              <w:tab w:val="right" w:leader="dot" w:pos="8306"/>
            </w:tabs>
            <w:rPr>
              <w:highlight w:val="none"/>
            </w:rPr>
          </w:pPr>
          <w:r>
            <w:fldChar w:fldCharType="begin"/>
          </w:r>
          <w:r>
            <w:instrText xml:space="preserve"> HYPERLINK \l "_Toc2133" </w:instrText>
          </w:r>
          <w:r>
            <w:fldChar w:fldCharType="separate"/>
          </w:r>
          <w:r>
            <w:rPr>
              <w:rFonts w:hint="eastAsia" w:ascii="仿宋" w:hAnsi="仿宋" w:eastAsia="仿宋"/>
              <w:highlight w:val="none"/>
              <w:lang w:bidi="en-US"/>
            </w:rPr>
            <w:t>（二）主要绩效</w:t>
          </w:r>
          <w:r>
            <w:rPr>
              <w:highlight w:val="none"/>
            </w:rPr>
            <w:tab/>
          </w:r>
          <w:r>
            <w:rPr>
              <w:highlight w:val="none"/>
            </w:rPr>
            <w:fldChar w:fldCharType="begin"/>
          </w:r>
          <w:r>
            <w:rPr>
              <w:highlight w:val="none"/>
            </w:rPr>
            <w:instrText xml:space="preserve"> PAGEREF _Toc2133 \h </w:instrText>
          </w:r>
          <w:r>
            <w:rPr>
              <w:highlight w:val="none"/>
            </w:rPr>
            <w:fldChar w:fldCharType="separate"/>
          </w:r>
          <w:r>
            <w:rPr>
              <w:highlight w:val="none"/>
            </w:rPr>
            <w:t>19</w:t>
          </w:r>
          <w:r>
            <w:rPr>
              <w:highlight w:val="none"/>
            </w:rPr>
            <w:fldChar w:fldCharType="end"/>
          </w:r>
          <w:r>
            <w:rPr>
              <w:highlight w:val="none"/>
            </w:rPr>
            <w:fldChar w:fldCharType="end"/>
          </w:r>
        </w:p>
        <w:p w14:paraId="41924817">
          <w:pPr>
            <w:pStyle w:val="10"/>
            <w:tabs>
              <w:tab w:val="right" w:leader="dot" w:pos="8306"/>
            </w:tabs>
            <w:rPr>
              <w:highlight w:val="none"/>
            </w:rPr>
          </w:pPr>
          <w:r>
            <w:fldChar w:fldCharType="begin"/>
          </w:r>
          <w:r>
            <w:instrText xml:space="preserve"> HYPERLINK \l "_Toc11861" </w:instrText>
          </w:r>
          <w:r>
            <w:fldChar w:fldCharType="separate"/>
          </w:r>
          <w:r>
            <w:rPr>
              <w:rFonts w:hint="eastAsia" w:ascii="仿宋" w:hAnsi="仿宋" w:eastAsia="仿宋"/>
              <w:szCs w:val="36"/>
              <w:highlight w:val="none"/>
              <w:lang w:bidi="en-US"/>
            </w:rPr>
            <w:t>四、绩效评价指标分析</w:t>
          </w:r>
          <w:r>
            <w:rPr>
              <w:highlight w:val="none"/>
            </w:rPr>
            <w:tab/>
          </w:r>
          <w:r>
            <w:rPr>
              <w:highlight w:val="none"/>
            </w:rPr>
            <w:fldChar w:fldCharType="begin"/>
          </w:r>
          <w:r>
            <w:rPr>
              <w:highlight w:val="none"/>
            </w:rPr>
            <w:instrText xml:space="preserve"> PAGEREF _Toc11861 \h </w:instrText>
          </w:r>
          <w:r>
            <w:rPr>
              <w:highlight w:val="none"/>
            </w:rPr>
            <w:fldChar w:fldCharType="separate"/>
          </w:r>
          <w:r>
            <w:rPr>
              <w:highlight w:val="none"/>
            </w:rPr>
            <w:t>19</w:t>
          </w:r>
          <w:r>
            <w:rPr>
              <w:highlight w:val="none"/>
            </w:rPr>
            <w:fldChar w:fldCharType="end"/>
          </w:r>
          <w:r>
            <w:rPr>
              <w:highlight w:val="none"/>
            </w:rPr>
            <w:fldChar w:fldCharType="end"/>
          </w:r>
        </w:p>
        <w:p w14:paraId="2047F8DD">
          <w:pPr>
            <w:pStyle w:val="12"/>
            <w:tabs>
              <w:tab w:val="right" w:leader="dot" w:pos="8306"/>
            </w:tabs>
            <w:rPr>
              <w:highlight w:val="none"/>
            </w:rPr>
          </w:pPr>
          <w:r>
            <w:fldChar w:fldCharType="begin"/>
          </w:r>
          <w:r>
            <w:instrText xml:space="preserve"> HYPERLINK \l "_Toc2184" </w:instrText>
          </w:r>
          <w:r>
            <w:fldChar w:fldCharType="separate"/>
          </w:r>
          <w:r>
            <w:rPr>
              <w:rFonts w:hint="eastAsia" w:ascii="仿宋" w:hAnsi="仿宋" w:eastAsia="仿宋"/>
              <w:highlight w:val="none"/>
              <w:lang w:bidi="en-US"/>
            </w:rPr>
            <w:t>（一）项目决策情况</w:t>
          </w:r>
          <w:r>
            <w:rPr>
              <w:highlight w:val="none"/>
            </w:rPr>
            <w:tab/>
          </w:r>
          <w:r>
            <w:rPr>
              <w:highlight w:val="none"/>
            </w:rPr>
            <w:fldChar w:fldCharType="begin"/>
          </w:r>
          <w:r>
            <w:rPr>
              <w:highlight w:val="none"/>
            </w:rPr>
            <w:instrText xml:space="preserve"> PAGEREF _Toc2184 \h </w:instrText>
          </w:r>
          <w:r>
            <w:rPr>
              <w:highlight w:val="none"/>
            </w:rPr>
            <w:fldChar w:fldCharType="separate"/>
          </w:r>
          <w:r>
            <w:rPr>
              <w:highlight w:val="none"/>
            </w:rPr>
            <w:t>19</w:t>
          </w:r>
          <w:r>
            <w:rPr>
              <w:highlight w:val="none"/>
            </w:rPr>
            <w:fldChar w:fldCharType="end"/>
          </w:r>
          <w:r>
            <w:rPr>
              <w:highlight w:val="none"/>
            </w:rPr>
            <w:fldChar w:fldCharType="end"/>
          </w:r>
        </w:p>
        <w:p w14:paraId="313AD62B">
          <w:pPr>
            <w:pStyle w:val="5"/>
            <w:tabs>
              <w:tab w:val="right" w:leader="dot" w:pos="8306"/>
            </w:tabs>
            <w:rPr>
              <w:highlight w:val="none"/>
            </w:rPr>
          </w:pPr>
          <w:r>
            <w:fldChar w:fldCharType="begin"/>
          </w:r>
          <w:r>
            <w:instrText xml:space="preserve"> HYPERLINK \l "_Toc21897" </w:instrText>
          </w:r>
          <w:r>
            <w:fldChar w:fldCharType="separate"/>
          </w:r>
          <w:r>
            <w:rPr>
              <w:highlight w:val="none"/>
            </w:rPr>
            <w:t>1.</w:t>
          </w:r>
          <w:r>
            <w:rPr>
              <w:rFonts w:hint="eastAsia"/>
              <w:highlight w:val="none"/>
            </w:rPr>
            <w:t>项目立项</w:t>
          </w:r>
          <w:r>
            <w:rPr>
              <w:highlight w:val="none"/>
            </w:rPr>
            <w:tab/>
          </w:r>
          <w:r>
            <w:rPr>
              <w:highlight w:val="none"/>
            </w:rPr>
            <w:fldChar w:fldCharType="begin"/>
          </w:r>
          <w:r>
            <w:rPr>
              <w:highlight w:val="none"/>
            </w:rPr>
            <w:instrText xml:space="preserve"> PAGEREF _Toc21897 \h </w:instrText>
          </w:r>
          <w:r>
            <w:rPr>
              <w:highlight w:val="none"/>
            </w:rPr>
            <w:fldChar w:fldCharType="separate"/>
          </w:r>
          <w:r>
            <w:rPr>
              <w:highlight w:val="none"/>
            </w:rPr>
            <w:t>19</w:t>
          </w:r>
          <w:r>
            <w:rPr>
              <w:highlight w:val="none"/>
            </w:rPr>
            <w:fldChar w:fldCharType="end"/>
          </w:r>
          <w:r>
            <w:rPr>
              <w:highlight w:val="none"/>
            </w:rPr>
            <w:fldChar w:fldCharType="end"/>
          </w:r>
        </w:p>
        <w:p w14:paraId="4DC553F4">
          <w:pPr>
            <w:pStyle w:val="5"/>
            <w:tabs>
              <w:tab w:val="right" w:leader="dot" w:pos="8306"/>
            </w:tabs>
            <w:rPr>
              <w:highlight w:val="none"/>
            </w:rPr>
          </w:pPr>
          <w:r>
            <w:fldChar w:fldCharType="begin"/>
          </w:r>
          <w:r>
            <w:instrText xml:space="preserve"> HYPERLINK \l "_Toc23337" </w:instrText>
          </w:r>
          <w:r>
            <w:fldChar w:fldCharType="separate"/>
          </w:r>
          <w:r>
            <w:rPr>
              <w:rFonts w:hint="eastAsia"/>
              <w:highlight w:val="none"/>
            </w:rPr>
            <w:t>2</w:t>
          </w:r>
          <w:r>
            <w:rPr>
              <w:highlight w:val="none"/>
            </w:rPr>
            <w:t>.</w:t>
          </w:r>
          <w:r>
            <w:rPr>
              <w:rFonts w:hint="eastAsia"/>
              <w:highlight w:val="none"/>
            </w:rPr>
            <w:t>绩效目标</w:t>
          </w:r>
          <w:r>
            <w:rPr>
              <w:highlight w:val="none"/>
            </w:rPr>
            <w:tab/>
          </w:r>
          <w:r>
            <w:rPr>
              <w:highlight w:val="none"/>
            </w:rPr>
            <w:fldChar w:fldCharType="begin"/>
          </w:r>
          <w:r>
            <w:rPr>
              <w:highlight w:val="none"/>
            </w:rPr>
            <w:instrText xml:space="preserve"> PAGEREF _Toc23337 \h </w:instrText>
          </w:r>
          <w:r>
            <w:rPr>
              <w:highlight w:val="none"/>
            </w:rPr>
            <w:fldChar w:fldCharType="separate"/>
          </w:r>
          <w:r>
            <w:rPr>
              <w:highlight w:val="none"/>
            </w:rPr>
            <w:t>20</w:t>
          </w:r>
          <w:r>
            <w:rPr>
              <w:highlight w:val="none"/>
            </w:rPr>
            <w:fldChar w:fldCharType="end"/>
          </w:r>
          <w:r>
            <w:rPr>
              <w:highlight w:val="none"/>
            </w:rPr>
            <w:fldChar w:fldCharType="end"/>
          </w:r>
        </w:p>
        <w:p w14:paraId="79E0CE1B">
          <w:pPr>
            <w:pStyle w:val="5"/>
            <w:tabs>
              <w:tab w:val="right" w:leader="dot" w:pos="8306"/>
            </w:tabs>
            <w:rPr>
              <w:highlight w:val="none"/>
            </w:rPr>
          </w:pPr>
          <w:r>
            <w:fldChar w:fldCharType="begin"/>
          </w:r>
          <w:r>
            <w:instrText xml:space="preserve"> HYPERLINK \l "_Toc17932" </w:instrText>
          </w:r>
          <w:r>
            <w:fldChar w:fldCharType="separate"/>
          </w:r>
          <w:r>
            <w:rPr>
              <w:rFonts w:hint="eastAsia"/>
              <w:highlight w:val="none"/>
            </w:rPr>
            <w:t>3.资金投入</w:t>
          </w:r>
          <w:r>
            <w:rPr>
              <w:highlight w:val="none"/>
            </w:rPr>
            <w:tab/>
          </w:r>
          <w:r>
            <w:rPr>
              <w:highlight w:val="none"/>
            </w:rPr>
            <w:fldChar w:fldCharType="begin"/>
          </w:r>
          <w:r>
            <w:rPr>
              <w:highlight w:val="none"/>
            </w:rPr>
            <w:instrText xml:space="preserve"> PAGEREF _Toc17932 \h </w:instrText>
          </w:r>
          <w:r>
            <w:rPr>
              <w:highlight w:val="none"/>
            </w:rPr>
            <w:fldChar w:fldCharType="separate"/>
          </w:r>
          <w:r>
            <w:rPr>
              <w:highlight w:val="none"/>
            </w:rPr>
            <w:t>21</w:t>
          </w:r>
          <w:r>
            <w:rPr>
              <w:highlight w:val="none"/>
            </w:rPr>
            <w:fldChar w:fldCharType="end"/>
          </w:r>
          <w:r>
            <w:rPr>
              <w:highlight w:val="none"/>
            </w:rPr>
            <w:fldChar w:fldCharType="end"/>
          </w:r>
        </w:p>
        <w:p w14:paraId="6AE4CF63">
          <w:pPr>
            <w:pStyle w:val="12"/>
            <w:tabs>
              <w:tab w:val="right" w:leader="dot" w:pos="8306"/>
            </w:tabs>
            <w:rPr>
              <w:highlight w:val="none"/>
            </w:rPr>
          </w:pPr>
          <w:r>
            <w:fldChar w:fldCharType="begin"/>
          </w:r>
          <w:r>
            <w:instrText xml:space="preserve"> HYPERLINK \l "_Toc3341" </w:instrText>
          </w:r>
          <w:r>
            <w:fldChar w:fldCharType="separate"/>
          </w:r>
          <w:r>
            <w:rPr>
              <w:rFonts w:hint="eastAsia" w:ascii="仿宋" w:hAnsi="仿宋" w:eastAsia="仿宋"/>
              <w:highlight w:val="none"/>
              <w:lang w:bidi="en-US"/>
            </w:rPr>
            <w:t>（二）项目过程情况</w:t>
          </w:r>
          <w:r>
            <w:rPr>
              <w:highlight w:val="none"/>
            </w:rPr>
            <w:tab/>
          </w:r>
          <w:r>
            <w:rPr>
              <w:highlight w:val="none"/>
            </w:rPr>
            <w:fldChar w:fldCharType="begin"/>
          </w:r>
          <w:r>
            <w:rPr>
              <w:highlight w:val="none"/>
            </w:rPr>
            <w:instrText xml:space="preserve"> PAGEREF _Toc3341 \h </w:instrText>
          </w:r>
          <w:r>
            <w:rPr>
              <w:highlight w:val="none"/>
            </w:rPr>
            <w:fldChar w:fldCharType="separate"/>
          </w:r>
          <w:r>
            <w:rPr>
              <w:highlight w:val="none"/>
            </w:rPr>
            <w:t>22</w:t>
          </w:r>
          <w:r>
            <w:rPr>
              <w:highlight w:val="none"/>
            </w:rPr>
            <w:fldChar w:fldCharType="end"/>
          </w:r>
          <w:r>
            <w:rPr>
              <w:highlight w:val="none"/>
            </w:rPr>
            <w:fldChar w:fldCharType="end"/>
          </w:r>
        </w:p>
        <w:p w14:paraId="1AA8665F">
          <w:pPr>
            <w:pStyle w:val="5"/>
            <w:tabs>
              <w:tab w:val="right" w:leader="dot" w:pos="8306"/>
            </w:tabs>
            <w:rPr>
              <w:highlight w:val="none"/>
            </w:rPr>
          </w:pPr>
          <w:r>
            <w:fldChar w:fldCharType="begin"/>
          </w:r>
          <w:r>
            <w:instrText xml:space="preserve"> HYPERLINK \l "_Toc28731" </w:instrText>
          </w:r>
          <w:r>
            <w:fldChar w:fldCharType="separate"/>
          </w:r>
          <w:r>
            <w:rPr>
              <w:highlight w:val="none"/>
            </w:rPr>
            <w:t>1.</w:t>
          </w:r>
          <w:r>
            <w:rPr>
              <w:rFonts w:hint="eastAsia"/>
              <w:highlight w:val="none"/>
            </w:rPr>
            <w:t>资金管理</w:t>
          </w:r>
          <w:r>
            <w:rPr>
              <w:highlight w:val="none"/>
            </w:rPr>
            <w:tab/>
          </w:r>
          <w:r>
            <w:rPr>
              <w:highlight w:val="none"/>
            </w:rPr>
            <w:fldChar w:fldCharType="begin"/>
          </w:r>
          <w:r>
            <w:rPr>
              <w:highlight w:val="none"/>
            </w:rPr>
            <w:instrText xml:space="preserve"> PAGEREF _Toc28731 \h </w:instrText>
          </w:r>
          <w:r>
            <w:rPr>
              <w:highlight w:val="none"/>
            </w:rPr>
            <w:fldChar w:fldCharType="separate"/>
          </w:r>
          <w:r>
            <w:rPr>
              <w:highlight w:val="none"/>
            </w:rPr>
            <w:t>22</w:t>
          </w:r>
          <w:r>
            <w:rPr>
              <w:highlight w:val="none"/>
            </w:rPr>
            <w:fldChar w:fldCharType="end"/>
          </w:r>
          <w:r>
            <w:rPr>
              <w:highlight w:val="none"/>
            </w:rPr>
            <w:fldChar w:fldCharType="end"/>
          </w:r>
        </w:p>
        <w:p w14:paraId="519725FD">
          <w:pPr>
            <w:pStyle w:val="5"/>
            <w:tabs>
              <w:tab w:val="right" w:leader="dot" w:pos="8306"/>
            </w:tabs>
            <w:rPr>
              <w:highlight w:val="none"/>
            </w:rPr>
          </w:pPr>
          <w:r>
            <w:fldChar w:fldCharType="begin"/>
          </w:r>
          <w:r>
            <w:instrText xml:space="preserve"> HYPERLINK \l "_Toc28812" </w:instrText>
          </w:r>
          <w:r>
            <w:fldChar w:fldCharType="separate"/>
          </w:r>
          <w:r>
            <w:rPr>
              <w:highlight w:val="none"/>
            </w:rPr>
            <w:t>2.</w:t>
          </w:r>
          <w:r>
            <w:rPr>
              <w:rFonts w:hint="eastAsia"/>
              <w:highlight w:val="none"/>
            </w:rPr>
            <w:t>组织实施</w:t>
          </w:r>
          <w:r>
            <w:rPr>
              <w:highlight w:val="none"/>
            </w:rPr>
            <w:tab/>
          </w:r>
          <w:r>
            <w:rPr>
              <w:highlight w:val="none"/>
            </w:rPr>
            <w:fldChar w:fldCharType="begin"/>
          </w:r>
          <w:r>
            <w:rPr>
              <w:highlight w:val="none"/>
            </w:rPr>
            <w:instrText xml:space="preserve"> PAGEREF _Toc28812 \h </w:instrText>
          </w:r>
          <w:r>
            <w:rPr>
              <w:highlight w:val="none"/>
            </w:rPr>
            <w:fldChar w:fldCharType="separate"/>
          </w:r>
          <w:r>
            <w:rPr>
              <w:highlight w:val="none"/>
            </w:rPr>
            <w:t>24</w:t>
          </w:r>
          <w:r>
            <w:rPr>
              <w:highlight w:val="none"/>
            </w:rPr>
            <w:fldChar w:fldCharType="end"/>
          </w:r>
          <w:r>
            <w:rPr>
              <w:highlight w:val="none"/>
            </w:rPr>
            <w:fldChar w:fldCharType="end"/>
          </w:r>
        </w:p>
        <w:p w14:paraId="429636C1">
          <w:pPr>
            <w:pStyle w:val="12"/>
            <w:tabs>
              <w:tab w:val="right" w:leader="dot" w:pos="8306"/>
            </w:tabs>
            <w:rPr>
              <w:highlight w:val="none"/>
            </w:rPr>
          </w:pPr>
          <w:r>
            <w:fldChar w:fldCharType="begin"/>
          </w:r>
          <w:r>
            <w:instrText xml:space="preserve"> HYPERLINK \l "_Toc15035" </w:instrText>
          </w:r>
          <w:r>
            <w:fldChar w:fldCharType="separate"/>
          </w:r>
          <w:r>
            <w:rPr>
              <w:rFonts w:hint="eastAsia" w:ascii="仿宋" w:hAnsi="仿宋" w:eastAsia="仿宋"/>
              <w:highlight w:val="none"/>
              <w:lang w:bidi="en-US"/>
            </w:rPr>
            <w:t>（三）项目产出情况</w:t>
          </w:r>
          <w:r>
            <w:rPr>
              <w:highlight w:val="none"/>
            </w:rPr>
            <w:tab/>
          </w:r>
          <w:r>
            <w:rPr>
              <w:highlight w:val="none"/>
            </w:rPr>
            <w:fldChar w:fldCharType="begin"/>
          </w:r>
          <w:r>
            <w:rPr>
              <w:highlight w:val="none"/>
            </w:rPr>
            <w:instrText xml:space="preserve"> PAGEREF _Toc15035 \h </w:instrText>
          </w:r>
          <w:r>
            <w:rPr>
              <w:highlight w:val="none"/>
            </w:rPr>
            <w:fldChar w:fldCharType="separate"/>
          </w:r>
          <w:r>
            <w:rPr>
              <w:highlight w:val="none"/>
            </w:rPr>
            <w:t>25</w:t>
          </w:r>
          <w:r>
            <w:rPr>
              <w:highlight w:val="none"/>
            </w:rPr>
            <w:fldChar w:fldCharType="end"/>
          </w:r>
          <w:r>
            <w:rPr>
              <w:highlight w:val="none"/>
            </w:rPr>
            <w:fldChar w:fldCharType="end"/>
          </w:r>
        </w:p>
        <w:p w14:paraId="440E9340">
          <w:pPr>
            <w:pStyle w:val="5"/>
            <w:tabs>
              <w:tab w:val="right" w:leader="dot" w:pos="8306"/>
            </w:tabs>
            <w:rPr>
              <w:highlight w:val="none"/>
            </w:rPr>
          </w:pPr>
          <w:r>
            <w:fldChar w:fldCharType="begin"/>
          </w:r>
          <w:r>
            <w:instrText xml:space="preserve"> HYPERLINK \l "_Toc24763" </w:instrText>
          </w:r>
          <w:r>
            <w:fldChar w:fldCharType="separate"/>
          </w:r>
          <w:r>
            <w:rPr>
              <w:rFonts w:hint="eastAsia"/>
              <w:highlight w:val="none"/>
            </w:rPr>
            <w:t>1</w:t>
          </w:r>
          <w:r>
            <w:rPr>
              <w:highlight w:val="none"/>
            </w:rPr>
            <w:t>.</w:t>
          </w:r>
          <w:r>
            <w:rPr>
              <w:rFonts w:hint="eastAsia"/>
              <w:highlight w:val="none"/>
            </w:rPr>
            <w:t>产出数量</w:t>
          </w:r>
          <w:r>
            <w:rPr>
              <w:highlight w:val="none"/>
            </w:rPr>
            <w:tab/>
          </w:r>
          <w:r>
            <w:rPr>
              <w:highlight w:val="none"/>
            </w:rPr>
            <w:fldChar w:fldCharType="begin"/>
          </w:r>
          <w:r>
            <w:rPr>
              <w:highlight w:val="none"/>
            </w:rPr>
            <w:instrText xml:space="preserve"> PAGEREF _Toc24763 \h </w:instrText>
          </w:r>
          <w:r>
            <w:rPr>
              <w:highlight w:val="none"/>
            </w:rPr>
            <w:fldChar w:fldCharType="separate"/>
          </w:r>
          <w:r>
            <w:rPr>
              <w:highlight w:val="none"/>
            </w:rPr>
            <w:t>22</w:t>
          </w:r>
          <w:r>
            <w:rPr>
              <w:highlight w:val="none"/>
            </w:rPr>
            <w:fldChar w:fldCharType="end"/>
          </w:r>
          <w:r>
            <w:rPr>
              <w:highlight w:val="none"/>
            </w:rPr>
            <w:fldChar w:fldCharType="end"/>
          </w:r>
        </w:p>
        <w:p w14:paraId="04AF1527">
          <w:pPr>
            <w:pStyle w:val="5"/>
            <w:tabs>
              <w:tab w:val="right" w:leader="dot" w:pos="8306"/>
            </w:tabs>
            <w:rPr>
              <w:highlight w:val="none"/>
            </w:rPr>
          </w:pPr>
          <w:r>
            <w:fldChar w:fldCharType="begin"/>
          </w:r>
          <w:r>
            <w:instrText xml:space="preserve"> HYPERLINK \l "_Toc28482" </w:instrText>
          </w:r>
          <w:r>
            <w:fldChar w:fldCharType="separate"/>
          </w:r>
          <w:r>
            <w:rPr>
              <w:rFonts w:hint="eastAsia"/>
              <w:highlight w:val="none"/>
            </w:rPr>
            <w:t>2</w:t>
          </w:r>
          <w:r>
            <w:rPr>
              <w:highlight w:val="none"/>
            </w:rPr>
            <w:t>.</w:t>
          </w:r>
          <w:r>
            <w:rPr>
              <w:rFonts w:hint="eastAsia"/>
              <w:highlight w:val="none"/>
            </w:rPr>
            <w:t>产出质量</w:t>
          </w:r>
          <w:r>
            <w:rPr>
              <w:highlight w:val="none"/>
            </w:rPr>
            <w:tab/>
          </w:r>
          <w:r>
            <w:rPr>
              <w:highlight w:val="none"/>
            </w:rPr>
            <w:fldChar w:fldCharType="begin"/>
          </w:r>
          <w:r>
            <w:rPr>
              <w:highlight w:val="none"/>
            </w:rPr>
            <w:instrText xml:space="preserve"> PAGEREF _Toc28482 \h </w:instrText>
          </w:r>
          <w:r>
            <w:rPr>
              <w:highlight w:val="none"/>
            </w:rPr>
            <w:fldChar w:fldCharType="separate"/>
          </w:r>
          <w:r>
            <w:rPr>
              <w:highlight w:val="none"/>
            </w:rPr>
            <w:t>26</w:t>
          </w:r>
          <w:r>
            <w:rPr>
              <w:highlight w:val="none"/>
            </w:rPr>
            <w:fldChar w:fldCharType="end"/>
          </w:r>
          <w:r>
            <w:rPr>
              <w:highlight w:val="none"/>
            </w:rPr>
            <w:fldChar w:fldCharType="end"/>
          </w:r>
        </w:p>
        <w:p w14:paraId="6DE8CCA8">
          <w:pPr>
            <w:pStyle w:val="5"/>
            <w:tabs>
              <w:tab w:val="right" w:leader="dot" w:pos="8306"/>
            </w:tabs>
            <w:rPr>
              <w:highlight w:val="none"/>
            </w:rPr>
          </w:pPr>
          <w:r>
            <w:fldChar w:fldCharType="begin"/>
          </w:r>
          <w:r>
            <w:instrText xml:space="preserve"> HYPERLINK \l "_Toc22409" </w:instrText>
          </w:r>
          <w:r>
            <w:fldChar w:fldCharType="separate"/>
          </w:r>
          <w:r>
            <w:rPr>
              <w:rFonts w:hint="eastAsia"/>
              <w:highlight w:val="none"/>
            </w:rPr>
            <w:t>3</w:t>
          </w:r>
          <w:r>
            <w:rPr>
              <w:highlight w:val="none"/>
            </w:rPr>
            <w:t>.</w:t>
          </w:r>
          <w:r>
            <w:rPr>
              <w:rFonts w:hint="eastAsia"/>
              <w:highlight w:val="none"/>
            </w:rPr>
            <w:t>产出时效</w:t>
          </w:r>
          <w:r>
            <w:rPr>
              <w:highlight w:val="none"/>
            </w:rPr>
            <w:tab/>
          </w:r>
          <w:r>
            <w:rPr>
              <w:highlight w:val="none"/>
            </w:rPr>
            <w:fldChar w:fldCharType="begin"/>
          </w:r>
          <w:r>
            <w:rPr>
              <w:highlight w:val="none"/>
            </w:rPr>
            <w:instrText xml:space="preserve"> PAGEREF _Toc22409 \h </w:instrText>
          </w:r>
          <w:r>
            <w:rPr>
              <w:highlight w:val="none"/>
            </w:rPr>
            <w:fldChar w:fldCharType="separate"/>
          </w:r>
          <w:r>
            <w:rPr>
              <w:highlight w:val="none"/>
            </w:rPr>
            <w:t>27</w:t>
          </w:r>
          <w:r>
            <w:rPr>
              <w:highlight w:val="none"/>
            </w:rPr>
            <w:fldChar w:fldCharType="end"/>
          </w:r>
          <w:r>
            <w:rPr>
              <w:highlight w:val="none"/>
            </w:rPr>
            <w:fldChar w:fldCharType="end"/>
          </w:r>
        </w:p>
        <w:p w14:paraId="3C24449C">
          <w:pPr>
            <w:pStyle w:val="5"/>
            <w:tabs>
              <w:tab w:val="right" w:leader="dot" w:pos="8306"/>
            </w:tabs>
            <w:rPr>
              <w:highlight w:val="none"/>
            </w:rPr>
          </w:pPr>
          <w:r>
            <w:fldChar w:fldCharType="begin"/>
          </w:r>
          <w:r>
            <w:instrText xml:space="preserve"> HYPERLINK \l "_Toc25296" </w:instrText>
          </w:r>
          <w:r>
            <w:fldChar w:fldCharType="separate"/>
          </w:r>
          <w:r>
            <w:rPr>
              <w:rFonts w:hint="eastAsia"/>
              <w:highlight w:val="none"/>
            </w:rPr>
            <w:t>4</w:t>
          </w:r>
          <w:r>
            <w:rPr>
              <w:highlight w:val="none"/>
            </w:rPr>
            <w:t>.</w:t>
          </w:r>
          <w:r>
            <w:rPr>
              <w:rFonts w:hint="eastAsia"/>
              <w:highlight w:val="none"/>
            </w:rPr>
            <w:t>产出成本</w:t>
          </w:r>
          <w:r>
            <w:rPr>
              <w:highlight w:val="none"/>
            </w:rPr>
            <w:tab/>
          </w:r>
          <w:r>
            <w:rPr>
              <w:highlight w:val="none"/>
            </w:rPr>
            <w:fldChar w:fldCharType="begin"/>
          </w:r>
          <w:r>
            <w:rPr>
              <w:highlight w:val="none"/>
            </w:rPr>
            <w:instrText xml:space="preserve"> PAGEREF _Toc25296 \h </w:instrText>
          </w:r>
          <w:r>
            <w:rPr>
              <w:highlight w:val="none"/>
            </w:rPr>
            <w:fldChar w:fldCharType="separate"/>
          </w:r>
          <w:r>
            <w:rPr>
              <w:highlight w:val="none"/>
            </w:rPr>
            <w:t>27</w:t>
          </w:r>
          <w:r>
            <w:rPr>
              <w:highlight w:val="none"/>
            </w:rPr>
            <w:fldChar w:fldCharType="end"/>
          </w:r>
          <w:r>
            <w:rPr>
              <w:highlight w:val="none"/>
            </w:rPr>
            <w:fldChar w:fldCharType="end"/>
          </w:r>
        </w:p>
        <w:p w14:paraId="266A0724">
          <w:pPr>
            <w:pStyle w:val="12"/>
            <w:tabs>
              <w:tab w:val="right" w:leader="dot" w:pos="8306"/>
            </w:tabs>
            <w:rPr>
              <w:highlight w:val="none"/>
            </w:rPr>
          </w:pPr>
          <w:r>
            <w:fldChar w:fldCharType="begin"/>
          </w:r>
          <w:r>
            <w:instrText xml:space="preserve"> HYPERLINK \l "_Toc13721" </w:instrText>
          </w:r>
          <w:r>
            <w:fldChar w:fldCharType="separate"/>
          </w:r>
          <w:r>
            <w:rPr>
              <w:rFonts w:hint="eastAsia" w:ascii="仿宋" w:hAnsi="仿宋" w:eastAsia="仿宋"/>
              <w:highlight w:val="none"/>
              <w:lang w:bidi="en-US"/>
            </w:rPr>
            <w:t>（四）项目效益</w:t>
          </w:r>
          <w:r>
            <w:rPr>
              <w:highlight w:val="none"/>
            </w:rPr>
            <w:tab/>
          </w:r>
          <w:r>
            <w:rPr>
              <w:highlight w:val="none"/>
            </w:rPr>
            <w:fldChar w:fldCharType="begin"/>
          </w:r>
          <w:r>
            <w:rPr>
              <w:highlight w:val="none"/>
            </w:rPr>
            <w:instrText xml:space="preserve"> PAGEREF _Toc13721 \h </w:instrText>
          </w:r>
          <w:r>
            <w:rPr>
              <w:highlight w:val="none"/>
            </w:rPr>
            <w:fldChar w:fldCharType="separate"/>
          </w:r>
          <w:r>
            <w:rPr>
              <w:highlight w:val="none"/>
            </w:rPr>
            <w:t>28</w:t>
          </w:r>
          <w:r>
            <w:rPr>
              <w:highlight w:val="none"/>
            </w:rPr>
            <w:fldChar w:fldCharType="end"/>
          </w:r>
          <w:r>
            <w:rPr>
              <w:highlight w:val="none"/>
            </w:rPr>
            <w:fldChar w:fldCharType="end"/>
          </w:r>
        </w:p>
        <w:p w14:paraId="1226880A">
          <w:pPr>
            <w:pStyle w:val="12"/>
            <w:tabs>
              <w:tab w:val="right" w:leader="dot" w:pos="8306"/>
            </w:tabs>
            <w:rPr>
              <w:highlight w:val="none"/>
            </w:rPr>
          </w:pPr>
          <w:r>
            <w:fldChar w:fldCharType="begin"/>
          </w:r>
          <w:r>
            <w:instrText xml:space="preserve"> HYPERLINK \l "_Toc23699" </w:instrText>
          </w:r>
          <w:r>
            <w:fldChar w:fldCharType="separate"/>
          </w:r>
          <w:r>
            <w:rPr>
              <w:rFonts w:hint="eastAsia" w:ascii="仿宋" w:hAnsi="仿宋" w:eastAsia="仿宋"/>
              <w:highlight w:val="none"/>
              <w:lang w:bidi="en-US"/>
            </w:rPr>
            <w:t>（五）</w:t>
          </w:r>
          <w:r>
            <w:rPr>
              <w:rFonts w:ascii="仿宋" w:hAnsi="仿宋" w:eastAsia="仿宋"/>
              <w:highlight w:val="none"/>
              <w:lang w:bidi="en-US"/>
            </w:rPr>
            <w:t>满意度指标完成情况分析</w:t>
          </w:r>
          <w:r>
            <w:rPr>
              <w:highlight w:val="none"/>
            </w:rPr>
            <w:tab/>
          </w:r>
          <w:r>
            <w:rPr>
              <w:highlight w:val="none"/>
            </w:rPr>
            <w:fldChar w:fldCharType="begin"/>
          </w:r>
          <w:r>
            <w:rPr>
              <w:highlight w:val="none"/>
            </w:rPr>
            <w:instrText xml:space="preserve"> PAGEREF _Toc23699 \h </w:instrText>
          </w:r>
          <w:r>
            <w:rPr>
              <w:highlight w:val="none"/>
            </w:rPr>
            <w:fldChar w:fldCharType="separate"/>
          </w:r>
          <w:r>
            <w:rPr>
              <w:highlight w:val="none"/>
            </w:rPr>
            <w:t>28</w:t>
          </w:r>
          <w:r>
            <w:rPr>
              <w:highlight w:val="none"/>
            </w:rPr>
            <w:fldChar w:fldCharType="end"/>
          </w:r>
          <w:r>
            <w:rPr>
              <w:highlight w:val="none"/>
            </w:rPr>
            <w:fldChar w:fldCharType="end"/>
          </w:r>
        </w:p>
        <w:p w14:paraId="1DC3C87F">
          <w:pPr>
            <w:pStyle w:val="10"/>
            <w:tabs>
              <w:tab w:val="right" w:leader="dot" w:pos="8306"/>
            </w:tabs>
            <w:rPr>
              <w:highlight w:val="none"/>
            </w:rPr>
          </w:pPr>
          <w:r>
            <w:fldChar w:fldCharType="begin"/>
          </w:r>
          <w:r>
            <w:instrText xml:space="preserve"> HYPERLINK \l "_Toc21008" </w:instrText>
          </w:r>
          <w:r>
            <w:fldChar w:fldCharType="separate"/>
          </w:r>
          <w:r>
            <w:rPr>
              <w:rFonts w:hint="eastAsia" w:ascii="仿宋" w:hAnsi="仿宋" w:eastAsia="仿宋"/>
              <w:szCs w:val="36"/>
              <w:highlight w:val="none"/>
              <w:lang w:bidi="en-US"/>
            </w:rPr>
            <w:t>五、主要经验及做法、存在的问题及原因分析</w:t>
          </w:r>
          <w:r>
            <w:rPr>
              <w:highlight w:val="none"/>
            </w:rPr>
            <w:tab/>
          </w:r>
          <w:r>
            <w:rPr>
              <w:highlight w:val="none"/>
            </w:rPr>
            <w:fldChar w:fldCharType="begin"/>
          </w:r>
          <w:r>
            <w:rPr>
              <w:highlight w:val="none"/>
            </w:rPr>
            <w:instrText xml:space="preserve"> PAGEREF _Toc21008 \h </w:instrText>
          </w:r>
          <w:r>
            <w:rPr>
              <w:highlight w:val="none"/>
            </w:rPr>
            <w:fldChar w:fldCharType="separate"/>
          </w:r>
          <w:r>
            <w:rPr>
              <w:highlight w:val="none"/>
            </w:rPr>
            <w:t>30</w:t>
          </w:r>
          <w:r>
            <w:rPr>
              <w:highlight w:val="none"/>
            </w:rPr>
            <w:fldChar w:fldCharType="end"/>
          </w:r>
          <w:r>
            <w:rPr>
              <w:highlight w:val="none"/>
            </w:rPr>
            <w:fldChar w:fldCharType="end"/>
          </w:r>
        </w:p>
        <w:p w14:paraId="34CA8D77">
          <w:pPr>
            <w:pStyle w:val="12"/>
            <w:tabs>
              <w:tab w:val="right" w:leader="dot" w:pos="8306"/>
            </w:tabs>
            <w:rPr>
              <w:highlight w:val="none"/>
            </w:rPr>
          </w:pPr>
          <w:r>
            <w:fldChar w:fldCharType="begin"/>
          </w:r>
          <w:r>
            <w:instrText xml:space="preserve"> HYPERLINK \l "_Toc6413" </w:instrText>
          </w:r>
          <w:r>
            <w:fldChar w:fldCharType="separate"/>
          </w:r>
          <w:r>
            <w:rPr>
              <w:rFonts w:hint="eastAsia" w:ascii="仿宋" w:hAnsi="仿宋" w:eastAsia="仿宋"/>
              <w:highlight w:val="none"/>
              <w:lang w:bidi="en-US"/>
            </w:rPr>
            <w:t>（一）主要经验及做法</w:t>
          </w:r>
          <w:r>
            <w:rPr>
              <w:highlight w:val="none"/>
            </w:rPr>
            <w:tab/>
          </w:r>
          <w:r>
            <w:rPr>
              <w:highlight w:val="none"/>
            </w:rPr>
            <w:fldChar w:fldCharType="begin"/>
          </w:r>
          <w:r>
            <w:rPr>
              <w:highlight w:val="none"/>
            </w:rPr>
            <w:instrText xml:space="preserve"> PAGEREF _Toc6413 \h </w:instrText>
          </w:r>
          <w:r>
            <w:rPr>
              <w:highlight w:val="none"/>
            </w:rPr>
            <w:fldChar w:fldCharType="separate"/>
          </w:r>
          <w:r>
            <w:rPr>
              <w:highlight w:val="none"/>
            </w:rPr>
            <w:t>30</w:t>
          </w:r>
          <w:r>
            <w:rPr>
              <w:highlight w:val="none"/>
            </w:rPr>
            <w:fldChar w:fldCharType="end"/>
          </w:r>
          <w:r>
            <w:rPr>
              <w:highlight w:val="none"/>
            </w:rPr>
            <w:fldChar w:fldCharType="end"/>
          </w:r>
        </w:p>
        <w:p w14:paraId="7F14A621">
          <w:pPr>
            <w:pStyle w:val="12"/>
            <w:tabs>
              <w:tab w:val="right" w:leader="dot" w:pos="8306"/>
            </w:tabs>
            <w:rPr>
              <w:highlight w:val="none"/>
            </w:rPr>
          </w:pPr>
          <w:r>
            <w:fldChar w:fldCharType="begin"/>
          </w:r>
          <w:r>
            <w:instrText xml:space="preserve"> HYPERLINK \l "_Toc22959" </w:instrText>
          </w:r>
          <w:r>
            <w:fldChar w:fldCharType="separate"/>
          </w:r>
          <w:r>
            <w:rPr>
              <w:rFonts w:hint="eastAsia" w:ascii="仿宋" w:hAnsi="仿宋" w:eastAsia="仿宋"/>
              <w:highlight w:val="none"/>
              <w:lang w:bidi="en-US"/>
            </w:rPr>
            <w:t>（二）存在的问题及原因分析</w:t>
          </w:r>
          <w:r>
            <w:rPr>
              <w:highlight w:val="none"/>
            </w:rPr>
            <w:tab/>
          </w:r>
          <w:r>
            <w:rPr>
              <w:highlight w:val="none"/>
            </w:rPr>
            <w:fldChar w:fldCharType="begin"/>
          </w:r>
          <w:r>
            <w:rPr>
              <w:highlight w:val="none"/>
            </w:rPr>
            <w:instrText xml:space="preserve"> PAGEREF _Toc22959 \h </w:instrText>
          </w:r>
          <w:r>
            <w:rPr>
              <w:highlight w:val="none"/>
            </w:rPr>
            <w:fldChar w:fldCharType="separate"/>
          </w:r>
          <w:r>
            <w:rPr>
              <w:highlight w:val="none"/>
            </w:rPr>
            <w:t>30</w:t>
          </w:r>
          <w:r>
            <w:rPr>
              <w:highlight w:val="none"/>
            </w:rPr>
            <w:fldChar w:fldCharType="end"/>
          </w:r>
          <w:r>
            <w:rPr>
              <w:highlight w:val="none"/>
            </w:rPr>
            <w:fldChar w:fldCharType="end"/>
          </w:r>
        </w:p>
        <w:p w14:paraId="0FF7FA0F">
          <w:pPr>
            <w:pStyle w:val="10"/>
            <w:tabs>
              <w:tab w:val="right" w:leader="dot" w:pos="8306"/>
            </w:tabs>
            <w:rPr>
              <w:highlight w:val="none"/>
            </w:rPr>
          </w:pPr>
          <w:r>
            <w:fldChar w:fldCharType="begin"/>
          </w:r>
          <w:r>
            <w:instrText xml:space="preserve"> HYPERLINK \l "_Toc29485" </w:instrText>
          </w:r>
          <w:r>
            <w:fldChar w:fldCharType="separate"/>
          </w:r>
          <w:r>
            <w:rPr>
              <w:rFonts w:hint="eastAsia" w:ascii="仿宋" w:hAnsi="仿宋" w:eastAsia="仿宋"/>
              <w:szCs w:val="36"/>
              <w:highlight w:val="none"/>
              <w:lang w:bidi="en-US"/>
            </w:rPr>
            <w:t>六、有关建议</w:t>
          </w:r>
          <w:r>
            <w:rPr>
              <w:highlight w:val="none"/>
            </w:rPr>
            <w:tab/>
          </w:r>
          <w:r>
            <w:rPr>
              <w:highlight w:val="none"/>
            </w:rPr>
            <w:fldChar w:fldCharType="begin"/>
          </w:r>
          <w:r>
            <w:rPr>
              <w:highlight w:val="none"/>
            </w:rPr>
            <w:instrText xml:space="preserve"> PAGEREF _Toc29485 \h </w:instrText>
          </w:r>
          <w:r>
            <w:rPr>
              <w:highlight w:val="none"/>
            </w:rPr>
            <w:fldChar w:fldCharType="separate"/>
          </w:r>
          <w:r>
            <w:rPr>
              <w:highlight w:val="none"/>
            </w:rPr>
            <w:t>31</w:t>
          </w:r>
          <w:r>
            <w:rPr>
              <w:highlight w:val="none"/>
            </w:rPr>
            <w:fldChar w:fldCharType="end"/>
          </w:r>
          <w:r>
            <w:rPr>
              <w:highlight w:val="none"/>
            </w:rPr>
            <w:fldChar w:fldCharType="end"/>
          </w:r>
        </w:p>
        <w:p w14:paraId="312C1B6D">
          <w:pPr>
            <w:pStyle w:val="10"/>
            <w:tabs>
              <w:tab w:val="right" w:leader="dot" w:pos="8306"/>
            </w:tabs>
            <w:rPr>
              <w:highlight w:val="none"/>
            </w:rPr>
          </w:pPr>
          <w:r>
            <w:fldChar w:fldCharType="begin"/>
          </w:r>
          <w:r>
            <w:instrText xml:space="preserve"> HYPERLINK \l "_Toc19328" </w:instrText>
          </w:r>
          <w:r>
            <w:fldChar w:fldCharType="separate"/>
          </w:r>
          <w:r>
            <w:rPr>
              <w:rFonts w:hint="eastAsia" w:ascii="仿宋" w:hAnsi="仿宋" w:eastAsia="仿宋"/>
              <w:szCs w:val="36"/>
              <w:highlight w:val="none"/>
              <w:lang w:bidi="en-US"/>
            </w:rPr>
            <w:t>七、其他需要说明的问题</w:t>
          </w:r>
          <w:r>
            <w:rPr>
              <w:highlight w:val="none"/>
            </w:rPr>
            <w:tab/>
          </w:r>
          <w:r>
            <w:rPr>
              <w:highlight w:val="none"/>
            </w:rPr>
            <w:fldChar w:fldCharType="begin"/>
          </w:r>
          <w:r>
            <w:rPr>
              <w:highlight w:val="none"/>
            </w:rPr>
            <w:instrText xml:space="preserve"> PAGEREF _Toc19328 \h </w:instrText>
          </w:r>
          <w:r>
            <w:rPr>
              <w:highlight w:val="none"/>
            </w:rPr>
            <w:fldChar w:fldCharType="separate"/>
          </w:r>
          <w:r>
            <w:rPr>
              <w:highlight w:val="none"/>
            </w:rPr>
            <w:t>32</w:t>
          </w:r>
          <w:r>
            <w:rPr>
              <w:highlight w:val="none"/>
            </w:rPr>
            <w:fldChar w:fldCharType="end"/>
          </w:r>
          <w:r>
            <w:rPr>
              <w:highlight w:val="none"/>
            </w:rPr>
            <w:fldChar w:fldCharType="end"/>
          </w:r>
        </w:p>
        <w:p w14:paraId="3DFC0191">
          <w:pPr>
            <w:ind w:firstLine="562"/>
            <w:rPr>
              <w:highlight w:val="none"/>
            </w:rPr>
          </w:pPr>
          <w:r>
            <w:rPr>
              <w:bCs/>
              <w:highlight w:val="none"/>
              <w:lang w:val="zh-CN"/>
            </w:rPr>
            <w:fldChar w:fldCharType="end"/>
          </w:r>
        </w:p>
      </w:sdtContent>
    </w:sdt>
    <w:p w14:paraId="5B4763AF">
      <w:pPr>
        <w:ind w:firstLine="598" w:firstLineChars="187"/>
        <w:rPr>
          <w:rFonts w:ascii="仿宋_GB2312"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14:paraId="19B738DC">
      <w:pPr>
        <w:pStyle w:val="2"/>
        <w:ind w:firstLine="0" w:firstLineChars="0"/>
        <w:jc w:val="left"/>
        <w:rPr>
          <w:rFonts w:ascii="仿宋" w:hAnsi="仿宋" w:eastAsia="仿宋"/>
          <w:sz w:val="36"/>
          <w:szCs w:val="36"/>
          <w:highlight w:val="none"/>
          <w:lang w:bidi="en-US"/>
        </w:rPr>
      </w:pPr>
      <w:bookmarkStart w:id="0" w:name="_Toc29028"/>
      <w:bookmarkStart w:id="1" w:name="_Toc67911601"/>
      <w:r>
        <w:rPr>
          <w:rFonts w:hint="eastAsia" w:ascii="仿宋" w:hAnsi="仿宋" w:eastAsia="仿宋"/>
          <w:sz w:val="36"/>
          <w:szCs w:val="36"/>
          <w:highlight w:val="none"/>
          <w:lang w:bidi="en-US"/>
        </w:rPr>
        <w:t>一、基本情况</w:t>
      </w:r>
      <w:bookmarkEnd w:id="0"/>
      <w:bookmarkEnd w:id="1"/>
    </w:p>
    <w:p w14:paraId="0C67419C">
      <w:pPr>
        <w:pStyle w:val="3"/>
        <w:ind w:firstLine="643"/>
        <w:rPr>
          <w:rFonts w:ascii="仿宋" w:hAnsi="仿宋" w:eastAsia="仿宋"/>
          <w:highlight w:val="none"/>
          <w:lang w:bidi="en-US"/>
        </w:rPr>
      </w:pPr>
      <w:bookmarkStart w:id="2" w:name="_Toc67911602"/>
      <w:bookmarkStart w:id="3" w:name="_Toc19482"/>
      <w:r>
        <w:rPr>
          <w:rFonts w:hint="eastAsia" w:ascii="仿宋" w:hAnsi="仿宋" w:eastAsia="仿宋"/>
          <w:highlight w:val="none"/>
          <w:lang w:bidi="en-US"/>
        </w:rPr>
        <w:t>（一）项目概况：</w:t>
      </w:r>
      <w:bookmarkEnd w:id="2"/>
      <w:bookmarkEnd w:id="3"/>
    </w:p>
    <w:p w14:paraId="6867ED7E">
      <w:pPr>
        <w:pStyle w:val="4"/>
        <w:ind w:firstLine="643"/>
        <w:rPr>
          <w:highlight w:val="none"/>
        </w:rPr>
      </w:pPr>
      <w:bookmarkStart w:id="4" w:name="_Toc10330"/>
      <w:r>
        <w:rPr>
          <w:rFonts w:hint="eastAsia" w:ascii="Times New Roman" w:hAnsi="Times New Roman"/>
          <w:highlight w:val="none"/>
        </w:rPr>
        <w:t>1</w:t>
      </w:r>
      <w:r>
        <w:rPr>
          <w:rFonts w:hint="eastAsia"/>
          <w:highlight w:val="none"/>
        </w:rPr>
        <w:t>．项目背景、主要内容及实施情况</w:t>
      </w:r>
      <w:bookmarkEnd w:id="4"/>
    </w:p>
    <w:p w14:paraId="15DD9960">
      <w:pPr>
        <w:spacing w:line="360" w:lineRule="auto"/>
        <w:ind w:firstLine="560"/>
        <w:rPr>
          <w:rFonts w:hint="eastAsia" w:ascii="仿宋_GB2312"/>
          <w:highlight w:val="none"/>
        </w:rPr>
      </w:pPr>
      <w:r>
        <w:rPr>
          <w:rFonts w:hint="eastAsia" w:ascii="仿宋_GB2312"/>
          <w:highlight w:val="none"/>
        </w:rPr>
        <w:t>该项目实施背景：随着人口增长与医疗技术发展，手术、急救及慢性病治疗等临床用血需求激增，传统分散采血模式难以满足现代医疗对血液制品专业化、规模化的要求。20世纪80-90年代，有偿献血引发的血液安全危机暴露了监管漏洞和疾病传播风险，促使1998年《献血法》出台，推动无偿献血制度转型，以切断商业利益链条，保障血液来源安全。与此同时，公共卫生体系的整合需求催生了血站的系统化角色——通过统一标准采集、检测和调配血液，严控艾滋病、肝炎等血源性传染病扩散，成为疾病防控的关键环节。此外，自然灾害和突发公共卫生事件凸显血液应急储备的重要性，血站为快速响应提供了资源保障。社会公益意识的增强和国际经验借鉴进一步推动了无偿献血普及，使血站成为连接公众参与和医疗需求的纽带。通过专业化管理、技术升级和资源优化，血站不仅解决了历史遗留的安全隐患，更成为我国医疗现代化和公共卫生基础设施的核心支柱，实现了血液安全供应与社会健康福祉的双重目标。</w:t>
      </w:r>
    </w:p>
    <w:p w14:paraId="036B65A9">
      <w:pPr>
        <w:spacing w:line="360" w:lineRule="auto"/>
        <w:ind w:firstLine="560"/>
        <w:rPr>
          <w:rFonts w:ascii="仿宋_GB2312"/>
          <w:highlight w:val="none"/>
        </w:rPr>
      </w:pPr>
      <w:r>
        <w:rPr>
          <w:rFonts w:ascii="仿宋_GB2312"/>
          <w:highlight w:val="none"/>
        </w:rPr>
        <w:t>项目</w:t>
      </w:r>
      <w:r>
        <w:rPr>
          <w:rFonts w:hint="eastAsia" w:ascii="仿宋_GB2312"/>
          <w:highlight w:val="none"/>
        </w:rPr>
        <w:t>2024</w:t>
      </w:r>
      <w:r>
        <w:rPr>
          <w:rFonts w:ascii="仿宋_GB2312"/>
          <w:highlight w:val="none"/>
        </w:rPr>
        <w:t>年的主要实施内容：</w:t>
      </w:r>
      <w:r>
        <w:rPr>
          <w:rFonts w:hint="eastAsia" w:ascii="仿宋_GB2312"/>
          <w:highlight w:val="none"/>
        </w:rPr>
        <w:t>①我单位需定期对关键区域进行防火、防污染改造，以确保血液储存与检测环境符合国家质量验收标准，申请资金</w:t>
      </w:r>
      <w:r>
        <w:rPr>
          <w:rFonts w:hint="eastAsia" w:ascii="仿宋_GB2312"/>
          <w:highlight w:val="none"/>
          <w:lang w:val="en-US" w:eastAsia="zh-CN"/>
        </w:rPr>
        <w:t>用于</w:t>
      </w:r>
      <w:r>
        <w:rPr>
          <w:rFonts w:hint="eastAsia" w:ascii="仿宋_GB2312"/>
          <w:highlight w:val="none"/>
        </w:rPr>
        <w:t>大型修缮，通过系统性修缮满足采血环境的标准</w:t>
      </w:r>
      <w:r>
        <w:rPr>
          <w:rFonts w:hint="eastAsia" w:ascii="仿宋_GB2312"/>
          <w:highlight w:val="none"/>
          <w:lang w:val="en-US" w:eastAsia="zh-CN"/>
        </w:rPr>
        <w:t>要求</w:t>
      </w:r>
      <w:r>
        <w:rPr>
          <w:rFonts w:hint="eastAsia" w:ascii="仿宋_GB2312"/>
          <w:highlight w:val="none"/>
          <w:lang w:eastAsia="zh-CN"/>
        </w:rPr>
        <w:t>；</w:t>
      </w:r>
      <w:r>
        <w:rPr>
          <w:rFonts w:hint="eastAsia" w:ascii="仿宋_GB2312"/>
          <w:highlight w:val="none"/>
        </w:rPr>
        <w:t>②根据我单位业务科室需求，申请资金购置专用设备，用于采购</w:t>
      </w:r>
      <w:r>
        <w:rPr>
          <w:rFonts w:hint="eastAsia" w:ascii="仿宋_GB2312"/>
          <w:highlight w:val="none"/>
          <w:lang w:val="en-US" w:eastAsia="zh-CN"/>
        </w:rPr>
        <w:t>辐照个人剂量计、测温仪等</w:t>
      </w:r>
      <w:r>
        <w:rPr>
          <w:rFonts w:hint="eastAsia" w:ascii="仿宋_GB2312"/>
          <w:highlight w:val="none"/>
        </w:rPr>
        <w:t>专用设备</w:t>
      </w:r>
      <w:r>
        <w:rPr>
          <w:rFonts w:hint="eastAsia" w:ascii="仿宋_GB2312"/>
          <w:highlight w:val="none"/>
          <w:lang w:eastAsia="zh-CN"/>
        </w:rPr>
        <w:t>；</w:t>
      </w:r>
      <w:r>
        <w:rPr>
          <w:rFonts w:hint="eastAsia" w:ascii="仿宋_GB2312"/>
          <w:highlight w:val="none"/>
        </w:rPr>
        <w:t>③9.0信息系统维护</w:t>
      </w:r>
      <w:r>
        <w:rPr>
          <w:rFonts w:hint="eastAsia" w:ascii="仿宋_GB2312"/>
          <w:highlight w:val="none"/>
          <w:lang w:eastAsia="zh-CN"/>
        </w:rPr>
        <w:t>、</w:t>
      </w:r>
      <w:r>
        <w:rPr>
          <w:rFonts w:hint="eastAsia" w:ascii="仿宋_GB2312"/>
          <w:highlight w:val="none"/>
          <w:lang w:val="en-US" w:eastAsia="zh-CN"/>
        </w:rPr>
        <w:t>云灾备系统维护</w:t>
      </w:r>
      <w:r>
        <w:rPr>
          <w:rFonts w:hint="eastAsia" w:ascii="仿宋_GB2312"/>
          <w:highlight w:val="none"/>
          <w:lang w:eastAsia="zh-CN"/>
        </w:rPr>
        <w:t>；</w:t>
      </w:r>
      <w:r>
        <w:rPr>
          <w:rFonts w:hint="eastAsia" w:ascii="仿宋_GB2312"/>
          <w:highlight w:val="none"/>
        </w:rPr>
        <w:t>④采购</w:t>
      </w:r>
      <w:r>
        <w:rPr>
          <w:rFonts w:hint="eastAsia" w:ascii="仿宋_GB2312"/>
          <w:highlight w:val="none"/>
          <w:lang w:val="en-US" w:eastAsia="zh-CN"/>
        </w:rPr>
        <w:t>献血者座椅、LED屏幕等</w:t>
      </w:r>
      <w:r>
        <w:rPr>
          <w:rFonts w:hint="eastAsia" w:ascii="仿宋_GB2312"/>
          <w:highlight w:val="none"/>
        </w:rPr>
        <w:t>办公设备</w:t>
      </w:r>
      <w:r>
        <w:rPr>
          <w:rFonts w:hint="eastAsia" w:ascii="仿宋_GB2312"/>
          <w:highlight w:val="none"/>
          <w:lang w:eastAsia="zh-CN"/>
        </w:rPr>
        <w:t>；</w:t>
      </w:r>
      <w:r>
        <w:rPr>
          <w:rFonts w:hint="eastAsia" w:ascii="仿宋_GB2312"/>
          <w:highlight w:val="none"/>
        </w:rPr>
        <w:t>⑤为献血者提供食品</w:t>
      </w:r>
      <w:r>
        <w:rPr>
          <w:rFonts w:hint="eastAsia" w:ascii="仿宋_GB2312"/>
          <w:highlight w:val="none"/>
          <w:lang w:val="en-US" w:eastAsia="zh-CN"/>
        </w:rPr>
        <w:t>和纪念品</w:t>
      </w:r>
      <w:r>
        <w:rPr>
          <w:rFonts w:hint="eastAsia" w:ascii="仿宋_GB2312"/>
          <w:highlight w:val="none"/>
          <w:lang w:eastAsia="zh-CN"/>
        </w:rPr>
        <w:t>；</w:t>
      </w:r>
      <w:r>
        <w:rPr>
          <w:rFonts w:hint="eastAsia" w:ascii="仿宋_GB2312"/>
          <w:highlight w:val="none"/>
        </w:rPr>
        <w:t>⑥采购血液采集、检验、存储等环节需要的试剂耗材，保障我单位采供血职能</w:t>
      </w:r>
      <w:r>
        <w:rPr>
          <w:rFonts w:hint="eastAsia" w:ascii="仿宋_GB2312"/>
          <w:highlight w:val="none"/>
          <w:lang w:eastAsia="zh-CN"/>
        </w:rPr>
        <w:t>；</w:t>
      </w:r>
      <w:r>
        <w:rPr>
          <w:rFonts w:hint="eastAsia" w:ascii="仿宋_GB2312"/>
          <w:highlight w:val="none"/>
        </w:rPr>
        <w:t>⑦</w:t>
      </w:r>
      <w:r>
        <w:rPr>
          <w:rFonts w:hint="eastAsia" w:ascii="仿宋_GB2312"/>
          <w:highlight w:val="none"/>
          <w:lang w:val="en-US" w:eastAsia="zh-CN"/>
        </w:rPr>
        <w:t>印刷血液包装盒</w:t>
      </w:r>
      <w:r>
        <w:rPr>
          <w:rFonts w:hint="eastAsia" w:ascii="仿宋_GB2312"/>
          <w:highlight w:val="none"/>
          <w:lang w:eastAsia="zh-CN"/>
        </w:rPr>
        <w:t>；</w:t>
      </w:r>
      <w:r>
        <w:rPr>
          <w:rFonts w:hint="eastAsia" w:ascii="仿宋_GB2312"/>
          <w:highlight w:val="none"/>
          <w:lang w:val="en-US" w:eastAsia="zh-CN"/>
        </w:rPr>
        <w:t>⑧</w:t>
      </w:r>
      <w:r>
        <w:rPr>
          <w:rFonts w:hint="eastAsia" w:ascii="仿宋_GB2312"/>
          <w:highlight w:val="none"/>
        </w:rPr>
        <w:t>为保障我单位中心及各点位的卫生和环境安全，我单位需第三方单位提供物业、保洁服务。</w:t>
      </w:r>
    </w:p>
    <w:p w14:paraId="02C4D4AE">
      <w:pPr>
        <w:spacing w:line="360" w:lineRule="auto"/>
        <w:ind w:firstLine="560"/>
        <w:rPr>
          <w:rFonts w:ascii="仿宋_GB2312"/>
          <w:highlight w:val="none"/>
        </w:rPr>
      </w:pPr>
      <w:r>
        <w:rPr>
          <w:rFonts w:ascii="仿宋_GB2312"/>
          <w:highlight w:val="none"/>
        </w:rPr>
        <w:t>实际完成情况为：</w:t>
      </w:r>
      <w:r>
        <w:rPr>
          <w:rFonts w:hint="eastAsia" w:ascii="仿宋_GB2312"/>
          <w:highlight w:val="none"/>
        </w:rPr>
        <w:t>①2024年全年，我单位共采集7.99万人次，采集各类血液制品共计24.85万吨</w:t>
      </w:r>
      <w:r>
        <w:rPr>
          <w:rFonts w:hint="eastAsia" w:ascii="仿宋_GB2312"/>
          <w:highlight w:val="none"/>
          <w:lang w:eastAsia="zh-CN"/>
        </w:rPr>
        <w:t>；</w:t>
      </w:r>
      <w:r>
        <w:rPr>
          <w:rFonts w:hint="eastAsia" w:ascii="仿宋_GB2312"/>
          <w:highlight w:val="none"/>
        </w:rPr>
        <w:t>②采购业务科室所需专用设备，</w:t>
      </w:r>
      <w:r>
        <w:rPr>
          <w:rFonts w:hint="eastAsia" w:ascii="仿宋_GB2312"/>
          <w:highlight w:val="none"/>
          <w:lang w:val="en-US" w:eastAsia="zh-CN"/>
        </w:rPr>
        <w:t>如辐照个人剂量计、自助登记机、电子血压计、热合机、测温仪和精密空调等</w:t>
      </w:r>
      <w:r>
        <w:rPr>
          <w:rFonts w:hint="eastAsia" w:ascii="仿宋_GB2312"/>
          <w:highlight w:val="none"/>
        </w:rPr>
        <w:t>；③</w:t>
      </w:r>
      <w:r>
        <w:rPr>
          <w:rFonts w:hint="eastAsia" w:ascii="仿宋_GB2312"/>
          <w:highlight w:val="none"/>
          <w:lang w:val="en-US" w:eastAsia="zh-CN"/>
        </w:rPr>
        <w:t>对云灾备、</w:t>
      </w:r>
      <w:r>
        <w:rPr>
          <w:rFonts w:hint="eastAsia" w:ascii="仿宋_GB2312"/>
          <w:highlight w:val="none"/>
        </w:rPr>
        <w:t>9.0系统信息</w:t>
      </w:r>
      <w:r>
        <w:rPr>
          <w:rFonts w:hint="eastAsia" w:ascii="仿宋_GB2312"/>
          <w:highlight w:val="none"/>
          <w:lang w:val="en-US" w:eastAsia="zh-CN"/>
        </w:rPr>
        <w:t>进行</w:t>
      </w:r>
      <w:r>
        <w:rPr>
          <w:rFonts w:hint="eastAsia" w:ascii="仿宋_GB2312"/>
          <w:highlight w:val="none"/>
        </w:rPr>
        <w:t>网络维护</w:t>
      </w:r>
      <w:r>
        <w:rPr>
          <w:rFonts w:hint="eastAsia" w:ascii="仿宋_GB2312"/>
          <w:highlight w:val="none"/>
          <w:lang w:eastAsia="zh-CN"/>
        </w:rPr>
        <w:t>；</w:t>
      </w:r>
      <w:r>
        <w:rPr>
          <w:rFonts w:hint="eastAsia" w:ascii="仿宋_GB2312"/>
          <w:highlight w:val="none"/>
        </w:rPr>
        <w:t>④采购我单位各科室所需办公设备，</w:t>
      </w:r>
      <w:r>
        <w:rPr>
          <w:rFonts w:hint="eastAsia" w:ascii="仿宋_GB2312"/>
          <w:highlight w:val="none"/>
          <w:lang w:val="en-US" w:eastAsia="zh-CN"/>
        </w:rPr>
        <w:t>如献血者座椅、5G随行WiFi、A3打印机、LED屏等；</w:t>
      </w:r>
      <w:r>
        <w:rPr>
          <w:rFonts w:hint="eastAsia" w:ascii="仿宋_GB2312"/>
          <w:highlight w:val="none"/>
        </w:rPr>
        <w:t>⑤采购献血者食品一批</w:t>
      </w:r>
      <w:r>
        <w:rPr>
          <w:rFonts w:hint="eastAsia" w:ascii="仿宋_GB2312"/>
          <w:highlight w:val="none"/>
          <w:lang w:eastAsia="zh-CN"/>
        </w:rPr>
        <w:t>，</w:t>
      </w:r>
      <w:r>
        <w:rPr>
          <w:rFonts w:hint="eastAsia" w:ascii="仿宋_GB2312"/>
          <w:highlight w:val="none"/>
          <w:lang w:val="en-US" w:eastAsia="zh-CN"/>
        </w:rPr>
        <w:t>为献血者及时补充能量、提升献血者体验；</w:t>
      </w:r>
      <w:r>
        <w:rPr>
          <w:rFonts w:hint="eastAsia" w:ascii="仿宋_GB2312"/>
          <w:highlight w:val="none"/>
        </w:rPr>
        <w:t>⑥采购试剂耗材</w:t>
      </w:r>
      <w:r>
        <w:rPr>
          <w:rFonts w:hint="eastAsia" w:ascii="仿宋_GB2312"/>
          <w:highlight w:val="none"/>
          <w:lang w:eastAsia="zh-CN"/>
        </w:rPr>
        <w:t>；</w:t>
      </w:r>
      <w:r>
        <w:rPr>
          <w:rFonts w:hint="eastAsia" w:ascii="仿宋_GB2312"/>
          <w:highlight w:val="none"/>
        </w:rPr>
        <w:t>⑦</w:t>
      </w:r>
      <w:r>
        <w:rPr>
          <w:rFonts w:hint="eastAsia" w:ascii="仿宋_GB2312"/>
          <w:highlight w:val="none"/>
          <w:lang w:val="en-US" w:eastAsia="zh-CN"/>
        </w:rPr>
        <w:t>采购4种血液包装盒用于血浆的储存和运输；</w:t>
      </w:r>
      <w:r>
        <w:rPr>
          <w:rFonts w:hint="eastAsia" w:ascii="仿宋_GB2312"/>
          <w:highlight w:val="none"/>
        </w:rPr>
        <w:t>⑧进行物业管理服务招标，</w:t>
      </w:r>
      <w:r>
        <w:rPr>
          <w:rFonts w:hint="eastAsia" w:ascii="仿宋_GB2312"/>
          <w:highlight w:val="none"/>
          <w:lang w:val="en-US" w:eastAsia="zh-CN"/>
        </w:rPr>
        <w:t>物业公司在中心及各点位安排</w:t>
      </w:r>
      <w:r>
        <w:rPr>
          <w:rFonts w:hint="eastAsia" w:ascii="仿宋_GB2312"/>
          <w:highlight w:val="none"/>
        </w:rPr>
        <w:t>保安人数9人，保障我单位中心及各点位的安保工作。</w:t>
      </w:r>
    </w:p>
    <w:p w14:paraId="329322E8">
      <w:pPr>
        <w:pStyle w:val="4"/>
        <w:ind w:firstLine="643"/>
        <w:rPr>
          <w:highlight w:val="none"/>
        </w:rPr>
      </w:pPr>
      <w:bookmarkStart w:id="5" w:name="_Toc16100"/>
      <w:r>
        <w:rPr>
          <w:rFonts w:hint="eastAsia"/>
          <w:highlight w:val="none"/>
        </w:rPr>
        <w:t>2</w:t>
      </w:r>
      <w:r>
        <w:rPr>
          <w:highlight w:val="none"/>
        </w:rPr>
        <w:t>.资金投入和使用情况</w:t>
      </w:r>
      <w:bookmarkEnd w:id="5"/>
    </w:p>
    <w:p w14:paraId="48D0DD8C">
      <w:pPr>
        <w:spacing w:line="360" w:lineRule="auto"/>
        <w:ind w:firstLine="560"/>
        <w:rPr>
          <w:rFonts w:ascii="仿宋_GB2312"/>
          <w:highlight w:val="none"/>
        </w:rPr>
      </w:pPr>
      <w:r>
        <w:rPr>
          <w:rFonts w:hint="eastAsia" w:ascii="仿宋_GB2312"/>
          <w:highlight w:val="none"/>
        </w:rPr>
        <w:t>该项目资金投入情况：经乌财社〔2024〕1号文件批准，项目系</w:t>
      </w:r>
      <w:r>
        <w:rPr>
          <w:rFonts w:ascii="仿宋_GB2312"/>
          <w:highlight w:val="none"/>
        </w:rPr>
        <w:t>2024</w:t>
      </w:r>
      <w:r>
        <w:rPr>
          <w:rFonts w:hint="eastAsia" w:ascii="仿宋_GB2312"/>
          <w:highlight w:val="none"/>
        </w:rPr>
        <w:t>年本级资金，共安排预算</w:t>
      </w:r>
      <w:r>
        <w:rPr>
          <w:rFonts w:ascii="仿宋_GB2312"/>
          <w:highlight w:val="none"/>
        </w:rPr>
        <w:t>1694.27</w:t>
      </w:r>
      <w:r>
        <w:rPr>
          <w:rFonts w:hint="eastAsia" w:ascii="仿宋_GB2312"/>
          <w:highlight w:val="none"/>
        </w:rPr>
        <w:t>万元，于2</w:t>
      </w:r>
      <w:r>
        <w:rPr>
          <w:rFonts w:ascii="仿宋_GB2312"/>
          <w:highlight w:val="none"/>
        </w:rPr>
        <w:t>024年年初部门预算批复项目。年底收回</w:t>
      </w:r>
      <w:r>
        <w:rPr>
          <w:rFonts w:hint="eastAsia" w:ascii="仿宋_GB2312"/>
          <w:highlight w:val="none"/>
        </w:rPr>
        <w:t>2</w:t>
      </w:r>
      <w:r>
        <w:rPr>
          <w:rFonts w:ascii="仿宋_GB2312"/>
          <w:highlight w:val="none"/>
        </w:rPr>
        <w:t>9.94万元，结转至</w:t>
      </w:r>
      <w:r>
        <w:rPr>
          <w:rFonts w:hint="eastAsia" w:ascii="仿宋_GB2312"/>
          <w:highlight w:val="none"/>
        </w:rPr>
        <w:t>2</w:t>
      </w:r>
      <w:r>
        <w:rPr>
          <w:rFonts w:hint="eastAsia" w:ascii="仿宋_GB2312"/>
          <w:highlight w:val="none"/>
          <w:lang w:val="en-US" w:eastAsia="zh-CN"/>
        </w:rPr>
        <w:t>02</w:t>
      </w:r>
      <w:r>
        <w:rPr>
          <w:rFonts w:ascii="仿宋_GB2312"/>
          <w:highlight w:val="none"/>
        </w:rPr>
        <w:t>5年</w:t>
      </w:r>
      <w:r>
        <w:rPr>
          <w:rFonts w:hint="eastAsia" w:ascii="仿宋_GB2312"/>
          <w:highlight w:val="none"/>
        </w:rPr>
        <w:t>1</w:t>
      </w:r>
      <w:r>
        <w:rPr>
          <w:rFonts w:ascii="仿宋_GB2312"/>
          <w:highlight w:val="none"/>
        </w:rPr>
        <w:t>50万元。</w:t>
      </w:r>
    </w:p>
    <w:p w14:paraId="36F8F9AA">
      <w:pPr>
        <w:spacing w:line="360" w:lineRule="auto"/>
        <w:ind w:firstLine="560"/>
        <w:rPr>
          <w:rFonts w:hint="eastAsia" w:ascii="仿宋_GB2312"/>
          <w:highlight w:val="none"/>
        </w:rPr>
      </w:pPr>
      <w:r>
        <w:rPr>
          <w:rFonts w:hint="eastAsia" w:ascii="仿宋_GB2312"/>
          <w:highlight w:val="none"/>
        </w:rPr>
        <w:t>该项目资金使用情况</w:t>
      </w:r>
      <w:r>
        <w:rPr>
          <w:rFonts w:hint="eastAsia" w:ascii="仿宋_GB2312"/>
          <w:color w:val="auto"/>
          <w:highlight w:val="none"/>
        </w:rPr>
        <w:t>：资金投入1</w:t>
      </w:r>
      <w:r>
        <w:rPr>
          <w:rFonts w:ascii="仿宋_GB2312"/>
          <w:color w:val="auto"/>
          <w:highlight w:val="none"/>
        </w:rPr>
        <w:t>694.27万元</w:t>
      </w:r>
      <w:r>
        <w:rPr>
          <w:rFonts w:hint="eastAsia" w:ascii="仿宋_GB2312"/>
          <w:color w:val="auto"/>
          <w:highlight w:val="none"/>
          <w:lang w:eastAsia="zh-CN"/>
        </w:rPr>
        <w:t>，</w:t>
      </w:r>
      <w:r>
        <w:rPr>
          <w:rFonts w:hint="eastAsia" w:ascii="仿宋_GB2312"/>
          <w:color w:val="auto"/>
          <w:highlight w:val="none"/>
          <w:lang w:val="en-US" w:eastAsia="zh-CN"/>
        </w:rPr>
        <w:t>全年</w:t>
      </w:r>
      <w:r>
        <w:rPr>
          <w:rFonts w:hint="eastAsia" w:ascii="仿宋_GB2312"/>
          <w:color w:val="auto"/>
          <w:highlight w:val="none"/>
        </w:rPr>
        <w:t>总执</w:t>
      </w:r>
      <w:r>
        <w:rPr>
          <w:rFonts w:hint="eastAsia" w:ascii="仿宋_GB2312"/>
          <w:highlight w:val="none"/>
        </w:rPr>
        <w:t>行数1514.33万元</w:t>
      </w:r>
      <w:r>
        <w:rPr>
          <w:rFonts w:hint="eastAsia" w:ascii="仿宋_GB2312"/>
          <w:highlight w:val="none"/>
          <w:lang w:eastAsia="zh-CN"/>
        </w:rPr>
        <w:t>。</w:t>
      </w:r>
      <w:r>
        <w:rPr>
          <w:rFonts w:hint="eastAsia" w:ascii="仿宋_GB2312"/>
          <w:highlight w:val="none"/>
          <w:lang w:val="en-US" w:eastAsia="zh-CN"/>
        </w:rPr>
        <w:t>资金投入及使用情况如下</w:t>
      </w:r>
      <w:r>
        <w:rPr>
          <w:rFonts w:hint="eastAsia" w:ascii="仿宋_GB2312"/>
          <w:highlight w:val="none"/>
          <w:lang w:eastAsia="zh-CN"/>
        </w:rPr>
        <w:t>：</w:t>
      </w:r>
      <w:r>
        <w:rPr>
          <w:rFonts w:hint="eastAsia" w:ascii="仿宋_GB2312"/>
          <w:highlight w:val="none"/>
        </w:rPr>
        <w:t>①专用设备购置预算投入资金：</w:t>
      </w:r>
      <w:r>
        <w:rPr>
          <w:rFonts w:hint="eastAsia" w:ascii="仿宋_GB2312"/>
          <w:highlight w:val="none"/>
          <w:lang w:val="en-US" w:eastAsia="zh-CN"/>
        </w:rPr>
        <w:t>42.32</w:t>
      </w:r>
      <w:r>
        <w:rPr>
          <w:rFonts w:hint="eastAsia" w:ascii="仿宋_GB2312"/>
          <w:highlight w:val="none"/>
        </w:rPr>
        <w:t>万元。实际执行情况：39.68万元。预算执行率：</w:t>
      </w:r>
      <w:r>
        <w:rPr>
          <w:rFonts w:hint="eastAsia" w:ascii="仿宋_GB2312"/>
          <w:highlight w:val="none"/>
          <w:lang w:val="en-US" w:eastAsia="zh-CN"/>
        </w:rPr>
        <w:t>93.76</w:t>
      </w:r>
      <w:r>
        <w:rPr>
          <w:rFonts w:hint="eastAsia" w:ascii="仿宋_GB2312"/>
          <w:highlight w:val="none"/>
        </w:rPr>
        <w:t>%；②委托业务费预算投入资金：</w:t>
      </w:r>
      <w:r>
        <w:rPr>
          <w:rFonts w:hint="eastAsia" w:ascii="仿宋_GB2312"/>
          <w:highlight w:val="none"/>
          <w:lang w:val="en-US" w:eastAsia="zh-CN"/>
        </w:rPr>
        <w:t>27.45</w:t>
      </w:r>
      <w:r>
        <w:rPr>
          <w:rFonts w:hint="eastAsia" w:ascii="仿宋_GB2312"/>
          <w:highlight w:val="none"/>
        </w:rPr>
        <w:t>万元。实际执行情况：24.40万元。预算执行率：</w:t>
      </w:r>
      <w:r>
        <w:rPr>
          <w:rFonts w:hint="eastAsia" w:ascii="仿宋_GB2312"/>
          <w:highlight w:val="none"/>
          <w:lang w:val="en-US" w:eastAsia="zh-CN"/>
        </w:rPr>
        <w:t>88.89</w:t>
      </w:r>
      <w:r>
        <w:rPr>
          <w:rFonts w:hint="eastAsia" w:ascii="仿宋_GB2312"/>
          <w:highlight w:val="none"/>
        </w:rPr>
        <w:t>%；③办公设备购置预算投入资金：</w:t>
      </w:r>
      <w:r>
        <w:rPr>
          <w:rFonts w:hint="eastAsia" w:ascii="仿宋_GB2312"/>
          <w:highlight w:val="none"/>
          <w:lang w:val="en-US" w:eastAsia="zh-CN"/>
        </w:rPr>
        <w:t>8.37</w:t>
      </w:r>
      <w:r>
        <w:rPr>
          <w:rFonts w:hint="eastAsia" w:ascii="仿宋_GB2312"/>
          <w:highlight w:val="none"/>
        </w:rPr>
        <w:t>万元。实际执行情况：6.97万元。预算执行率：</w:t>
      </w:r>
      <w:r>
        <w:rPr>
          <w:rFonts w:hint="eastAsia" w:ascii="仿宋_GB2312"/>
          <w:highlight w:val="none"/>
          <w:lang w:val="en-US" w:eastAsia="zh-CN"/>
        </w:rPr>
        <w:t>83.27</w:t>
      </w:r>
      <w:r>
        <w:rPr>
          <w:rFonts w:hint="eastAsia" w:ascii="仿宋_GB2312"/>
          <w:highlight w:val="none"/>
        </w:rPr>
        <w:t>%；④其他商品服务支出预算投入资金：</w:t>
      </w:r>
      <w:r>
        <w:rPr>
          <w:rFonts w:hint="eastAsia" w:ascii="仿宋_GB2312"/>
          <w:highlight w:val="none"/>
          <w:lang w:val="en-US" w:eastAsia="zh-CN"/>
        </w:rPr>
        <w:t>170</w:t>
      </w:r>
      <w:r>
        <w:rPr>
          <w:rFonts w:hint="eastAsia" w:ascii="仿宋_GB2312"/>
          <w:highlight w:val="none"/>
        </w:rPr>
        <w:t>万元。实际执行情况：20万元。预算执行率：</w:t>
      </w:r>
      <w:r>
        <w:rPr>
          <w:rFonts w:hint="eastAsia" w:ascii="仿宋_GB2312"/>
          <w:highlight w:val="none"/>
          <w:lang w:val="en-US" w:eastAsia="zh-CN"/>
        </w:rPr>
        <w:t>11.76</w:t>
      </w:r>
      <w:r>
        <w:rPr>
          <w:rFonts w:hint="eastAsia" w:ascii="仿宋_GB2312"/>
          <w:highlight w:val="none"/>
        </w:rPr>
        <w:t>%；⑤专用材料费预算投入资金：1319.</w:t>
      </w:r>
      <w:r>
        <w:rPr>
          <w:rFonts w:hint="eastAsia" w:ascii="仿宋_GB2312"/>
          <w:highlight w:val="none"/>
          <w:lang w:val="en-US" w:eastAsia="zh-CN"/>
        </w:rPr>
        <w:t>55</w:t>
      </w:r>
      <w:r>
        <w:rPr>
          <w:rFonts w:hint="eastAsia" w:ascii="仿宋_GB2312"/>
          <w:highlight w:val="none"/>
        </w:rPr>
        <w:t>万元。实际执行情况：1319.40万元。预算执行率：</w:t>
      </w:r>
      <w:r>
        <w:rPr>
          <w:rFonts w:hint="eastAsia" w:ascii="仿宋_GB2312"/>
          <w:highlight w:val="none"/>
          <w:lang w:val="en-US" w:eastAsia="zh-CN"/>
        </w:rPr>
        <w:t>99.99</w:t>
      </w:r>
      <w:r>
        <w:rPr>
          <w:rFonts w:hint="eastAsia" w:ascii="仿宋_GB2312"/>
          <w:highlight w:val="none"/>
        </w:rPr>
        <w:t>%；⑥</w:t>
      </w:r>
      <w:r>
        <w:rPr>
          <w:rFonts w:hint="eastAsia" w:ascii="仿宋_GB2312"/>
          <w:highlight w:val="none"/>
          <w:lang w:val="en-US" w:eastAsia="zh-CN"/>
        </w:rPr>
        <w:t>印刷费预算投入资金18万。实际执行情况：17.7万元。</w:t>
      </w:r>
      <w:r>
        <w:rPr>
          <w:rFonts w:hint="eastAsia" w:ascii="仿宋_GB2312"/>
          <w:highlight w:val="none"/>
        </w:rPr>
        <w:t>预算执行率：</w:t>
      </w:r>
      <w:r>
        <w:rPr>
          <w:rFonts w:hint="eastAsia" w:ascii="仿宋_GB2312"/>
          <w:highlight w:val="none"/>
          <w:lang w:val="en-US" w:eastAsia="zh-CN"/>
        </w:rPr>
        <w:t>98.33</w:t>
      </w:r>
      <w:r>
        <w:rPr>
          <w:rFonts w:hint="eastAsia" w:ascii="仿宋_GB2312"/>
          <w:highlight w:val="none"/>
        </w:rPr>
        <w:t>%</w:t>
      </w:r>
      <w:r>
        <w:rPr>
          <w:rFonts w:hint="eastAsia" w:ascii="仿宋_GB2312"/>
          <w:highlight w:val="none"/>
          <w:lang w:val="en-US" w:eastAsia="zh-CN"/>
        </w:rPr>
        <w:t>；⑦</w:t>
      </w:r>
      <w:r>
        <w:rPr>
          <w:rFonts w:hint="eastAsia" w:ascii="仿宋_GB2312"/>
          <w:highlight w:val="none"/>
        </w:rPr>
        <w:t>物业费预算投入资金：</w:t>
      </w:r>
      <w:r>
        <w:rPr>
          <w:rFonts w:hint="eastAsia" w:ascii="仿宋_GB2312"/>
          <w:highlight w:val="none"/>
          <w:lang w:val="en-US" w:eastAsia="zh-CN"/>
        </w:rPr>
        <w:t>99.18</w:t>
      </w:r>
      <w:r>
        <w:rPr>
          <w:rFonts w:hint="eastAsia" w:ascii="仿宋_GB2312"/>
          <w:highlight w:val="none"/>
        </w:rPr>
        <w:t>万元。实际执行情况：86.17万元。预算执行率：</w:t>
      </w:r>
      <w:r>
        <w:rPr>
          <w:rFonts w:hint="eastAsia" w:ascii="仿宋_GB2312"/>
          <w:highlight w:val="none"/>
          <w:lang w:val="en-US" w:eastAsia="zh-CN"/>
        </w:rPr>
        <w:t>86.88</w:t>
      </w:r>
      <w:r>
        <w:rPr>
          <w:rFonts w:hint="eastAsia" w:ascii="仿宋_GB2312"/>
          <w:highlight w:val="none"/>
        </w:rPr>
        <w:t>%。</w:t>
      </w:r>
    </w:p>
    <w:p w14:paraId="43F5066E">
      <w:pPr>
        <w:pStyle w:val="3"/>
        <w:ind w:firstLine="643"/>
        <w:rPr>
          <w:rFonts w:ascii="仿宋" w:hAnsi="仿宋" w:eastAsia="仿宋"/>
          <w:highlight w:val="none"/>
          <w:lang w:bidi="en-US"/>
        </w:rPr>
      </w:pPr>
      <w:bookmarkStart w:id="6" w:name="_Toc26643"/>
      <w:bookmarkStart w:id="7" w:name="_Toc67911603"/>
      <w:r>
        <w:rPr>
          <w:rFonts w:hint="eastAsia" w:ascii="仿宋" w:hAnsi="仿宋" w:eastAsia="仿宋"/>
          <w:highlight w:val="none"/>
          <w:lang w:bidi="en-US"/>
        </w:rPr>
        <w:t>（二）项目绩效目标：</w:t>
      </w:r>
      <w:bookmarkEnd w:id="6"/>
      <w:bookmarkEnd w:id="7"/>
    </w:p>
    <w:p w14:paraId="36202DCC">
      <w:pPr>
        <w:spacing w:line="360" w:lineRule="auto"/>
        <w:ind w:firstLine="560"/>
        <w:rPr>
          <w:rFonts w:ascii="仿宋_GB2312" w:hAnsi="仿宋"/>
          <w:szCs w:val="28"/>
          <w:highlight w:val="none"/>
        </w:rPr>
      </w:pPr>
      <w:r>
        <w:rPr>
          <w:rFonts w:hint="eastAsia" w:ascii="仿宋_GB2312" w:hAnsi="仿宋"/>
          <w:szCs w:val="28"/>
          <w:highlight w:val="none"/>
        </w:rPr>
        <w:t>本项目依据《中共中央 国务院关于全面实施预算绩效管理的意见》（中发〔2018〕</w:t>
      </w:r>
      <w:r>
        <w:rPr>
          <w:rFonts w:ascii="仿宋_GB2312" w:hAnsi="仿宋"/>
          <w:szCs w:val="28"/>
          <w:highlight w:val="none"/>
        </w:rPr>
        <w:t>34</w:t>
      </w:r>
      <w:r>
        <w:rPr>
          <w:rFonts w:hint="eastAsia" w:ascii="仿宋_GB2312" w:hAnsi="仿宋"/>
          <w:szCs w:val="28"/>
          <w:highlight w:val="none"/>
        </w:rPr>
        <w:t>号）、《关于印发&lt;乌鲁木齐市本级部门预算绩效目标管理暂行办法</w:t>
      </w:r>
      <w:r>
        <w:rPr>
          <w:rFonts w:ascii="仿宋_GB2312" w:hAnsi="仿宋"/>
          <w:szCs w:val="28"/>
          <w:highlight w:val="none"/>
        </w:rPr>
        <w:t>&gt;</w:t>
      </w:r>
      <w:r>
        <w:rPr>
          <w:rFonts w:hint="eastAsia" w:ascii="仿宋_GB2312" w:hAnsi="仿宋"/>
          <w:szCs w:val="28"/>
          <w:highlight w:val="none"/>
        </w:rPr>
        <w:t>的通知》（乌财预</w:t>
      </w:r>
      <w:bookmarkStart w:id="8" w:name="_Hlk67566397"/>
      <w:r>
        <w:rPr>
          <w:rFonts w:hint="eastAsia" w:ascii="仿宋_GB2312" w:hAnsi="仿宋"/>
          <w:szCs w:val="28"/>
          <w:highlight w:val="none"/>
        </w:rPr>
        <w:t>〔2018〕</w:t>
      </w:r>
      <w:r>
        <w:rPr>
          <w:rFonts w:ascii="仿宋_GB2312" w:hAnsi="仿宋"/>
          <w:szCs w:val="28"/>
          <w:highlight w:val="none"/>
        </w:rPr>
        <w:t>5</w:t>
      </w:r>
      <w:r>
        <w:rPr>
          <w:rFonts w:hint="eastAsia" w:ascii="仿宋_GB2312" w:hAnsi="仿宋"/>
          <w:szCs w:val="28"/>
          <w:highlight w:val="none"/>
        </w:rPr>
        <w:t>6号</w:t>
      </w:r>
      <w:bookmarkEnd w:id="8"/>
      <w:r>
        <w:rPr>
          <w:rFonts w:hint="eastAsia" w:ascii="仿宋_GB2312" w:hAnsi="仿宋"/>
          <w:szCs w:val="28"/>
          <w:highlight w:val="none"/>
        </w:rPr>
        <w:t>）、《关于做好2</w:t>
      </w:r>
      <w:r>
        <w:rPr>
          <w:rFonts w:ascii="仿宋_GB2312" w:hAnsi="仿宋"/>
          <w:szCs w:val="28"/>
          <w:highlight w:val="none"/>
        </w:rPr>
        <w:t>019</w:t>
      </w:r>
      <w:r>
        <w:rPr>
          <w:rFonts w:hint="eastAsia" w:ascii="仿宋_GB2312" w:hAnsi="仿宋"/>
          <w:szCs w:val="28"/>
          <w:highlight w:val="none"/>
        </w:rPr>
        <w:t>年部门预算项目支出绩效目标管理有关事宜的通知》（乌财预〔20</w:t>
      </w:r>
      <w:r>
        <w:rPr>
          <w:rFonts w:ascii="仿宋_GB2312" w:hAnsi="仿宋"/>
          <w:szCs w:val="28"/>
          <w:highlight w:val="none"/>
        </w:rPr>
        <w:t>18</w:t>
      </w:r>
      <w:r>
        <w:rPr>
          <w:rFonts w:hint="eastAsia" w:ascii="仿宋_GB2312" w:hAnsi="仿宋"/>
          <w:szCs w:val="28"/>
          <w:highlight w:val="none"/>
        </w:rPr>
        <w:t>〕</w:t>
      </w:r>
      <w:r>
        <w:rPr>
          <w:rFonts w:ascii="仿宋_GB2312" w:hAnsi="仿宋"/>
          <w:szCs w:val="28"/>
          <w:highlight w:val="none"/>
        </w:rPr>
        <w:t>76</w:t>
      </w:r>
      <w:r>
        <w:rPr>
          <w:rFonts w:hint="eastAsia" w:ascii="仿宋_GB2312" w:hAnsi="仿宋"/>
          <w:szCs w:val="28"/>
          <w:highlight w:val="none"/>
        </w:rPr>
        <w:t>号）和《项目支出绩效评价管理办法》（财预〔20</w:t>
      </w:r>
      <w:r>
        <w:rPr>
          <w:rFonts w:ascii="仿宋_GB2312" w:hAnsi="仿宋"/>
          <w:szCs w:val="28"/>
          <w:highlight w:val="none"/>
        </w:rPr>
        <w:t>20</w:t>
      </w:r>
      <w:r>
        <w:rPr>
          <w:rFonts w:hint="eastAsia" w:ascii="仿宋_GB2312" w:hAnsi="仿宋"/>
          <w:szCs w:val="28"/>
          <w:highlight w:val="none"/>
        </w:rPr>
        <w:t>〕</w:t>
      </w:r>
      <w:r>
        <w:rPr>
          <w:rFonts w:ascii="仿宋_GB2312" w:hAnsi="仿宋"/>
          <w:szCs w:val="28"/>
          <w:highlight w:val="none"/>
        </w:rPr>
        <w:t>10</w:t>
      </w:r>
      <w:r>
        <w:rPr>
          <w:rFonts w:hint="eastAsia" w:ascii="仿宋_GB2312" w:hAnsi="仿宋"/>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2FF360F8">
      <w:pPr>
        <w:spacing w:line="360" w:lineRule="auto"/>
        <w:ind w:firstLine="560"/>
        <w:rPr>
          <w:rFonts w:ascii="仿宋_GB2312" w:hAnsi="仿宋"/>
          <w:szCs w:val="28"/>
          <w:highlight w:val="none"/>
        </w:rPr>
      </w:pPr>
      <w:r>
        <w:rPr>
          <w:rFonts w:hint="eastAsia" w:ascii="仿宋_GB2312" w:hAnsi="仿宋"/>
          <w:szCs w:val="28"/>
          <w:highlight w:val="none"/>
        </w:rPr>
        <w:t>该项目</w:t>
      </w:r>
      <w:r>
        <w:rPr>
          <w:rFonts w:ascii="仿宋_GB2312" w:hAnsi="仿宋"/>
          <w:szCs w:val="28"/>
          <w:highlight w:val="none"/>
        </w:rPr>
        <w:t>为经常性项目。</w:t>
      </w:r>
    </w:p>
    <w:p w14:paraId="7841BD71">
      <w:pPr>
        <w:spacing w:line="360" w:lineRule="auto"/>
        <w:ind w:firstLine="560"/>
        <w:rPr>
          <w:rFonts w:ascii="仿宋_GB2312" w:hAnsi="仿宋"/>
          <w:szCs w:val="28"/>
          <w:highlight w:val="none"/>
        </w:rPr>
      </w:pPr>
      <w:r>
        <w:rPr>
          <w:rFonts w:hint="eastAsia" w:ascii="仿宋_GB2312" w:hAnsi="仿宋"/>
          <w:szCs w:val="28"/>
          <w:highlight w:val="none"/>
        </w:rPr>
        <w:t>该项目总体绩效目标：制备各类血液成分，提高血液安全性，避免血液污染，避免经血传播疾病；满足临床用血的需求，确保患者血液治疗的及时性和有效性。满足我市血液供应需求，特别是做好急危重患者血液救治及突发事件血液保障工作；保障血库、检验、制备等设备24小时正常运行。满足正常采供血工作的需求；进一步推动全社会广泛参与自愿无偿献血事业，促进无偿献血工作持续健康发展。对医疗机构</w:t>
      </w:r>
      <w:r>
        <w:rPr>
          <w:rFonts w:hint="eastAsia" w:ascii="仿宋_GB2312" w:hAnsi="仿宋"/>
          <w:szCs w:val="28"/>
          <w:highlight w:val="none"/>
          <w:lang w:val="en-US" w:eastAsia="zh-CN"/>
        </w:rPr>
        <w:t>收缴</w:t>
      </w:r>
      <w:r>
        <w:rPr>
          <w:rFonts w:hint="eastAsia" w:ascii="仿宋_GB2312" w:hAnsi="仿宋"/>
          <w:szCs w:val="28"/>
          <w:highlight w:val="none"/>
        </w:rPr>
        <w:t>用血互助金进行奖励，以调动医疗机构做好用血互助金的收取工作，保障广大献血者权利。保障我单位正常运行、保障采供血工作的正常运转，为全区提供安全有效的临床用血。</w:t>
      </w:r>
    </w:p>
    <w:p w14:paraId="610C1581">
      <w:pPr>
        <w:spacing w:line="360" w:lineRule="auto"/>
        <w:ind w:firstLine="560"/>
        <w:rPr>
          <w:rFonts w:ascii="仿宋_GB2312" w:hAnsi="仿宋"/>
          <w:szCs w:val="28"/>
          <w:highlight w:val="none"/>
        </w:rPr>
      </w:pPr>
      <w:r>
        <w:rPr>
          <w:rFonts w:ascii="仿宋_GB2312" w:hAnsi="仿宋"/>
          <w:szCs w:val="28"/>
          <w:highlight w:val="none"/>
        </w:rPr>
        <w:t>该项目阶段性目标为：</w:t>
      </w:r>
      <w:r>
        <w:rPr>
          <w:rFonts w:hint="eastAsia" w:ascii="仿宋_GB2312" w:hAnsi="仿宋"/>
          <w:szCs w:val="28"/>
          <w:highlight w:val="none"/>
          <w:lang w:val="en-US" w:eastAsia="zh-CN"/>
        </w:rPr>
        <w:t>2024年</w:t>
      </w:r>
      <w:r>
        <w:rPr>
          <w:rFonts w:ascii="仿宋_GB2312" w:hAnsi="仿宋"/>
          <w:szCs w:val="28"/>
          <w:highlight w:val="none"/>
        </w:rPr>
        <w:t>计划</w:t>
      </w:r>
      <w:r>
        <w:rPr>
          <w:rFonts w:hint="eastAsia" w:ascii="仿宋_GB2312" w:hAnsi="仿宋"/>
          <w:szCs w:val="28"/>
          <w:highlight w:val="none"/>
          <w:lang w:val="en-US" w:eastAsia="zh-CN"/>
        </w:rPr>
        <w:t>完成年度采血任务；</w:t>
      </w:r>
      <w:r>
        <w:rPr>
          <w:rFonts w:hint="eastAsia" w:ascii="仿宋_GB2312" w:hAnsi="仿宋"/>
          <w:szCs w:val="28"/>
          <w:highlight w:val="none"/>
        </w:rPr>
        <w:t>严格履行采购流程，完成</w:t>
      </w:r>
      <w:r>
        <w:rPr>
          <w:rFonts w:ascii="仿宋_GB2312" w:hAnsi="仿宋"/>
          <w:szCs w:val="28"/>
          <w:highlight w:val="none"/>
        </w:rPr>
        <w:t>试剂耗材</w:t>
      </w:r>
      <w:r>
        <w:rPr>
          <w:rFonts w:hint="eastAsia" w:ascii="仿宋_GB2312" w:hAnsi="仿宋"/>
          <w:szCs w:val="28"/>
          <w:highlight w:val="none"/>
        </w:rPr>
        <w:t>采购</w:t>
      </w:r>
      <w:r>
        <w:rPr>
          <w:rFonts w:hint="eastAsia" w:ascii="仿宋_GB2312" w:hAnsi="仿宋"/>
          <w:szCs w:val="28"/>
          <w:highlight w:val="none"/>
          <w:lang w:val="en-US" w:eastAsia="zh-CN"/>
        </w:rPr>
        <w:t>、献血者食品采购、献血者纪念品采购、血液包装盒的采购，并按照要求进行验收和入库，及时提交付款资料，按时给供应商付款；按照各科室的需求采购专用设备和办公设备，满足中心的正常运转；进行物业管理招标，保障中心及各点位的卫生清洁和工作场所安全；对档案室、血库门廊进行改造。</w:t>
      </w:r>
      <w:r>
        <w:rPr>
          <w:rFonts w:hint="eastAsia" w:ascii="仿宋_GB2312" w:hAnsi="仿宋"/>
          <w:szCs w:val="28"/>
          <w:highlight w:val="none"/>
        </w:rPr>
        <w:t>保证中心及各采血点位的正常工作秩序</w:t>
      </w:r>
      <w:r>
        <w:rPr>
          <w:rFonts w:hint="eastAsia" w:ascii="仿宋_GB2312" w:hAnsi="仿宋"/>
          <w:szCs w:val="28"/>
          <w:highlight w:val="none"/>
          <w:lang w:eastAsia="zh-CN"/>
        </w:rPr>
        <w:t>，</w:t>
      </w:r>
      <w:r>
        <w:rPr>
          <w:rFonts w:hint="eastAsia" w:ascii="仿宋_GB2312" w:hAnsi="仿宋"/>
          <w:szCs w:val="28"/>
          <w:highlight w:val="none"/>
        </w:rPr>
        <w:t>保障采供血工作</w:t>
      </w:r>
      <w:r>
        <w:rPr>
          <w:rFonts w:hint="eastAsia" w:ascii="仿宋_GB2312" w:hAnsi="仿宋"/>
          <w:szCs w:val="28"/>
          <w:highlight w:val="none"/>
          <w:lang w:eastAsia="zh-CN"/>
        </w:rPr>
        <w:t>。</w:t>
      </w:r>
      <w:r>
        <w:rPr>
          <w:rFonts w:hint="eastAsia" w:ascii="仿宋_GB2312" w:hAnsi="仿宋"/>
          <w:szCs w:val="28"/>
          <w:highlight w:val="none"/>
        </w:rPr>
        <w:t>保证</w:t>
      </w:r>
      <w:r>
        <w:rPr>
          <w:rFonts w:hint="eastAsia" w:ascii="仿宋_GB2312" w:hAnsi="仿宋"/>
          <w:szCs w:val="28"/>
          <w:highlight w:val="none"/>
          <w:lang w:val="en-US" w:eastAsia="zh-CN"/>
        </w:rPr>
        <w:t>全区</w:t>
      </w:r>
      <w:r>
        <w:rPr>
          <w:rFonts w:hint="eastAsia" w:ascii="仿宋_GB2312" w:hAnsi="仿宋"/>
          <w:szCs w:val="28"/>
          <w:highlight w:val="none"/>
        </w:rPr>
        <w:t>各医疗机构的血液供应</w:t>
      </w:r>
      <w:r>
        <w:rPr>
          <w:rFonts w:hint="eastAsia" w:ascii="仿宋_GB2312" w:hAnsi="仿宋"/>
          <w:szCs w:val="28"/>
          <w:highlight w:val="none"/>
          <w:lang w:eastAsia="zh-CN"/>
        </w:rPr>
        <w:t>，</w:t>
      </w:r>
      <w:r>
        <w:rPr>
          <w:rFonts w:hint="eastAsia" w:ascii="仿宋_GB2312" w:hAnsi="仿宋"/>
          <w:szCs w:val="28"/>
          <w:highlight w:val="none"/>
        </w:rPr>
        <w:t>为临床提供安全有效的血液。</w:t>
      </w:r>
    </w:p>
    <w:p w14:paraId="596095D0">
      <w:pPr>
        <w:pStyle w:val="2"/>
        <w:ind w:firstLine="0" w:firstLineChars="0"/>
        <w:jc w:val="left"/>
        <w:rPr>
          <w:rFonts w:ascii="仿宋" w:hAnsi="仿宋" w:eastAsia="仿宋"/>
          <w:sz w:val="36"/>
          <w:szCs w:val="36"/>
          <w:highlight w:val="none"/>
          <w:lang w:bidi="en-US"/>
        </w:rPr>
      </w:pPr>
      <w:bookmarkStart w:id="9" w:name="_Toc67911604"/>
      <w:bookmarkStart w:id="10" w:name="_Toc6675"/>
      <w:r>
        <w:rPr>
          <w:rFonts w:hint="eastAsia" w:ascii="仿宋" w:hAnsi="仿宋" w:eastAsia="仿宋"/>
          <w:sz w:val="36"/>
          <w:szCs w:val="36"/>
          <w:highlight w:val="none"/>
          <w:lang w:bidi="en-US"/>
        </w:rPr>
        <w:t>二、绩效评价工作开展情况</w:t>
      </w:r>
      <w:bookmarkEnd w:id="9"/>
      <w:bookmarkEnd w:id="10"/>
    </w:p>
    <w:p w14:paraId="3FAF6215">
      <w:pPr>
        <w:pStyle w:val="3"/>
        <w:ind w:firstLine="643"/>
        <w:rPr>
          <w:rFonts w:ascii="仿宋" w:hAnsi="仿宋" w:eastAsia="仿宋"/>
          <w:highlight w:val="none"/>
          <w:lang w:bidi="en-US"/>
        </w:rPr>
      </w:pPr>
      <w:bookmarkStart w:id="11" w:name="_Toc67911605"/>
      <w:bookmarkStart w:id="12" w:name="_Toc24481"/>
      <w:r>
        <w:rPr>
          <w:rFonts w:hint="eastAsia" w:ascii="仿宋" w:hAnsi="仿宋" w:eastAsia="仿宋"/>
          <w:highlight w:val="none"/>
          <w:lang w:bidi="en-US"/>
        </w:rPr>
        <w:t>（一）绩效评价目的、对象和范围</w:t>
      </w:r>
      <w:bookmarkEnd w:id="11"/>
      <w:bookmarkEnd w:id="12"/>
    </w:p>
    <w:p w14:paraId="713017C8">
      <w:pPr>
        <w:pStyle w:val="4"/>
        <w:ind w:firstLine="643"/>
        <w:rPr>
          <w:highlight w:val="none"/>
        </w:rPr>
      </w:pPr>
      <w:bookmarkStart w:id="13" w:name="_Toc4028"/>
      <w:r>
        <w:rPr>
          <w:rFonts w:hint="eastAsia"/>
          <w:highlight w:val="none"/>
        </w:rPr>
        <w:t>1</w:t>
      </w:r>
      <w:r>
        <w:rPr>
          <w:highlight w:val="none"/>
        </w:rPr>
        <w:t>.绩效评价完整性</w:t>
      </w:r>
      <w:bookmarkEnd w:id="13"/>
    </w:p>
    <w:p w14:paraId="6C26FE87">
      <w:pPr>
        <w:spacing w:line="360" w:lineRule="auto"/>
        <w:ind w:firstLine="560"/>
        <w:rPr>
          <w:rFonts w:ascii="仿宋_GB2312" w:hAnsi="仿宋"/>
          <w:szCs w:val="28"/>
          <w:highlight w:val="none"/>
        </w:rPr>
      </w:pPr>
      <w:r>
        <w:rPr>
          <w:rFonts w:hint="eastAsia" w:ascii="仿宋_GB2312" w:hAnsi="仿宋"/>
          <w:szCs w:val="28"/>
          <w:highlight w:val="none"/>
        </w:rPr>
        <w:t>采供血业务运行经费-政采项目为我单位的经常性项目，主要目标为保障我单位正常运行、保障采供血工作的正常运转，为全区提供安全有效的临床用血。根据项目的目标，我单位设置了完整的绩效评价体系，从决策、过程、产出、效益和社会满意度五个角度对项目绩效进行评价，构建了由2个项目立项指标、2个绩效目标指标、2个资金投入指标、3个资金管理指标、2个组织实施指标、4个数量指标、1个质量指标、1个时效指标、6个经济成本指标、1个社会效益指标和1个满意度指标组成的绩效评价体系，完整体现项目绩效成果及项目绩效执行情况。</w:t>
      </w:r>
    </w:p>
    <w:p w14:paraId="3709A36F">
      <w:pPr>
        <w:spacing w:line="360" w:lineRule="auto"/>
        <w:ind w:firstLine="560"/>
        <w:rPr>
          <w:rFonts w:ascii="仿宋_GB2312" w:hAnsi="仿宋"/>
          <w:szCs w:val="28"/>
          <w:highlight w:val="none"/>
        </w:rPr>
      </w:pPr>
      <w:r>
        <w:rPr>
          <w:rFonts w:hint="eastAsia" w:ascii="仿宋_GB2312" w:hAnsi="仿宋"/>
          <w:szCs w:val="28"/>
          <w:highlight w:val="none"/>
          <w:lang w:val="en-US" w:eastAsia="zh-CN"/>
        </w:rPr>
        <w:t>本</w:t>
      </w:r>
      <w:r>
        <w:rPr>
          <w:rFonts w:hint="eastAsia" w:ascii="仿宋_GB2312" w:hAnsi="仿宋"/>
          <w:szCs w:val="28"/>
          <w:highlight w:val="none"/>
        </w:rPr>
        <w:t>项目由我单位献血服务科、总务科、办公室、信息设备科和财务科</w:t>
      </w:r>
      <w:r>
        <w:rPr>
          <w:rFonts w:hint="eastAsia" w:ascii="仿宋_GB2312" w:hAnsi="仿宋"/>
          <w:szCs w:val="28"/>
          <w:highlight w:val="none"/>
          <w:lang w:val="en-US" w:eastAsia="zh-CN"/>
        </w:rPr>
        <w:t>共同</w:t>
      </w:r>
      <w:r>
        <w:rPr>
          <w:rFonts w:hint="eastAsia" w:ascii="仿宋_GB2312" w:hAnsi="仿宋"/>
          <w:szCs w:val="28"/>
          <w:highlight w:val="none"/>
        </w:rPr>
        <w:t>参与执行，于当年5月、8月分别进行项目绩效监控，阶段性检查项目执行进度。评价期间，我单位对该项目依据实际完成情况，设置合理的目标值</w:t>
      </w:r>
      <w:r>
        <w:rPr>
          <w:rFonts w:hint="eastAsia" w:ascii="仿宋_GB2312" w:hAnsi="仿宋"/>
          <w:szCs w:val="28"/>
          <w:highlight w:val="none"/>
          <w:lang w:eastAsia="zh-CN"/>
        </w:rPr>
        <w:t>，</w:t>
      </w:r>
      <w:r>
        <w:rPr>
          <w:rFonts w:hint="eastAsia" w:ascii="仿宋_GB2312" w:hAnsi="仿宋"/>
          <w:szCs w:val="28"/>
          <w:highlight w:val="none"/>
          <w:lang w:val="en-US" w:eastAsia="zh-CN"/>
        </w:rPr>
        <w:t>如</w:t>
      </w:r>
      <w:r>
        <w:rPr>
          <w:rFonts w:hint="eastAsia" w:ascii="仿宋_GB2312" w:hAnsi="仿宋"/>
          <w:szCs w:val="28"/>
          <w:highlight w:val="none"/>
        </w:rPr>
        <w:t>全年</w:t>
      </w:r>
      <w:r>
        <w:rPr>
          <w:rFonts w:hint="eastAsia" w:ascii="仿宋_GB2312" w:hAnsi="仿宋"/>
          <w:szCs w:val="28"/>
          <w:highlight w:val="none"/>
          <w:lang w:val="en-US" w:eastAsia="zh-CN"/>
        </w:rPr>
        <w:t>采集人次不低于7万人、采血吨数不少于22吨、一次性验收合格率大于等于90%</w:t>
      </w:r>
      <w:r>
        <w:rPr>
          <w:rFonts w:hint="eastAsia" w:ascii="仿宋_GB2312" w:hAnsi="仿宋"/>
          <w:szCs w:val="28"/>
          <w:highlight w:val="none"/>
        </w:rPr>
        <w:t>等。</w:t>
      </w:r>
    </w:p>
    <w:p w14:paraId="001B2023">
      <w:pPr>
        <w:spacing w:line="360" w:lineRule="auto"/>
        <w:ind w:firstLine="560"/>
        <w:rPr>
          <w:rFonts w:ascii="仿宋_GB2312" w:hAnsi="仿宋"/>
          <w:szCs w:val="28"/>
          <w:highlight w:val="none"/>
        </w:rPr>
      </w:pPr>
      <w:r>
        <w:rPr>
          <w:rFonts w:hint="eastAsia" w:ascii="仿宋_GB2312" w:hAnsi="仿宋"/>
          <w:szCs w:val="28"/>
          <w:highlight w:val="none"/>
        </w:rPr>
        <w:t>由各业务执行科室提供项目的实际完成情况的数值和佐证材料，如采购合同、工作资料、情况说明及原始凭证等，保证了数据的准确性和完整性。</w:t>
      </w:r>
    </w:p>
    <w:p w14:paraId="40FA9124">
      <w:pPr>
        <w:pStyle w:val="4"/>
        <w:ind w:firstLine="643"/>
        <w:rPr>
          <w:highlight w:val="none"/>
        </w:rPr>
      </w:pPr>
      <w:bookmarkStart w:id="14" w:name="_Toc714"/>
      <w:r>
        <w:rPr>
          <w:highlight w:val="none"/>
        </w:rPr>
        <w:t>2</w:t>
      </w:r>
      <w:r>
        <w:rPr>
          <w:rFonts w:hint="eastAsia"/>
          <w:highlight w:val="none"/>
        </w:rPr>
        <w:t>.评价目的</w:t>
      </w:r>
      <w:bookmarkEnd w:id="14"/>
    </w:p>
    <w:p w14:paraId="5291C276">
      <w:pPr>
        <w:spacing w:line="360" w:lineRule="auto"/>
        <w:ind w:firstLine="560"/>
        <w:rPr>
          <w:rFonts w:ascii="仿宋_GB2312"/>
          <w:highlight w:val="none"/>
        </w:rPr>
      </w:pPr>
      <w:r>
        <w:rPr>
          <w:rFonts w:hint="eastAsia" w:ascii="仿宋_GB2312"/>
          <w:highlight w:val="none"/>
        </w:rPr>
        <w:t>本项工作旨在落实《中共中央 国务院关于全面实施预算绩效管理的意见》（中发〔2018〕34号）文件精神，全面推进预算绩效管理工作，落实预算执行及绩效管理主体责任。具体而言包括以下两点</w:t>
      </w:r>
    </w:p>
    <w:p w14:paraId="3F75444A">
      <w:pPr>
        <w:spacing w:line="360" w:lineRule="auto"/>
        <w:ind w:firstLine="560"/>
        <w:rPr>
          <w:rFonts w:ascii="仿宋_GB2312"/>
          <w:highlight w:val="none"/>
        </w:rPr>
      </w:pPr>
      <w:r>
        <w:rPr>
          <w:rFonts w:hint="eastAsia" w:ascii="仿宋_GB2312"/>
          <w:highlight w:val="none"/>
        </w:rPr>
        <w:t>（1）通过对项目设立的背景、意义、项目内容、项目现状及绩效目标、资金投入、资金管理、组织实施、产出指标、成本指标和效益指标等进行深入调研和分析，进一步了解采供血业务运行经费-政采的实施情况，并考察项目实施过程和效果。</w:t>
      </w:r>
    </w:p>
    <w:p w14:paraId="792BAC81">
      <w:pPr>
        <w:spacing w:line="360" w:lineRule="auto"/>
        <w:ind w:firstLine="560"/>
        <w:rPr>
          <w:rFonts w:ascii="仿宋_GB2312"/>
          <w:b/>
          <w:bCs/>
          <w:highlight w:val="none"/>
        </w:rPr>
      </w:pPr>
      <w:r>
        <w:rPr>
          <w:rFonts w:hint="eastAsia" w:ascii="仿宋_GB2312"/>
          <w:highlight w:val="none"/>
        </w:rPr>
        <w:t>（2）通过评价，客观公正反映项目立项科学性、项目管理规范性、项目实施有效性和项目效果，总结项目实施的经验，发现项目实施过程中存在的问题，提高财政资金使用效益。</w:t>
      </w:r>
    </w:p>
    <w:p w14:paraId="605D5255">
      <w:pPr>
        <w:pStyle w:val="4"/>
        <w:ind w:firstLine="643"/>
        <w:rPr>
          <w:highlight w:val="none"/>
        </w:rPr>
      </w:pPr>
      <w:bookmarkStart w:id="15" w:name="_Toc20083"/>
      <w:r>
        <w:rPr>
          <w:highlight w:val="none"/>
        </w:rPr>
        <w:t>3</w:t>
      </w:r>
      <w:r>
        <w:rPr>
          <w:rFonts w:hint="eastAsia"/>
          <w:highlight w:val="none"/>
        </w:rPr>
        <w:t>.评价对象</w:t>
      </w:r>
      <w:bookmarkEnd w:id="15"/>
    </w:p>
    <w:p w14:paraId="5B8AFAA9">
      <w:pPr>
        <w:spacing w:line="360" w:lineRule="auto"/>
        <w:ind w:firstLine="560"/>
        <w:rPr>
          <w:rFonts w:ascii="仿宋_GB2312"/>
          <w:highlight w:val="none"/>
        </w:rPr>
      </w:pPr>
      <w:r>
        <w:rPr>
          <w:rFonts w:hint="eastAsia" w:ascii="仿宋_GB2312"/>
          <w:highlight w:val="none"/>
        </w:rPr>
        <w:t>（1）绩效评价的对象：采供血业务运行经费-政采</w:t>
      </w:r>
    </w:p>
    <w:p w14:paraId="04D6749C">
      <w:pPr>
        <w:pStyle w:val="4"/>
        <w:ind w:firstLine="643"/>
        <w:rPr>
          <w:highlight w:val="none"/>
        </w:rPr>
      </w:pPr>
      <w:bookmarkStart w:id="16" w:name="_Toc12335"/>
      <w:r>
        <w:rPr>
          <w:rFonts w:hint="eastAsia"/>
          <w:highlight w:val="none"/>
        </w:rPr>
        <w:t>4</w:t>
      </w:r>
      <w:r>
        <w:rPr>
          <w:highlight w:val="none"/>
        </w:rPr>
        <w:t>.</w:t>
      </w:r>
      <w:r>
        <w:rPr>
          <w:rFonts w:hint="eastAsia"/>
          <w:highlight w:val="none"/>
        </w:rPr>
        <w:t>绩效评价范围</w:t>
      </w:r>
      <w:bookmarkEnd w:id="16"/>
    </w:p>
    <w:p w14:paraId="1B2FB30E">
      <w:pPr>
        <w:spacing w:line="360" w:lineRule="auto"/>
        <w:ind w:firstLine="560"/>
        <w:rPr>
          <w:rFonts w:ascii="仿宋_GB2312"/>
          <w:highlight w:val="none"/>
        </w:rPr>
      </w:pPr>
      <w:r>
        <w:rPr>
          <w:rFonts w:ascii="仿宋_GB2312"/>
          <w:highlight w:val="none"/>
        </w:rPr>
        <w:t>1.</w:t>
      </w:r>
      <w:r>
        <w:rPr>
          <w:rFonts w:hint="eastAsia" w:ascii="仿宋_GB2312"/>
          <w:highlight w:val="none"/>
        </w:rPr>
        <w:t>时间范围：2024年1月1日至2024年1</w:t>
      </w:r>
      <w:r>
        <w:rPr>
          <w:rFonts w:ascii="仿宋_GB2312"/>
          <w:highlight w:val="none"/>
        </w:rPr>
        <w:t>2</w:t>
      </w:r>
      <w:r>
        <w:rPr>
          <w:rFonts w:hint="eastAsia" w:ascii="仿宋_GB2312"/>
          <w:highlight w:val="none"/>
        </w:rPr>
        <w:t>月3</w:t>
      </w:r>
      <w:r>
        <w:rPr>
          <w:rFonts w:ascii="仿宋_GB2312"/>
          <w:highlight w:val="none"/>
        </w:rPr>
        <w:t>1</w:t>
      </w:r>
      <w:r>
        <w:rPr>
          <w:rFonts w:hint="eastAsia" w:ascii="仿宋_GB2312"/>
          <w:highlight w:val="none"/>
        </w:rPr>
        <w:t>日。</w:t>
      </w:r>
    </w:p>
    <w:p w14:paraId="7E2CEA5D">
      <w:pPr>
        <w:spacing w:line="360" w:lineRule="auto"/>
        <w:ind w:firstLine="560"/>
        <w:rPr>
          <w:rFonts w:hint="eastAsia" w:ascii="仿宋_GB2312"/>
          <w:bCs/>
          <w:szCs w:val="28"/>
          <w:highlight w:val="none"/>
          <w:lang w:val="en-US" w:eastAsia="zh-CN"/>
        </w:rPr>
      </w:pPr>
      <w:r>
        <w:rPr>
          <w:rFonts w:ascii="仿宋_GB2312"/>
          <w:highlight w:val="none"/>
        </w:rPr>
        <w:t>2.</w:t>
      </w:r>
      <w:r>
        <w:rPr>
          <w:rFonts w:hint="eastAsia" w:ascii="仿宋_GB2312"/>
          <w:highlight w:val="none"/>
        </w:rPr>
        <w:t>项目范围</w:t>
      </w:r>
      <w:r>
        <w:rPr>
          <w:rFonts w:hint="eastAsia" w:ascii="仿宋_GB2312"/>
          <w:highlight w:val="none"/>
          <w:lang w:eastAsia="zh-CN"/>
        </w:rPr>
        <w:t>：</w:t>
      </w:r>
      <w:r>
        <w:rPr>
          <w:rFonts w:hint="eastAsia" w:ascii="仿宋_GB2312"/>
          <w:bCs/>
          <w:szCs w:val="28"/>
          <w:highlight w:val="none"/>
          <w:lang w:val="en-US" w:eastAsia="zh-CN"/>
        </w:rPr>
        <w:t>本项目是为了保障我单位采供血职能，保障全区血液供应而设置。主要内容包括完成全年的采血任务，完成试剂耗材、印刷、物业管理、献血者食品、纪念品、专用设备、办公设备和信息系统维护的采购，及时对相关资金进行支付，保障采供血工作顺利开展。</w:t>
      </w:r>
    </w:p>
    <w:p w14:paraId="5FCC9F18">
      <w:pPr>
        <w:spacing w:line="360" w:lineRule="auto"/>
        <w:ind w:firstLine="560"/>
        <w:rPr>
          <w:rFonts w:hint="eastAsia" w:ascii="仿宋_GB2312"/>
          <w:bCs/>
          <w:szCs w:val="28"/>
          <w:highlight w:val="none"/>
        </w:rPr>
      </w:pPr>
      <w:r>
        <w:rPr>
          <w:rFonts w:hint="eastAsia" w:ascii="仿宋_GB2312"/>
          <w:highlight w:val="none"/>
        </w:rPr>
        <w:t>项目通过构建决策、过程、产出、效益、满意度四级评价体系，采用比较法与公众评判法，结合资金台账、合同凭证及献血者满意度调查开展综合评价，结果显示资金管理合规、制度执行有效，数据来源真实完整。</w:t>
      </w:r>
      <w:r>
        <w:rPr>
          <w:rFonts w:hint="eastAsia" w:ascii="仿宋_GB2312"/>
          <w:bCs/>
          <w:szCs w:val="28"/>
          <w:highlight w:val="none"/>
          <w:lang w:val="en-US" w:eastAsia="zh-CN"/>
        </w:rPr>
        <w:t>2024年本项目的执行，完成</w:t>
      </w:r>
      <w:r>
        <w:rPr>
          <w:rFonts w:hint="eastAsia" w:ascii="仿宋_GB2312"/>
          <w:bCs/>
          <w:szCs w:val="28"/>
          <w:highlight w:val="none"/>
        </w:rPr>
        <w:t>血液采集人次7.99万人次，采集血液24.85吨</w:t>
      </w:r>
      <w:r>
        <w:rPr>
          <w:rFonts w:hint="eastAsia" w:ascii="仿宋_GB2312"/>
          <w:bCs/>
          <w:szCs w:val="28"/>
          <w:highlight w:val="none"/>
          <w:lang w:eastAsia="zh-CN"/>
        </w:rPr>
        <w:t>；</w:t>
      </w:r>
      <w:r>
        <w:rPr>
          <w:rFonts w:hint="eastAsia" w:ascii="仿宋_GB2312"/>
          <w:bCs/>
          <w:szCs w:val="28"/>
          <w:highlight w:val="none"/>
          <w:lang w:val="en-US" w:eastAsia="zh-CN"/>
        </w:rPr>
        <w:t>按照采购要求完成</w:t>
      </w:r>
      <w:r>
        <w:rPr>
          <w:rFonts w:hint="eastAsia" w:ascii="仿宋_GB2312"/>
          <w:bCs/>
          <w:szCs w:val="28"/>
          <w:highlight w:val="none"/>
        </w:rPr>
        <w:t>试剂耗材</w:t>
      </w:r>
      <w:r>
        <w:rPr>
          <w:rFonts w:hint="eastAsia" w:ascii="仿宋_GB2312"/>
          <w:bCs/>
          <w:szCs w:val="28"/>
          <w:highlight w:val="none"/>
          <w:lang w:val="en-US" w:eastAsia="zh-CN"/>
        </w:rPr>
        <w:t>采购</w:t>
      </w:r>
      <w:r>
        <w:rPr>
          <w:rFonts w:hint="eastAsia" w:ascii="仿宋_GB2312"/>
          <w:bCs/>
          <w:szCs w:val="28"/>
          <w:highlight w:val="none"/>
          <w:lang w:eastAsia="zh-CN"/>
        </w:rPr>
        <w:t>、</w:t>
      </w:r>
      <w:r>
        <w:rPr>
          <w:rFonts w:hint="eastAsia" w:ascii="仿宋_GB2312"/>
          <w:bCs/>
          <w:szCs w:val="28"/>
          <w:highlight w:val="none"/>
          <w:lang w:val="en-US" w:eastAsia="zh-CN"/>
        </w:rPr>
        <w:t>4类血液包装盒的采购、献血者食品的采购，并完成相关款项的支付；对</w:t>
      </w:r>
      <w:r>
        <w:rPr>
          <w:rFonts w:hint="eastAsia" w:ascii="仿宋_GB2312"/>
          <w:bCs/>
          <w:szCs w:val="28"/>
          <w:highlight w:val="none"/>
        </w:rPr>
        <w:t>9.0系统信息</w:t>
      </w:r>
      <w:r>
        <w:rPr>
          <w:rFonts w:hint="eastAsia" w:ascii="仿宋_GB2312"/>
          <w:bCs/>
          <w:szCs w:val="28"/>
          <w:highlight w:val="none"/>
          <w:lang w:val="en-US" w:eastAsia="zh-CN"/>
        </w:rPr>
        <w:t>系统、云灾备系统进行</w:t>
      </w:r>
      <w:r>
        <w:rPr>
          <w:rFonts w:hint="eastAsia" w:ascii="仿宋_GB2312"/>
          <w:bCs/>
          <w:szCs w:val="28"/>
          <w:highlight w:val="none"/>
        </w:rPr>
        <w:t>维护</w:t>
      </w:r>
      <w:r>
        <w:rPr>
          <w:rFonts w:hint="eastAsia" w:ascii="仿宋_GB2312"/>
          <w:bCs/>
          <w:szCs w:val="28"/>
          <w:highlight w:val="none"/>
          <w:lang w:eastAsia="zh-CN"/>
        </w:rPr>
        <w:t>；</w:t>
      </w:r>
      <w:r>
        <w:rPr>
          <w:rFonts w:hint="eastAsia" w:ascii="仿宋_GB2312"/>
          <w:bCs/>
          <w:szCs w:val="28"/>
          <w:highlight w:val="none"/>
          <w:lang w:val="en-US" w:eastAsia="zh-CN"/>
        </w:rPr>
        <w:t>采购专用设备，如</w:t>
      </w:r>
      <w:r>
        <w:rPr>
          <w:rFonts w:hint="eastAsia" w:ascii="仿宋_GB2312"/>
          <w:bCs/>
          <w:szCs w:val="28"/>
          <w:highlight w:val="none"/>
        </w:rPr>
        <w:t>辐照个人剂量计</w:t>
      </w:r>
      <w:r>
        <w:rPr>
          <w:rFonts w:hint="eastAsia" w:ascii="仿宋_GB2312"/>
          <w:bCs/>
          <w:szCs w:val="28"/>
          <w:highlight w:val="none"/>
          <w:lang w:eastAsia="zh-CN"/>
        </w:rPr>
        <w:t>、</w:t>
      </w:r>
      <w:r>
        <w:rPr>
          <w:rFonts w:hint="eastAsia" w:ascii="仿宋_GB2312"/>
          <w:bCs/>
          <w:szCs w:val="28"/>
          <w:highlight w:val="none"/>
        </w:rPr>
        <w:t>自助登记机</w:t>
      </w:r>
      <w:r>
        <w:rPr>
          <w:rFonts w:hint="eastAsia" w:ascii="仿宋_GB2312"/>
          <w:bCs/>
          <w:szCs w:val="28"/>
          <w:highlight w:val="none"/>
          <w:lang w:eastAsia="zh-CN"/>
        </w:rPr>
        <w:t>、</w:t>
      </w:r>
      <w:r>
        <w:rPr>
          <w:rFonts w:hint="eastAsia" w:ascii="仿宋_GB2312"/>
          <w:bCs/>
          <w:szCs w:val="28"/>
          <w:highlight w:val="none"/>
        </w:rPr>
        <w:t>电子血压计</w:t>
      </w:r>
      <w:r>
        <w:rPr>
          <w:rFonts w:hint="eastAsia" w:ascii="仿宋_GB2312"/>
          <w:bCs/>
          <w:szCs w:val="28"/>
          <w:highlight w:val="none"/>
          <w:lang w:eastAsia="zh-CN"/>
        </w:rPr>
        <w:t>、</w:t>
      </w:r>
      <w:r>
        <w:rPr>
          <w:rFonts w:hint="eastAsia" w:ascii="仿宋_GB2312"/>
          <w:bCs/>
          <w:szCs w:val="28"/>
          <w:highlight w:val="none"/>
        </w:rPr>
        <w:t>热合机</w:t>
      </w:r>
      <w:r>
        <w:rPr>
          <w:rFonts w:hint="eastAsia" w:ascii="仿宋_GB2312"/>
          <w:bCs/>
          <w:szCs w:val="28"/>
          <w:highlight w:val="none"/>
          <w:lang w:eastAsia="zh-CN"/>
        </w:rPr>
        <w:t>、</w:t>
      </w:r>
      <w:r>
        <w:rPr>
          <w:rFonts w:hint="eastAsia" w:ascii="仿宋_GB2312"/>
          <w:bCs/>
          <w:szCs w:val="28"/>
          <w:highlight w:val="none"/>
        </w:rPr>
        <w:t>测温仪</w:t>
      </w:r>
      <w:r>
        <w:rPr>
          <w:rFonts w:hint="eastAsia" w:ascii="仿宋_GB2312"/>
          <w:bCs/>
          <w:szCs w:val="28"/>
          <w:highlight w:val="none"/>
          <w:lang w:eastAsia="zh-CN"/>
        </w:rPr>
        <w:t>、</w:t>
      </w:r>
      <w:r>
        <w:rPr>
          <w:rFonts w:hint="eastAsia" w:ascii="仿宋_GB2312"/>
          <w:bCs/>
          <w:szCs w:val="28"/>
          <w:highlight w:val="none"/>
        </w:rPr>
        <w:t>精密空调</w:t>
      </w:r>
      <w:r>
        <w:rPr>
          <w:rFonts w:hint="eastAsia" w:ascii="仿宋_GB2312"/>
          <w:bCs/>
          <w:szCs w:val="28"/>
          <w:highlight w:val="none"/>
          <w:lang w:val="en-US" w:eastAsia="zh-CN"/>
        </w:rPr>
        <w:t>等；采购</w:t>
      </w:r>
      <w:r>
        <w:rPr>
          <w:rFonts w:hint="eastAsia" w:ascii="仿宋_GB2312"/>
          <w:bCs/>
          <w:szCs w:val="28"/>
          <w:highlight w:val="none"/>
        </w:rPr>
        <w:t>办公设备</w:t>
      </w:r>
      <w:r>
        <w:rPr>
          <w:rFonts w:hint="eastAsia" w:ascii="仿宋_GB2312"/>
          <w:bCs/>
          <w:szCs w:val="28"/>
          <w:highlight w:val="none"/>
          <w:lang w:val="en-US" w:eastAsia="zh-CN"/>
        </w:rPr>
        <w:t>如</w:t>
      </w:r>
      <w:r>
        <w:rPr>
          <w:rFonts w:hint="eastAsia" w:ascii="仿宋_GB2312"/>
          <w:bCs/>
          <w:szCs w:val="28"/>
          <w:highlight w:val="none"/>
        </w:rPr>
        <w:t>献血者座椅</w:t>
      </w:r>
      <w:r>
        <w:rPr>
          <w:rFonts w:hint="eastAsia" w:ascii="仿宋_GB2312"/>
          <w:bCs/>
          <w:szCs w:val="28"/>
          <w:highlight w:val="none"/>
          <w:lang w:eastAsia="zh-CN"/>
        </w:rPr>
        <w:t>、</w:t>
      </w:r>
      <w:r>
        <w:rPr>
          <w:rFonts w:hint="eastAsia" w:ascii="仿宋_GB2312"/>
          <w:bCs/>
          <w:szCs w:val="28"/>
          <w:highlight w:val="none"/>
        </w:rPr>
        <w:t>5G随行WiFi</w:t>
      </w:r>
      <w:r>
        <w:rPr>
          <w:rFonts w:hint="eastAsia" w:ascii="仿宋_GB2312"/>
          <w:bCs/>
          <w:szCs w:val="28"/>
          <w:highlight w:val="none"/>
          <w:lang w:eastAsia="zh-CN"/>
        </w:rPr>
        <w:t>、</w:t>
      </w:r>
      <w:r>
        <w:rPr>
          <w:rFonts w:hint="eastAsia" w:ascii="仿宋_GB2312"/>
          <w:bCs/>
          <w:szCs w:val="28"/>
          <w:highlight w:val="none"/>
        </w:rPr>
        <w:t>A3打印机</w:t>
      </w:r>
      <w:r>
        <w:rPr>
          <w:rFonts w:hint="eastAsia" w:ascii="仿宋_GB2312"/>
          <w:bCs/>
          <w:szCs w:val="28"/>
          <w:highlight w:val="none"/>
          <w:lang w:eastAsia="zh-CN"/>
        </w:rPr>
        <w:t>、</w:t>
      </w:r>
      <w:r>
        <w:rPr>
          <w:rFonts w:hint="eastAsia" w:ascii="仿宋_GB2312"/>
          <w:bCs/>
          <w:szCs w:val="28"/>
          <w:highlight w:val="none"/>
        </w:rPr>
        <w:t>LED屏</w:t>
      </w:r>
      <w:r>
        <w:rPr>
          <w:rFonts w:hint="eastAsia" w:ascii="仿宋_GB2312"/>
          <w:bCs/>
          <w:szCs w:val="28"/>
          <w:highlight w:val="none"/>
          <w:lang w:val="en-US" w:eastAsia="zh-CN"/>
        </w:rPr>
        <w:t>等；进行物业管理招标，第三方公司为我单位提供</w:t>
      </w:r>
      <w:r>
        <w:rPr>
          <w:rFonts w:hint="eastAsia" w:ascii="仿宋_GB2312"/>
          <w:bCs/>
          <w:szCs w:val="28"/>
          <w:highlight w:val="none"/>
        </w:rPr>
        <w:t>保安人数9人</w:t>
      </w:r>
      <w:r>
        <w:rPr>
          <w:rFonts w:hint="eastAsia" w:ascii="仿宋_GB2312"/>
          <w:bCs/>
          <w:szCs w:val="28"/>
          <w:highlight w:val="none"/>
          <w:lang w:eastAsia="zh-CN"/>
        </w:rPr>
        <w:t>，</w:t>
      </w:r>
      <w:r>
        <w:rPr>
          <w:rFonts w:hint="eastAsia" w:ascii="仿宋_GB2312"/>
          <w:bCs/>
          <w:szCs w:val="28"/>
          <w:highlight w:val="none"/>
        </w:rPr>
        <w:t>有效保障了采供血业务顺利开展。</w:t>
      </w:r>
    </w:p>
    <w:p w14:paraId="429B0998">
      <w:pPr>
        <w:spacing w:line="360" w:lineRule="auto"/>
        <w:ind w:firstLine="560"/>
        <w:rPr>
          <w:rFonts w:hint="eastAsia" w:ascii="仿宋_GB2312"/>
          <w:bCs/>
          <w:szCs w:val="28"/>
          <w:highlight w:val="none"/>
          <w:lang w:val="en-US" w:eastAsia="zh-CN"/>
        </w:rPr>
      </w:pPr>
      <w:r>
        <w:rPr>
          <w:rFonts w:hint="eastAsia" w:ascii="仿宋_GB2312"/>
          <w:bCs/>
          <w:szCs w:val="28"/>
          <w:highlight w:val="none"/>
          <w:lang w:val="en-US" w:eastAsia="zh-CN"/>
        </w:rPr>
        <w:t>项目执行</w:t>
      </w:r>
      <w:r>
        <w:rPr>
          <w:rFonts w:hint="eastAsia" w:ascii="仿宋_GB2312"/>
          <w:bCs/>
          <w:szCs w:val="28"/>
          <w:highlight w:val="none"/>
        </w:rPr>
        <w:t>科学规划资金管理体系，实现全流程精准管控</w:t>
      </w:r>
      <w:r>
        <w:rPr>
          <w:rFonts w:hint="eastAsia" w:ascii="仿宋_GB2312"/>
          <w:bCs/>
          <w:szCs w:val="28"/>
          <w:highlight w:val="none"/>
          <w:lang w:eastAsia="zh-CN"/>
        </w:rPr>
        <w:t>。</w:t>
      </w:r>
      <w:r>
        <w:rPr>
          <w:rFonts w:hint="eastAsia" w:ascii="仿宋_GB2312"/>
          <w:bCs/>
          <w:szCs w:val="28"/>
          <w:highlight w:val="none"/>
          <w:lang w:val="en-US" w:eastAsia="zh-CN"/>
        </w:rPr>
        <w:t>在执行过程中</w:t>
      </w:r>
      <w:r>
        <w:rPr>
          <w:rFonts w:hint="eastAsia" w:ascii="仿宋_GB2312"/>
          <w:bCs/>
          <w:szCs w:val="28"/>
          <w:highlight w:val="none"/>
        </w:rPr>
        <w:t>深化部门协同与制度保障，提升执行效能</w:t>
      </w:r>
      <w:r>
        <w:rPr>
          <w:rFonts w:hint="eastAsia" w:ascii="仿宋_GB2312"/>
          <w:bCs/>
          <w:szCs w:val="28"/>
          <w:highlight w:val="none"/>
          <w:lang w:eastAsia="zh-CN"/>
        </w:rPr>
        <w:t>。</w:t>
      </w:r>
      <w:r>
        <w:rPr>
          <w:rFonts w:hint="eastAsia" w:ascii="仿宋_GB2312"/>
          <w:bCs/>
          <w:szCs w:val="28"/>
          <w:highlight w:val="none"/>
          <w:lang w:val="en-US" w:eastAsia="zh-CN"/>
        </w:rPr>
        <w:t>但是也存在安保</w:t>
      </w:r>
      <w:r>
        <w:rPr>
          <w:rFonts w:hint="eastAsia" w:ascii="仿宋_GB2312"/>
          <w:bCs/>
          <w:szCs w:val="28"/>
          <w:highlight w:val="none"/>
        </w:rPr>
        <w:t>岗位人员配置不足</w:t>
      </w:r>
      <w:r>
        <w:rPr>
          <w:rFonts w:hint="eastAsia" w:ascii="仿宋_GB2312"/>
          <w:bCs/>
          <w:szCs w:val="28"/>
          <w:highlight w:val="none"/>
          <w:lang w:val="en-US" w:eastAsia="zh-CN"/>
        </w:rPr>
        <w:t>的问题</w:t>
      </w:r>
      <w:r>
        <w:rPr>
          <w:rFonts w:hint="eastAsia" w:ascii="仿宋_GB2312"/>
          <w:bCs/>
          <w:szCs w:val="28"/>
          <w:highlight w:val="none"/>
        </w:rPr>
        <w:t>，</w:t>
      </w:r>
      <w:r>
        <w:rPr>
          <w:rFonts w:hint="eastAsia" w:ascii="仿宋_GB2312"/>
          <w:bCs/>
          <w:szCs w:val="28"/>
          <w:highlight w:val="none"/>
          <w:lang w:val="en-US" w:eastAsia="zh-CN"/>
        </w:rPr>
        <w:t>一定程度上</w:t>
      </w:r>
      <w:r>
        <w:rPr>
          <w:rFonts w:hint="eastAsia" w:ascii="仿宋_GB2312"/>
          <w:bCs/>
          <w:szCs w:val="28"/>
          <w:highlight w:val="none"/>
        </w:rPr>
        <w:t>影响服务保障效能</w:t>
      </w:r>
      <w:r>
        <w:rPr>
          <w:rFonts w:hint="eastAsia" w:ascii="仿宋_GB2312"/>
          <w:bCs/>
          <w:szCs w:val="28"/>
          <w:highlight w:val="none"/>
          <w:lang w:eastAsia="zh-CN"/>
        </w:rPr>
        <w:t>；</w:t>
      </w:r>
      <w:r>
        <w:rPr>
          <w:rFonts w:hint="eastAsia" w:ascii="仿宋_GB2312"/>
          <w:bCs/>
          <w:szCs w:val="28"/>
          <w:highlight w:val="none"/>
          <w:lang w:val="en-US" w:eastAsia="zh-CN"/>
        </w:rPr>
        <w:t>我单位整体存在</w:t>
      </w:r>
      <w:r>
        <w:rPr>
          <w:rFonts w:hint="eastAsia" w:ascii="仿宋_GB2312" w:hAnsi="仿宋" w:cs="宋体"/>
          <w:kern w:val="0"/>
          <w:szCs w:val="28"/>
          <w:highlight w:val="none"/>
        </w:rPr>
        <w:t>绩效管理意识</w:t>
      </w:r>
      <w:r>
        <w:rPr>
          <w:rFonts w:hint="eastAsia" w:ascii="仿宋_GB2312" w:hAnsi="仿宋" w:cs="宋体"/>
          <w:kern w:val="0"/>
          <w:szCs w:val="28"/>
          <w:highlight w:val="none"/>
          <w:lang w:val="en-US" w:eastAsia="zh-CN"/>
        </w:rPr>
        <w:t>薄弱的问题，</w:t>
      </w:r>
      <w:r>
        <w:rPr>
          <w:rFonts w:hint="eastAsia" w:ascii="仿宋_GB2312" w:hAnsi="仿宋" w:cs="宋体"/>
          <w:kern w:val="0"/>
          <w:szCs w:val="28"/>
          <w:highlight w:val="none"/>
        </w:rPr>
        <w:t>需要加强</w:t>
      </w:r>
      <w:r>
        <w:rPr>
          <w:rFonts w:hint="eastAsia" w:ascii="仿宋_GB2312" w:hAnsi="仿宋" w:cs="宋体"/>
          <w:kern w:val="0"/>
          <w:szCs w:val="28"/>
          <w:highlight w:val="none"/>
          <w:lang w:val="en-US" w:eastAsia="zh-CN"/>
        </w:rPr>
        <w:t>各个科室对绩效管理的理解与认识，</w:t>
      </w:r>
      <w:r>
        <w:rPr>
          <w:rFonts w:hint="eastAsia" w:ascii="仿宋_GB2312" w:hAnsi="仿宋" w:cs="宋体"/>
          <w:kern w:val="0"/>
          <w:szCs w:val="28"/>
          <w:highlight w:val="none"/>
        </w:rPr>
        <w:t>加强各科室的参与度</w:t>
      </w:r>
      <w:r>
        <w:rPr>
          <w:rFonts w:hint="eastAsia" w:ascii="仿宋_GB2312" w:hAnsi="仿宋" w:cs="宋体"/>
          <w:kern w:val="0"/>
          <w:szCs w:val="28"/>
          <w:highlight w:val="none"/>
          <w:lang w:val="en-US" w:eastAsia="zh-CN"/>
        </w:rPr>
        <w:t>。</w:t>
      </w:r>
    </w:p>
    <w:p w14:paraId="396FC701">
      <w:pPr>
        <w:spacing w:line="360" w:lineRule="auto"/>
        <w:ind w:firstLine="560"/>
        <w:rPr>
          <w:rFonts w:ascii="仿宋_GB2312"/>
          <w:highlight w:val="none"/>
        </w:rPr>
      </w:pPr>
      <w:bookmarkStart w:id="17" w:name="_Toc67911606"/>
      <w:bookmarkStart w:id="18" w:name="_Toc25412"/>
      <w:bookmarkStart w:id="19" w:name="_Hlk67586765"/>
      <w:r>
        <w:rPr>
          <w:rFonts w:hint="eastAsia" w:ascii="仿宋_GB2312"/>
          <w:highlight w:val="none"/>
        </w:rPr>
        <w:t>总体表明，项目有效支撑采供血体系运转，社会效益显著，后续将聚焦长效机制建设，推动全流程绩效管理升级。</w:t>
      </w:r>
      <w:r>
        <w:rPr>
          <w:rFonts w:hint="eastAsia" w:ascii="仿宋_GB2312"/>
          <w:highlight w:val="none"/>
          <w:lang w:val="en-US" w:eastAsia="zh-CN"/>
        </w:rPr>
        <w:t>采供血业务运行经费-政采</w:t>
      </w:r>
      <w:r>
        <w:rPr>
          <w:rFonts w:hint="eastAsia" w:ascii="仿宋_GB2312" w:hAnsi="仿宋" w:eastAsia="仿宋_GB2312" w:cs="黑体"/>
          <w:sz w:val="28"/>
          <w:szCs w:val="28"/>
          <w:highlight w:val="none"/>
        </w:rPr>
        <w:t>项目进行客观评价，最终绩效评级为“优”</w:t>
      </w:r>
    </w:p>
    <w:p w14:paraId="65964BB6">
      <w:pPr>
        <w:pStyle w:val="3"/>
        <w:ind w:firstLine="643"/>
        <w:rPr>
          <w:rFonts w:ascii="仿宋" w:hAnsi="仿宋" w:eastAsia="仿宋"/>
          <w:highlight w:val="none"/>
          <w:lang w:bidi="en-US"/>
        </w:rPr>
      </w:pPr>
      <w:r>
        <w:rPr>
          <w:rFonts w:hint="eastAsia" w:ascii="仿宋" w:hAnsi="仿宋" w:eastAsia="仿宋"/>
          <w:highlight w:val="none"/>
          <w:lang w:bidi="en-US"/>
        </w:rPr>
        <w:t>（二）绩效评价原则、指标体系、方法及标准</w:t>
      </w:r>
      <w:bookmarkEnd w:id="17"/>
      <w:bookmarkEnd w:id="18"/>
      <w:bookmarkEnd w:id="19"/>
    </w:p>
    <w:p w14:paraId="093BD029">
      <w:pPr>
        <w:pStyle w:val="4"/>
        <w:ind w:firstLine="643"/>
        <w:rPr>
          <w:highlight w:val="none"/>
        </w:rPr>
      </w:pPr>
      <w:bookmarkStart w:id="20" w:name="_Toc3540"/>
      <w:r>
        <w:rPr>
          <w:rFonts w:hint="eastAsia"/>
          <w:highlight w:val="none"/>
        </w:rPr>
        <w:t>1</w:t>
      </w:r>
      <w:r>
        <w:rPr>
          <w:highlight w:val="none"/>
        </w:rPr>
        <w:t>.</w:t>
      </w:r>
      <w:r>
        <w:rPr>
          <w:rFonts w:hint="eastAsia"/>
          <w:highlight w:val="none"/>
        </w:rPr>
        <w:t>评价原则</w:t>
      </w:r>
      <w:bookmarkEnd w:id="20"/>
    </w:p>
    <w:p w14:paraId="5465F578">
      <w:pPr>
        <w:spacing w:line="360" w:lineRule="auto"/>
        <w:ind w:firstLine="560"/>
        <w:rPr>
          <w:rFonts w:ascii="仿宋_GB2312"/>
          <w:highlight w:val="none"/>
        </w:rPr>
      </w:pPr>
      <w:r>
        <w:rPr>
          <w:rFonts w:hint="eastAsia" w:ascii="仿宋_GB2312"/>
          <w:highlight w:val="none"/>
        </w:rPr>
        <w:t>（一）科学公正。绩效评价应当运用科学合理的方法，按照规范的程序，对项目绩效进行客观、公正的反映。</w:t>
      </w:r>
    </w:p>
    <w:p w14:paraId="08B74888">
      <w:pPr>
        <w:spacing w:line="360" w:lineRule="auto"/>
        <w:ind w:firstLine="560"/>
        <w:rPr>
          <w:rFonts w:ascii="仿宋_GB2312"/>
          <w:highlight w:val="none"/>
        </w:rPr>
      </w:pPr>
      <w:r>
        <w:rPr>
          <w:rFonts w:hint="eastAsia" w:ascii="仿宋_GB2312"/>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0393174D">
      <w:pPr>
        <w:spacing w:line="360" w:lineRule="auto"/>
        <w:ind w:firstLine="560"/>
        <w:rPr>
          <w:rFonts w:ascii="仿宋_GB2312"/>
          <w:highlight w:val="none"/>
        </w:rPr>
      </w:pPr>
      <w:r>
        <w:rPr>
          <w:rFonts w:hint="eastAsia" w:ascii="仿宋_GB2312"/>
          <w:highlight w:val="none"/>
        </w:rPr>
        <w:t>（三）激励约束。绩效评价结果应与预算安排、政策调整、改进管理实质性挂钩，体现奖优罚劣和激励相容导向，有效要安排、低效要压减、无效要问责。</w:t>
      </w:r>
    </w:p>
    <w:p w14:paraId="4DE153E9">
      <w:pPr>
        <w:spacing w:line="360" w:lineRule="auto"/>
        <w:ind w:firstLine="560"/>
        <w:rPr>
          <w:rFonts w:ascii="仿宋_GB2312"/>
          <w:highlight w:val="none"/>
        </w:rPr>
      </w:pPr>
      <w:r>
        <w:rPr>
          <w:rFonts w:hint="eastAsia" w:ascii="仿宋_GB2312"/>
          <w:highlight w:val="none"/>
        </w:rPr>
        <w:t>（四）公开透明。绩效评价结果应依法依规公开，并自觉接受社会监督。</w:t>
      </w:r>
    </w:p>
    <w:p w14:paraId="1AC35AD0">
      <w:pPr>
        <w:pStyle w:val="4"/>
        <w:ind w:firstLine="643"/>
        <w:rPr>
          <w:highlight w:val="none"/>
        </w:rPr>
      </w:pPr>
      <w:bookmarkStart w:id="21" w:name="_Toc7340"/>
      <w:r>
        <w:rPr>
          <w:highlight w:val="none"/>
        </w:rPr>
        <w:t>2.</w:t>
      </w:r>
      <w:r>
        <w:rPr>
          <w:rFonts w:hint="eastAsia"/>
          <w:highlight w:val="none"/>
        </w:rPr>
        <w:t>评价指标体系</w:t>
      </w:r>
      <w:bookmarkEnd w:id="21"/>
    </w:p>
    <w:p w14:paraId="1B8477DB">
      <w:pPr>
        <w:spacing w:line="360" w:lineRule="auto"/>
        <w:ind w:firstLine="560"/>
        <w:rPr>
          <w:rFonts w:ascii="仿宋_GB2312"/>
          <w:highlight w:val="none"/>
        </w:rPr>
      </w:pPr>
      <w:r>
        <w:rPr>
          <w:rFonts w:hint="eastAsia" w:ascii="仿宋_GB2312"/>
          <w:highlight w:val="none"/>
        </w:rPr>
        <w:t>绩效评价指标体系作为衡量绩效目标实现程度的考核工具，一般遵循以下原则：</w:t>
      </w:r>
    </w:p>
    <w:p w14:paraId="6B58C561">
      <w:pPr>
        <w:spacing w:line="360" w:lineRule="auto"/>
        <w:ind w:firstLine="560"/>
        <w:rPr>
          <w:rFonts w:ascii="仿宋_GB2312"/>
          <w:highlight w:val="none"/>
        </w:rPr>
      </w:pPr>
      <w:r>
        <w:rPr>
          <w:rFonts w:hint="eastAsia" w:ascii="仿宋_GB2312"/>
          <w:highlight w:val="none"/>
        </w:rPr>
        <w:t>（1）相关性原则：绩效评价指标应当与绩效目标有直接的联系，能够恰当反映目标的实现程度。</w:t>
      </w:r>
    </w:p>
    <w:p w14:paraId="00C9A9BA">
      <w:pPr>
        <w:spacing w:line="360" w:lineRule="auto"/>
        <w:ind w:firstLine="560"/>
        <w:rPr>
          <w:rFonts w:ascii="仿宋_GB2312"/>
          <w:highlight w:val="none"/>
        </w:rPr>
      </w:pPr>
      <w:r>
        <w:rPr>
          <w:rFonts w:hint="eastAsia" w:ascii="仿宋_GB2312"/>
          <w:highlight w:val="none"/>
        </w:rPr>
        <w:t>（2）重要性原则：应当优先使用最具评价对象代表性、最能反映评价要求的核心指标。</w:t>
      </w:r>
    </w:p>
    <w:p w14:paraId="7EB2B4C9">
      <w:pPr>
        <w:spacing w:line="360" w:lineRule="auto"/>
        <w:ind w:firstLine="560"/>
        <w:rPr>
          <w:rFonts w:ascii="仿宋_GB2312"/>
          <w:highlight w:val="none"/>
        </w:rPr>
      </w:pPr>
      <w:r>
        <w:rPr>
          <w:rFonts w:hint="eastAsia" w:ascii="仿宋_GB2312"/>
          <w:highlight w:val="none"/>
        </w:rPr>
        <w:t>（3）可比性原则：对同类评价对象要设定共性的绩效评价指标，以便于评价结果可以相互比较。</w:t>
      </w:r>
    </w:p>
    <w:p w14:paraId="3CE3D017">
      <w:pPr>
        <w:spacing w:line="360" w:lineRule="auto"/>
        <w:ind w:firstLine="560"/>
        <w:rPr>
          <w:rFonts w:ascii="仿宋_GB2312"/>
          <w:highlight w:val="none"/>
        </w:rPr>
      </w:pPr>
      <w:r>
        <w:rPr>
          <w:rFonts w:hint="eastAsia" w:ascii="仿宋_GB2312"/>
          <w:highlight w:val="none"/>
        </w:rPr>
        <w:t>（4）系统性原则：绩效评价指标的设置应当将定量指标与定性指标相结合，能系统反映财政支出所产生的社会效益、经济效益和可持续影响等。</w:t>
      </w:r>
    </w:p>
    <w:p w14:paraId="3AFE2D88">
      <w:pPr>
        <w:spacing w:line="360" w:lineRule="auto"/>
        <w:ind w:firstLine="560"/>
        <w:rPr>
          <w:rFonts w:ascii="仿宋_GB2312"/>
          <w:highlight w:val="none"/>
        </w:rPr>
      </w:pPr>
      <w:r>
        <w:rPr>
          <w:rFonts w:hint="eastAsia" w:ascii="仿宋_GB2312"/>
          <w:highlight w:val="none"/>
        </w:rPr>
        <w:t>（5）经济性原则：绩效评价指标设计应当通俗易懂、简便易行，数据的获得应当考虑现实条件和可操作性，符合成本效益原则。</w:t>
      </w:r>
    </w:p>
    <w:p w14:paraId="44B4BB00">
      <w:pPr>
        <w:spacing w:line="360" w:lineRule="auto"/>
        <w:ind w:firstLine="560"/>
        <w:rPr>
          <w:rFonts w:ascii="仿宋_GB2312"/>
          <w:highlight w:val="none"/>
        </w:rPr>
      </w:pPr>
      <w:r>
        <w:rPr>
          <w:rFonts w:hint="eastAsia" w:ascii="仿宋_GB2312"/>
          <w:highlight w:val="none"/>
        </w:rPr>
        <w:t>本项目的评价指标体系建立如下表所示。</w:t>
      </w:r>
    </w:p>
    <w:p w14:paraId="786B15EC">
      <w:pPr>
        <w:spacing w:line="360" w:lineRule="auto"/>
        <w:ind w:firstLine="560"/>
        <w:rPr>
          <w:rFonts w:ascii="仿宋_GB2312"/>
          <w:highlight w:val="none"/>
        </w:rPr>
      </w:pPr>
    </w:p>
    <w:p w14:paraId="03E6ACF6">
      <w:pPr>
        <w:spacing w:line="360" w:lineRule="auto"/>
        <w:ind w:firstLine="560"/>
        <w:rPr>
          <w:rFonts w:ascii="仿宋_GB2312"/>
          <w:highlight w:val="none"/>
        </w:rPr>
      </w:pPr>
    </w:p>
    <w:p w14:paraId="608BDC64">
      <w:pPr>
        <w:spacing w:line="360" w:lineRule="auto"/>
        <w:ind w:firstLine="560"/>
        <w:rPr>
          <w:rFonts w:ascii="仿宋_GB2312"/>
          <w:highlight w:val="none"/>
        </w:rPr>
        <w:sectPr>
          <w:headerReference r:id="rId10" w:type="default"/>
          <w:footerReference r:id="rId11" w:type="default"/>
          <w:pgSz w:w="11906" w:h="16838"/>
          <w:pgMar w:top="1440" w:right="1800" w:bottom="1440" w:left="1800" w:header="992" w:footer="992" w:gutter="0"/>
          <w:pgNumType w:start="1"/>
          <w:cols w:space="425" w:num="1"/>
          <w:docGrid w:type="lines" w:linePitch="381" w:charSpace="0"/>
        </w:sectPr>
      </w:pPr>
    </w:p>
    <w:p w14:paraId="50A5E43B">
      <w:pPr>
        <w:spacing w:line="360" w:lineRule="auto"/>
        <w:ind w:firstLine="0" w:firstLineChars="0"/>
        <w:jc w:val="center"/>
        <w:rPr>
          <w:rFonts w:ascii="仿宋_GB2312"/>
          <w:b/>
          <w:bCs/>
          <w:highlight w:val="none"/>
        </w:rPr>
      </w:pPr>
      <w:r>
        <w:rPr>
          <w:rFonts w:hint="eastAsia" w:ascii="仿宋_GB2312"/>
          <w:b/>
          <w:bCs/>
          <w:highlight w:val="none"/>
        </w:rPr>
        <w:t>采供血业务运行经费-政采项目支出绩效评价指标体系</w:t>
      </w: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64"/>
        <w:gridCol w:w="2736"/>
        <w:gridCol w:w="7341"/>
      </w:tblGrid>
      <w:tr w14:paraId="42D231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6BE61FC1">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99" w:type="dxa"/>
            <w:tcBorders>
              <w:tl2br w:val="nil"/>
              <w:tr2bl w:val="nil"/>
            </w:tcBorders>
            <w:shd w:val="clear" w:color="auto" w:fill="D0CECE"/>
            <w:vAlign w:val="center"/>
          </w:tcPr>
          <w:p w14:paraId="5E717095">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464" w:type="dxa"/>
            <w:tcBorders>
              <w:tl2br w:val="nil"/>
              <w:tr2bl w:val="nil"/>
            </w:tcBorders>
            <w:shd w:val="clear" w:color="auto" w:fill="D0CECE"/>
            <w:vAlign w:val="center"/>
          </w:tcPr>
          <w:p w14:paraId="1A67D23C">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736" w:type="dxa"/>
            <w:tcBorders>
              <w:tl2br w:val="nil"/>
              <w:tr2bl w:val="nil"/>
            </w:tcBorders>
            <w:shd w:val="clear" w:color="auto" w:fill="D0CECE"/>
            <w:vAlign w:val="center"/>
          </w:tcPr>
          <w:p w14:paraId="702ECE0A">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vAlign w:val="center"/>
          </w:tcPr>
          <w:p w14:paraId="60065C8F">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14:paraId="2C408D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7A4FB66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vMerge w:val="restart"/>
            <w:tcBorders>
              <w:tl2br w:val="nil"/>
              <w:tr2bl w:val="nil"/>
            </w:tcBorders>
            <w:shd w:val="clear" w:color="auto" w:fill="FFFFFF"/>
            <w:vAlign w:val="center"/>
          </w:tcPr>
          <w:p w14:paraId="664EDDEF">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464" w:type="dxa"/>
            <w:tcBorders>
              <w:tl2br w:val="nil"/>
              <w:tr2bl w:val="nil"/>
            </w:tcBorders>
            <w:shd w:val="clear" w:color="auto" w:fill="FFFFFF"/>
            <w:vAlign w:val="center"/>
          </w:tcPr>
          <w:p w14:paraId="39C77EDC">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14:paraId="3F845B4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736" w:type="dxa"/>
            <w:tcBorders>
              <w:tl2br w:val="nil"/>
              <w:tr2bl w:val="nil"/>
            </w:tcBorders>
            <w:shd w:val="clear" w:color="auto" w:fill="FFFFFF"/>
            <w:vAlign w:val="center"/>
          </w:tcPr>
          <w:p w14:paraId="33CF2AAB">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1376E255">
            <w:pPr>
              <w:widowControl/>
              <w:ind w:firstLine="0" w:firstLineChars="0"/>
              <w:jc w:val="left"/>
              <w:rPr>
                <w:rFonts w:ascii="宋体" w:hAnsi="宋体" w:eastAsia="宋体" w:cs="宋体"/>
                <w:kern w:val="0"/>
                <w:sz w:val="22"/>
                <w:highlight w:val="none"/>
              </w:rPr>
            </w:pPr>
            <w:r>
              <w:rPr>
                <w:rFonts w:hint="eastAsia" w:ascii="宋体" w:hAnsi="宋体" w:eastAsia="宋体" w:cs="宋体"/>
                <w:kern w:val="0"/>
                <w:sz w:val="22"/>
                <w:highlight w:val="none"/>
              </w:rPr>
              <w:t>评价要点：</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①项目立项是否符合国家法律法规、国民经济发展规划和相关政策；</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②项目立项是否符合行业发展规划和政策要求；</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③项目立项是否与部门职责范围相符，属</w:t>
            </w:r>
            <w:r>
              <w:rPr>
                <w:rFonts w:hint="eastAsia" w:ascii="宋体" w:hAnsi="宋体" w:eastAsia="宋体" w:cs="宋体"/>
                <w:kern w:val="0"/>
                <w:sz w:val="22"/>
                <w:highlight w:val="none"/>
                <w:lang w:val="en-US" w:eastAsia="zh-CN"/>
              </w:rPr>
              <w:t>于</w:t>
            </w:r>
            <w:r>
              <w:rPr>
                <w:rFonts w:hint="eastAsia" w:ascii="宋体" w:hAnsi="宋体" w:eastAsia="宋体" w:cs="宋体"/>
                <w:kern w:val="0"/>
                <w:sz w:val="22"/>
                <w:highlight w:val="none"/>
              </w:rPr>
              <w:t>部门履职所需；</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④项目是否属于公共财政支持范围，是否符合中央、地方事权支出责任划分原则；</w:t>
            </w:r>
            <w:bookmarkStart w:id="64" w:name="_GoBack"/>
            <w:bookmarkEnd w:id="64"/>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⑤项目是否与相关部门同类项目或部门内部相关项目重复。</w:t>
            </w:r>
          </w:p>
        </w:tc>
      </w:tr>
      <w:tr w14:paraId="07B0D3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2DD8B07E">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40D41A70">
            <w:pPr>
              <w:widowControl/>
              <w:ind w:firstLine="0" w:firstLineChars="0"/>
              <w:jc w:val="center"/>
              <w:rPr>
                <w:rFonts w:ascii="宋体" w:hAnsi="宋体" w:eastAsia="宋体" w:cs="宋体"/>
                <w:color w:val="000000"/>
                <w:kern w:val="0"/>
                <w:sz w:val="22"/>
                <w:highlight w:val="none"/>
              </w:rPr>
            </w:pPr>
          </w:p>
        </w:tc>
        <w:tc>
          <w:tcPr>
            <w:tcW w:w="1464" w:type="dxa"/>
            <w:tcBorders>
              <w:tl2br w:val="nil"/>
              <w:tr2bl w:val="nil"/>
            </w:tcBorders>
            <w:shd w:val="clear" w:color="auto" w:fill="FFFFFF"/>
            <w:vAlign w:val="center"/>
          </w:tcPr>
          <w:p w14:paraId="3846B1E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14:paraId="558A188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736" w:type="dxa"/>
            <w:tcBorders>
              <w:tl2br w:val="nil"/>
              <w:tr2bl w:val="nil"/>
            </w:tcBorders>
            <w:shd w:val="clear" w:color="auto" w:fill="FFFFFF"/>
            <w:vAlign w:val="center"/>
          </w:tcPr>
          <w:p w14:paraId="18B542D8">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14:paraId="3E7D10C0">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③事前是否已经过必要的可行性研究、专家论证、风险评估、绩效评估、集体决策。</w:t>
            </w:r>
          </w:p>
        </w:tc>
      </w:tr>
      <w:tr w14:paraId="75D535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112D7A93">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14:paraId="51AE5CF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64" w:type="dxa"/>
            <w:tcBorders>
              <w:tl2br w:val="nil"/>
              <w:tr2bl w:val="nil"/>
            </w:tcBorders>
            <w:shd w:val="clear" w:color="auto" w:fill="FFFFFF"/>
            <w:vAlign w:val="center"/>
          </w:tcPr>
          <w:p w14:paraId="78023444">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14:paraId="37C10B4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36" w:type="dxa"/>
            <w:tcBorders>
              <w:tl2br w:val="nil"/>
              <w:tr2bl w:val="nil"/>
            </w:tcBorders>
            <w:shd w:val="clear" w:color="000000" w:fill="FFFFFF"/>
            <w:vAlign w:val="center"/>
          </w:tcPr>
          <w:p w14:paraId="625A38CA">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609302C1">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③项目预期产出效益和效果是否符合正常的业绩水平；</w:t>
            </w:r>
          </w:p>
          <w:p w14:paraId="5B8978D9">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14:paraId="04514D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6CDEA26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tcBorders>
              <w:tl2br w:val="nil"/>
              <w:tr2bl w:val="nil"/>
            </w:tcBorders>
            <w:shd w:val="clear" w:color="auto" w:fill="FFFFFF"/>
            <w:vAlign w:val="center"/>
          </w:tcPr>
          <w:p w14:paraId="21E73D0E">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64" w:type="dxa"/>
            <w:tcBorders>
              <w:tl2br w:val="nil"/>
              <w:tr2bl w:val="nil"/>
            </w:tcBorders>
            <w:shd w:val="clear" w:color="auto" w:fill="FFFFFF"/>
            <w:vAlign w:val="center"/>
          </w:tcPr>
          <w:p w14:paraId="6ECF1C2F">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14:paraId="30BB35F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736" w:type="dxa"/>
            <w:tcBorders>
              <w:tl2br w:val="nil"/>
              <w:tr2bl w:val="nil"/>
            </w:tcBorders>
            <w:shd w:val="clear" w:color="000000" w:fill="FFFFFF"/>
            <w:vAlign w:val="center"/>
          </w:tcPr>
          <w:p w14:paraId="2D2FBFD9">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122BCAAD">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type="textWrapping"/>
            </w:r>
          </w:p>
        </w:tc>
      </w:tr>
      <w:tr w14:paraId="5C2C0D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5E249D5D">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14:paraId="4C0B2A6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464" w:type="dxa"/>
            <w:tcBorders>
              <w:tl2br w:val="nil"/>
              <w:tr2bl w:val="nil"/>
            </w:tcBorders>
            <w:shd w:val="clear" w:color="auto" w:fill="FFFFFF"/>
            <w:vAlign w:val="center"/>
          </w:tcPr>
          <w:p w14:paraId="17DC4DD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14:paraId="6527BDB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736" w:type="dxa"/>
            <w:tcBorders>
              <w:tl2br w:val="nil"/>
              <w:tr2bl w:val="nil"/>
            </w:tcBorders>
            <w:shd w:val="clear" w:color="auto" w:fill="FFFFFF"/>
            <w:vAlign w:val="center"/>
          </w:tcPr>
          <w:p w14:paraId="00943C98">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74B8A05A">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④预算确定的项目投资额或资金量是否与工作任务相匹配。</w:t>
            </w:r>
          </w:p>
        </w:tc>
      </w:tr>
      <w:tr w14:paraId="2F221D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190BC03E">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2CA54660">
            <w:pPr>
              <w:widowControl/>
              <w:ind w:firstLine="0" w:firstLineChars="0"/>
              <w:jc w:val="center"/>
              <w:rPr>
                <w:rFonts w:ascii="宋体" w:hAnsi="宋体" w:eastAsia="宋体" w:cs="宋体"/>
                <w:color w:val="000000"/>
                <w:kern w:val="0"/>
                <w:sz w:val="22"/>
                <w:highlight w:val="none"/>
              </w:rPr>
            </w:pPr>
          </w:p>
        </w:tc>
        <w:tc>
          <w:tcPr>
            <w:tcW w:w="1464" w:type="dxa"/>
            <w:tcBorders>
              <w:tl2br w:val="nil"/>
              <w:tr2bl w:val="nil"/>
            </w:tcBorders>
            <w:shd w:val="clear" w:color="auto" w:fill="FFFFFF"/>
            <w:vAlign w:val="center"/>
          </w:tcPr>
          <w:p w14:paraId="4735C56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14:paraId="7A0D019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36" w:type="dxa"/>
            <w:tcBorders>
              <w:tl2br w:val="nil"/>
              <w:tr2bl w:val="nil"/>
            </w:tcBorders>
            <w:shd w:val="clear" w:color="auto" w:fill="FFFFFF"/>
            <w:vAlign w:val="center"/>
          </w:tcPr>
          <w:p w14:paraId="0E610AE9">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05AC3C4B">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②资金分配额度是否合理，与项目单位或地方实际是否相适应。</w:t>
            </w:r>
          </w:p>
        </w:tc>
      </w:tr>
      <w:tr w14:paraId="6D3786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18C2D8A2">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vMerge w:val="restart"/>
            <w:tcBorders>
              <w:tl2br w:val="nil"/>
              <w:tr2bl w:val="nil"/>
            </w:tcBorders>
            <w:shd w:val="clear" w:color="auto" w:fill="FFFFFF"/>
            <w:vAlign w:val="center"/>
          </w:tcPr>
          <w:p w14:paraId="51962A3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64" w:type="dxa"/>
            <w:tcBorders>
              <w:tl2br w:val="nil"/>
              <w:tr2bl w:val="nil"/>
            </w:tcBorders>
            <w:shd w:val="clear" w:color="auto" w:fill="FFFFFF"/>
            <w:vAlign w:val="center"/>
          </w:tcPr>
          <w:p w14:paraId="41AB42A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736" w:type="dxa"/>
            <w:tcBorders>
              <w:tl2br w:val="nil"/>
              <w:tr2bl w:val="nil"/>
            </w:tcBorders>
            <w:shd w:val="clear" w:color="000000" w:fill="FFFFFF"/>
            <w:vAlign w:val="center"/>
          </w:tcPr>
          <w:p w14:paraId="1335CBBB">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1DEA92AB">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14:paraId="1038FE1F">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14:paraId="7A5B9EA8">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14:paraId="5A7CDB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46A19B9A">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7F17A3BE">
            <w:pPr>
              <w:ind w:firstLine="0" w:firstLineChars="0"/>
              <w:jc w:val="center"/>
              <w:rPr>
                <w:rFonts w:ascii="宋体" w:hAnsi="宋体" w:eastAsia="宋体" w:cs="宋体"/>
                <w:color w:val="000000"/>
                <w:kern w:val="0"/>
                <w:sz w:val="22"/>
                <w:highlight w:val="none"/>
              </w:rPr>
            </w:pPr>
          </w:p>
        </w:tc>
        <w:tc>
          <w:tcPr>
            <w:tcW w:w="1464" w:type="dxa"/>
            <w:tcBorders>
              <w:tl2br w:val="nil"/>
              <w:tr2bl w:val="nil"/>
            </w:tcBorders>
            <w:shd w:val="clear" w:color="auto" w:fill="FFFFFF"/>
            <w:vAlign w:val="center"/>
          </w:tcPr>
          <w:p w14:paraId="233ABC31">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736" w:type="dxa"/>
            <w:tcBorders>
              <w:tl2br w:val="nil"/>
              <w:tr2bl w:val="nil"/>
            </w:tcBorders>
            <w:shd w:val="clear" w:color="auto" w:fill="FFFFFF"/>
            <w:vAlign w:val="center"/>
          </w:tcPr>
          <w:p w14:paraId="317C3106">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14:paraId="53B5C342">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实际支出资金：一定时期（本年度或项目期）内项目实际拨付的资金。</w:t>
            </w:r>
          </w:p>
        </w:tc>
      </w:tr>
      <w:tr w14:paraId="11BCB4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1589B766">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tcBorders>
              <w:tl2br w:val="nil"/>
              <w:tr2bl w:val="nil"/>
            </w:tcBorders>
            <w:shd w:val="clear" w:color="auto" w:fill="FFFFFF"/>
            <w:vAlign w:val="center"/>
          </w:tcPr>
          <w:p w14:paraId="1E301D1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64" w:type="dxa"/>
            <w:tcBorders>
              <w:tl2br w:val="nil"/>
              <w:tr2bl w:val="nil"/>
            </w:tcBorders>
            <w:shd w:val="clear" w:color="auto" w:fill="FFFFFF"/>
            <w:vAlign w:val="center"/>
          </w:tcPr>
          <w:p w14:paraId="0E3C5168">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14:paraId="29E21248">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736" w:type="dxa"/>
            <w:tcBorders>
              <w:tl2br w:val="nil"/>
              <w:tr2bl w:val="nil"/>
            </w:tcBorders>
            <w:shd w:val="clear" w:color="000000" w:fill="FFFFFF"/>
            <w:vAlign w:val="center"/>
          </w:tcPr>
          <w:p w14:paraId="5531B451">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40AF1259">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④是否存在截留、挤占、挪用、虚列支出等情况。</w:t>
            </w:r>
          </w:p>
        </w:tc>
      </w:tr>
      <w:tr w14:paraId="28E7A6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7BA3C23C">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14:paraId="6417BB3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464" w:type="dxa"/>
            <w:tcBorders>
              <w:tl2br w:val="nil"/>
              <w:tr2bl w:val="nil"/>
            </w:tcBorders>
            <w:shd w:val="clear" w:color="auto" w:fill="FFFFFF"/>
            <w:vAlign w:val="center"/>
          </w:tcPr>
          <w:p w14:paraId="1459509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14:paraId="71D95BA7">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736" w:type="dxa"/>
            <w:tcBorders>
              <w:tl2br w:val="nil"/>
              <w:tr2bl w:val="nil"/>
            </w:tcBorders>
            <w:shd w:val="clear" w:color="000000" w:fill="FFFFFF"/>
            <w:vAlign w:val="center"/>
          </w:tcPr>
          <w:p w14:paraId="21B98320">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3C92A9FD">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②财务和业务管理制度是否合法、合规、完整。</w:t>
            </w:r>
          </w:p>
        </w:tc>
      </w:tr>
      <w:tr w14:paraId="2FED8E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58C29FC6">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135CBD29">
            <w:pPr>
              <w:widowControl/>
              <w:ind w:firstLine="0" w:firstLineChars="0"/>
              <w:jc w:val="center"/>
              <w:rPr>
                <w:rFonts w:ascii="宋体" w:hAnsi="宋体" w:eastAsia="宋体" w:cs="宋体"/>
                <w:color w:val="000000"/>
                <w:kern w:val="0"/>
                <w:sz w:val="22"/>
                <w:highlight w:val="none"/>
              </w:rPr>
            </w:pPr>
          </w:p>
        </w:tc>
        <w:tc>
          <w:tcPr>
            <w:tcW w:w="1464" w:type="dxa"/>
            <w:tcBorders>
              <w:tl2br w:val="nil"/>
              <w:tr2bl w:val="nil"/>
            </w:tcBorders>
            <w:shd w:val="clear" w:color="auto" w:fill="FFFFFF"/>
            <w:vAlign w:val="center"/>
          </w:tcPr>
          <w:p w14:paraId="0C9D36FF">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14:paraId="2142F73F">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736" w:type="dxa"/>
            <w:tcBorders>
              <w:tl2br w:val="nil"/>
              <w:tr2bl w:val="nil"/>
            </w:tcBorders>
            <w:shd w:val="clear" w:color="000000" w:fill="FFFFFF"/>
            <w:vAlign w:val="center"/>
          </w:tcPr>
          <w:p w14:paraId="1D2BD0E5">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361F75B3">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④项目实施的人员条件、场地设备、信息支撑等是否落实到位。</w:t>
            </w:r>
          </w:p>
        </w:tc>
      </w:tr>
      <w:tr w14:paraId="7A4C6E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0" w:hRule="atLeast"/>
          <w:jc w:val="center"/>
        </w:trPr>
        <w:tc>
          <w:tcPr>
            <w:tcW w:w="1155" w:type="dxa"/>
            <w:vMerge w:val="restart"/>
            <w:tcBorders>
              <w:tl2br w:val="nil"/>
              <w:tr2bl w:val="nil"/>
            </w:tcBorders>
            <w:shd w:val="clear" w:color="auto" w:fill="FFFFFF"/>
            <w:vAlign w:val="center"/>
          </w:tcPr>
          <w:p w14:paraId="29EE9BBD">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产出</w:t>
            </w:r>
          </w:p>
        </w:tc>
        <w:tc>
          <w:tcPr>
            <w:tcW w:w="1199" w:type="dxa"/>
            <w:vMerge w:val="restart"/>
            <w:tcBorders>
              <w:tl2br w:val="nil"/>
              <w:tr2bl w:val="nil"/>
            </w:tcBorders>
            <w:shd w:val="clear" w:color="auto" w:fill="FFFFFF"/>
            <w:vAlign w:val="center"/>
          </w:tcPr>
          <w:p w14:paraId="506806AA">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产出数量</w:t>
            </w:r>
          </w:p>
        </w:tc>
        <w:tc>
          <w:tcPr>
            <w:tcW w:w="1464" w:type="dxa"/>
            <w:tcBorders>
              <w:tl2br w:val="nil"/>
              <w:tr2bl w:val="nil"/>
            </w:tcBorders>
            <w:shd w:val="clear" w:color="auto" w:fill="FFFFFF"/>
            <w:vAlign w:val="center"/>
          </w:tcPr>
          <w:p w14:paraId="0F98893A">
            <w:pPr>
              <w:widowControl/>
              <w:ind w:firstLine="0" w:firstLineChars="0"/>
              <w:jc w:val="center"/>
              <w:textAlignment w:val="center"/>
              <w:rPr>
                <w:rFonts w:ascii="宋体" w:hAnsi="宋体" w:eastAsia="宋体" w:cs="宋体"/>
                <w:kern w:val="0"/>
                <w:sz w:val="22"/>
                <w:highlight w:val="none"/>
              </w:rPr>
            </w:pPr>
            <w:r>
              <w:rPr>
                <w:rFonts w:hint="eastAsia" w:ascii="宋体" w:hAnsi="宋体" w:eastAsia="宋体" w:cs="宋体"/>
                <w:kern w:val="0"/>
                <w:sz w:val="22"/>
                <w:highlight w:val="none"/>
              </w:rPr>
              <w:t>采集人次</w:t>
            </w:r>
          </w:p>
        </w:tc>
        <w:tc>
          <w:tcPr>
            <w:tcW w:w="2736" w:type="dxa"/>
            <w:vMerge w:val="restart"/>
            <w:tcBorders>
              <w:tl2br w:val="nil"/>
              <w:tr2bl w:val="nil"/>
            </w:tcBorders>
            <w:shd w:val="clear" w:color="000000" w:fill="FFFFFF"/>
            <w:vAlign w:val="center"/>
          </w:tcPr>
          <w:p w14:paraId="635AD4CD">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7243651B">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实际完成率=（实际产出数/计划产出数）×100%。</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实际产出数：一定时期（本年度或项目期）内项目实际产出的产品或提供的服务数量。</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计划产出数：项目绩效目标确定的在一定时期（本年度或项目期）内计划产出的产品或提供的服务数量。</w:t>
            </w:r>
          </w:p>
        </w:tc>
      </w:tr>
      <w:tr w14:paraId="332411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0" w:hRule="atLeast"/>
          <w:jc w:val="center"/>
        </w:trPr>
        <w:tc>
          <w:tcPr>
            <w:tcW w:w="1155" w:type="dxa"/>
            <w:vMerge w:val="continue"/>
            <w:tcBorders>
              <w:tl2br w:val="nil"/>
              <w:tr2bl w:val="nil"/>
            </w:tcBorders>
            <w:shd w:val="clear" w:color="auto" w:fill="FFFFFF"/>
            <w:vAlign w:val="center"/>
          </w:tcPr>
          <w:p w14:paraId="66F94FA1">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14:paraId="358812A1">
            <w:pPr>
              <w:widowControl/>
              <w:ind w:firstLine="0" w:firstLineChars="0"/>
              <w:jc w:val="center"/>
              <w:rPr>
                <w:highlight w:val="none"/>
              </w:rPr>
            </w:pPr>
          </w:p>
        </w:tc>
        <w:tc>
          <w:tcPr>
            <w:tcW w:w="1464" w:type="dxa"/>
            <w:tcBorders>
              <w:tl2br w:val="nil"/>
              <w:tr2bl w:val="nil"/>
            </w:tcBorders>
            <w:shd w:val="clear" w:color="auto" w:fill="FFFFFF"/>
            <w:vAlign w:val="center"/>
          </w:tcPr>
          <w:p w14:paraId="34A5DC94">
            <w:pPr>
              <w:widowControl/>
              <w:ind w:firstLine="0" w:firstLineChars="0"/>
              <w:jc w:val="center"/>
              <w:textAlignment w:val="center"/>
              <w:rPr>
                <w:rFonts w:ascii="宋体" w:hAnsi="宋体" w:eastAsia="宋体" w:cs="宋体"/>
                <w:kern w:val="0"/>
                <w:sz w:val="22"/>
                <w:highlight w:val="none"/>
              </w:rPr>
            </w:pPr>
            <w:r>
              <w:rPr>
                <w:rFonts w:hint="eastAsia" w:ascii="宋体" w:hAnsi="宋体" w:eastAsia="宋体" w:cs="宋体"/>
                <w:kern w:val="0"/>
                <w:sz w:val="22"/>
                <w:highlight w:val="none"/>
              </w:rPr>
              <w:t>采血吨数</w:t>
            </w:r>
          </w:p>
        </w:tc>
        <w:tc>
          <w:tcPr>
            <w:tcW w:w="2736" w:type="dxa"/>
            <w:vMerge w:val="continue"/>
            <w:tcBorders>
              <w:tl2br w:val="nil"/>
              <w:tr2bl w:val="nil"/>
            </w:tcBorders>
            <w:shd w:val="clear" w:color="000000" w:fill="FFFFFF"/>
            <w:vAlign w:val="center"/>
          </w:tcPr>
          <w:p w14:paraId="3DCACC6A">
            <w:pPr>
              <w:widowControl/>
              <w:ind w:firstLine="0" w:firstLineChars="0"/>
              <w:jc w:val="center"/>
              <w:rPr>
                <w:rFonts w:ascii="宋体" w:hAnsi="宋体" w:eastAsia="宋体" w:cs="宋体"/>
                <w:kern w:val="0"/>
                <w:sz w:val="22"/>
                <w:highlight w:val="none"/>
              </w:rPr>
            </w:pPr>
          </w:p>
        </w:tc>
        <w:tc>
          <w:tcPr>
            <w:tcW w:w="7341" w:type="dxa"/>
            <w:vMerge w:val="continue"/>
            <w:tcBorders>
              <w:tl2br w:val="nil"/>
              <w:tr2bl w:val="nil"/>
            </w:tcBorders>
            <w:shd w:val="clear" w:color="000000" w:fill="FFFFFF"/>
            <w:vAlign w:val="center"/>
          </w:tcPr>
          <w:p w14:paraId="067B43B6">
            <w:pPr>
              <w:widowControl/>
              <w:ind w:firstLine="0" w:firstLineChars="0"/>
              <w:jc w:val="center"/>
              <w:rPr>
                <w:rFonts w:ascii="宋体" w:hAnsi="宋体" w:eastAsia="宋体" w:cs="宋体"/>
                <w:kern w:val="0"/>
                <w:sz w:val="22"/>
                <w:highlight w:val="none"/>
              </w:rPr>
            </w:pPr>
          </w:p>
        </w:tc>
      </w:tr>
      <w:tr w14:paraId="066C95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0" w:hRule="atLeast"/>
          <w:jc w:val="center"/>
        </w:trPr>
        <w:tc>
          <w:tcPr>
            <w:tcW w:w="1155" w:type="dxa"/>
            <w:vMerge w:val="continue"/>
            <w:tcBorders>
              <w:tl2br w:val="nil"/>
              <w:tr2bl w:val="nil"/>
            </w:tcBorders>
            <w:shd w:val="clear" w:color="auto" w:fill="FFFFFF"/>
            <w:vAlign w:val="center"/>
          </w:tcPr>
          <w:p w14:paraId="1D3F90FB">
            <w:pPr>
              <w:widowControl/>
              <w:ind w:firstLine="0" w:firstLineChars="0"/>
              <w:jc w:val="center"/>
              <w:rPr>
                <w:rFonts w:ascii="宋体" w:hAnsi="宋体" w:eastAsia="宋体" w:cs="宋体"/>
                <w:kern w:val="0"/>
                <w:sz w:val="22"/>
                <w:highlight w:val="none"/>
              </w:rPr>
            </w:pPr>
          </w:p>
        </w:tc>
        <w:tc>
          <w:tcPr>
            <w:tcW w:w="1199" w:type="dxa"/>
            <w:vMerge w:val="continue"/>
            <w:tcBorders>
              <w:tl2br w:val="nil"/>
              <w:tr2bl w:val="nil"/>
            </w:tcBorders>
            <w:shd w:val="clear" w:color="auto" w:fill="FFFFFF"/>
            <w:vAlign w:val="center"/>
          </w:tcPr>
          <w:p w14:paraId="56DF9CC1">
            <w:pPr>
              <w:widowControl/>
              <w:ind w:firstLine="0" w:firstLineChars="0"/>
              <w:jc w:val="center"/>
              <w:rPr>
                <w:rFonts w:ascii="宋体" w:hAnsi="宋体" w:eastAsia="宋体" w:cs="宋体"/>
                <w:kern w:val="0"/>
                <w:sz w:val="22"/>
                <w:highlight w:val="none"/>
              </w:rPr>
            </w:pPr>
          </w:p>
        </w:tc>
        <w:tc>
          <w:tcPr>
            <w:tcW w:w="1464" w:type="dxa"/>
            <w:tcBorders>
              <w:tl2br w:val="nil"/>
              <w:tr2bl w:val="nil"/>
            </w:tcBorders>
            <w:shd w:val="clear" w:color="auto" w:fill="FFFFFF"/>
            <w:vAlign w:val="center"/>
          </w:tcPr>
          <w:p w14:paraId="722682DE">
            <w:pPr>
              <w:widowControl/>
              <w:ind w:firstLine="0" w:firstLineChars="0"/>
              <w:jc w:val="center"/>
              <w:textAlignment w:val="center"/>
              <w:rPr>
                <w:rFonts w:ascii="宋体" w:hAnsi="宋体" w:eastAsia="宋体" w:cs="宋体"/>
                <w:kern w:val="0"/>
                <w:sz w:val="22"/>
                <w:highlight w:val="none"/>
              </w:rPr>
            </w:pPr>
            <w:r>
              <w:rPr>
                <w:rFonts w:hint="eastAsia" w:ascii="宋体" w:hAnsi="宋体" w:eastAsia="宋体" w:cs="宋体"/>
                <w:kern w:val="0"/>
                <w:sz w:val="22"/>
                <w:highlight w:val="none"/>
              </w:rPr>
              <w:t>保安人数</w:t>
            </w:r>
          </w:p>
        </w:tc>
        <w:tc>
          <w:tcPr>
            <w:tcW w:w="2736" w:type="dxa"/>
            <w:vMerge w:val="continue"/>
            <w:tcBorders>
              <w:tl2br w:val="nil"/>
              <w:tr2bl w:val="nil"/>
            </w:tcBorders>
            <w:shd w:val="clear" w:color="000000" w:fill="FFFFFF"/>
            <w:vAlign w:val="center"/>
          </w:tcPr>
          <w:p w14:paraId="6C525F5A">
            <w:pPr>
              <w:widowControl/>
              <w:ind w:firstLine="0" w:firstLineChars="0"/>
              <w:jc w:val="center"/>
              <w:rPr>
                <w:rFonts w:ascii="宋体" w:hAnsi="宋体" w:eastAsia="宋体" w:cs="宋体"/>
                <w:kern w:val="0"/>
                <w:sz w:val="22"/>
                <w:highlight w:val="none"/>
              </w:rPr>
            </w:pPr>
          </w:p>
        </w:tc>
        <w:tc>
          <w:tcPr>
            <w:tcW w:w="7341" w:type="dxa"/>
            <w:vMerge w:val="continue"/>
            <w:tcBorders>
              <w:tl2br w:val="nil"/>
              <w:tr2bl w:val="nil"/>
            </w:tcBorders>
            <w:shd w:val="clear" w:color="000000" w:fill="FFFFFF"/>
            <w:vAlign w:val="center"/>
          </w:tcPr>
          <w:p w14:paraId="7DC8DF28">
            <w:pPr>
              <w:widowControl/>
              <w:ind w:firstLine="0" w:firstLineChars="0"/>
              <w:jc w:val="center"/>
              <w:rPr>
                <w:rFonts w:ascii="宋体" w:hAnsi="宋体" w:eastAsia="宋体" w:cs="宋体"/>
                <w:kern w:val="0"/>
                <w:sz w:val="22"/>
                <w:highlight w:val="none"/>
              </w:rPr>
            </w:pPr>
          </w:p>
        </w:tc>
      </w:tr>
      <w:tr w14:paraId="630F9C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0" w:hRule="atLeast"/>
          <w:jc w:val="center"/>
        </w:trPr>
        <w:tc>
          <w:tcPr>
            <w:tcW w:w="1155" w:type="dxa"/>
            <w:vMerge w:val="continue"/>
            <w:tcBorders>
              <w:tl2br w:val="nil"/>
              <w:tr2bl w:val="nil"/>
            </w:tcBorders>
            <w:shd w:val="clear" w:color="auto" w:fill="FFFFFF"/>
            <w:vAlign w:val="center"/>
          </w:tcPr>
          <w:p w14:paraId="51E6EDEF">
            <w:pPr>
              <w:widowControl/>
              <w:ind w:firstLine="0" w:firstLineChars="0"/>
              <w:jc w:val="center"/>
              <w:rPr>
                <w:rFonts w:ascii="宋体" w:hAnsi="宋体" w:eastAsia="宋体" w:cs="宋体"/>
                <w:kern w:val="0"/>
                <w:sz w:val="22"/>
                <w:highlight w:val="none"/>
              </w:rPr>
            </w:pPr>
          </w:p>
        </w:tc>
        <w:tc>
          <w:tcPr>
            <w:tcW w:w="1199" w:type="dxa"/>
            <w:vMerge w:val="continue"/>
            <w:tcBorders>
              <w:tl2br w:val="nil"/>
              <w:tr2bl w:val="nil"/>
            </w:tcBorders>
            <w:shd w:val="clear" w:color="auto" w:fill="FFFFFF"/>
            <w:vAlign w:val="center"/>
          </w:tcPr>
          <w:p w14:paraId="3885E319">
            <w:pPr>
              <w:widowControl/>
              <w:ind w:firstLine="0" w:firstLineChars="0"/>
              <w:jc w:val="center"/>
              <w:rPr>
                <w:rFonts w:ascii="宋体" w:hAnsi="宋体" w:eastAsia="宋体" w:cs="宋体"/>
                <w:kern w:val="0"/>
                <w:sz w:val="22"/>
                <w:highlight w:val="none"/>
              </w:rPr>
            </w:pPr>
          </w:p>
        </w:tc>
        <w:tc>
          <w:tcPr>
            <w:tcW w:w="1464" w:type="dxa"/>
            <w:tcBorders>
              <w:tl2br w:val="nil"/>
              <w:tr2bl w:val="nil"/>
            </w:tcBorders>
            <w:shd w:val="clear" w:color="auto" w:fill="FFFFFF"/>
            <w:vAlign w:val="center"/>
          </w:tcPr>
          <w:p w14:paraId="39BC0349">
            <w:pPr>
              <w:widowControl/>
              <w:ind w:firstLine="0" w:firstLineChars="0"/>
              <w:jc w:val="center"/>
              <w:textAlignment w:val="center"/>
              <w:rPr>
                <w:rFonts w:ascii="宋体" w:hAnsi="宋体" w:eastAsia="宋体" w:cs="宋体"/>
                <w:kern w:val="0"/>
                <w:sz w:val="22"/>
                <w:highlight w:val="none"/>
              </w:rPr>
            </w:pPr>
            <w:r>
              <w:rPr>
                <w:rFonts w:hint="eastAsia" w:ascii="宋体" w:hAnsi="宋体" w:eastAsia="宋体" w:cs="宋体"/>
                <w:kern w:val="0"/>
                <w:sz w:val="22"/>
                <w:highlight w:val="none"/>
              </w:rPr>
              <w:t>血液包装盒</w:t>
            </w:r>
          </w:p>
        </w:tc>
        <w:tc>
          <w:tcPr>
            <w:tcW w:w="2736" w:type="dxa"/>
            <w:vMerge w:val="continue"/>
            <w:tcBorders>
              <w:tl2br w:val="nil"/>
              <w:tr2bl w:val="nil"/>
            </w:tcBorders>
            <w:shd w:val="clear" w:color="000000" w:fill="FFFFFF"/>
            <w:vAlign w:val="center"/>
          </w:tcPr>
          <w:p w14:paraId="46556D85">
            <w:pPr>
              <w:widowControl/>
              <w:ind w:firstLine="0" w:firstLineChars="0"/>
              <w:jc w:val="center"/>
              <w:rPr>
                <w:rFonts w:ascii="宋体" w:hAnsi="宋体" w:eastAsia="宋体" w:cs="宋体"/>
                <w:kern w:val="0"/>
                <w:sz w:val="22"/>
                <w:highlight w:val="none"/>
              </w:rPr>
            </w:pPr>
          </w:p>
        </w:tc>
        <w:tc>
          <w:tcPr>
            <w:tcW w:w="7341" w:type="dxa"/>
            <w:vMerge w:val="continue"/>
            <w:tcBorders>
              <w:tl2br w:val="nil"/>
              <w:tr2bl w:val="nil"/>
            </w:tcBorders>
            <w:shd w:val="clear" w:color="000000" w:fill="FFFFFF"/>
            <w:vAlign w:val="center"/>
          </w:tcPr>
          <w:p w14:paraId="74848DC5">
            <w:pPr>
              <w:widowControl/>
              <w:ind w:firstLine="0" w:firstLineChars="0"/>
              <w:jc w:val="center"/>
              <w:rPr>
                <w:rFonts w:ascii="宋体" w:hAnsi="宋体" w:eastAsia="宋体" w:cs="宋体"/>
                <w:kern w:val="0"/>
                <w:sz w:val="22"/>
                <w:highlight w:val="none"/>
              </w:rPr>
            </w:pPr>
          </w:p>
        </w:tc>
      </w:tr>
      <w:tr w14:paraId="3B8DCE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211F041C">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产出</w:t>
            </w:r>
          </w:p>
        </w:tc>
        <w:tc>
          <w:tcPr>
            <w:tcW w:w="1199" w:type="dxa"/>
            <w:tcBorders>
              <w:tl2br w:val="nil"/>
              <w:tr2bl w:val="nil"/>
            </w:tcBorders>
            <w:shd w:val="clear" w:color="auto" w:fill="FFFFFF"/>
            <w:vAlign w:val="center"/>
          </w:tcPr>
          <w:p w14:paraId="73630DC8">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产出质量</w:t>
            </w:r>
          </w:p>
        </w:tc>
        <w:tc>
          <w:tcPr>
            <w:tcW w:w="1464" w:type="dxa"/>
            <w:tcBorders>
              <w:tl2br w:val="nil"/>
              <w:tr2bl w:val="nil"/>
            </w:tcBorders>
            <w:shd w:val="clear" w:color="auto" w:fill="FFFFFF"/>
            <w:vAlign w:val="center"/>
          </w:tcPr>
          <w:p w14:paraId="4C7C620A">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一次性验收合格率</w:t>
            </w:r>
          </w:p>
        </w:tc>
        <w:tc>
          <w:tcPr>
            <w:tcW w:w="2736" w:type="dxa"/>
            <w:tcBorders>
              <w:tl2br w:val="nil"/>
              <w:tr2bl w:val="nil"/>
            </w:tcBorders>
            <w:shd w:val="clear" w:color="000000" w:fill="FFFFFF"/>
            <w:vAlign w:val="center"/>
          </w:tcPr>
          <w:p w14:paraId="00285883">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07E5F663">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质量达标率=（质量达标产出数/实际产出数）×100%。</w:t>
            </w:r>
          </w:p>
          <w:p w14:paraId="076D3954">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06C1B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8" w:hRule="atLeast"/>
          <w:jc w:val="center"/>
        </w:trPr>
        <w:tc>
          <w:tcPr>
            <w:tcW w:w="1155" w:type="dxa"/>
            <w:vMerge w:val="continue"/>
            <w:tcBorders>
              <w:tl2br w:val="nil"/>
              <w:tr2bl w:val="nil"/>
            </w:tcBorders>
            <w:shd w:val="clear" w:color="auto" w:fill="FFFFFF"/>
            <w:vAlign w:val="center"/>
          </w:tcPr>
          <w:p w14:paraId="364C23DC">
            <w:pPr>
              <w:ind w:firstLine="0" w:firstLineChars="0"/>
              <w:jc w:val="center"/>
              <w:rPr>
                <w:rFonts w:ascii="宋体" w:hAnsi="宋体" w:eastAsia="宋体" w:cs="宋体"/>
                <w:kern w:val="0"/>
                <w:sz w:val="22"/>
                <w:highlight w:val="none"/>
              </w:rPr>
            </w:pPr>
          </w:p>
        </w:tc>
        <w:tc>
          <w:tcPr>
            <w:tcW w:w="1199" w:type="dxa"/>
            <w:tcBorders>
              <w:tl2br w:val="nil"/>
              <w:tr2bl w:val="nil"/>
            </w:tcBorders>
            <w:shd w:val="clear" w:color="auto" w:fill="FFFFFF"/>
            <w:vAlign w:val="center"/>
          </w:tcPr>
          <w:p w14:paraId="563B6492">
            <w:pPr>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产出时效</w:t>
            </w:r>
          </w:p>
        </w:tc>
        <w:tc>
          <w:tcPr>
            <w:tcW w:w="1464" w:type="dxa"/>
            <w:tcBorders>
              <w:tl2br w:val="nil"/>
              <w:tr2bl w:val="nil"/>
            </w:tcBorders>
            <w:shd w:val="clear" w:color="auto" w:fill="FFFFFF"/>
            <w:vAlign w:val="center"/>
          </w:tcPr>
          <w:p w14:paraId="633A0F9E">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预算下达后完成招标采购时间</w:t>
            </w:r>
          </w:p>
        </w:tc>
        <w:tc>
          <w:tcPr>
            <w:tcW w:w="2736" w:type="dxa"/>
            <w:tcBorders>
              <w:tl2br w:val="nil"/>
              <w:tr2bl w:val="nil"/>
            </w:tcBorders>
            <w:shd w:val="clear" w:color="000000" w:fill="FFFFFF"/>
            <w:vAlign w:val="center"/>
          </w:tcPr>
          <w:p w14:paraId="495D1807">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32478318">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实际完成时间：项目实施单位完成该项目实际所耗用的时间。</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计划完成时间：按照项目实施计划或相关规定完成该项目所需的时间。</w:t>
            </w:r>
          </w:p>
        </w:tc>
      </w:tr>
      <w:tr w14:paraId="51B787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4C7060EE">
            <w:pPr>
              <w:widowControl/>
              <w:ind w:firstLine="0" w:firstLineChars="0"/>
              <w:jc w:val="center"/>
              <w:rPr>
                <w:rFonts w:ascii="宋体" w:hAnsi="宋体" w:eastAsia="宋体" w:cs="宋体"/>
                <w:kern w:val="0"/>
                <w:sz w:val="22"/>
                <w:highlight w:val="none"/>
              </w:rPr>
            </w:pPr>
          </w:p>
        </w:tc>
        <w:tc>
          <w:tcPr>
            <w:tcW w:w="1199" w:type="dxa"/>
            <w:vMerge w:val="restart"/>
            <w:tcBorders>
              <w:tl2br w:val="nil"/>
              <w:tr2bl w:val="nil"/>
            </w:tcBorders>
            <w:shd w:val="clear" w:color="auto" w:fill="FFFFFF"/>
            <w:vAlign w:val="center"/>
          </w:tcPr>
          <w:p w14:paraId="23EF7813">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产出成本</w:t>
            </w:r>
          </w:p>
        </w:tc>
        <w:tc>
          <w:tcPr>
            <w:tcW w:w="1464" w:type="dxa"/>
            <w:tcBorders>
              <w:tl2br w:val="nil"/>
              <w:tr2bl w:val="nil"/>
            </w:tcBorders>
            <w:shd w:val="clear" w:color="auto" w:fill="FFFFFF"/>
            <w:vAlign w:val="center"/>
          </w:tcPr>
          <w:p w14:paraId="5DD4EC55">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支付试剂耗材</w:t>
            </w:r>
          </w:p>
        </w:tc>
        <w:tc>
          <w:tcPr>
            <w:tcW w:w="2736" w:type="dxa"/>
            <w:vMerge w:val="restart"/>
            <w:tcBorders>
              <w:tl2br w:val="nil"/>
              <w:tr2bl w:val="nil"/>
            </w:tcBorders>
            <w:shd w:val="clear" w:color="000000" w:fill="FFFFFF"/>
            <w:vAlign w:val="center"/>
          </w:tcPr>
          <w:p w14:paraId="764E0812">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7B40CE4C">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成本节约率=[（计划成本-实际成本）/计划成本]×100%。</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实际成本：项目实施单位如期、保质、保量完成既定工作目标实际所耗费的支出。</w:t>
            </w:r>
            <w:r>
              <w:rPr>
                <w:rFonts w:hint="eastAsia" w:ascii="宋体" w:hAnsi="宋体" w:eastAsia="宋体" w:cs="宋体"/>
                <w:kern w:val="0"/>
                <w:sz w:val="22"/>
                <w:highlight w:val="none"/>
              </w:rPr>
              <w:br w:type="textWrapping"/>
            </w:r>
            <w:r>
              <w:rPr>
                <w:rFonts w:hint="eastAsia" w:ascii="宋体" w:hAnsi="宋体" w:eastAsia="宋体" w:cs="宋体"/>
                <w:kern w:val="0"/>
                <w:sz w:val="22"/>
                <w:highlight w:val="none"/>
              </w:rPr>
              <w:t>计划成本：项目实施单位为完成工作目标计划安排的支出，一般以项目预算为参考。</w:t>
            </w:r>
          </w:p>
        </w:tc>
      </w:tr>
      <w:tr w14:paraId="2749FD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01513163">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14:paraId="651CC97A">
            <w:pPr>
              <w:widowControl/>
              <w:ind w:firstLine="0" w:firstLineChars="0"/>
              <w:jc w:val="center"/>
              <w:rPr>
                <w:highlight w:val="none"/>
              </w:rPr>
            </w:pPr>
          </w:p>
        </w:tc>
        <w:tc>
          <w:tcPr>
            <w:tcW w:w="1464" w:type="dxa"/>
            <w:tcBorders>
              <w:tl2br w:val="nil"/>
              <w:tr2bl w:val="nil"/>
            </w:tcBorders>
            <w:shd w:val="clear" w:color="auto" w:fill="FFFFFF"/>
            <w:vAlign w:val="center"/>
          </w:tcPr>
          <w:p w14:paraId="0546DF1D">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支付印刷费</w:t>
            </w:r>
          </w:p>
        </w:tc>
        <w:tc>
          <w:tcPr>
            <w:tcW w:w="2736" w:type="dxa"/>
            <w:vMerge w:val="continue"/>
            <w:tcBorders>
              <w:tl2br w:val="nil"/>
              <w:tr2bl w:val="nil"/>
            </w:tcBorders>
            <w:shd w:val="clear" w:color="000000" w:fill="FFFFFF"/>
            <w:vAlign w:val="center"/>
          </w:tcPr>
          <w:p w14:paraId="48B8795B">
            <w:pPr>
              <w:widowControl/>
              <w:ind w:firstLine="0" w:firstLineChars="0"/>
              <w:jc w:val="center"/>
              <w:rPr>
                <w:rFonts w:ascii="宋体" w:hAnsi="宋体" w:eastAsia="宋体" w:cs="宋体"/>
                <w:kern w:val="0"/>
                <w:sz w:val="22"/>
                <w:highlight w:val="none"/>
              </w:rPr>
            </w:pPr>
          </w:p>
        </w:tc>
        <w:tc>
          <w:tcPr>
            <w:tcW w:w="7341" w:type="dxa"/>
            <w:vMerge w:val="continue"/>
            <w:tcBorders>
              <w:tl2br w:val="nil"/>
              <w:tr2bl w:val="nil"/>
            </w:tcBorders>
            <w:shd w:val="clear" w:color="000000" w:fill="FFFFFF"/>
            <w:vAlign w:val="center"/>
          </w:tcPr>
          <w:p w14:paraId="0772E031">
            <w:pPr>
              <w:widowControl/>
              <w:ind w:firstLine="0" w:firstLineChars="0"/>
              <w:jc w:val="center"/>
              <w:rPr>
                <w:rFonts w:ascii="宋体" w:hAnsi="宋体" w:eastAsia="宋体" w:cs="宋体"/>
                <w:kern w:val="0"/>
                <w:sz w:val="22"/>
                <w:highlight w:val="none"/>
              </w:rPr>
            </w:pPr>
          </w:p>
        </w:tc>
      </w:tr>
      <w:tr w14:paraId="28FA80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13928BFF">
            <w:pPr>
              <w:widowControl/>
              <w:ind w:firstLine="0" w:firstLineChars="0"/>
              <w:jc w:val="center"/>
              <w:rPr>
                <w:rFonts w:ascii="宋体" w:hAnsi="宋体" w:eastAsia="宋体" w:cs="宋体"/>
                <w:kern w:val="0"/>
                <w:sz w:val="22"/>
                <w:highlight w:val="none"/>
              </w:rPr>
            </w:pPr>
          </w:p>
        </w:tc>
        <w:tc>
          <w:tcPr>
            <w:tcW w:w="1199" w:type="dxa"/>
            <w:vMerge w:val="continue"/>
            <w:tcBorders>
              <w:tl2br w:val="nil"/>
              <w:tr2bl w:val="nil"/>
            </w:tcBorders>
            <w:shd w:val="clear" w:color="auto" w:fill="FFFFFF"/>
            <w:vAlign w:val="center"/>
          </w:tcPr>
          <w:p w14:paraId="4C2D804B">
            <w:pPr>
              <w:widowControl/>
              <w:ind w:firstLine="0" w:firstLineChars="0"/>
              <w:jc w:val="center"/>
              <w:rPr>
                <w:rFonts w:ascii="宋体" w:hAnsi="宋体" w:eastAsia="宋体" w:cs="宋体"/>
                <w:kern w:val="0"/>
                <w:sz w:val="22"/>
                <w:highlight w:val="none"/>
              </w:rPr>
            </w:pPr>
          </w:p>
        </w:tc>
        <w:tc>
          <w:tcPr>
            <w:tcW w:w="1464" w:type="dxa"/>
            <w:tcBorders>
              <w:tl2br w:val="nil"/>
              <w:tr2bl w:val="nil"/>
            </w:tcBorders>
            <w:shd w:val="clear" w:color="auto" w:fill="FFFFFF"/>
            <w:vAlign w:val="center"/>
          </w:tcPr>
          <w:p w14:paraId="36784390">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支付物业管理费</w:t>
            </w:r>
          </w:p>
        </w:tc>
        <w:tc>
          <w:tcPr>
            <w:tcW w:w="2736" w:type="dxa"/>
            <w:vMerge w:val="continue"/>
            <w:tcBorders>
              <w:tl2br w:val="nil"/>
              <w:tr2bl w:val="nil"/>
            </w:tcBorders>
            <w:shd w:val="clear" w:color="000000" w:fill="FFFFFF"/>
            <w:vAlign w:val="center"/>
          </w:tcPr>
          <w:p w14:paraId="5D348896">
            <w:pPr>
              <w:widowControl/>
              <w:ind w:firstLine="0" w:firstLineChars="0"/>
              <w:jc w:val="center"/>
              <w:rPr>
                <w:rFonts w:ascii="宋体" w:hAnsi="宋体" w:eastAsia="宋体" w:cs="宋体"/>
                <w:kern w:val="0"/>
                <w:sz w:val="22"/>
                <w:highlight w:val="none"/>
              </w:rPr>
            </w:pPr>
          </w:p>
        </w:tc>
        <w:tc>
          <w:tcPr>
            <w:tcW w:w="7341" w:type="dxa"/>
            <w:vMerge w:val="continue"/>
            <w:tcBorders>
              <w:tl2br w:val="nil"/>
              <w:tr2bl w:val="nil"/>
            </w:tcBorders>
            <w:shd w:val="clear" w:color="000000" w:fill="FFFFFF"/>
            <w:vAlign w:val="center"/>
          </w:tcPr>
          <w:p w14:paraId="2816B1F3">
            <w:pPr>
              <w:widowControl/>
              <w:ind w:firstLine="0" w:firstLineChars="0"/>
              <w:jc w:val="center"/>
              <w:rPr>
                <w:rFonts w:ascii="宋体" w:hAnsi="宋体" w:eastAsia="宋体" w:cs="宋体"/>
                <w:kern w:val="0"/>
                <w:sz w:val="22"/>
                <w:highlight w:val="none"/>
              </w:rPr>
            </w:pPr>
          </w:p>
        </w:tc>
      </w:tr>
      <w:tr w14:paraId="42DEE6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7DC31E75">
            <w:pPr>
              <w:widowControl/>
              <w:ind w:firstLine="0" w:firstLineChars="0"/>
              <w:jc w:val="center"/>
              <w:rPr>
                <w:rFonts w:ascii="宋体" w:hAnsi="宋体" w:eastAsia="宋体" w:cs="宋体"/>
                <w:kern w:val="0"/>
                <w:sz w:val="22"/>
                <w:highlight w:val="none"/>
              </w:rPr>
            </w:pPr>
          </w:p>
        </w:tc>
        <w:tc>
          <w:tcPr>
            <w:tcW w:w="1199" w:type="dxa"/>
            <w:vMerge w:val="continue"/>
            <w:tcBorders>
              <w:tl2br w:val="nil"/>
              <w:tr2bl w:val="nil"/>
            </w:tcBorders>
            <w:shd w:val="clear" w:color="auto" w:fill="FFFFFF"/>
            <w:vAlign w:val="center"/>
          </w:tcPr>
          <w:p w14:paraId="041D3BEB">
            <w:pPr>
              <w:widowControl/>
              <w:ind w:firstLine="0" w:firstLineChars="0"/>
              <w:jc w:val="center"/>
              <w:rPr>
                <w:rFonts w:ascii="宋体" w:hAnsi="宋体" w:eastAsia="宋体" w:cs="宋体"/>
                <w:kern w:val="0"/>
                <w:sz w:val="22"/>
                <w:highlight w:val="none"/>
              </w:rPr>
            </w:pPr>
          </w:p>
        </w:tc>
        <w:tc>
          <w:tcPr>
            <w:tcW w:w="1464" w:type="dxa"/>
            <w:tcBorders>
              <w:tl2br w:val="nil"/>
              <w:tr2bl w:val="nil"/>
            </w:tcBorders>
            <w:shd w:val="clear" w:color="auto" w:fill="FFFFFF"/>
            <w:vAlign w:val="center"/>
          </w:tcPr>
          <w:p w14:paraId="663456E0">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支付献血者食品</w:t>
            </w:r>
          </w:p>
        </w:tc>
        <w:tc>
          <w:tcPr>
            <w:tcW w:w="2736" w:type="dxa"/>
            <w:vMerge w:val="continue"/>
            <w:tcBorders>
              <w:tl2br w:val="nil"/>
              <w:tr2bl w:val="nil"/>
            </w:tcBorders>
            <w:shd w:val="clear" w:color="000000" w:fill="FFFFFF"/>
            <w:vAlign w:val="center"/>
          </w:tcPr>
          <w:p w14:paraId="75BE3A74">
            <w:pPr>
              <w:widowControl/>
              <w:ind w:firstLine="0" w:firstLineChars="0"/>
              <w:jc w:val="center"/>
              <w:rPr>
                <w:rFonts w:ascii="宋体" w:hAnsi="宋体" w:eastAsia="宋体" w:cs="宋体"/>
                <w:kern w:val="0"/>
                <w:sz w:val="22"/>
                <w:highlight w:val="none"/>
              </w:rPr>
            </w:pPr>
          </w:p>
        </w:tc>
        <w:tc>
          <w:tcPr>
            <w:tcW w:w="7341" w:type="dxa"/>
            <w:vMerge w:val="continue"/>
            <w:tcBorders>
              <w:tl2br w:val="nil"/>
              <w:tr2bl w:val="nil"/>
            </w:tcBorders>
            <w:shd w:val="clear" w:color="000000" w:fill="FFFFFF"/>
            <w:vAlign w:val="center"/>
          </w:tcPr>
          <w:p w14:paraId="54CC3C7A">
            <w:pPr>
              <w:widowControl/>
              <w:ind w:firstLine="0" w:firstLineChars="0"/>
              <w:jc w:val="center"/>
              <w:rPr>
                <w:rFonts w:ascii="宋体" w:hAnsi="宋体" w:eastAsia="宋体" w:cs="宋体"/>
                <w:kern w:val="0"/>
                <w:sz w:val="22"/>
                <w:highlight w:val="none"/>
              </w:rPr>
            </w:pPr>
          </w:p>
        </w:tc>
      </w:tr>
      <w:tr w14:paraId="755A49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36FD466E">
            <w:pPr>
              <w:widowControl/>
              <w:ind w:firstLine="0" w:firstLineChars="0"/>
              <w:jc w:val="center"/>
              <w:rPr>
                <w:rFonts w:ascii="宋体" w:hAnsi="宋体" w:eastAsia="宋体" w:cs="宋体"/>
                <w:kern w:val="0"/>
                <w:sz w:val="22"/>
                <w:highlight w:val="none"/>
              </w:rPr>
            </w:pPr>
          </w:p>
        </w:tc>
        <w:tc>
          <w:tcPr>
            <w:tcW w:w="1199" w:type="dxa"/>
            <w:vMerge w:val="continue"/>
            <w:tcBorders>
              <w:tl2br w:val="nil"/>
              <w:tr2bl w:val="nil"/>
            </w:tcBorders>
            <w:shd w:val="clear" w:color="auto" w:fill="FFFFFF"/>
            <w:vAlign w:val="center"/>
          </w:tcPr>
          <w:p w14:paraId="67FD409E">
            <w:pPr>
              <w:widowControl/>
              <w:ind w:firstLine="0" w:firstLineChars="0"/>
              <w:jc w:val="center"/>
              <w:rPr>
                <w:rFonts w:ascii="宋体" w:hAnsi="宋体" w:eastAsia="宋体" w:cs="宋体"/>
                <w:kern w:val="0"/>
                <w:sz w:val="22"/>
                <w:highlight w:val="none"/>
              </w:rPr>
            </w:pPr>
          </w:p>
        </w:tc>
        <w:tc>
          <w:tcPr>
            <w:tcW w:w="1464" w:type="dxa"/>
            <w:tcBorders>
              <w:tl2br w:val="nil"/>
              <w:tr2bl w:val="nil"/>
            </w:tcBorders>
            <w:shd w:val="clear" w:color="auto" w:fill="FFFFFF"/>
            <w:vAlign w:val="center"/>
          </w:tcPr>
          <w:p w14:paraId="54481A17">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支付</w:t>
            </w:r>
            <w:r>
              <w:rPr>
                <w:rFonts w:ascii="宋体" w:hAnsi="宋体" w:eastAsia="宋体" w:cs="宋体"/>
                <w:kern w:val="0"/>
                <w:sz w:val="22"/>
                <w:highlight w:val="none"/>
              </w:rPr>
              <w:t>9.0</w:t>
            </w:r>
            <w:r>
              <w:rPr>
                <w:rFonts w:hint="eastAsia" w:ascii="宋体" w:hAnsi="宋体" w:eastAsia="宋体" w:cs="宋体"/>
                <w:kern w:val="0"/>
                <w:sz w:val="22"/>
                <w:highlight w:val="none"/>
              </w:rPr>
              <w:t>信息系统维护等</w:t>
            </w:r>
          </w:p>
        </w:tc>
        <w:tc>
          <w:tcPr>
            <w:tcW w:w="2736" w:type="dxa"/>
            <w:vMerge w:val="continue"/>
            <w:tcBorders>
              <w:tl2br w:val="nil"/>
              <w:tr2bl w:val="nil"/>
            </w:tcBorders>
            <w:shd w:val="clear" w:color="000000" w:fill="FFFFFF"/>
            <w:vAlign w:val="center"/>
          </w:tcPr>
          <w:p w14:paraId="05587160">
            <w:pPr>
              <w:widowControl/>
              <w:ind w:firstLine="0" w:firstLineChars="0"/>
              <w:jc w:val="center"/>
              <w:rPr>
                <w:rFonts w:ascii="宋体" w:hAnsi="宋体" w:eastAsia="宋体" w:cs="宋体"/>
                <w:kern w:val="0"/>
                <w:sz w:val="22"/>
                <w:highlight w:val="none"/>
              </w:rPr>
            </w:pPr>
          </w:p>
        </w:tc>
        <w:tc>
          <w:tcPr>
            <w:tcW w:w="7341" w:type="dxa"/>
            <w:vMerge w:val="continue"/>
            <w:tcBorders>
              <w:tl2br w:val="nil"/>
              <w:tr2bl w:val="nil"/>
            </w:tcBorders>
            <w:shd w:val="clear" w:color="000000" w:fill="FFFFFF"/>
            <w:vAlign w:val="center"/>
          </w:tcPr>
          <w:p w14:paraId="35F19C19">
            <w:pPr>
              <w:widowControl/>
              <w:ind w:firstLine="0" w:firstLineChars="0"/>
              <w:jc w:val="center"/>
              <w:rPr>
                <w:rFonts w:ascii="宋体" w:hAnsi="宋体" w:eastAsia="宋体" w:cs="宋体"/>
                <w:kern w:val="0"/>
                <w:sz w:val="22"/>
                <w:highlight w:val="none"/>
              </w:rPr>
            </w:pPr>
          </w:p>
        </w:tc>
      </w:tr>
      <w:tr w14:paraId="4FCD13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155" w:type="dxa"/>
            <w:vMerge w:val="continue"/>
            <w:tcBorders>
              <w:tl2br w:val="nil"/>
              <w:tr2bl w:val="nil"/>
            </w:tcBorders>
            <w:shd w:val="clear" w:color="auto" w:fill="FFFFFF"/>
            <w:vAlign w:val="center"/>
          </w:tcPr>
          <w:p w14:paraId="5A67A170">
            <w:pPr>
              <w:widowControl/>
              <w:ind w:firstLine="0" w:firstLineChars="0"/>
              <w:jc w:val="center"/>
              <w:rPr>
                <w:rFonts w:ascii="宋体" w:hAnsi="宋体" w:eastAsia="宋体" w:cs="宋体"/>
                <w:kern w:val="0"/>
                <w:sz w:val="22"/>
                <w:highlight w:val="none"/>
              </w:rPr>
            </w:pPr>
          </w:p>
        </w:tc>
        <w:tc>
          <w:tcPr>
            <w:tcW w:w="1199" w:type="dxa"/>
            <w:vMerge w:val="continue"/>
            <w:tcBorders>
              <w:tl2br w:val="nil"/>
              <w:tr2bl w:val="nil"/>
            </w:tcBorders>
            <w:shd w:val="clear" w:color="auto" w:fill="FFFFFF"/>
            <w:vAlign w:val="center"/>
          </w:tcPr>
          <w:p w14:paraId="3C7AFB87">
            <w:pPr>
              <w:widowControl/>
              <w:ind w:firstLine="0" w:firstLineChars="0"/>
              <w:jc w:val="center"/>
              <w:rPr>
                <w:rFonts w:ascii="宋体" w:hAnsi="宋体" w:eastAsia="宋体" w:cs="宋体"/>
                <w:kern w:val="0"/>
                <w:sz w:val="22"/>
                <w:highlight w:val="none"/>
              </w:rPr>
            </w:pPr>
          </w:p>
        </w:tc>
        <w:tc>
          <w:tcPr>
            <w:tcW w:w="1464" w:type="dxa"/>
            <w:tcBorders>
              <w:tl2br w:val="nil"/>
              <w:tr2bl w:val="nil"/>
            </w:tcBorders>
            <w:shd w:val="clear" w:color="auto" w:fill="FFFFFF"/>
            <w:vAlign w:val="center"/>
          </w:tcPr>
          <w:p w14:paraId="2ABF6972">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支付专用设备、办公设备</w:t>
            </w:r>
          </w:p>
        </w:tc>
        <w:tc>
          <w:tcPr>
            <w:tcW w:w="2736" w:type="dxa"/>
            <w:vMerge w:val="continue"/>
            <w:tcBorders>
              <w:tl2br w:val="nil"/>
              <w:tr2bl w:val="nil"/>
            </w:tcBorders>
            <w:shd w:val="clear" w:color="000000" w:fill="FFFFFF"/>
            <w:vAlign w:val="center"/>
          </w:tcPr>
          <w:p w14:paraId="35CA2A22">
            <w:pPr>
              <w:widowControl/>
              <w:ind w:firstLine="0" w:firstLineChars="0"/>
              <w:jc w:val="center"/>
              <w:rPr>
                <w:rFonts w:ascii="宋体" w:hAnsi="宋体" w:eastAsia="宋体" w:cs="宋体"/>
                <w:kern w:val="0"/>
                <w:sz w:val="22"/>
                <w:highlight w:val="none"/>
              </w:rPr>
            </w:pPr>
          </w:p>
        </w:tc>
        <w:tc>
          <w:tcPr>
            <w:tcW w:w="7341" w:type="dxa"/>
            <w:vMerge w:val="continue"/>
            <w:tcBorders>
              <w:tl2br w:val="nil"/>
              <w:tr2bl w:val="nil"/>
            </w:tcBorders>
            <w:shd w:val="clear" w:color="000000" w:fill="FFFFFF"/>
            <w:vAlign w:val="center"/>
          </w:tcPr>
          <w:p w14:paraId="2E0973DA">
            <w:pPr>
              <w:widowControl/>
              <w:ind w:firstLine="0" w:firstLineChars="0"/>
              <w:jc w:val="center"/>
              <w:rPr>
                <w:rFonts w:ascii="宋体" w:hAnsi="宋体" w:eastAsia="宋体" w:cs="宋体"/>
                <w:kern w:val="0"/>
                <w:sz w:val="22"/>
                <w:highlight w:val="none"/>
              </w:rPr>
            </w:pPr>
          </w:p>
        </w:tc>
      </w:tr>
      <w:tr w14:paraId="4FF3EB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71B9D021">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效益</w:t>
            </w:r>
          </w:p>
        </w:tc>
        <w:tc>
          <w:tcPr>
            <w:tcW w:w="1199" w:type="dxa"/>
            <w:tcBorders>
              <w:tl2br w:val="nil"/>
              <w:tr2bl w:val="nil"/>
            </w:tcBorders>
            <w:shd w:val="clear" w:color="auto" w:fill="FFFFFF"/>
            <w:vAlign w:val="center"/>
          </w:tcPr>
          <w:p w14:paraId="42EACB1A">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社会效益指标</w:t>
            </w:r>
          </w:p>
        </w:tc>
        <w:tc>
          <w:tcPr>
            <w:tcW w:w="1464" w:type="dxa"/>
            <w:tcBorders>
              <w:tl2br w:val="nil"/>
              <w:tr2bl w:val="nil"/>
            </w:tcBorders>
            <w:shd w:val="clear" w:color="auto" w:fill="FFFFFF"/>
            <w:vAlign w:val="center"/>
          </w:tcPr>
          <w:p w14:paraId="7EA1EDA5">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保障采供血工作顺利开展</w:t>
            </w:r>
          </w:p>
        </w:tc>
        <w:tc>
          <w:tcPr>
            <w:tcW w:w="2736" w:type="dxa"/>
            <w:tcBorders>
              <w:tl2br w:val="nil"/>
              <w:tr2bl w:val="nil"/>
            </w:tcBorders>
            <w:shd w:val="clear" w:color="auto" w:fill="FFFFFF"/>
            <w:vAlign w:val="center"/>
          </w:tcPr>
          <w:p w14:paraId="10F15B72">
            <w:pPr>
              <w:widowControl/>
              <w:ind w:firstLine="0" w:firstLineChars="0"/>
              <w:jc w:val="left"/>
              <w:rPr>
                <w:rFonts w:ascii="宋体" w:hAnsi="宋体" w:eastAsia="宋体" w:cs="宋体"/>
                <w:kern w:val="0"/>
                <w:sz w:val="22"/>
                <w:highlight w:val="none"/>
              </w:rPr>
            </w:pPr>
            <w:r>
              <w:rPr>
                <w:rFonts w:hint="eastAsia" w:ascii="宋体" w:hAnsi="宋体" w:eastAsia="宋体" w:cs="宋体"/>
                <w:kern w:val="0"/>
                <w:sz w:val="22"/>
                <w:highlight w:val="none"/>
              </w:rPr>
              <w:t>项目实施所产生的效益。</w:t>
            </w:r>
          </w:p>
        </w:tc>
        <w:tc>
          <w:tcPr>
            <w:tcW w:w="7341" w:type="dxa"/>
            <w:tcBorders>
              <w:tl2br w:val="nil"/>
              <w:tr2bl w:val="nil"/>
            </w:tcBorders>
            <w:shd w:val="clear" w:color="auto" w:fill="FFFFFF"/>
            <w:vAlign w:val="center"/>
          </w:tcPr>
          <w:p w14:paraId="07D1AB15">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项目实施所产生的社会效益、经济效益、生态效益、可持续影响等。可根据项目实际情况有选择地设置和细化。</w:t>
            </w:r>
          </w:p>
        </w:tc>
      </w:tr>
      <w:tr w14:paraId="603A50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3223354A">
            <w:pPr>
              <w:widowControl/>
              <w:ind w:firstLine="0" w:firstLineChars="0"/>
              <w:jc w:val="center"/>
              <w:rPr>
                <w:rFonts w:ascii="宋体" w:hAnsi="宋体" w:eastAsia="宋体" w:cs="宋体"/>
                <w:kern w:val="0"/>
                <w:sz w:val="22"/>
                <w:highlight w:val="none"/>
              </w:rPr>
            </w:pPr>
            <w:r>
              <w:rPr>
                <w:rFonts w:ascii="宋体" w:hAnsi="宋体" w:eastAsia="宋体" w:cs="宋体"/>
                <w:kern w:val="0"/>
                <w:sz w:val="22"/>
                <w:highlight w:val="none"/>
              </w:rPr>
              <w:t>满意度指标完成情况分析</w:t>
            </w:r>
          </w:p>
        </w:tc>
        <w:tc>
          <w:tcPr>
            <w:tcW w:w="1199" w:type="dxa"/>
            <w:tcBorders>
              <w:tl2br w:val="nil"/>
              <w:tr2bl w:val="nil"/>
            </w:tcBorders>
            <w:shd w:val="clear" w:color="auto" w:fill="FFFFFF"/>
            <w:vAlign w:val="center"/>
          </w:tcPr>
          <w:p w14:paraId="4B5172D2">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满意度指标</w:t>
            </w:r>
          </w:p>
        </w:tc>
        <w:tc>
          <w:tcPr>
            <w:tcW w:w="1464" w:type="dxa"/>
            <w:tcBorders>
              <w:tl2br w:val="nil"/>
              <w:tr2bl w:val="nil"/>
            </w:tcBorders>
            <w:shd w:val="clear" w:color="auto" w:fill="FFFFFF"/>
            <w:vAlign w:val="center"/>
          </w:tcPr>
          <w:p w14:paraId="7470E85E">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献血者满意度测评率</w:t>
            </w:r>
          </w:p>
        </w:tc>
        <w:tc>
          <w:tcPr>
            <w:tcW w:w="2736" w:type="dxa"/>
            <w:tcBorders>
              <w:tl2br w:val="nil"/>
              <w:tr2bl w:val="nil"/>
            </w:tcBorders>
            <w:shd w:val="clear" w:color="000000" w:fill="FFFFFF"/>
            <w:vAlign w:val="center"/>
          </w:tcPr>
          <w:p w14:paraId="1D53AD4C">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社会公众或服务对象对项目实施效果的满意程度。</w:t>
            </w:r>
          </w:p>
        </w:tc>
        <w:tc>
          <w:tcPr>
            <w:tcW w:w="7341" w:type="dxa"/>
            <w:tcBorders>
              <w:tl2br w:val="nil"/>
              <w:tr2bl w:val="nil"/>
            </w:tcBorders>
            <w:shd w:val="clear" w:color="000000" w:fill="FFFFFF"/>
            <w:vAlign w:val="center"/>
          </w:tcPr>
          <w:p w14:paraId="6B6CE2E0">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社会公众或服务对象是指因该项目实施而受到影响的部门（单位）、群体或个人。</w:t>
            </w:r>
          </w:p>
          <w:p w14:paraId="688F9A89">
            <w:pPr>
              <w:widowControl/>
              <w:ind w:firstLine="0" w:firstLineChars="0"/>
              <w:rPr>
                <w:rFonts w:ascii="宋体" w:hAnsi="宋体" w:eastAsia="宋体" w:cs="宋体"/>
                <w:kern w:val="0"/>
                <w:sz w:val="22"/>
                <w:highlight w:val="none"/>
              </w:rPr>
            </w:pPr>
            <w:r>
              <w:rPr>
                <w:rFonts w:hint="eastAsia" w:ascii="宋体" w:hAnsi="宋体" w:eastAsia="宋体" w:cs="宋体"/>
                <w:kern w:val="0"/>
                <w:sz w:val="22"/>
                <w:highlight w:val="none"/>
              </w:rPr>
              <w:t>一般采取社会调查的方式。</w:t>
            </w:r>
          </w:p>
        </w:tc>
      </w:tr>
    </w:tbl>
    <w:p w14:paraId="6F0C9B33">
      <w:pPr>
        <w:ind w:firstLine="0" w:firstLineChars="0"/>
        <w:jc w:val="center"/>
        <w:rPr>
          <w:rFonts w:ascii="仿宋_GB2312"/>
          <w:highlight w:val="none"/>
        </w:rPr>
      </w:pPr>
    </w:p>
    <w:p w14:paraId="31AE1D2A">
      <w:pPr>
        <w:ind w:firstLine="0" w:firstLineChars="0"/>
        <w:jc w:val="center"/>
        <w:rPr>
          <w:rFonts w:ascii="仿宋_GB2312"/>
          <w:highlight w:val="none"/>
        </w:rPr>
      </w:pPr>
    </w:p>
    <w:p w14:paraId="2811D221">
      <w:pPr>
        <w:ind w:firstLine="0" w:firstLineChars="0"/>
        <w:jc w:val="center"/>
        <w:rPr>
          <w:rFonts w:ascii="仿宋_GB2312"/>
          <w:highlight w:val="none"/>
        </w:rPr>
      </w:pPr>
    </w:p>
    <w:p w14:paraId="20703825">
      <w:pPr>
        <w:ind w:firstLine="0" w:firstLineChars="0"/>
        <w:jc w:val="center"/>
        <w:rPr>
          <w:rFonts w:ascii="仿宋_GB2312"/>
          <w:highlight w:val="none"/>
        </w:rPr>
      </w:pPr>
    </w:p>
    <w:p w14:paraId="13D31E97">
      <w:pPr>
        <w:ind w:firstLine="0" w:firstLineChars="0"/>
        <w:jc w:val="center"/>
        <w:rPr>
          <w:rFonts w:ascii="仿宋_GB2312"/>
          <w:highlight w:val="none"/>
        </w:rPr>
      </w:pPr>
    </w:p>
    <w:p w14:paraId="60A04948">
      <w:pPr>
        <w:ind w:firstLine="0" w:firstLineChars="0"/>
        <w:jc w:val="center"/>
        <w:rPr>
          <w:rFonts w:ascii="仿宋_GB2312"/>
          <w:highlight w:val="none"/>
        </w:rPr>
        <w:sectPr>
          <w:pgSz w:w="16838" w:h="11906" w:orient="landscape"/>
          <w:pgMar w:top="1800" w:right="1440" w:bottom="1800" w:left="1440" w:header="1276" w:footer="992" w:gutter="0"/>
          <w:cols w:space="425" w:num="1"/>
          <w:docGrid w:type="lines" w:linePitch="381" w:charSpace="0"/>
        </w:sectPr>
      </w:pPr>
    </w:p>
    <w:p w14:paraId="51CCA0C7">
      <w:pPr>
        <w:pStyle w:val="4"/>
        <w:ind w:firstLine="643"/>
        <w:rPr>
          <w:highlight w:val="none"/>
        </w:rPr>
      </w:pPr>
      <w:bookmarkStart w:id="22" w:name="_Hlk67586038"/>
      <w:bookmarkStart w:id="23" w:name="_Toc30399"/>
      <w:r>
        <w:rPr>
          <w:highlight w:val="none"/>
        </w:rPr>
        <w:t>3.</w:t>
      </w:r>
      <w:r>
        <w:rPr>
          <w:rFonts w:hint="eastAsia"/>
          <w:highlight w:val="none"/>
        </w:rPr>
        <w:t>评价方法</w:t>
      </w:r>
      <w:bookmarkEnd w:id="22"/>
      <w:bookmarkEnd w:id="23"/>
    </w:p>
    <w:p w14:paraId="14591856">
      <w:pPr>
        <w:spacing w:line="360" w:lineRule="auto"/>
        <w:ind w:firstLine="560"/>
        <w:rPr>
          <w:rFonts w:ascii="仿宋_GB2312"/>
          <w:highlight w:val="none"/>
        </w:rPr>
      </w:pPr>
      <w:r>
        <w:rPr>
          <w:rFonts w:hint="eastAsia" w:ascii="仿宋_GB2312"/>
          <w:highlight w:val="none"/>
        </w:rPr>
        <w:t>《关于印发&lt;项目支出绩效评价管理办法&gt;的通知》（财预〔2020〕10号）文件指出部门评价的方法主要包括成本效益分析法、比较法、因素分析法、最低成本法、公众评判法、标杆管理法等。</w:t>
      </w:r>
    </w:p>
    <w:p w14:paraId="22136551">
      <w:pPr>
        <w:spacing w:line="360" w:lineRule="auto"/>
        <w:ind w:firstLine="560"/>
        <w:rPr>
          <w:rFonts w:ascii="仿宋_GB2312"/>
          <w:highlight w:val="none"/>
        </w:rPr>
      </w:pPr>
      <w:r>
        <w:rPr>
          <w:rFonts w:hint="eastAsia" w:ascii="仿宋_GB2312"/>
          <w:highlight w:val="none"/>
        </w:rPr>
        <w:t>（1）成本效益分析法。是指将投入与产出、效益进行关联性分析的方法。</w:t>
      </w:r>
    </w:p>
    <w:p w14:paraId="351303F1">
      <w:pPr>
        <w:spacing w:line="360" w:lineRule="auto"/>
        <w:ind w:firstLine="560"/>
        <w:rPr>
          <w:rFonts w:ascii="仿宋_GB2312"/>
          <w:highlight w:val="none"/>
        </w:rPr>
      </w:pPr>
      <w:r>
        <w:rPr>
          <w:rFonts w:hint="eastAsia" w:ascii="仿宋_GB2312"/>
          <w:highlight w:val="none"/>
        </w:rPr>
        <w:t>（2）比较法。是指将实施情况与绩效目标、历史情况、不同部门和地区同类支出情况进行比较的方法。</w:t>
      </w:r>
    </w:p>
    <w:p w14:paraId="7932CB2F">
      <w:pPr>
        <w:spacing w:line="360" w:lineRule="auto"/>
        <w:ind w:firstLine="560"/>
        <w:rPr>
          <w:rFonts w:ascii="仿宋_GB2312"/>
          <w:highlight w:val="none"/>
        </w:rPr>
      </w:pPr>
      <w:r>
        <w:rPr>
          <w:rFonts w:hint="eastAsia" w:ascii="仿宋_GB2312"/>
          <w:highlight w:val="none"/>
        </w:rPr>
        <w:t>（3）因素分析法。是指综合分析影响绩效目标实现、实施效果的内外部因素的方法。</w:t>
      </w:r>
    </w:p>
    <w:p w14:paraId="443264D9">
      <w:pPr>
        <w:spacing w:line="360" w:lineRule="auto"/>
        <w:ind w:firstLine="560"/>
        <w:rPr>
          <w:rFonts w:ascii="仿宋_GB2312"/>
          <w:highlight w:val="none"/>
        </w:rPr>
      </w:pPr>
      <w:r>
        <w:rPr>
          <w:rFonts w:hint="eastAsia" w:ascii="仿宋_GB2312"/>
          <w:highlight w:val="none"/>
        </w:rPr>
        <w:t>（4）最低成本法。是指在绩效目标确定的前提下，成本最小者为优的方法。</w:t>
      </w:r>
    </w:p>
    <w:p w14:paraId="3C97F047">
      <w:pPr>
        <w:spacing w:line="360" w:lineRule="auto"/>
        <w:ind w:firstLine="560"/>
        <w:rPr>
          <w:rFonts w:ascii="仿宋_GB2312"/>
          <w:highlight w:val="none"/>
        </w:rPr>
      </w:pPr>
      <w:r>
        <w:rPr>
          <w:rFonts w:hint="eastAsia" w:ascii="仿宋_GB2312"/>
          <w:highlight w:val="none"/>
        </w:rPr>
        <w:t>（5）公众评判法。是指通过专家评估、公众问卷及抽样调查等方式进行评判的方法。</w:t>
      </w:r>
    </w:p>
    <w:p w14:paraId="6C1AD578">
      <w:pPr>
        <w:spacing w:line="360" w:lineRule="auto"/>
        <w:ind w:firstLine="560"/>
        <w:rPr>
          <w:rFonts w:ascii="仿宋_GB2312"/>
          <w:highlight w:val="none"/>
        </w:rPr>
      </w:pPr>
      <w:r>
        <w:rPr>
          <w:rFonts w:hint="eastAsia" w:ascii="仿宋_GB2312"/>
          <w:highlight w:val="none"/>
        </w:rPr>
        <w:t>（6）标杆管理法。是指以国内外同行业中较高的绩效水平为标杆进行评判的方法。</w:t>
      </w:r>
    </w:p>
    <w:p w14:paraId="627B0C2D">
      <w:pPr>
        <w:spacing w:line="360" w:lineRule="auto"/>
        <w:ind w:firstLine="560"/>
        <w:rPr>
          <w:rFonts w:ascii="仿宋_GB2312"/>
          <w:highlight w:val="none"/>
        </w:rPr>
      </w:pPr>
      <w:r>
        <w:rPr>
          <w:rFonts w:hint="eastAsia" w:ascii="仿宋_GB2312"/>
          <w:highlight w:val="none"/>
        </w:rPr>
        <w:t>（7）其他评价方法。</w:t>
      </w:r>
    </w:p>
    <w:p w14:paraId="2647A8D3">
      <w:pPr>
        <w:spacing w:line="360" w:lineRule="auto"/>
        <w:ind w:firstLine="560"/>
        <w:rPr>
          <w:rFonts w:ascii="仿宋_GB2312"/>
          <w:highlight w:val="none"/>
        </w:rPr>
      </w:pPr>
      <w:r>
        <w:rPr>
          <w:rFonts w:hint="eastAsia" w:ascii="仿宋_GB2312"/>
          <w:highlight w:val="none"/>
        </w:rPr>
        <w:t>根据本项目（采供血业务运行经费-政采）的特点，本次评价主要采用比较法和公众评判法，对项目总预算和明细预算的内容、标准、计划是否经济合理进行深入分析，以考察实际产出和效益是否达到预期。</w:t>
      </w:r>
    </w:p>
    <w:p w14:paraId="2DD04C08">
      <w:pPr>
        <w:pStyle w:val="4"/>
        <w:ind w:firstLine="643"/>
        <w:rPr>
          <w:highlight w:val="none"/>
        </w:rPr>
      </w:pPr>
      <w:bookmarkStart w:id="24" w:name="_Toc32292"/>
      <w:r>
        <w:rPr>
          <w:highlight w:val="none"/>
        </w:rPr>
        <w:t>4.</w:t>
      </w:r>
      <w:r>
        <w:rPr>
          <w:rFonts w:hint="eastAsia"/>
          <w:highlight w:val="none"/>
        </w:rPr>
        <w:t>评价标准</w:t>
      </w:r>
      <w:bookmarkEnd w:id="24"/>
    </w:p>
    <w:p w14:paraId="136D68E2">
      <w:pPr>
        <w:spacing w:line="360" w:lineRule="auto"/>
        <w:ind w:firstLine="560"/>
        <w:rPr>
          <w:rFonts w:ascii="仿宋_GB2312"/>
          <w:highlight w:val="none"/>
        </w:rPr>
      </w:pPr>
      <w:r>
        <w:rPr>
          <w:rFonts w:hint="eastAsia" w:ascii="仿宋_GB2312"/>
          <w:highlight w:val="none"/>
        </w:rPr>
        <w:t>绩效评价标准主要包括计划标准、行业标准、历史标准等，用于对绩效指标完成情况进行比较。</w:t>
      </w:r>
    </w:p>
    <w:p w14:paraId="48E8DBAB">
      <w:pPr>
        <w:spacing w:line="360" w:lineRule="auto"/>
        <w:ind w:firstLine="560"/>
        <w:rPr>
          <w:rFonts w:ascii="仿宋_GB2312"/>
          <w:highlight w:val="none"/>
        </w:rPr>
      </w:pPr>
      <w:r>
        <w:rPr>
          <w:rFonts w:hint="eastAsia" w:ascii="仿宋_GB2312"/>
          <w:highlight w:val="none"/>
        </w:rPr>
        <w:t>（1）计划标准。指以预先制定的目标、计划、预算、定额等作为评价标准。</w:t>
      </w:r>
    </w:p>
    <w:p w14:paraId="699B38FE">
      <w:pPr>
        <w:spacing w:line="360" w:lineRule="auto"/>
        <w:ind w:firstLine="560"/>
        <w:rPr>
          <w:rFonts w:ascii="仿宋_GB2312"/>
          <w:highlight w:val="none"/>
        </w:rPr>
      </w:pPr>
      <w:r>
        <w:rPr>
          <w:rFonts w:hint="eastAsia" w:ascii="仿宋_GB2312"/>
          <w:highlight w:val="none"/>
        </w:rPr>
        <w:t>（2）行业标准。指参照国家公布的行业指标数据制定的评价标准。</w:t>
      </w:r>
    </w:p>
    <w:p w14:paraId="77D2A081">
      <w:pPr>
        <w:spacing w:line="360" w:lineRule="auto"/>
        <w:ind w:firstLine="560"/>
        <w:rPr>
          <w:rFonts w:ascii="仿宋_GB2312"/>
          <w:highlight w:val="none"/>
        </w:rPr>
      </w:pPr>
      <w:r>
        <w:rPr>
          <w:rFonts w:hint="eastAsia" w:ascii="仿宋_GB2312"/>
          <w:highlight w:val="none"/>
        </w:rPr>
        <w:t>（3）历史标准。指参照历史数据制定的评价标准，为体现绩效改进的原则，在可实现的条件下应当确定相对较高的评价标准。</w:t>
      </w:r>
    </w:p>
    <w:p w14:paraId="2A384250">
      <w:pPr>
        <w:spacing w:line="360" w:lineRule="auto"/>
        <w:ind w:firstLine="560"/>
        <w:rPr>
          <w:rFonts w:ascii="仿宋_GB2312"/>
          <w:highlight w:val="none"/>
        </w:rPr>
      </w:pPr>
      <w:r>
        <w:rPr>
          <w:rFonts w:hint="eastAsia" w:ascii="仿宋_GB2312"/>
          <w:highlight w:val="none"/>
        </w:rPr>
        <w:t>在上述评价标准的基础上，本次评价依据以下文件为重要指导和准绳：</w:t>
      </w:r>
    </w:p>
    <w:p w14:paraId="4399D725">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《中共中央</w:t>
      </w:r>
      <w:r>
        <w:rPr>
          <w:rFonts w:hint="eastAsia" w:ascii="仿宋_GB2312"/>
          <w:highlight w:val="none"/>
          <w:lang w:val="en-US" w:eastAsia="zh-CN"/>
        </w:rPr>
        <w:t xml:space="preserve"> </w:t>
      </w:r>
      <w:r>
        <w:rPr>
          <w:rFonts w:hint="eastAsia" w:ascii="仿宋_GB2312"/>
          <w:highlight w:val="none"/>
        </w:rPr>
        <w:t>国务院关于全面实施预算绩效管理的意见》（中发〔2018〕34号）</w:t>
      </w:r>
    </w:p>
    <w:p w14:paraId="061F178A">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《关于印发&lt;乌鲁木齐市本级部门预算绩效目标管理暂行办法&gt;的通知》（乌财预〔2018〕56号）</w:t>
      </w:r>
    </w:p>
    <w:p w14:paraId="183BBA5F">
      <w:pPr>
        <w:spacing w:line="360" w:lineRule="auto"/>
        <w:ind w:firstLine="560" w:firstLineChars="0"/>
        <w:rPr>
          <w:rFonts w:ascii="仿宋_GB2312"/>
          <w:highlight w:val="none"/>
        </w:rPr>
      </w:pPr>
      <w:r>
        <w:rPr>
          <w:rFonts w:hint="eastAsia" w:ascii="黑体" w:hAnsi="黑体" w:eastAsia="黑体" w:cs="Times New Roman"/>
          <w:szCs w:val="28"/>
          <w:highlight w:val="none"/>
        </w:rPr>
        <w:t>·</w:t>
      </w:r>
      <w:r>
        <w:rPr>
          <w:rFonts w:hint="eastAsia" w:ascii="仿宋_GB2312"/>
          <w:highlight w:val="none"/>
        </w:rPr>
        <w:t>《关于做好2019年部门预算项目支出绩效目标管理有关事宜的通知》（乌财预〔2018〕76号）</w:t>
      </w:r>
    </w:p>
    <w:p w14:paraId="029AED2E">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《项目支出绩效评价管理办法》（财预〔2020〕10号）</w:t>
      </w:r>
    </w:p>
    <w:p w14:paraId="67ABBBA8">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《2019版血站技术操作规程》</w:t>
      </w:r>
    </w:p>
    <w:p w14:paraId="60A1DE31">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《血站基本标准》</w:t>
      </w:r>
    </w:p>
    <w:p w14:paraId="6E782FAF">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《突发公共卫生事件应急条例》</w:t>
      </w:r>
    </w:p>
    <w:p w14:paraId="35CD9634">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《血站质量管理规范》</w:t>
      </w:r>
    </w:p>
    <w:p w14:paraId="229C44D5">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《血站实验室质量管理规范》</w:t>
      </w:r>
    </w:p>
    <w:p w14:paraId="089DF0CC">
      <w:pPr>
        <w:pStyle w:val="3"/>
        <w:ind w:firstLine="643"/>
        <w:rPr>
          <w:rFonts w:ascii="仿宋" w:hAnsi="仿宋" w:eastAsia="仿宋"/>
          <w:highlight w:val="none"/>
          <w:lang w:bidi="en-US"/>
        </w:rPr>
      </w:pPr>
      <w:bookmarkStart w:id="25" w:name="_Toc67911607"/>
      <w:bookmarkStart w:id="26" w:name="_Toc27340"/>
      <w:r>
        <w:rPr>
          <w:rFonts w:hint="eastAsia" w:ascii="仿宋" w:hAnsi="仿宋" w:eastAsia="仿宋"/>
          <w:highlight w:val="none"/>
          <w:lang w:bidi="en-US"/>
        </w:rPr>
        <w:t>（三）绩效评价工作过程</w:t>
      </w:r>
      <w:bookmarkEnd w:id="25"/>
      <w:bookmarkEnd w:id="26"/>
    </w:p>
    <w:p w14:paraId="76ADCBE7">
      <w:pPr>
        <w:spacing w:line="360" w:lineRule="auto"/>
        <w:ind w:firstLine="560"/>
        <w:rPr>
          <w:rFonts w:ascii="仿宋_GB2312"/>
          <w:highlight w:val="none"/>
        </w:rPr>
      </w:pPr>
      <w:r>
        <w:rPr>
          <w:rFonts w:hint="eastAsia" w:ascii="仿宋_GB2312"/>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highlight w:val="none"/>
        </w:rPr>
        <w:footnoteReference w:id="0"/>
      </w:r>
      <w:r>
        <w:rPr>
          <w:rFonts w:hint="eastAsia" w:ascii="仿宋_GB2312"/>
          <w:highlight w:val="none"/>
        </w:rPr>
        <w:t>、材料审核分析、现场核查评价、综合分析评价及报告撰写，评价项目实施情况，展现资金使用效益。</w:t>
      </w:r>
    </w:p>
    <w:p w14:paraId="3FEC44B9">
      <w:pPr>
        <w:pStyle w:val="2"/>
        <w:ind w:firstLine="0" w:firstLineChars="0"/>
        <w:jc w:val="left"/>
        <w:rPr>
          <w:rFonts w:ascii="仿宋" w:hAnsi="仿宋" w:eastAsia="仿宋"/>
          <w:sz w:val="36"/>
          <w:szCs w:val="36"/>
          <w:highlight w:val="none"/>
          <w:lang w:bidi="en-US"/>
        </w:rPr>
      </w:pPr>
      <w:bookmarkStart w:id="27" w:name="_Toc4411"/>
      <w:bookmarkStart w:id="28" w:name="_Toc67911608"/>
      <w:r>
        <w:rPr>
          <w:rFonts w:hint="eastAsia" w:ascii="仿宋" w:hAnsi="仿宋" w:eastAsia="仿宋"/>
          <w:sz w:val="36"/>
          <w:szCs w:val="36"/>
          <w:highlight w:val="none"/>
          <w:lang w:bidi="en-US"/>
        </w:rPr>
        <w:t>三、综合评价情况及评价结论</w:t>
      </w:r>
      <w:bookmarkEnd w:id="27"/>
      <w:bookmarkEnd w:id="28"/>
    </w:p>
    <w:p w14:paraId="381A56CF">
      <w:pPr>
        <w:pStyle w:val="3"/>
        <w:ind w:firstLine="643"/>
        <w:rPr>
          <w:rFonts w:ascii="仿宋" w:hAnsi="仿宋" w:eastAsia="仿宋"/>
          <w:highlight w:val="none"/>
          <w:lang w:bidi="en-US"/>
        </w:rPr>
      </w:pPr>
      <w:bookmarkStart w:id="29" w:name="_Toc67911609"/>
      <w:bookmarkStart w:id="30" w:name="_Toc14827"/>
      <w:r>
        <w:rPr>
          <w:rFonts w:hint="eastAsia" w:ascii="仿宋" w:hAnsi="仿宋" w:eastAsia="仿宋"/>
          <w:highlight w:val="none"/>
          <w:lang w:bidi="en-US"/>
        </w:rPr>
        <w:t>（一）评价结论</w:t>
      </w:r>
      <w:bookmarkEnd w:id="29"/>
      <w:bookmarkEnd w:id="30"/>
    </w:p>
    <w:p w14:paraId="4C03AA6D">
      <w:pPr>
        <w:spacing w:line="360" w:lineRule="auto"/>
        <w:ind w:firstLine="560"/>
        <w:rPr>
          <w:rFonts w:ascii="仿宋_GB2312"/>
          <w:szCs w:val="28"/>
          <w:highlight w:val="none"/>
        </w:rPr>
      </w:pPr>
      <w:r>
        <w:rPr>
          <w:rFonts w:hint="eastAsia" w:ascii="仿宋_GB2312"/>
          <w:szCs w:val="28"/>
          <w:highlight w:val="none"/>
        </w:rPr>
        <w:t>结合项目特点，制定符合项目实际的绩效评价指标体系及评分标准，通过数据采集、问卷调查等形式，对2024年采供血业务运行经费-政采项目进行客观评价，最终评分结果为：总分为</w:t>
      </w:r>
      <w:r>
        <w:rPr>
          <w:rFonts w:hint="eastAsia" w:ascii="仿宋_GB2312"/>
          <w:szCs w:val="28"/>
          <w:highlight w:val="none"/>
          <w:lang w:val="en-US" w:eastAsia="zh-CN"/>
        </w:rPr>
        <w:t>98.85</w:t>
      </w:r>
      <w:r>
        <w:rPr>
          <w:rFonts w:hint="eastAsia" w:ascii="仿宋_GB2312"/>
          <w:szCs w:val="28"/>
          <w:highlight w:val="none"/>
        </w:rPr>
        <w:t>分，绩效评级为“优”</w:t>
      </w:r>
      <w:r>
        <w:rPr>
          <w:rStyle w:val="18"/>
          <w:rFonts w:ascii="仿宋_GB2312"/>
          <w:szCs w:val="28"/>
          <w:highlight w:val="none"/>
        </w:rPr>
        <w:footnoteReference w:id="1"/>
      </w:r>
      <w:r>
        <w:rPr>
          <w:rFonts w:hint="eastAsia" w:ascii="仿宋_GB2312"/>
          <w:szCs w:val="28"/>
          <w:highlight w:val="none"/>
        </w:rPr>
        <w:t>。</w:t>
      </w:r>
    </w:p>
    <w:p w14:paraId="16A079CA">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14:paraId="27CAD657">
      <w:pPr>
        <w:spacing w:line="360" w:lineRule="auto"/>
        <w:ind w:firstLine="0" w:firstLineChars="0"/>
        <w:jc w:val="center"/>
        <w:rPr>
          <w:rFonts w:ascii="仿宋_GB2312"/>
          <w:b/>
          <w:bCs/>
          <w:szCs w:val="28"/>
          <w:highlight w:val="none"/>
        </w:rPr>
      </w:pPr>
      <w:r>
        <w:rPr>
          <w:rFonts w:hint="eastAsia" w:ascii="仿宋_GB2312"/>
          <w:b/>
          <w:bCs/>
          <w:szCs w:val="28"/>
          <w:highlight w:val="none"/>
        </w:rPr>
        <w:t>项目各部分权重和绩效分值</w:t>
      </w:r>
    </w:p>
    <w:tbl>
      <w:tblPr>
        <w:tblStyle w:val="13"/>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7F5F9D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29097F34">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一级指标</w:t>
            </w:r>
          </w:p>
        </w:tc>
        <w:tc>
          <w:tcPr>
            <w:tcW w:w="1984" w:type="dxa"/>
            <w:tcBorders>
              <w:tl2br w:val="nil"/>
              <w:tr2bl w:val="nil"/>
            </w:tcBorders>
            <w:shd w:val="clear" w:color="auto" w:fill="D0CECE"/>
            <w:vAlign w:val="center"/>
          </w:tcPr>
          <w:p w14:paraId="5804FA59">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二级指标</w:t>
            </w:r>
          </w:p>
        </w:tc>
        <w:tc>
          <w:tcPr>
            <w:tcW w:w="2693" w:type="dxa"/>
            <w:tcBorders>
              <w:tl2br w:val="nil"/>
              <w:tr2bl w:val="nil"/>
            </w:tcBorders>
            <w:shd w:val="clear" w:color="auto" w:fill="D0CECE"/>
            <w:vAlign w:val="center"/>
          </w:tcPr>
          <w:p w14:paraId="020B0BB5">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三级指标</w:t>
            </w:r>
          </w:p>
        </w:tc>
        <w:tc>
          <w:tcPr>
            <w:tcW w:w="898" w:type="dxa"/>
            <w:tcBorders>
              <w:tl2br w:val="nil"/>
              <w:tr2bl w:val="nil"/>
            </w:tcBorders>
            <w:shd w:val="clear" w:color="auto" w:fill="D0CECE"/>
            <w:vAlign w:val="center"/>
          </w:tcPr>
          <w:p w14:paraId="3A3FA4E4">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分值</w:t>
            </w:r>
          </w:p>
        </w:tc>
        <w:tc>
          <w:tcPr>
            <w:tcW w:w="898" w:type="dxa"/>
            <w:tcBorders>
              <w:tl2br w:val="nil"/>
              <w:tr2bl w:val="nil"/>
            </w:tcBorders>
            <w:shd w:val="clear" w:color="auto" w:fill="D0CECE"/>
            <w:vAlign w:val="center"/>
          </w:tcPr>
          <w:p w14:paraId="143724CE">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得分</w:t>
            </w:r>
          </w:p>
        </w:tc>
        <w:tc>
          <w:tcPr>
            <w:tcW w:w="1039" w:type="dxa"/>
            <w:tcBorders>
              <w:tl2br w:val="nil"/>
              <w:tr2bl w:val="nil"/>
            </w:tcBorders>
            <w:shd w:val="clear" w:color="auto" w:fill="D0CECE"/>
            <w:vAlign w:val="center"/>
          </w:tcPr>
          <w:p w14:paraId="23A6ABC7">
            <w:pPr>
              <w:widowControl/>
              <w:ind w:firstLine="0" w:firstLineChars="0"/>
              <w:jc w:val="center"/>
              <w:rPr>
                <w:rFonts w:ascii="仿宋_GB2312" w:hAnsi="Gungsuh" w:cs="宋体"/>
                <w:b/>
                <w:bCs/>
                <w:kern w:val="0"/>
                <w:sz w:val="24"/>
                <w:szCs w:val="24"/>
                <w:highlight w:val="none"/>
              </w:rPr>
            </w:pPr>
            <w:r>
              <w:rPr>
                <w:rFonts w:hint="eastAsia" w:ascii="仿宋_GB2312" w:hAnsi="Gungsuh" w:cs="宋体"/>
                <w:b/>
                <w:bCs/>
                <w:kern w:val="0"/>
                <w:sz w:val="24"/>
                <w:szCs w:val="24"/>
                <w:highlight w:val="none"/>
              </w:rPr>
              <w:t>得分率</w:t>
            </w:r>
          </w:p>
        </w:tc>
      </w:tr>
      <w:tr w14:paraId="711363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222617DE">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决策</w:t>
            </w:r>
          </w:p>
        </w:tc>
        <w:tc>
          <w:tcPr>
            <w:tcW w:w="1984" w:type="dxa"/>
            <w:vMerge w:val="restart"/>
            <w:tcBorders>
              <w:tl2br w:val="nil"/>
              <w:tr2bl w:val="nil"/>
            </w:tcBorders>
            <w:shd w:val="clear" w:color="auto" w:fill="FFFFFF"/>
            <w:vAlign w:val="center"/>
          </w:tcPr>
          <w:p w14:paraId="7FF8295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项目立项</w:t>
            </w:r>
          </w:p>
        </w:tc>
        <w:tc>
          <w:tcPr>
            <w:tcW w:w="2693" w:type="dxa"/>
            <w:tcBorders>
              <w:tl2br w:val="nil"/>
              <w:tr2bl w:val="nil"/>
            </w:tcBorders>
            <w:shd w:val="clear" w:color="auto" w:fill="FFFFFF"/>
            <w:vAlign w:val="center"/>
          </w:tcPr>
          <w:p w14:paraId="1956B91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立项依据充分性</w:t>
            </w:r>
          </w:p>
        </w:tc>
        <w:tc>
          <w:tcPr>
            <w:tcW w:w="898" w:type="dxa"/>
            <w:tcBorders>
              <w:tl2br w:val="nil"/>
              <w:tr2bl w:val="nil"/>
            </w:tcBorders>
            <w:shd w:val="clear" w:color="auto" w:fill="FFFFFF"/>
            <w:vAlign w:val="center"/>
          </w:tcPr>
          <w:p w14:paraId="636C5F9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auto" w:fill="FFFFFF"/>
            <w:vAlign w:val="center"/>
          </w:tcPr>
          <w:p w14:paraId="31E63B88">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auto" w:fill="FFFFFF"/>
            <w:vAlign w:val="center"/>
          </w:tcPr>
          <w:p w14:paraId="6CCC825E">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26B457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E3CFD43">
            <w:pPr>
              <w:ind w:firstLine="48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14:paraId="286098CA">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14:paraId="2721B65E">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立项程序规范性</w:t>
            </w:r>
          </w:p>
        </w:tc>
        <w:tc>
          <w:tcPr>
            <w:tcW w:w="898" w:type="dxa"/>
            <w:tcBorders>
              <w:tl2br w:val="nil"/>
              <w:tr2bl w:val="nil"/>
            </w:tcBorders>
            <w:shd w:val="clear" w:color="auto" w:fill="FFFFFF"/>
            <w:vAlign w:val="center"/>
          </w:tcPr>
          <w:p w14:paraId="50CDB1A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auto" w:fill="FFFFFF"/>
            <w:vAlign w:val="center"/>
          </w:tcPr>
          <w:p w14:paraId="5A4B452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auto" w:fill="FFFFFF"/>
            <w:vAlign w:val="center"/>
          </w:tcPr>
          <w:p w14:paraId="3B957AE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47FB00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8C8BD47">
            <w:pPr>
              <w:ind w:firstLine="48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14:paraId="33FEAFC3">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绩效目标</w:t>
            </w:r>
          </w:p>
        </w:tc>
        <w:tc>
          <w:tcPr>
            <w:tcW w:w="2693" w:type="dxa"/>
            <w:tcBorders>
              <w:tl2br w:val="nil"/>
              <w:tr2bl w:val="nil"/>
            </w:tcBorders>
            <w:shd w:val="clear" w:color="auto" w:fill="FFFFFF"/>
            <w:vAlign w:val="center"/>
          </w:tcPr>
          <w:p w14:paraId="13660FB3">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绩效目标合理性</w:t>
            </w:r>
          </w:p>
        </w:tc>
        <w:tc>
          <w:tcPr>
            <w:tcW w:w="898" w:type="dxa"/>
            <w:tcBorders>
              <w:tl2br w:val="nil"/>
              <w:tr2bl w:val="nil"/>
            </w:tcBorders>
            <w:shd w:val="clear" w:color="000000" w:fill="FFFFFF"/>
            <w:vAlign w:val="center"/>
          </w:tcPr>
          <w:p w14:paraId="2173D16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14:paraId="380479C8">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14:paraId="2F8ED7D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5D6765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7F7ED3B">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14:paraId="7CECB6A9">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14:paraId="030BA1A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绩效指标明确性</w:t>
            </w:r>
          </w:p>
        </w:tc>
        <w:tc>
          <w:tcPr>
            <w:tcW w:w="898" w:type="dxa"/>
            <w:tcBorders>
              <w:tl2br w:val="nil"/>
              <w:tr2bl w:val="nil"/>
            </w:tcBorders>
            <w:shd w:val="clear" w:color="000000" w:fill="FFFFFF"/>
            <w:vAlign w:val="center"/>
          </w:tcPr>
          <w:p w14:paraId="5B672CCB">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14:paraId="015FDFBB">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14:paraId="689A603C">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5AEE59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D878455">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14:paraId="58684767">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资金投入</w:t>
            </w:r>
          </w:p>
        </w:tc>
        <w:tc>
          <w:tcPr>
            <w:tcW w:w="2693" w:type="dxa"/>
            <w:tcBorders>
              <w:tl2br w:val="nil"/>
              <w:tr2bl w:val="nil"/>
            </w:tcBorders>
            <w:shd w:val="clear" w:color="auto" w:fill="FFFFFF"/>
            <w:vAlign w:val="center"/>
          </w:tcPr>
          <w:p w14:paraId="72AC69B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预算编制科学性</w:t>
            </w:r>
          </w:p>
        </w:tc>
        <w:tc>
          <w:tcPr>
            <w:tcW w:w="898" w:type="dxa"/>
            <w:tcBorders>
              <w:tl2br w:val="nil"/>
              <w:tr2bl w:val="nil"/>
            </w:tcBorders>
            <w:shd w:val="clear" w:color="auto" w:fill="FFFFFF"/>
            <w:vAlign w:val="center"/>
          </w:tcPr>
          <w:p w14:paraId="4214B035">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auto" w:fill="FFFFFF"/>
            <w:vAlign w:val="center"/>
          </w:tcPr>
          <w:p w14:paraId="4CA765EB">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auto" w:fill="FFFFFF"/>
            <w:vAlign w:val="center"/>
          </w:tcPr>
          <w:p w14:paraId="78E3395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63970F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AA02631">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14:paraId="301554DF">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14:paraId="22DEADC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资金分配合理性</w:t>
            </w:r>
          </w:p>
        </w:tc>
        <w:tc>
          <w:tcPr>
            <w:tcW w:w="898" w:type="dxa"/>
            <w:tcBorders>
              <w:tl2br w:val="nil"/>
              <w:tr2bl w:val="nil"/>
            </w:tcBorders>
            <w:shd w:val="clear" w:color="auto" w:fill="FFFFFF"/>
            <w:vAlign w:val="center"/>
          </w:tcPr>
          <w:p w14:paraId="76D29833">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auto" w:fill="FFFFFF"/>
            <w:vAlign w:val="center"/>
          </w:tcPr>
          <w:p w14:paraId="28869D1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auto" w:fill="FFFFFF"/>
            <w:vAlign w:val="center"/>
          </w:tcPr>
          <w:p w14:paraId="1A00729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283672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204EE642">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过程</w:t>
            </w:r>
          </w:p>
        </w:tc>
        <w:tc>
          <w:tcPr>
            <w:tcW w:w="1984" w:type="dxa"/>
            <w:vMerge w:val="restart"/>
            <w:tcBorders>
              <w:tl2br w:val="nil"/>
              <w:tr2bl w:val="nil"/>
            </w:tcBorders>
            <w:shd w:val="clear" w:color="auto" w:fill="FFFFFF"/>
            <w:vAlign w:val="center"/>
          </w:tcPr>
          <w:p w14:paraId="6BC09871">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资金管理</w:t>
            </w:r>
          </w:p>
        </w:tc>
        <w:tc>
          <w:tcPr>
            <w:tcW w:w="2693" w:type="dxa"/>
            <w:tcBorders>
              <w:tl2br w:val="nil"/>
              <w:tr2bl w:val="nil"/>
            </w:tcBorders>
            <w:shd w:val="clear" w:color="auto" w:fill="FFFFFF"/>
            <w:vAlign w:val="center"/>
          </w:tcPr>
          <w:p w14:paraId="55E5ABE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资金到位率</w:t>
            </w:r>
          </w:p>
        </w:tc>
        <w:tc>
          <w:tcPr>
            <w:tcW w:w="898" w:type="dxa"/>
            <w:tcBorders>
              <w:tl2br w:val="nil"/>
              <w:tr2bl w:val="nil"/>
            </w:tcBorders>
            <w:shd w:val="clear" w:color="000000" w:fill="FFFFFF"/>
            <w:vAlign w:val="center"/>
          </w:tcPr>
          <w:p w14:paraId="3783CBE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14:paraId="5E0EDDE5">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4.47</w:t>
            </w:r>
          </w:p>
        </w:tc>
        <w:tc>
          <w:tcPr>
            <w:tcW w:w="1039" w:type="dxa"/>
            <w:tcBorders>
              <w:tl2br w:val="nil"/>
              <w:tr2bl w:val="nil"/>
            </w:tcBorders>
            <w:shd w:val="clear" w:color="000000" w:fill="FFFFFF"/>
            <w:vAlign w:val="center"/>
          </w:tcPr>
          <w:p w14:paraId="3605463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lang w:val="en-US" w:eastAsia="zh-CN"/>
              </w:rPr>
              <w:t>89.38</w:t>
            </w:r>
            <w:r>
              <w:rPr>
                <w:rFonts w:hint="eastAsia" w:ascii="仿宋_GB2312" w:hAnsi="宋体" w:cs="宋体"/>
                <w:kern w:val="0"/>
                <w:sz w:val="24"/>
                <w:szCs w:val="24"/>
                <w:highlight w:val="none"/>
              </w:rPr>
              <w:t>%</w:t>
            </w:r>
          </w:p>
        </w:tc>
      </w:tr>
      <w:tr w14:paraId="60F1B1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E677DD1">
            <w:pPr>
              <w:ind w:firstLine="48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14:paraId="0D97157A">
            <w:pPr>
              <w:ind w:firstLine="48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14:paraId="0D6D0846">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预算执行率</w:t>
            </w:r>
          </w:p>
        </w:tc>
        <w:tc>
          <w:tcPr>
            <w:tcW w:w="898" w:type="dxa"/>
            <w:tcBorders>
              <w:tl2br w:val="nil"/>
              <w:tr2bl w:val="nil"/>
            </w:tcBorders>
            <w:shd w:val="clear" w:color="auto" w:fill="FFFFFF"/>
            <w:vAlign w:val="center"/>
          </w:tcPr>
          <w:p w14:paraId="4CBC8C65">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auto" w:fill="FFFFFF"/>
            <w:vAlign w:val="center"/>
          </w:tcPr>
          <w:p w14:paraId="1B5238E0">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auto" w:fill="FFFFFF"/>
            <w:vAlign w:val="center"/>
          </w:tcPr>
          <w:p w14:paraId="37B597D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34D154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D933F5F">
            <w:pPr>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14:paraId="603C173C">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14:paraId="2EFCBA9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资金使用合规性</w:t>
            </w:r>
          </w:p>
        </w:tc>
        <w:tc>
          <w:tcPr>
            <w:tcW w:w="898" w:type="dxa"/>
            <w:tcBorders>
              <w:tl2br w:val="nil"/>
              <w:tr2bl w:val="nil"/>
            </w:tcBorders>
            <w:shd w:val="clear" w:color="000000" w:fill="FFFFFF"/>
            <w:vAlign w:val="center"/>
          </w:tcPr>
          <w:p w14:paraId="567AC88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14:paraId="4C15208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14:paraId="425B5BAC">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3DC76D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A993A8D">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14:paraId="2FDAEA6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组织实施</w:t>
            </w:r>
          </w:p>
        </w:tc>
        <w:tc>
          <w:tcPr>
            <w:tcW w:w="2693" w:type="dxa"/>
            <w:tcBorders>
              <w:tl2br w:val="nil"/>
              <w:tr2bl w:val="nil"/>
            </w:tcBorders>
            <w:shd w:val="clear" w:color="auto" w:fill="FFFFFF"/>
            <w:vAlign w:val="center"/>
          </w:tcPr>
          <w:p w14:paraId="0933635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管理制度健全性</w:t>
            </w:r>
          </w:p>
        </w:tc>
        <w:tc>
          <w:tcPr>
            <w:tcW w:w="898" w:type="dxa"/>
            <w:tcBorders>
              <w:tl2br w:val="nil"/>
              <w:tr2bl w:val="nil"/>
            </w:tcBorders>
            <w:shd w:val="clear" w:color="000000" w:fill="FFFFFF"/>
            <w:vAlign w:val="center"/>
          </w:tcPr>
          <w:p w14:paraId="3CE4A75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14:paraId="13CFB0E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14:paraId="136E1016">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382073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322FE37">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14:paraId="5403212E">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14:paraId="07B7444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制度执行有效性</w:t>
            </w:r>
          </w:p>
        </w:tc>
        <w:tc>
          <w:tcPr>
            <w:tcW w:w="898" w:type="dxa"/>
            <w:tcBorders>
              <w:tl2br w:val="nil"/>
              <w:tr2bl w:val="nil"/>
            </w:tcBorders>
            <w:shd w:val="clear" w:color="000000" w:fill="FFFFFF"/>
            <w:vAlign w:val="center"/>
          </w:tcPr>
          <w:p w14:paraId="443EAE23">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000000" w:fill="FFFFFF"/>
            <w:vAlign w:val="center"/>
          </w:tcPr>
          <w:p w14:paraId="28FF57F5">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000000" w:fill="FFFFFF"/>
            <w:vAlign w:val="center"/>
          </w:tcPr>
          <w:p w14:paraId="068933C8">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02FF1A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56E1075C">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w:t>
            </w:r>
          </w:p>
        </w:tc>
        <w:tc>
          <w:tcPr>
            <w:tcW w:w="1984" w:type="dxa"/>
            <w:vMerge w:val="restart"/>
            <w:tcBorders>
              <w:tl2br w:val="nil"/>
              <w:tr2bl w:val="nil"/>
            </w:tcBorders>
            <w:shd w:val="clear" w:color="auto" w:fill="FFFFFF"/>
            <w:vAlign w:val="center"/>
          </w:tcPr>
          <w:p w14:paraId="6A6F297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vAlign w:val="center"/>
          </w:tcPr>
          <w:p w14:paraId="2B5A8A23">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采集人次</w:t>
            </w:r>
          </w:p>
        </w:tc>
        <w:tc>
          <w:tcPr>
            <w:tcW w:w="898" w:type="dxa"/>
            <w:tcBorders>
              <w:tl2br w:val="nil"/>
              <w:tr2bl w:val="nil"/>
            </w:tcBorders>
            <w:shd w:val="clear" w:color="000000" w:fill="FFFFFF"/>
            <w:vAlign w:val="center"/>
          </w:tcPr>
          <w:p w14:paraId="3D549DD8">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28AFC57E">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6945C995">
            <w:pPr>
              <w:widowControl/>
              <w:ind w:firstLine="0" w:firstLineChars="0"/>
              <w:jc w:val="center"/>
              <w:rPr>
                <w:rFonts w:hint="default" w:ascii="仿宋_GB2312" w:hAnsi="宋体"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14:paraId="689F01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0A72D0F8">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14:paraId="5BB92B68">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14:paraId="04BF0396">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采血吨数</w:t>
            </w:r>
          </w:p>
        </w:tc>
        <w:tc>
          <w:tcPr>
            <w:tcW w:w="898" w:type="dxa"/>
            <w:tcBorders>
              <w:tl2br w:val="nil"/>
              <w:tr2bl w:val="nil"/>
            </w:tcBorders>
            <w:shd w:val="clear" w:color="000000" w:fill="FFFFFF"/>
            <w:vAlign w:val="center"/>
          </w:tcPr>
          <w:p w14:paraId="5F0A4C29">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4BF563E7">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10634CB3">
            <w:pPr>
              <w:widowControl/>
              <w:ind w:firstLine="0" w:firstLineChars="0"/>
              <w:jc w:val="center"/>
              <w:rPr>
                <w:rFonts w:hint="default" w:ascii="仿宋_GB2312" w:hAnsi="宋体"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14:paraId="6AC0A6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1" w:hRule="atLeast"/>
          <w:jc w:val="center"/>
        </w:trPr>
        <w:tc>
          <w:tcPr>
            <w:tcW w:w="1550" w:type="dxa"/>
            <w:vMerge w:val="continue"/>
            <w:tcBorders>
              <w:tl2br w:val="nil"/>
              <w:tr2bl w:val="nil"/>
            </w:tcBorders>
            <w:shd w:val="clear" w:color="auto" w:fill="FFFFFF"/>
            <w:vAlign w:val="center"/>
          </w:tcPr>
          <w:p w14:paraId="2BA0B7FF">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14:paraId="7AD955B4">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14:paraId="21449FA8">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保安人数</w:t>
            </w:r>
          </w:p>
        </w:tc>
        <w:tc>
          <w:tcPr>
            <w:tcW w:w="898" w:type="dxa"/>
            <w:tcBorders>
              <w:tl2br w:val="nil"/>
              <w:tr2bl w:val="nil"/>
            </w:tcBorders>
            <w:shd w:val="clear" w:color="000000" w:fill="FFFFFF"/>
            <w:vAlign w:val="center"/>
          </w:tcPr>
          <w:p w14:paraId="50EEB173">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7DF946CE">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1.38</w:t>
            </w:r>
          </w:p>
        </w:tc>
        <w:tc>
          <w:tcPr>
            <w:tcW w:w="1039" w:type="dxa"/>
            <w:tcBorders>
              <w:tl2br w:val="nil"/>
              <w:tr2bl w:val="nil"/>
            </w:tcBorders>
            <w:shd w:val="clear" w:color="000000" w:fill="FFFFFF"/>
            <w:vAlign w:val="center"/>
          </w:tcPr>
          <w:p w14:paraId="47B150A4">
            <w:pPr>
              <w:widowControl/>
              <w:ind w:firstLine="0" w:firstLineChars="0"/>
              <w:jc w:val="center"/>
              <w:rPr>
                <w:rFonts w:hint="default" w:ascii="仿宋_GB2312" w:hAnsi="宋体" w:cs="宋体"/>
                <w:kern w:val="0"/>
                <w:sz w:val="24"/>
                <w:szCs w:val="24"/>
                <w:highlight w:val="none"/>
                <w:lang w:val="en-US" w:eastAsia="zh-CN"/>
              </w:rPr>
            </w:pPr>
            <w:r>
              <w:rPr>
                <w:rFonts w:hint="eastAsia" w:ascii="仿宋_GB2312" w:hAnsi="宋体" w:cs="宋体"/>
                <w:kern w:val="0"/>
                <w:sz w:val="24"/>
                <w:szCs w:val="24"/>
                <w:highlight w:val="none"/>
                <w:lang w:val="en-US" w:eastAsia="zh-CN"/>
              </w:rPr>
              <w:t>69%</w:t>
            </w:r>
          </w:p>
        </w:tc>
      </w:tr>
      <w:tr w14:paraId="25B5EE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1" w:hRule="atLeast"/>
          <w:jc w:val="center"/>
        </w:trPr>
        <w:tc>
          <w:tcPr>
            <w:tcW w:w="1550" w:type="dxa"/>
            <w:vMerge w:val="continue"/>
            <w:tcBorders>
              <w:tl2br w:val="nil"/>
              <w:tr2bl w:val="nil"/>
            </w:tcBorders>
            <w:shd w:val="clear" w:color="auto" w:fill="FFFFFF"/>
            <w:vAlign w:val="center"/>
          </w:tcPr>
          <w:p w14:paraId="1AA051CD">
            <w:pPr>
              <w:widowControl/>
              <w:ind w:firstLine="0" w:firstLineChars="0"/>
              <w:jc w:val="center"/>
              <w:rPr>
                <w:highlight w:val="none"/>
              </w:rPr>
            </w:pPr>
          </w:p>
        </w:tc>
        <w:tc>
          <w:tcPr>
            <w:tcW w:w="1984" w:type="dxa"/>
            <w:vMerge w:val="continue"/>
            <w:tcBorders>
              <w:tl2br w:val="nil"/>
              <w:tr2bl w:val="nil"/>
            </w:tcBorders>
            <w:shd w:val="clear" w:color="auto" w:fill="FFFFFF"/>
            <w:vAlign w:val="center"/>
          </w:tcPr>
          <w:p w14:paraId="65527F34">
            <w:pPr>
              <w:widowControl/>
              <w:ind w:firstLine="0" w:firstLineChars="0"/>
              <w:jc w:val="center"/>
              <w:rPr>
                <w:highlight w:val="none"/>
              </w:rPr>
            </w:pPr>
          </w:p>
        </w:tc>
        <w:tc>
          <w:tcPr>
            <w:tcW w:w="2693" w:type="dxa"/>
            <w:tcBorders>
              <w:tl2br w:val="nil"/>
              <w:tr2bl w:val="nil"/>
            </w:tcBorders>
            <w:shd w:val="clear" w:color="auto" w:fill="FFFFFF"/>
            <w:vAlign w:val="center"/>
          </w:tcPr>
          <w:p w14:paraId="14CBCDD4">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血液包装盒</w:t>
            </w:r>
          </w:p>
        </w:tc>
        <w:tc>
          <w:tcPr>
            <w:tcW w:w="898" w:type="dxa"/>
            <w:tcBorders>
              <w:tl2br w:val="nil"/>
              <w:tr2bl w:val="nil"/>
            </w:tcBorders>
            <w:shd w:val="clear" w:color="000000" w:fill="FFFFFF"/>
            <w:vAlign w:val="center"/>
          </w:tcPr>
          <w:p w14:paraId="233BCA34">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15CA7CC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1B3A780B">
            <w:pPr>
              <w:widowControl/>
              <w:ind w:firstLine="0" w:firstLineChars="0"/>
              <w:jc w:val="center"/>
              <w:rPr>
                <w:rFonts w:hint="default" w:ascii="仿宋_GB2312" w:hAnsi="宋体"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14:paraId="6BA40FD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F9BE921">
            <w:pPr>
              <w:widowControl/>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14:paraId="6338B467">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产出质量</w:t>
            </w:r>
          </w:p>
        </w:tc>
        <w:tc>
          <w:tcPr>
            <w:tcW w:w="2693" w:type="dxa"/>
            <w:tcBorders>
              <w:tl2br w:val="nil"/>
              <w:tr2bl w:val="nil"/>
            </w:tcBorders>
            <w:shd w:val="clear" w:color="auto" w:fill="FFFFFF"/>
            <w:vAlign w:val="center"/>
          </w:tcPr>
          <w:p w14:paraId="2FB9F05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一次性验收合格率</w:t>
            </w:r>
          </w:p>
        </w:tc>
        <w:tc>
          <w:tcPr>
            <w:tcW w:w="898" w:type="dxa"/>
            <w:tcBorders>
              <w:tl2br w:val="nil"/>
              <w:tr2bl w:val="nil"/>
            </w:tcBorders>
            <w:shd w:val="clear" w:color="000000" w:fill="FFFFFF"/>
            <w:vAlign w:val="center"/>
          </w:tcPr>
          <w:p w14:paraId="77C25913">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000000" w:fill="FFFFFF"/>
            <w:vAlign w:val="center"/>
          </w:tcPr>
          <w:p w14:paraId="0A3526AC">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1039" w:type="dxa"/>
            <w:tcBorders>
              <w:tl2br w:val="nil"/>
              <w:tr2bl w:val="nil"/>
            </w:tcBorders>
            <w:shd w:val="clear" w:color="000000" w:fill="FFFFFF"/>
            <w:vAlign w:val="center"/>
          </w:tcPr>
          <w:p w14:paraId="37D14AC3">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4AFB31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3E1F918F">
            <w:pPr>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14:paraId="0537B2F4">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14:paraId="741CBD77">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预算下达后完成招标采购时间</w:t>
            </w:r>
          </w:p>
        </w:tc>
        <w:tc>
          <w:tcPr>
            <w:tcW w:w="898" w:type="dxa"/>
            <w:tcBorders>
              <w:tl2br w:val="nil"/>
              <w:tr2bl w:val="nil"/>
            </w:tcBorders>
            <w:shd w:val="clear" w:color="000000" w:fill="FFFFFF"/>
            <w:vAlign w:val="center"/>
          </w:tcPr>
          <w:p w14:paraId="5D71D6F1">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000000" w:fill="FFFFFF"/>
            <w:vAlign w:val="center"/>
          </w:tcPr>
          <w:p w14:paraId="6D7A1C5C">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1039" w:type="dxa"/>
            <w:tcBorders>
              <w:tl2br w:val="nil"/>
              <w:tr2bl w:val="nil"/>
            </w:tcBorders>
            <w:shd w:val="clear" w:color="000000" w:fill="FFFFFF"/>
            <w:vAlign w:val="center"/>
          </w:tcPr>
          <w:p w14:paraId="34EFDF1D">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07F442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6A9496FF">
            <w:pPr>
              <w:widowControl/>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14:paraId="19BC323E">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产出成本</w:t>
            </w:r>
          </w:p>
        </w:tc>
        <w:tc>
          <w:tcPr>
            <w:tcW w:w="2693" w:type="dxa"/>
            <w:tcBorders>
              <w:tl2br w:val="nil"/>
              <w:tr2bl w:val="nil"/>
            </w:tcBorders>
            <w:shd w:val="clear" w:color="auto" w:fill="FFFFFF"/>
            <w:vAlign w:val="center"/>
          </w:tcPr>
          <w:p w14:paraId="2131CF7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支付试剂耗材</w:t>
            </w:r>
          </w:p>
        </w:tc>
        <w:tc>
          <w:tcPr>
            <w:tcW w:w="898" w:type="dxa"/>
            <w:tcBorders>
              <w:tl2br w:val="nil"/>
              <w:tr2bl w:val="nil"/>
            </w:tcBorders>
            <w:shd w:val="clear" w:color="000000" w:fill="FFFFFF"/>
            <w:vAlign w:val="center"/>
          </w:tcPr>
          <w:p w14:paraId="7F695D6F">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5DEDB4D6">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5CB49159">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183A3B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4A0FA3B3">
            <w:pPr>
              <w:widowControl/>
              <w:ind w:firstLine="0" w:firstLineChars="0"/>
              <w:jc w:val="center"/>
              <w:rPr>
                <w:highlight w:val="none"/>
              </w:rPr>
            </w:pPr>
          </w:p>
        </w:tc>
        <w:tc>
          <w:tcPr>
            <w:tcW w:w="1984" w:type="dxa"/>
            <w:vMerge w:val="continue"/>
            <w:tcBorders>
              <w:tl2br w:val="nil"/>
              <w:tr2bl w:val="nil"/>
            </w:tcBorders>
            <w:shd w:val="clear" w:color="auto" w:fill="FFFFFF"/>
            <w:vAlign w:val="center"/>
          </w:tcPr>
          <w:p w14:paraId="1FA6B806">
            <w:pPr>
              <w:widowControl/>
              <w:ind w:firstLine="0" w:firstLineChars="0"/>
              <w:jc w:val="center"/>
              <w:rPr>
                <w:highlight w:val="none"/>
              </w:rPr>
            </w:pPr>
          </w:p>
        </w:tc>
        <w:tc>
          <w:tcPr>
            <w:tcW w:w="2693" w:type="dxa"/>
            <w:tcBorders>
              <w:tl2br w:val="nil"/>
              <w:tr2bl w:val="nil"/>
            </w:tcBorders>
            <w:shd w:val="clear" w:color="auto" w:fill="FFFFFF"/>
            <w:vAlign w:val="center"/>
          </w:tcPr>
          <w:p w14:paraId="6F528FE3">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支付印刷费</w:t>
            </w:r>
          </w:p>
        </w:tc>
        <w:tc>
          <w:tcPr>
            <w:tcW w:w="898" w:type="dxa"/>
            <w:tcBorders>
              <w:tl2br w:val="nil"/>
              <w:tr2bl w:val="nil"/>
            </w:tcBorders>
            <w:shd w:val="clear" w:color="000000" w:fill="FFFFFF"/>
            <w:vAlign w:val="center"/>
          </w:tcPr>
          <w:p w14:paraId="45483E44">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3DF8749C">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4764FDF2">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2B94AA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3FE2B0C4">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14:paraId="45145A7C">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14:paraId="6B12C3BD">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支付物业管理费</w:t>
            </w:r>
          </w:p>
        </w:tc>
        <w:tc>
          <w:tcPr>
            <w:tcW w:w="898" w:type="dxa"/>
            <w:tcBorders>
              <w:tl2br w:val="nil"/>
              <w:tr2bl w:val="nil"/>
            </w:tcBorders>
            <w:shd w:val="clear" w:color="000000" w:fill="FFFFFF"/>
            <w:vAlign w:val="center"/>
          </w:tcPr>
          <w:p w14:paraId="6D4FFC33">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65318C8E">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5DD548B6">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2FDB06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43EEB836">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14:paraId="11F51B23">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14:paraId="7C97AFC3">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支付献血者食品</w:t>
            </w:r>
          </w:p>
        </w:tc>
        <w:tc>
          <w:tcPr>
            <w:tcW w:w="898" w:type="dxa"/>
            <w:tcBorders>
              <w:tl2br w:val="nil"/>
              <w:tr2bl w:val="nil"/>
            </w:tcBorders>
            <w:shd w:val="clear" w:color="000000" w:fill="FFFFFF"/>
            <w:vAlign w:val="center"/>
          </w:tcPr>
          <w:p w14:paraId="664105BF">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0EA9A70F">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7134B42D">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79ECDC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667F06DD">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14:paraId="19489AF9">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14:paraId="790E86E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支付9.0信息系统维护等</w:t>
            </w:r>
          </w:p>
        </w:tc>
        <w:tc>
          <w:tcPr>
            <w:tcW w:w="898" w:type="dxa"/>
            <w:tcBorders>
              <w:tl2br w:val="nil"/>
              <w:tr2bl w:val="nil"/>
            </w:tcBorders>
            <w:shd w:val="clear" w:color="000000" w:fill="FFFFFF"/>
            <w:vAlign w:val="center"/>
          </w:tcPr>
          <w:p w14:paraId="0D840EAD">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2BF8B8A3">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4BC06A38">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15163C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 w:hRule="atLeast"/>
          <w:jc w:val="center"/>
        </w:trPr>
        <w:tc>
          <w:tcPr>
            <w:tcW w:w="1550" w:type="dxa"/>
            <w:vMerge w:val="continue"/>
            <w:tcBorders>
              <w:tl2br w:val="nil"/>
              <w:tr2bl w:val="nil"/>
            </w:tcBorders>
            <w:shd w:val="clear" w:color="auto" w:fill="FFFFFF"/>
            <w:vAlign w:val="center"/>
          </w:tcPr>
          <w:p w14:paraId="66318439">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14:paraId="7BA9E597">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14:paraId="4B4294B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支付专用设备、办公设备</w:t>
            </w:r>
          </w:p>
        </w:tc>
        <w:tc>
          <w:tcPr>
            <w:tcW w:w="898" w:type="dxa"/>
            <w:tcBorders>
              <w:tl2br w:val="nil"/>
              <w:tr2bl w:val="nil"/>
            </w:tcBorders>
            <w:shd w:val="clear" w:color="000000" w:fill="FFFFFF"/>
            <w:vAlign w:val="center"/>
          </w:tcPr>
          <w:p w14:paraId="40543EA9">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898" w:type="dxa"/>
            <w:tcBorders>
              <w:tl2br w:val="nil"/>
              <w:tr2bl w:val="nil"/>
            </w:tcBorders>
            <w:shd w:val="clear" w:color="000000" w:fill="FFFFFF"/>
            <w:vAlign w:val="center"/>
          </w:tcPr>
          <w:p w14:paraId="03A108BE">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2</w:t>
            </w:r>
          </w:p>
        </w:tc>
        <w:tc>
          <w:tcPr>
            <w:tcW w:w="1039" w:type="dxa"/>
            <w:tcBorders>
              <w:tl2br w:val="nil"/>
              <w:tr2bl w:val="nil"/>
            </w:tcBorders>
            <w:shd w:val="clear" w:color="000000" w:fill="FFFFFF"/>
            <w:vAlign w:val="center"/>
          </w:tcPr>
          <w:p w14:paraId="0BB5E948">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736F71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3517346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效益</w:t>
            </w:r>
          </w:p>
        </w:tc>
        <w:tc>
          <w:tcPr>
            <w:tcW w:w="1984" w:type="dxa"/>
            <w:tcBorders>
              <w:tl2br w:val="nil"/>
              <w:tr2bl w:val="nil"/>
            </w:tcBorders>
            <w:shd w:val="clear" w:color="auto" w:fill="FFFFFF"/>
            <w:vAlign w:val="center"/>
          </w:tcPr>
          <w:p w14:paraId="31DC9E1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社会效益</w:t>
            </w:r>
          </w:p>
        </w:tc>
        <w:tc>
          <w:tcPr>
            <w:tcW w:w="2693" w:type="dxa"/>
            <w:tcBorders>
              <w:tl2br w:val="nil"/>
              <w:tr2bl w:val="nil"/>
            </w:tcBorders>
            <w:shd w:val="clear" w:color="auto" w:fill="FFFFFF"/>
            <w:vAlign w:val="center"/>
          </w:tcPr>
          <w:p w14:paraId="676DB47C">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保障采供血工作顺利开展</w:t>
            </w:r>
          </w:p>
        </w:tc>
        <w:tc>
          <w:tcPr>
            <w:tcW w:w="898" w:type="dxa"/>
            <w:tcBorders>
              <w:tl2br w:val="nil"/>
              <w:tr2bl w:val="nil"/>
            </w:tcBorders>
            <w:shd w:val="clear" w:color="auto" w:fill="FFFFFF"/>
            <w:vAlign w:val="center"/>
          </w:tcPr>
          <w:p w14:paraId="387E36D6">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auto" w:fill="FFFFFF"/>
            <w:vAlign w:val="center"/>
          </w:tcPr>
          <w:p w14:paraId="186269A8">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1039" w:type="dxa"/>
            <w:tcBorders>
              <w:tl2br w:val="nil"/>
              <w:tr2bl w:val="nil"/>
            </w:tcBorders>
            <w:shd w:val="clear" w:color="auto" w:fill="FFFFFF"/>
            <w:vAlign w:val="center"/>
          </w:tcPr>
          <w:p w14:paraId="7E1B74E5">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r w14:paraId="3A97B0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444D9110">
            <w:pPr>
              <w:widowControl/>
              <w:ind w:firstLine="0" w:firstLineChars="0"/>
              <w:jc w:val="center"/>
              <w:rPr>
                <w:rFonts w:ascii="仿宋_GB2312" w:hAnsi="宋体" w:cs="宋体"/>
                <w:kern w:val="0"/>
                <w:sz w:val="24"/>
                <w:szCs w:val="24"/>
                <w:highlight w:val="none"/>
              </w:rPr>
            </w:pPr>
            <w:r>
              <w:rPr>
                <w:rFonts w:ascii="宋体" w:hAnsi="宋体" w:eastAsia="宋体" w:cs="宋体"/>
                <w:color w:val="000000"/>
                <w:kern w:val="0"/>
                <w:sz w:val="22"/>
                <w:highlight w:val="none"/>
              </w:rPr>
              <w:t>满意度指标完成情况分析</w:t>
            </w:r>
          </w:p>
        </w:tc>
        <w:tc>
          <w:tcPr>
            <w:tcW w:w="1984" w:type="dxa"/>
            <w:tcBorders>
              <w:tl2br w:val="nil"/>
              <w:tr2bl w:val="nil"/>
            </w:tcBorders>
            <w:shd w:val="clear" w:color="auto" w:fill="FFFFFF"/>
            <w:vAlign w:val="center"/>
          </w:tcPr>
          <w:p w14:paraId="10C3E47E">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满意度指标</w:t>
            </w:r>
          </w:p>
        </w:tc>
        <w:tc>
          <w:tcPr>
            <w:tcW w:w="2693" w:type="dxa"/>
            <w:tcBorders>
              <w:tl2br w:val="nil"/>
              <w:tr2bl w:val="nil"/>
            </w:tcBorders>
            <w:shd w:val="clear" w:color="auto" w:fill="FFFFFF"/>
            <w:vAlign w:val="center"/>
          </w:tcPr>
          <w:p w14:paraId="2C2B5C06">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献血者满意度测评率</w:t>
            </w:r>
          </w:p>
        </w:tc>
        <w:tc>
          <w:tcPr>
            <w:tcW w:w="898" w:type="dxa"/>
            <w:tcBorders>
              <w:tl2br w:val="nil"/>
              <w:tr2bl w:val="nil"/>
            </w:tcBorders>
            <w:shd w:val="clear" w:color="000000" w:fill="FFFFFF"/>
            <w:vAlign w:val="center"/>
          </w:tcPr>
          <w:p w14:paraId="1D6B99DA">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000000" w:fill="FFFFFF"/>
            <w:vAlign w:val="center"/>
          </w:tcPr>
          <w:p w14:paraId="5A680377">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1039" w:type="dxa"/>
            <w:tcBorders>
              <w:tl2br w:val="nil"/>
              <w:tr2bl w:val="nil"/>
            </w:tcBorders>
            <w:shd w:val="clear" w:color="000000" w:fill="FFFFFF"/>
            <w:vAlign w:val="center"/>
          </w:tcPr>
          <w:p w14:paraId="5AE212AE">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100%</w:t>
            </w:r>
          </w:p>
        </w:tc>
      </w:tr>
    </w:tbl>
    <w:p w14:paraId="21146CB9">
      <w:pPr>
        <w:pStyle w:val="3"/>
        <w:ind w:firstLine="643"/>
        <w:rPr>
          <w:rFonts w:ascii="仿宋" w:hAnsi="仿宋" w:eastAsia="仿宋"/>
          <w:highlight w:val="none"/>
          <w:lang w:bidi="en-US"/>
        </w:rPr>
      </w:pPr>
      <w:bookmarkStart w:id="31" w:name="_Toc67911610"/>
      <w:bookmarkStart w:id="32" w:name="_Toc2133"/>
      <w:r>
        <w:rPr>
          <w:rFonts w:hint="eastAsia" w:ascii="仿宋" w:hAnsi="仿宋" w:eastAsia="仿宋"/>
          <w:highlight w:val="none"/>
          <w:lang w:bidi="en-US"/>
        </w:rPr>
        <w:t>（二）主要绩效</w:t>
      </w:r>
      <w:bookmarkEnd w:id="31"/>
      <w:bookmarkEnd w:id="32"/>
    </w:p>
    <w:p w14:paraId="0FC22C6E">
      <w:pPr>
        <w:spacing w:line="360" w:lineRule="auto"/>
        <w:ind w:firstLine="560"/>
        <w:rPr>
          <w:rFonts w:hint="eastAsia" w:ascii="仿宋_GB2312"/>
          <w:bCs/>
          <w:szCs w:val="28"/>
          <w:highlight w:val="none"/>
        </w:rPr>
      </w:pPr>
      <w:r>
        <w:rPr>
          <w:rFonts w:hint="eastAsia" w:ascii="仿宋_GB2312"/>
          <w:bCs/>
          <w:szCs w:val="28"/>
          <w:highlight w:val="none"/>
        </w:rPr>
        <w:t>该项目资金区财政及时拨付，</w:t>
      </w:r>
      <w:r>
        <w:rPr>
          <w:rFonts w:hint="eastAsia" w:ascii="仿宋_GB2312" w:hAnsi="仿宋"/>
          <w:szCs w:val="28"/>
          <w:highlight w:val="none"/>
        </w:rPr>
        <w:t>2024年项目整体完成情况为优秀，</w:t>
      </w:r>
      <w:r>
        <w:rPr>
          <w:rFonts w:hint="eastAsia" w:ascii="仿宋_GB2312" w:hAnsi="仿宋"/>
          <w:szCs w:val="28"/>
          <w:highlight w:val="none"/>
          <w:lang w:val="en-US" w:eastAsia="zh-CN"/>
        </w:rPr>
        <w:t>2024年</w:t>
      </w:r>
      <w:r>
        <w:rPr>
          <w:rFonts w:hint="eastAsia" w:ascii="仿宋_GB2312"/>
          <w:bCs/>
          <w:szCs w:val="28"/>
          <w:highlight w:val="none"/>
        </w:rPr>
        <w:t>全年完成血液采集人次7.99万人次，采集血液24.85吨</w:t>
      </w:r>
      <w:r>
        <w:rPr>
          <w:rFonts w:hint="eastAsia" w:ascii="仿宋_GB2312"/>
          <w:bCs/>
          <w:szCs w:val="28"/>
          <w:highlight w:val="none"/>
          <w:lang w:eastAsia="zh-CN"/>
        </w:rPr>
        <w:t>，</w:t>
      </w:r>
      <w:r>
        <w:rPr>
          <w:rFonts w:hint="eastAsia" w:ascii="仿宋_GB2312"/>
          <w:bCs/>
          <w:szCs w:val="28"/>
          <w:highlight w:val="none"/>
          <w:lang w:val="en-US" w:eastAsia="zh-CN"/>
        </w:rPr>
        <w:t>保障了全区各医疗机构的临床用血供应</w:t>
      </w:r>
      <w:r>
        <w:rPr>
          <w:rFonts w:hint="eastAsia" w:ascii="仿宋_GB2312"/>
          <w:bCs/>
          <w:szCs w:val="28"/>
          <w:highlight w:val="none"/>
        </w:rPr>
        <w:t>；按照采购要求完成试剂耗材采购、4类血液包装盒的采购、献血者食品的采购，并完成相关款项的支付</w:t>
      </w:r>
      <w:r>
        <w:rPr>
          <w:rFonts w:hint="eastAsia" w:ascii="仿宋_GB2312"/>
          <w:bCs/>
          <w:szCs w:val="28"/>
          <w:highlight w:val="none"/>
          <w:lang w:eastAsia="zh-CN"/>
        </w:rPr>
        <w:t>，</w:t>
      </w:r>
      <w:r>
        <w:rPr>
          <w:rFonts w:hint="eastAsia" w:ascii="仿宋_GB2312"/>
          <w:bCs/>
          <w:szCs w:val="28"/>
          <w:highlight w:val="none"/>
          <w:lang w:val="en-US" w:eastAsia="zh-CN"/>
        </w:rPr>
        <w:t>各类耗材等均验收合格后入库</w:t>
      </w:r>
      <w:r>
        <w:rPr>
          <w:rFonts w:hint="eastAsia" w:ascii="仿宋_GB2312"/>
          <w:bCs/>
          <w:szCs w:val="28"/>
          <w:highlight w:val="none"/>
        </w:rPr>
        <w:t>；对9.0系统信息系统、云灾备系统进行维护；采购专用设备，如辐照个人剂量计、自助登记机、电子血压计、热合机、测温仪、精密空调等</w:t>
      </w:r>
      <w:r>
        <w:rPr>
          <w:rFonts w:hint="eastAsia" w:ascii="仿宋_GB2312"/>
          <w:bCs/>
          <w:szCs w:val="28"/>
          <w:highlight w:val="none"/>
          <w:lang w:eastAsia="zh-CN"/>
        </w:rPr>
        <w:t>，</w:t>
      </w:r>
      <w:r>
        <w:rPr>
          <w:rFonts w:hint="eastAsia" w:ascii="仿宋_GB2312"/>
          <w:bCs/>
          <w:szCs w:val="28"/>
          <w:highlight w:val="none"/>
          <w:lang w:val="en-US" w:eastAsia="zh-CN"/>
        </w:rPr>
        <w:t>保障业务科室各类检验、制备工作的有效运行</w:t>
      </w:r>
      <w:r>
        <w:rPr>
          <w:rFonts w:hint="eastAsia" w:ascii="仿宋_GB2312"/>
          <w:bCs/>
          <w:szCs w:val="28"/>
          <w:highlight w:val="none"/>
        </w:rPr>
        <w:t>；采购办公设备如献血者座椅、A3打印机、LED屏等</w:t>
      </w:r>
      <w:r>
        <w:rPr>
          <w:rFonts w:hint="eastAsia" w:ascii="仿宋_GB2312"/>
          <w:bCs/>
          <w:szCs w:val="28"/>
          <w:highlight w:val="none"/>
          <w:lang w:eastAsia="zh-CN"/>
        </w:rPr>
        <w:t>，</w:t>
      </w:r>
      <w:r>
        <w:rPr>
          <w:rFonts w:hint="eastAsia" w:ascii="仿宋_GB2312"/>
          <w:bCs/>
          <w:szCs w:val="28"/>
          <w:highlight w:val="none"/>
          <w:lang w:val="en-US" w:eastAsia="zh-CN"/>
        </w:rPr>
        <w:t>保障献血工作的有效进行</w:t>
      </w:r>
      <w:r>
        <w:rPr>
          <w:rFonts w:hint="eastAsia" w:ascii="仿宋_GB2312"/>
          <w:bCs/>
          <w:szCs w:val="28"/>
          <w:highlight w:val="none"/>
        </w:rPr>
        <w:t>；进行物业管理招标，第三方公司为我单位提供保安人数9人，有效保障了采供血业务顺利开展，保障了全区的临床用血供应。</w:t>
      </w:r>
    </w:p>
    <w:p w14:paraId="6CBFA163">
      <w:pPr>
        <w:pStyle w:val="2"/>
        <w:ind w:firstLine="0" w:firstLineChars="0"/>
        <w:jc w:val="left"/>
        <w:rPr>
          <w:rFonts w:ascii="仿宋" w:hAnsi="仿宋" w:eastAsia="仿宋"/>
          <w:sz w:val="36"/>
          <w:szCs w:val="36"/>
          <w:highlight w:val="none"/>
          <w:lang w:bidi="en-US"/>
        </w:rPr>
      </w:pPr>
      <w:bookmarkStart w:id="33" w:name="_Toc11861"/>
      <w:bookmarkStart w:id="34" w:name="_Toc67911611"/>
      <w:r>
        <w:rPr>
          <w:rFonts w:hint="eastAsia" w:ascii="仿宋" w:hAnsi="仿宋" w:eastAsia="仿宋"/>
          <w:sz w:val="36"/>
          <w:szCs w:val="36"/>
          <w:highlight w:val="none"/>
          <w:lang w:bidi="en-US"/>
        </w:rPr>
        <w:t>四、绩效评价指标分析</w:t>
      </w:r>
      <w:bookmarkEnd w:id="33"/>
      <w:bookmarkEnd w:id="34"/>
    </w:p>
    <w:p w14:paraId="0BEE5B4A">
      <w:pPr>
        <w:pStyle w:val="3"/>
        <w:ind w:firstLine="643"/>
        <w:rPr>
          <w:rFonts w:ascii="仿宋" w:hAnsi="仿宋" w:eastAsia="仿宋"/>
          <w:highlight w:val="none"/>
          <w:lang w:bidi="en-US"/>
        </w:rPr>
      </w:pPr>
      <w:bookmarkStart w:id="35" w:name="_Toc2184"/>
      <w:bookmarkStart w:id="36" w:name="_Toc67911612"/>
      <w:r>
        <w:rPr>
          <w:rFonts w:hint="eastAsia" w:ascii="仿宋" w:hAnsi="仿宋" w:eastAsia="仿宋"/>
          <w:highlight w:val="none"/>
          <w:lang w:bidi="en-US"/>
        </w:rPr>
        <w:t>（一）项目决策情况</w:t>
      </w:r>
      <w:bookmarkEnd w:id="35"/>
      <w:bookmarkEnd w:id="36"/>
    </w:p>
    <w:p w14:paraId="1832A674">
      <w:pPr>
        <w:spacing w:line="360" w:lineRule="auto"/>
        <w:ind w:firstLine="560"/>
        <w:rPr>
          <w:rFonts w:ascii="仿宋_GB2312"/>
          <w:szCs w:val="28"/>
          <w:highlight w:val="none"/>
        </w:rPr>
      </w:pPr>
      <w:r>
        <w:rPr>
          <w:rFonts w:hint="eastAsia" w:ascii="仿宋_GB2312"/>
          <w:szCs w:val="28"/>
          <w:highlight w:val="none"/>
        </w:rPr>
        <w:t>项目决算指标由3个二级指标和6个三级指标构成，权重为</w:t>
      </w:r>
      <w:r>
        <w:rPr>
          <w:rFonts w:ascii="仿宋_GB2312"/>
          <w:szCs w:val="28"/>
          <w:highlight w:val="none"/>
        </w:rPr>
        <w:t>20</w:t>
      </w:r>
      <w:r>
        <w:rPr>
          <w:rFonts w:hint="eastAsia" w:ascii="仿宋_GB2312"/>
          <w:szCs w:val="28"/>
          <w:highlight w:val="none"/>
        </w:rPr>
        <w:t>分，实际得分20分。</w:t>
      </w:r>
    </w:p>
    <w:p w14:paraId="178C33CE">
      <w:pPr>
        <w:pStyle w:val="4"/>
        <w:ind w:firstLine="643"/>
        <w:rPr>
          <w:highlight w:val="none"/>
        </w:rPr>
      </w:pPr>
      <w:bookmarkStart w:id="37" w:name="_Toc21897"/>
      <w:r>
        <w:rPr>
          <w:highlight w:val="none"/>
        </w:rPr>
        <w:t>1.</w:t>
      </w:r>
      <w:r>
        <w:rPr>
          <w:rFonts w:hint="eastAsia"/>
          <w:highlight w:val="none"/>
        </w:rPr>
        <w:t>项目立项</w:t>
      </w:r>
      <w:bookmarkEnd w:id="37"/>
    </w:p>
    <w:p w14:paraId="3477F846">
      <w:pPr>
        <w:spacing w:line="360" w:lineRule="auto"/>
        <w:ind w:firstLine="562"/>
        <w:rPr>
          <w:rFonts w:ascii="仿宋_GB2312"/>
          <w:szCs w:val="28"/>
          <w:highlight w:val="none"/>
        </w:rPr>
      </w:pPr>
      <w:r>
        <w:rPr>
          <w:rFonts w:hint="eastAsia" w:ascii="仿宋_GB2312"/>
          <w:b/>
          <w:bCs/>
          <w:szCs w:val="28"/>
          <w:highlight w:val="none"/>
        </w:rPr>
        <w:t>立项依据充分性：</w:t>
      </w:r>
      <w:r>
        <w:rPr>
          <w:rFonts w:hint="eastAsia" w:ascii="仿宋_GB2312"/>
          <w:szCs w:val="28"/>
          <w:highlight w:val="none"/>
        </w:rPr>
        <w:t>项目立项根据《中华人民共和国献血法》《血站管理办法》《血站质量管理规范》《血站实验室质量管理规范》《血站实验室质量管理规范》等法律法规；根据《中华人民共和国献血法》《自治区实施&lt;中华人民共和国献血法&gt;若干规定》，让无偿献血者享受到无偿献血的报销政策，让更多的人加入到无偿献血的队伍当中。为保证无偿献血工作的可持续发展，保障广大献血者的利益，调动医疗机构做好用血互助金的收取工作。按照《血站技术操作规程》的要求，制备的血液成分，经质量管理部门定期抽检，符合《全血及成分血质量要求》</w:t>
      </w:r>
      <w:r>
        <w:rPr>
          <w:rFonts w:hint="eastAsia" w:ascii="仿宋_GB2312"/>
          <w:szCs w:val="28"/>
          <w:highlight w:val="none"/>
          <w:lang w:eastAsia="zh-CN"/>
        </w:rPr>
        <w:t>（</w:t>
      </w:r>
      <w:r>
        <w:rPr>
          <w:rFonts w:hint="eastAsia" w:ascii="仿宋_GB2312"/>
          <w:szCs w:val="28"/>
          <w:highlight w:val="none"/>
        </w:rPr>
        <w:t>GB18469-2012</w:t>
      </w:r>
      <w:r>
        <w:rPr>
          <w:rFonts w:hint="eastAsia" w:ascii="仿宋_GB2312"/>
          <w:szCs w:val="28"/>
          <w:highlight w:val="none"/>
          <w:lang w:eastAsia="zh-CN"/>
        </w:rPr>
        <w:t>）</w:t>
      </w:r>
      <w:r>
        <w:rPr>
          <w:rFonts w:hint="eastAsia" w:ascii="仿宋_GB2312"/>
          <w:szCs w:val="28"/>
          <w:highlight w:val="none"/>
        </w:rPr>
        <w:t>的规定，以保证血液质量与血液安全。根据自治区卫健委《关于自治区无偿献血经验交流会会议纪要》要求建立全疆血液联动机制支援乌鲁木齐血液供应等相关法律法规政策要求。同时，项目与我单位职责范围相符，属</w:t>
      </w:r>
      <w:r>
        <w:rPr>
          <w:rFonts w:hint="eastAsia" w:ascii="仿宋_GB2312"/>
          <w:szCs w:val="28"/>
          <w:highlight w:val="none"/>
          <w:lang w:val="en-US" w:eastAsia="zh-CN"/>
        </w:rPr>
        <w:t>于</w:t>
      </w:r>
      <w:r>
        <w:rPr>
          <w:rFonts w:hint="eastAsia" w:ascii="仿宋_GB2312"/>
          <w:szCs w:val="28"/>
          <w:highlight w:val="none"/>
        </w:rPr>
        <w:t>部门履职所需。此外，本项目属于公共财政支持范围，符合地方事权。因此，立项依据充分，得4分。</w:t>
      </w:r>
    </w:p>
    <w:p w14:paraId="55598DEB">
      <w:pPr>
        <w:spacing w:line="360" w:lineRule="auto"/>
        <w:ind w:firstLine="562"/>
        <w:rPr>
          <w:rFonts w:hint="eastAsia" w:ascii="仿宋_GB2312"/>
          <w:szCs w:val="28"/>
          <w:highlight w:val="none"/>
        </w:rPr>
      </w:pPr>
      <w:r>
        <w:rPr>
          <w:rFonts w:hint="eastAsia" w:ascii="仿宋_GB2312"/>
          <w:b/>
          <w:bCs/>
          <w:szCs w:val="28"/>
          <w:highlight w:val="none"/>
        </w:rPr>
        <w:t>立项程序规范性</w:t>
      </w:r>
      <w:r>
        <w:rPr>
          <w:rFonts w:ascii="仿宋_GB2312"/>
          <w:b/>
          <w:bCs/>
          <w:szCs w:val="28"/>
          <w:highlight w:val="none"/>
        </w:rPr>
        <w:t>:</w:t>
      </w:r>
      <w:r>
        <w:rPr>
          <w:rFonts w:hint="eastAsia" w:ascii="Times New Roman" w:hAnsi="Times New Roman"/>
          <w:szCs w:val="28"/>
          <w:highlight w:val="none"/>
        </w:rPr>
        <w:t>本项目立项严格遵循国家相关法律法规（如《中华人民共和国献血法》《</w:t>
      </w:r>
      <w:r>
        <w:rPr>
          <w:rFonts w:hint="eastAsia" w:ascii="Times New Roman" w:hAnsi="Times New Roman"/>
          <w:szCs w:val="28"/>
          <w:highlight w:val="none"/>
          <w:lang w:val="en-US" w:eastAsia="zh-CN"/>
        </w:rPr>
        <w:t>中华人民共和国预算法</w:t>
      </w:r>
      <w:r>
        <w:rPr>
          <w:rFonts w:hint="eastAsia" w:ascii="Times New Roman" w:hAnsi="Times New Roman"/>
          <w:szCs w:val="28"/>
          <w:highlight w:val="none"/>
        </w:rPr>
        <w:t>》等）及卫生健康、财政部门的政策要求，</w:t>
      </w:r>
      <w:r>
        <w:rPr>
          <w:rFonts w:hint="eastAsia" w:ascii="Times New Roman" w:hAnsi="Times New Roman"/>
          <w:szCs w:val="28"/>
          <w:highlight w:val="none"/>
          <w:lang w:val="en-US" w:eastAsia="zh-CN"/>
        </w:rPr>
        <w:t>我单位依照</w:t>
      </w:r>
      <w:r>
        <w:rPr>
          <w:rFonts w:hint="eastAsia" w:ascii="仿宋_GB2312"/>
          <w:szCs w:val="28"/>
          <w:highlight w:val="none"/>
          <w:lang w:val="en-US" w:eastAsia="zh-CN"/>
        </w:rPr>
        <w:t>《血站管理办法》中规定的单位职能:在规定的范围内开展无偿献血者的招募、血液的采集与制备、临床用血供应以及医疗用血的业务指导等工作,申请项目资金</w:t>
      </w:r>
      <w:r>
        <w:rPr>
          <w:rFonts w:hint="eastAsia" w:ascii="Times New Roman" w:hAnsi="Times New Roman"/>
          <w:szCs w:val="28"/>
          <w:highlight w:val="none"/>
          <w:lang w:val="en-US" w:eastAsia="zh-CN"/>
        </w:rPr>
        <w:t>主要用于物业管理、专用设备购置、办公设备购置、专用材料购置等。项目申报期间，我单位提交物业管理项目评审单等材料，经过相关部门审核通过后，审批立项。</w:t>
      </w:r>
      <w:r>
        <w:rPr>
          <w:rFonts w:hint="eastAsia" w:ascii="仿宋_GB2312"/>
          <w:szCs w:val="28"/>
          <w:highlight w:val="none"/>
        </w:rPr>
        <w:t>故立项程序规范，得4分。</w:t>
      </w:r>
    </w:p>
    <w:p w14:paraId="33F1695A">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8</w:t>
      </w:r>
      <w:r>
        <w:rPr>
          <w:rFonts w:hint="eastAsia" w:ascii="仿宋_GB2312" w:hAnsi="仿宋" w:cs="宋体"/>
          <w:b/>
          <w:kern w:val="0"/>
          <w:szCs w:val="28"/>
          <w:highlight w:val="none"/>
        </w:rPr>
        <w:t>分，得分8分。</w:t>
      </w:r>
    </w:p>
    <w:p w14:paraId="2EB9DF7D">
      <w:pPr>
        <w:pStyle w:val="4"/>
        <w:ind w:firstLine="643"/>
        <w:rPr>
          <w:highlight w:val="none"/>
        </w:rPr>
      </w:pPr>
      <w:bookmarkStart w:id="38" w:name="_Toc23337"/>
      <w:r>
        <w:rPr>
          <w:rFonts w:hint="eastAsia"/>
          <w:highlight w:val="none"/>
        </w:rPr>
        <w:t>2</w:t>
      </w:r>
      <w:r>
        <w:rPr>
          <w:highlight w:val="none"/>
        </w:rPr>
        <w:t>.</w:t>
      </w:r>
      <w:r>
        <w:rPr>
          <w:rFonts w:hint="eastAsia"/>
          <w:highlight w:val="none"/>
        </w:rPr>
        <w:t>绩效目标</w:t>
      </w:r>
      <w:bookmarkEnd w:id="38"/>
    </w:p>
    <w:p w14:paraId="1E755DDB">
      <w:pPr>
        <w:spacing w:line="360" w:lineRule="auto"/>
        <w:ind w:firstLine="562"/>
        <w:rPr>
          <w:rFonts w:ascii="仿宋_GB2312"/>
          <w:szCs w:val="28"/>
          <w:highlight w:val="none"/>
        </w:rPr>
      </w:pPr>
      <w:r>
        <w:rPr>
          <w:rFonts w:hint="eastAsia" w:ascii="仿宋_GB2312"/>
          <w:b/>
          <w:bCs/>
          <w:szCs w:val="28"/>
          <w:highlight w:val="none"/>
        </w:rPr>
        <w:t>绩效目标合理性：</w:t>
      </w:r>
      <w:r>
        <w:rPr>
          <w:rFonts w:hint="eastAsia" w:ascii="仿宋_GB2312"/>
          <w:szCs w:val="28"/>
          <w:highlight w:val="none"/>
        </w:rPr>
        <w:t>本项目的绩效目标按照产出、效益和满意度构建绩效评价指标，</w:t>
      </w:r>
      <w:r>
        <w:rPr>
          <w:rFonts w:hint="eastAsia" w:ascii="仿宋_GB2312"/>
          <w:szCs w:val="28"/>
          <w:highlight w:val="none"/>
          <w:lang w:val="en-US" w:eastAsia="zh-CN"/>
        </w:rPr>
        <w:t>设置了如采集人次、采血吨数等</w:t>
      </w:r>
      <w:r>
        <w:rPr>
          <w:rFonts w:hint="eastAsia" w:ascii="仿宋_GB2312"/>
          <w:szCs w:val="28"/>
          <w:highlight w:val="none"/>
        </w:rPr>
        <w:t>明确、可衡量性、可实现、</w:t>
      </w:r>
      <w:r>
        <w:rPr>
          <w:rFonts w:hint="eastAsia" w:ascii="仿宋_GB2312"/>
          <w:szCs w:val="28"/>
          <w:highlight w:val="none"/>
          <w:lang w:val="en-US" w:eastAsia="zh-CN"/>
        </w:rPr>
        <w:t>于绩效目标</w:t>
      </w:r>
      <w:r>
        <w:rPr>
          <w:rFonts w:hint="eastAsia" w:ascii="仿宋_GB2312"/>
          <w:szCs w:val="28"/>
          <w:highlight w:val="none"/>
        </w:rPr>
        <w:t>相关性</w:t>
      </w:r>
      <w:r>
        <w:rPr>
          <w:rFonts w:hint="eastAsia" w:ascii="仿宋_GB2312"/>
          <w:szCs w:val="28"/>
          <w:highlight w:val="none"/>
          <w:lang w:val="en-US" w:eastAsia="zh-CN"/>
        </w:rPr>
        <w:t>的指标</w:t>
      </w:r>
      <w:r>
        <w:rPr>
          <w:rFonts w:hint="eastAsia" w:ascii="仿宋_GB2312"/>
          <w:szCs w:val="28"/>
          <w:highlight w:val="none"/>
        </w:rPr>
        <w:t>，</w:t>
      </w:r>
      <w:r>
        <w:rPr>
          <w:rFonts w:hint="eastAsia" w:ascii="仿宋_GB2312"/>
          <w:szCs w:val="28"/>
          <w:highlight w:val="none"/>
          <w:lang w:val="en-US" w:eastAsia="zh-CN"/>
        </w:rPr>
        <w:t>绩效评价体系</w:t>
      </w:r>
      <w:r>
        <w:rPr>
          <w:rFonts w:hint="eastAsia" w:ascii="仿宋_GB2312"/>
          <w:szCs w:val="28"/>
          <w:highlight w:val="none"/>
        </w:rPr>
        <w:t>能较为全面地反映本项目的产出和效益，故绩效目标合理性指标得分</w:t>
      </w:r>
      <w:r>
        <w:rPr>
          <w:rFonts w:ascii="仿宋_GB2312"/>
          <w:szCs w:val="28"/>
          <w:highlight w:val="none"/>
        </w:rPr>
        <w:t>3</w:t>
      </w:r>
      <w:r>
        <w:rPr>
          <w:rFonts w:hint="eastAsia" w:ascii="仿宋_GB2312"/>
          <w:szCs w:val="28"/>
          <w:highlight w:val="none"/>
        </w:rPr>
        <w:t>分。</w:t>
      </w:r>
    </w:p>
    <w:p w14:paraId="7B520499">
      <w:pPr>
        <w:autoSpaceDE w:val="0"/>
        <w:spacing w:line="600" w:lineRule="exact"/>
        <w:ind w:firstLine="562"/>
        <w:rPr>
          <w:rFonts w:ascii="仿宋_GB2312" w:hAnsi="仿宋" w:cs="宋体"/>
          <w:kern w:val="0"/>
          <w:szCs w:val="28"/>
          <w:highlight w:val="none"/>
        </w:rPr>
      </w:pPr>
      <w:r>
        <w:rPr>
          <w:rFonts w:hint="eastAsia" w:ascii="仿宋_GB2312" w:hAnsi="仿宋" w:cs="宋体"/>
          <w:b/>
          <w:kern w:val="0"/>
          <w:szCs w:val="28"/>
          <w:highlight w:val="none"/>
        </w:rPr>
        <w:t>绩效目标明确性：</w:t>
      </w:r>
      <w:r>
        <w:rPr>
          <w:rFonts w:hint="eastAsia" w:ascii="仿宋_GB2312" w:hAnsi="仿宋" w:cs="宋体"/>
          <w:kern w:val="0"/>
          <w:szCs w:val="28"/>
          <w:highlight w:val="none"/>
        </w:rPr>
        <w:t>本项目主要任务是为了我单位保障采供血工作中采集、检验、存储、保安、保洁正常运行，确保我区血液质量安全，满足临床用血的需求。进一步做好献血者的关爱、献血者服务。完成2024年血液采集，满足临床所需。目标已细化为具体的绩效指标，可通过</w:t>
      </w:r>
      <w:r>
        <w:rPr>
          <w:rFonts w:hint="eastAsia" w:ascii="仿宋_GB2312" w:hAnsi="仿宋" w:cs="宋体"/>
          <w:kern w:val="0"/>
          <w:szCs w:val="28"/>
          <w:highlight w:val="none"/>
          <w:lang w:val="en-US" w:eastAsia="zh-CN"/>
        </w:rPr>
        <w:t>采集人次、采血吨数、保安人数、一次性验收合格率等指标</w:t>
      </w:r>
      <w:r>
        <w:rPr>
          <w:rFonts w:hint="eastAsia" w:ascii="仿宋_GB2312" w:hAnsi="仿宋" w:cs="宋体"/>
          <w:kern w:val="0"/>
          <w:szCs w:val="28"/>
          <w:highlight w:val="none"/>
        </w:rPr>
        <w:t>予以量化。并具有确切的评价标准，且指标设定均与目标相关。各项指标均能在现实条件下收到相关数据进行佐证。如：相关科室可以提供</w:t>
      </w:r>
      <w:r>
        <w:rPr>
          <w:rFonts w:hint="eastAsia" w:ascii="仿宋_GB2312" w:hAnsi="仿宋" w:cs="宋体"/>
          <w:kern w:val="0"/>
          <w:szCs w:val="28"/>
          <w:highlight w:val="none"/>
          <w:lang w:val="en-US" w:eastAsia="zh-CN"/>
        </w:rPr>
        <w:t>验收单、中标通知书、合同、入库单、发票、国库集中支付凭证等</w:t>
      </w:r>
      <w:r>
        <w:rPr>
          <w:rFonts w:hint="eastAsia" w:ascii="仿宋_GB2312" w:hAnsi="仿宋" w:cs="宋体"/>
          <w:kern w:val="0"/>
          <w:szCs w:val="28"/>
          <w:highlight w:val="none"/>
        </w:rPr>
        <w:t>进行佐证</w:t>
      </w:r>
      <w:r>
        <w:rPr>
          <w:rFonts w:hint="eastAsia" w:ascii="仿宋_GB2312" w:hAnsi="仿宋" w:cs="宋体"/>
          <w:kern w:val="0"/>
          <w:szCs w:val="28"/>
          <w:highlight w:val="none"/>
          <w:lang w:eastAsia="zh-CN"/>
        </w:rPr>
        <w:t>。</w:t>
      </w:r>
      <w:r>
        <w:rPr>
          <w:rFonts w:hint="eastAsia" w:ascii="仿宋_GB2312" w:hAnsi="仿宋" w:cs="宋体"/>
          <w:kern w:val="0"/>
          <w:szCs w:val="28"/>
          <w:highlight w:val="none"/>
        </w:rPr>
        <w:t>并与当年项目年度计划相对应，故绩效目标明确性指标得分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14:paraId="47B10D09">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6</w:t>
      </w:r>
      <w:r>
        <w:rPr>
          <w:rFonts w:hint="eastAsia" w:ascii="仿宋_GB2312" w:hAnsi="仿宋" w:cs="宋体"/>
          <w:b/>
          <w:kern w:val="0"/>
          <w:szCs w:val="28"/>
          <w:highlight w:val="none"/>
        </w:rPr>
        <w:t>分，得分6分。</w:t>
      </w:r>
    </w:p>
    <w:p w14:paraId="28808312">
      <w:pPr>
        <w:pStyle w:val="4"/>
        <w:ind w:firstLine="643"/>
        <w:rPr>
          <w:highlight w:val="none"/>
        </w:rPr>
      </w:pPr>
      <w:bookmarkStart w:id="39" w:name="_Toc17932"/>
      <w:r>
        <w:rPr>
          <w:rFonts w:hint="eastAsia"/>
          <w:highlight w:val="none"/>
        </w:rPr>
        <w:t>3.资金投入</w:t>
      </w:r>
      <w:bookmarkEnd w:id="39"/>
    </w:p>
    <w:p w14:paraId="0957300F">
      <w:pPr>
        <w:autoSpaceDE w:val="0"/>
        <w:spacing w:line="600" w:lineRule="exact"/>
        <w:ind w:firstLine="562"/>
        <w:rPr>
          <w:rFonts w:ascii="仿宋_GB2312" w:hAnsi="仿宋" w:cs="宋体"/>
          <w:bCs/>
          <w:kern w:val="0"/>
          <w:szCs w:val="28"/>
          <w:highlight w:val="none"/>
        </w:rPr>
      </w:pPr>
      <w:r>
        <w:rPr>
          <w:rFonts w:hint="eastAsia" w:ascii="仿宋_GB2312" w:hAnsi="仿宋" w:cs="宋体"/>
          <w:b/>
          <w:kern w:val="0"/>
          <w:szCs w:val="28"/>
          <w:highlight w:val="none"/>
        </w:rPr>
        <w:t>预算编制科学性：</w:t>
      </w:r>
      <w:r>
        <w:rPr>
          <w:rFonts w:hint="eastAsia" w:ascii="仿宋_GB2312" w:hAnsi="仿宋" w:cs="宋体"/>
          <w:kern w:val="0"/>
          <w:szCs w:val="28"/>
          <w:highlight w:val="none"/>
        </w:rPr>
        <w:t>我单位编制2024年预算，</w:t>
      </w:r>
      <w:r>
        <w:rPr>
          <w:rFonts w:hint="eastAsia" w:ascii="仿宋_GB2312"/>
          <w:szCs w:val="28"/>
          <w:highlight w:val="none"/>
        </w:rPr>
        <w:t>由我单位各科室上报预算情况，由单位预算会进行多次预算的订制，经过单位预算的调整，</w:t>
      </w:r>
      <w:r>
        <w:rPr>
          <w:rFonts w:hint="eastAsia" w:ascii="仿宋_GB2312" w:hAnsi="仿宋" w:cs="宋体"/>
          <w:kern w:val="0"/>
          <w:szCs w:val="28"/>
          <w:highlight w:val="none"/>
        </w:rPr>
        <w:t>财务科根据预算申报的要求进行预算申报，上报主管局及财政局审批，由此编制项目所需的总金额以及需要达成的绩效目标</w:t>
      </w:r>
      <w:r>
        <w:rPr>
          <w:rFonts w:hint="eastAsia" w:ascii="仿宋_GB2312" w:hAnsi="仿宋" w:cs="宋体"/>
          <w:b/>
          <w:kern w:val="0"/>
          <w:szCs w:val="28"/>
          <w:highlight w:val="none"/>
        </w:rPr>
        <w:t>。</w:t>
      </w:r>
      <w:r>
        <w:rPr>
          <w:rFonts w:hint="eastAsia" w:ascii="仿宋_GB2312" w:hAnsi="仿宋" w:cs="宋体"/>
          <w:kern w:val="0"/>
          <w:szCs w:val="28"/>
          <w:highlight w:val="none"/>
        </w:rPr>
        <w:t>故预算编制科学性指标得分</w:t>
      </w:r>
      <w:r>
        <w:rPr>
          <w:rFonts w:ascii="仿宋_GB2312" w:hAnsi="仿宋" w:cs="宋体"/>
          <w:kern w:val="0"/>
          <w:szCs w:val="28"/>
          <w:highlight w:val="none"/>
        </w:rPr>
        <w:t>3</w:t>
      </w:r>
      <w:r>
        <w:rPr>
          <w:rFonts w:hint="eastAsia" w:ascii="仿宋_GB2312" w:hAnsi="仿宋" w:cs="宋体"/>
          <w:kern w:val="0"/>
          <w:szCs w:val="28"/>
          <w:highlight w:val="none"/>
        </w:rPr>
        <w:t>分</w:t>
      </w:r>
      <w:r>
        <w:rPr>
          <w:rFonts w:hint="eastAsia" w:ascii="仿宋_GB2312" w:hAnsi="仿宋" w:cs="宋体"/>
          <w:b/>
          <w:kern w:val="0"/>
          <w:szCs w:val="28"/>
          <w:highlight w:val="none"/>
        </w:rPr>
        <w:t>。</w:t>
      </w:r>
    </w:p>
    <w:p w14:paraId="67CDB561">
      <w:pPr>
        <w:spacing w:line="360" w:lineRule="auto"/>
        <w:ind w:firstLine="562"/>
        <w:rPr>
          <w:color w:val="FF0000"/>
          <w:highlight w:val="none"/>
        </w:rPr>
      </w:pPr>
      <w:r>
        <w:rPr>
          <w:rFonts w:hint="eastAsia"/>
          <w:b/>
          <w:bCs/>
          <w:highlight w:val="none"/>
        </w:rPr>
        <w:t>资金分配合理性</w:t>
      </w:r>
      <w:r>
        <w:rPr>
          <w:rFonts w:hint="eastAsia"/>
          <w:highlight w:val="none"/>
        </w:rPr>
        <w:t>：</w:t>
      </w:r>
      <w:r>
        <w:rPr>
          <w:rFonts w:hint="eastAsia" w:ascii="仿宋_GB2312" w:hAnsi="仿宋" w:cs="宋体"/>
          <w:kern w:val="0"/>
          <w:szCs w:val="28"/>
          <w:highlight w:val="none"/>
        </w:rPr>
        <w:t>根据我单位的单位职能，该资金用于保障我单位的正常工作，保障全区的采供血业务和临床用血需求</w:t>
      </w:r>
      <w:r>
        <w:rPr>
          <w:rFonts w:hint="eastAsia" w:ascii="仿宋_GB2312" w:hAnsi="仿宋" w:cs="宋体"/>
          <w:b/>
          <w:kern w:val="0"/>
          <w:szCs w:val="28"/>
          <w:highlight w:val="none"/>
        </w:rPr>
        <w:t>。</w:t>
      </w:r>
      <w:r>
        <w:rPr>
          <w:rFonts w:hint="eastAsia" w:ascii="仿宋_GB2312" w:hAnsi="仿宋" w:cs="宋体"/>
          <w:bCs/>
          <w:kern w:val="0"/>
          <w:szCs w:val="28"/>
          <w:highlight w:val="none"/>
        </w:rPr>
        <w:t>其中</w:t>
      </w:r>
      <w:r>
        <w:rPr>
          <w:rFonts w:hint="eastAsia" w:ascii="仿宋_GB2312" w:hAnsi="仿宋" w:cs="宋体"/>
          <w:bCs/>
          <w:kern w:val="0"/>
          <w:szCs w:val="28"/>
          <w:highlight w:val="none"/>
          <w:lang w:eastAsia="zh-CN"/>
        </w:rPr>
        <w:t>：</w:t>
      </w:r>
      <w:r>
        <w:rPr>
          <w:rFonts w:hint="eastAsia" w:ascii="仿宋_GB2312" w:hAnsi="仿宋" w:cs="宋体"/>
          <w:bCs/>
          <w:kern w:val="0"/>
          <w:szCs w:val="28"/>
          <w:highlight w:val="none"/>
          <w:lang w:val="en-US" w:eastAsia="zh-CN"/>
        </w:rPr>
        <w:t>档案室不符合相关要求需进行改造，出于安全考虑血库门廊需进行改造，故分配9.40万元用于大型修缮；辐照个人剂量计、自助登记机、热合机等设备年久失修，目前已无法满足需求，根据市场价格故分配42.32</w:t>
      </w:r>
      <w:r>
        <w:rPr>
          <w:rFonts w:hint="eastAsia" w:ascii="仿宋_GB2312" w:hAnsi="仿宋" w:cs="宋体"/>
          <w:bCs/>
          <w:kern w:val="0"/>
          <w:szCs w:val="28"/>
          <w:highlight w:val="none"/>
        </w:rPr>
        <w:t>万元用于购置专用设备</w:t>
      </w:r>
      <w:r>
        <w:rPr>
          <w:rFonts w:hint="eastAsia" w:ascii="仿宋_GB2312" w:hAnsi="仿宋" w:cs="宋体"/>
          <w:bCs/>
          <w:kern w:val="0"/>
          <w:szCs w:val="28"/>
          <w:highlight w:val="none"/>
          <w:lang w:eastAsia="zh-CN"/>
        </w:rPr>
        <w:t>；</w:t>
      </w:r>
      <w:r>
        <w:rPr>
          <w:rFonts w:hint="eastAsia" w:ascii="仿宋_GB2312" w:hAnsi="仿宋" w:cs="宋体"/>
          <w:bCs/>
          <w:kern w:val="0"/>
          <w:szCs w:val="28"/>
          <w:highlight w:val="none"/>
          <w:lang w:val="en-US" w:eastAsia="zh-CN"/>
        </w:rPr>
        <w:t>云灾备及9.0信息系统维护等每年需进行维护，根据以前年度金额分配</w:t>
      </w:r>
      <w:r>
        <w:rPr>
          <w:rFonts w:hint="eastAsia" w:ascii="仿宋_GB2312" w:hAnsi="仿宋" w:cs="宋体"/>
          <w:bCs/>
          <w:kern w:val="0"/>
          <w:szCs w:val="28"/>
          <w:highlight w:val="none"/>
        </w:rPr>
        <w:t>2</w:t>
      </w:r>
      <w:r>
        <w:rPr>
          <w:rFonts w:hint="eastAsia" w:ascii="仿宋_GB2312" w:hAnsi="仿宋" w:cs="宋体"/>
          <w:bCs/>
          <w:kern w:val="0"/>
          <w:szCs w:val="28"/>
          <w:highlight w:val="none"/>
          <w:lang w:val="en-US" w:eastAsia="zh-CN"/>
        </w:rPr>
        <w:t>7.45</w:t>
      </w:r>
      <w:r>
        <w:rPr>
          <w:rFonts w:hint="eastAsia" w:ascii="仿宋_GB2312" w:hAnsi="仿宋" w:cs="宋体"/>
          <w:bCs/>
          <w:kern w:val="0"/>
          <w:szCs w:val="28"/>
          <w:highlight w:val="none"/>
        </w:rPr>
        <w:t>万元用于信息系统维护</w:t>
      </w:r>
      <w:r>
        <w:rPr>
          <w:rFonts w:hint="eastAsia" w:ascii="仿宋_GB2312" w:hAnsi="仿宋" w:cs="宋体"/>
          <w:bCs/>
          <w:kern w:val="0"/>
          <w:szCs w:val="28"/>
          <w:highlight w:val="none"/>
          <w:lang w:eastAsia="zh-CN"/>
        </w:rPr>
        <w:t>；</w:t>
      </w:r>
      <w:r>
        <w:rPr>
          <w:rFonts w:hint="eastAsia" w:ascii="仿宋_GB2312" w:hAnsi="仿宋" w:cs="宋体"/>
          <w:bCs/>
          <w:kern w:val="0"/>
          <w:szCs w:val="28"/>
          <w:highlight w:val="none"/>
          <w:lang w:val="en-US" w:eastAsia="zh-CN"/>
        </w:rPr>
        <w:t>献血大厅座椅老化不能满足需求，监控室LED屏损坏，业务科室打印机故障，根据市场价格，分配8.37</w:t>
      </w:r>
      <w:r>
        <w:rPr>
          <w:rFonts w:hint="eastAsia" w:ascii="仿宋_GB2312" w:hAnsi="仿宋" w:cs="宋体"/>
          <w:bCs/>
          <w:kern w:val="0"/>
          <w:szCs w:val="28"/>
          <w:highlight w:val="none"/>
        </w:rPr>
        <w:t>万元用于采购办公设备</w:t>
      </w:r>
      <w:r>
        <w:rPr>
          <w:rFonts w:hint="eastAsia" w:ascii="仿宋_GB2312" w:hAnsi="仿宋" w:cs="宋体"/>
          <w:bCs/>
          <w:kern w:val="0"/>
          <w:szCs w:val="28"/>
          <w:highlight w:val="none"/>
          <w:lang w:eastAsia="zh-CN"/>
        </w:rPr>
        <w:t>；</w:t>
      </w:r>
      <w:r>
        <w:rPr>
          <w:rFonts w:hint="eastAsia" w:ascii="仿宋_GB2312" w:hAnsi="仿宋" w:cs="宋体"/>
          <w:bCs/>
          <w:kern w:val="0"/>
          <w:szCs w:val="28"/>
          <w:highlight w:val="none"/>
          <w:lang w:val="en-US" w:eastAsia="zh-CN"/>
        </w:rPr>
        <w:t>根据历年献血人次及2024年采血计划，安排170</w:t>
      </w:r>
      <w:r>
        <w:rPr>
          <w:rFonts w:hint="eastAsia" w:ascii="仿宋_GB2312" w:hAnsi="仿宋" w:cs="宋体"/>
          <w:bCs/>
          <w:kern w:val="0"/>
          <w:szCs w:val="28"/>
          <w:highlight w:val="none"/>
        </w:rPr>
        <w:t>万元用于采购献血者食品</w:t>
      </w:r>
      <w:r>
        <w:rPr>
          <w:rFonts w:hint="eastAsia" w:ascii="仿宋_GB2312" w:hAnsi="仿宋" w:cs="宋体"/>
          <w:bCs/>
          <w:kern w:val="0"/>
          <w:szCs w:val="28"/>
          <w:highlight w:val="none"/>
          <w:lang w:val="en-US" w:eastAsia="zh-CN"/>
        </w:rPr>
        <w:t>和纪念品、安排</w:t>
      </w:r>
      <w:r>
        <w:rPr>
          <w:rFonts w:hint="eastAsia" w:ascii="仿宋_GB2312" w:hAnsi="仿宋" w:cs="宋体"/>
          <w:bCs/>
          <w:kern w:val="0"/>
          <w:szCs w:val="28"/>
          <w:highlight w:val="none"/>
        </w:rPr>
        <w:t>1319.</w:t>
      </w:r>
      <w:r>
        <w:rPr>
          <w:rFonts w:hint="eastAsia" w:ascii="仿宋_GB2312" w:hAnsi="仿宋" w:cs="宋体"/>
          <w:bCs/>
          <w:kern w:val="0"/>
          <w:szCs w:val="28"/>
          <w:highlight w:val="none"/>
          <w:lang w:val="en-US" w:eastAsia="zh-CN"/>
        </w:rPr>
        <w:t>55</w:t>
      </w:r>
      <w:r>
        <w:rPr>
          <w:rFonts w:hint="eastAsia" w:ascii="仿宋_GB2312" w:hAnsi="仿宋" w:cs="宋体"/>
          <w:bCs/>
          <w:kern w:val="0"/>
          <w:szCs w:val="28"/>
          <w:highlight w:val="none"/>
        </w:rPr>
        <w:t>万元用于采购试剂耗材</w:t>
      </w:r>
      <w:r>
        <w:rPr>
          <w:rFonts w:hint="eastAsia" w:ascii="仿宋_GB2312" w:hAnsi="仿宋" w:cs="宋体"/>
          <w:bCs/>
          <w:kern w:val="0"/>
          <w:szCs w:val="28"/>
          <w:highlight w:val="none"/>
          <w:lang w:eastAsia="zh-CN"/>
        </w:rPr>
        <w:t>；</w:t>
      </w:r>
      <w:r>
        <w:rPr>
          <w:rFonts w:hint="eastAsia" w:ascii="仿宋_GB2312" w:hAnsi="仿宋" w:cs="宋体"/>
          <w:bCs/>
          <w:kern w:val="0"/>
          <w:szCs w:val="28"/>
          <w:highlight w:val="none"/>
          <w:lang w:val="en-US" w:eastAsia="zh-CN"/>
        </w:rPr>
        <w:t>根据历年印刷品消耗情况安排18万元用于印刷费；根据物业管理项目评审情况安排99.18</w:t>
      </w:r>
      <w:r>
        <w:rPr>
          <w:rFonts w:hint="eastAsia" w:ascii="仿宋_GB2312" w:hAnsi="仿宋" w:cs="宋体"/>
          <w:bCs/>
          <w:kern w:val="0"/>
          <w:szCs w:val="28"/>
          <w:highlight w:val="none"/>
        </w:rPr>
        <w:t>万元用于物业管理经费。</w:t>
      </w:r>
      <w:r>
        <w:rPr>
          <w:rFonts w:hint="eastAsia" w:ascii="仿宋_GB2312" w:hAnsi="仿宋" w:cs="宋体"/>
          <w:kern w:val="0"/>
          <w:szCs w:val="28"/>
          <w:highlight w:val="none"/>
        </w:rPr>
        <w:t>故资金分配合理性指标得分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14:paraId="400A51F7">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6</w:t>
      </w:r>
      <w:r>
        <w:rPr>
          <w:rFonts w:hint="eastAsia" w:ascii="仿宋_GB2312" w:hAnsi="仿宋" w:cs="宋体"/>
          <w:b/>
          <w:kern w:val="0"/>
          <w:szCs w:val="28"/>
          <w:highlight w:val="none"/>
        </w:rPr>
        <w:t>分，得分6分。</w:t>
      </w:r>
    </w:p>
    <w:p w14:paraId="53C20EB9">
      <w:pPr>
        <w:pStyle w:val="3"/>
        <w:ind w:firstLine="643"/>
        <w:rPr>
          <w:rFonts w:ascii="仿宋" w:hAnsi="仿宋" w:eastAsia="仿宋"/>
          <w:highlight w:val="none"/>
          <w:lang w:bidi="en-US"/>
        </w:rPr>
      </w:pPr>
      <w:bookmarkStart w:id="40" w:name="_Toc3341"/>
      <w:bookmarkStart w:id="41" w:name="_Toc67911613"/>
      <w:r>
        <w:rPr>
          <w:rFonts w:hint="eastAsia" w:ascii="仿宋" w:hAnsi="仿宋" w:eastAsia="仿宋"/>
          <w:highlight w:val="none"/>
          <w:lang w:bidi="en-US"/>
        </w:rPr>
        <w:t>（二）项目过程情况</w:t>
      </w:r>
      <w:bookmarkEnd w:id="40"/>
      <w:bookmarkEnd w:id="41"/>
    </w:p>
    <w:p w14:paraId="5F58C432">
      <w:pPr>
        <w:spacing w:line="360" w:lineRule="auto"/>
        <w:ind w:firstLine="560"/>
        <w:rPr>
          <w:rFonts w:ascii="仿宋_GB2312"/>
          <w:szCs w:val="28"/>
          <w:highlight w:val="none"/>
        </w:rPr>
      </w:pPr>
      <w:r>
        <w:rPr>
          <w:rFonts w:hint="eastAsia" w:ascii="仿宋_GB2312"/>
          <w:szCs w:val="28"/>
          <w:highlight w:val="none"/>
        </w:rPr>
        <w:t>项目过程指标由2个二级指标和</w:t>
      </w:r>
      <w:r>
        <w:rPr>
          <w:rFonts w:ascii="仿宋_GB2312"/>
          <w:szCs w:val="28"/>
          <w:highlight w:val="none"/>
        </w:rPr>
        <w:t>5</w:t>
      </w:r>
      <w:r>
        <w:rPr>
          <w:rFonts w:hint="eastAsia" w:ascii="仿宋_GB2312"/>
          <w:szCs w:val="28"/>
          <w:highlight w:val="none"/>
        </w:rPr>
        <w:t>个三级指标构成，权重为</w:t>
      </w:r>
      <w:r>
        <w:rPr>
          <w:rFonts w:ascii="仿宋_GB2312"/>
          <w:szCs w:val="28"/>
          <w:highlight w:val="none"/>
        </w:rPr>
        <w:t>20</w:t>
      </w:r>
      <w:r>
        <w:rPr>
          <w:rFonts w:hint="eastAsia" w:ascii="仿宋_GB2312"/>
          <w:szCs w:val="28"/>
          <w:highlight w:val="none"/>
        </w:rPr>
        <w:t>分，实际得分</w:t>
      </w:r>
      <w:r>
        <w:rPr>
          <w:rFonts w:hint="eastAsia" w:ascii="仿宋_GB2312"/>
          <w:szCs w:val="28"/>
          <w:highlight w:val="none"/>
          <w:lang w:val="en-US" w:eastAsia="zh-CN"/>
        </w:rPr>
        <w:t>19.47</w:t>
      </w:r>
      <w:r>
        <w:rPr>
          <w:rFonts w:hint="eastAsia" w:ascii="仿宋_GB2312"/>
          <w:szCs w:val="28"/>
          <w:highlight w:val="none"/>
        </w:rPr>
        <w:t>分。</w:t>
      </w:r>
    </w:p>
    <w:p w14:paraId="3F903D09">
      <w:pPr>
        <w:pStyle w:val="4"/>
        <w:ind w:firstLine="643"/>
        <w:rPr>
          <w:highlight w:val="none"/>
        </w:rPr>
      </w:pPr>
      <w:bookmarkStart w:id="42" w:name="_Toc28731"/>
      <w:bookmarkStart w:id="43" w:name="_Toc24763"/>
      <w:r>
        <w:rPr>
          <w:highlight w:val="none"/>
        </w:rPr>
        <w:t>1.</w:t>
      </w:r>
      <w:r>
        <w:rPr>
          <w:rFonts w:hint="eastAsia"/>
          <w:highlight w:val="none"/>
        </w:rPr>
        <w:t>资金管理</w:t>
      </w:r>
      <w:bookmarkEnd w:id="42"/>
    </w:p>
    <w:p w14:paraId="5CF1A90E">
      <w:pPr>
        <w:spacing w:line="360" w:lineRule="auto"/>
        <w:ind w:firstLine="562"/>
        <w:rPr>
          <w:rFonts w:ascii="仿宋_GB2312"/>
          <w:szCs w:val="28"/>
          <w:highlight w:val="none"/>
        </w:rPr>
      </w:pPr>
      <w:r>
        <w:rPr>
          <w:rFonts w:hint="eastAsia" w:ascii="仿宋_GB2312"/>
          <w:b/>
          <w:bCs/>
          <w:szCs w:val="28"/>
          <w:highlight w:val="none"/>
        </w:rPr>
        <w:t>资金到位率：</w:t>
      </w:r>
      <w:r>
        <w:rPr>
          <w:rFonts w:hint="eastAsia" w:ascii="仿宋_GB2312" w:hAnsi="仿宋_GB2312"/>
          <w:highlight w:val="none"/>
        </w:rPr>
        <w:t>该项目资金由财政拨付，年初预算数1694.27万元，在2024年1月22到位，年底收回29.94万元，结转到2025年度150万元，全年预算数1514.33万元，实际到位资金1514.33万元</w:t>
      </w:r>
      <w:r>
        <w:rPr>
          <w:rFonts w:hint="eastAsia" w:ascii="仿宋_GB2312" w:hAnsi="仿宋" w:cs="宋体"/>
          <w:b/>
          <w:kern w:val="0"/>
          <w:szCs w:val="28"/>
          <w:highlight w:val="none"/>
        </w:rPr>
        <w:t>。</w:t>
      </w:r>
      <w:r>
        <w:rPr>
          <w:rFonts w:hint="eastAsia" w:ascii="仿宋_GB2312" w:hAnsi="仿宋_GB2312"/>
          <w:highlight w:val="none"/>
          <w:lang w:val="en-US" w:eastAsia="zh-CN"/>
        </w:rPr>
        <w:t>资金到位率89.38%，</w:t>
      </w:r>
      <w:r>
        <w:rPr>
          <w:rFonts w:hint="eastAsia" w:ascii="仿宋_GB2312" w:hAnsi="仿宋" w:cs="宋体"/>
          <w:kern w:val="0"/>
          <w:szCs w:val="28"/>
          <w:highlight w:val="none"/>
        </w:rPr>
        <w:t>故资金到位率指标得分</w:t>
      </w:r>
      <w:r>
        <w:rPr>
          <w:rFonts w:hint="eastAsia" w:ascii="仿宋_GB2312" w:hAnsi="仿宋" w:cs="宋体"/>
          <w:kern w:val="0"/>
          <w:szCs w:val="28"/>
          <w:highlight w:val="none"/>
          <w:lang w:val="en-US" w:eastAsia="zh-CN"/>
        </w:rPr>
        <w:t>4.47</w:t>
      </w:r>
      <w:r>
        <w:rPr>
          <w:rFonts w:hint="eastAsia" w:ascii="仿宋_GB2312" w:hAnsi="仿宋" w:cs="宋体"/>
          <w:kern w:val="0"/>
          <w:szCs w:val="28"/>
          <w:highlight w:val="none"/>
        </w:rPr>
        <w:t>分。</w:t>
      </w:r>
    </w:p>
    <w:p w14:paraId="5F13BAE1">
      <w:pPr>
        <w:spacing w:line="360" w:lineRule="auto"/>
        <w:ind w:firstLine="562"/>
        <w:rPr>
          <w:rFonts w:ascii="仿宋_GB2312"/>
          <w:szCs w:val="28"/>
          <w:highlight w:val="none"/>
        </w:rPr>
      </w:pPr>
      <w:r>
        <w:rPr>
          <w:rFonts w:hint="eastAsia" w:ascii="仿宋_GB2312"/>
          <w:b/>
          <w:bCs/>
          <w:szCs w:val="28"/>
          <w:highlight w:val="none"/>
        </w:rPr>
        <w:t>预算执行率：</w:t>
      </w:r>
      <w:r>
        <w:rPr>
          <w:rFonts w:hint="eastAsia" w:ascii="仿宋_GB2312" w:hAnsi="仿宋_GB2312"/>
          <w:highlight w:val="none"/>
        </w:rPr>
        <w:t>该项目实际到位资金1514.33万元，实际共支付1514.33万元，预算执行率100%</w:t>
      </w:r>
      <w:r>
        <w:rPr>
          <w:rFonts w:hint="eastAsia" w:ascii="仿宋_GB2312"/>
          <w:b/>
          <w:bCs/>
          <w:szCs w:val="28"/>
          <w:highlight w:val="none"/>
        </w:rPr>
        <w:t>。</w:t>
      </w:r>
      <w:r>
        <w:rPr>
          <w:rFonts w:hint="eastAsia" w:ascii="仿宋_GB2312"/>
          <w:szCs w:val="28"/>
          <w:highlight w:val="none"/>
        </w:rPr>
        <w:t>故预算执行率得分为5分。</w:t>
      </w:r>
    </w:p>
    <w:p w14:paraId="62CDF4E8">
      <w:pPr>
        <w:spacing w:line="360" w:lineRule="auto"/>
        <w:ind w:firstLine="560"/>
        <w:rPr>
          <w:rFonts w:hint="eastAsia" w:ascii="仿宋_GB2312" w:eastAsia="仿宋_GB2312"/>
          <w:szCs w:val="28"/>
          <w:highlight w:val="none"/>
          <w:lang w:eastAsia="zh-CN"/>
        </w:rPr>
      </w:pPr>
      <w:r>
        <w:rPr>
          <w:rFonts w:hint="eastAsia" w:ascii="仿宋_GB2312"/>
          <w:color w:val="auto"/>
          <w:szCs w:val="28"/>
          <w:highlight w:val="none"/>
          <w:lang w:val="en-US" w:eastAsia="zh-CN"/>
        </w:rPr>
        <w:t>专用设备购置39.68万元，具体如下：</w:t>
      </w:r>
      <w:r>
        <w:rPr>
          <w:rFonts w:hint="eastAsia" w:ascii="仿宋_GB2312"/>
          <w:color w:val="auto"/>
          <w:szCs w:val="28"/>
          <w:highlight w:val="none"/>
        </w:rPr>
        <w:t>1月21日支付新疆留耕堂生物科技开发有限公司14.24万元、11月</w:t>
      </w:r>
      <w:r>
        <w:rPr>
          <w:rFonts w:hint="eastAsia" w:ascii="仿宋_GB2312"/>
          <w:szCs w:val="28"/>
          <w:highlight w:val="none"/>
        </w:rPr>
        <w:t>21日支付乌鲁木齐市华天启元软件科技有限公司13.8万元、11月21日支付上海鼎为物联技术有限公司0.9594万元、11月21日支付广东穗乐科技有限公司0.504504万元、12月10日支付四川斯诺迈科技有限公司0.58万元、12月18日支付新疆讯拓信息技术有限公司9.6万元</w:t>
      </w:r>
      <w:r>
        <w:rPr>
          <w:rFonts w:hint="eastAsia" w:ascii="仿宋_GB2312"/>
          <w:szCs w:val="28"/>
          <w:highlight w:val="none"/>
          <w:lang w:eastAsia="zh-CN"/>
        </w:rPr>
        <w:t>。</w:t>
      </w:r>
    </w:p>
    <w:p w14:paraId="0141CE82">
      <w:pPr>
        <w:spacing w:line="360" w:lineRule="auto"/>
        <w:ind w:firstLine="560"/>
        <w:rPr>
          <w:rFonts w:hint="eastAsia" w:ascii="仿宋_GB2312" w:eastAsia="仿宋_GB2312"/>
          <w:color w:val="auto"/>
          <w:szCs w:val="28"/>
          <w:highlight w:val="none"/>
          <w:lang w:eastAsia="zh-CN"/>
        </w:rPr>
      </w:pPr>
      <w:r>
        <w:rPr>
          <w:rFonts w:hint="eastAsia" w:ascii="仿宋_GB2312"/>
          <w:color w:val="auto"/>
          <w:szCs w:val="28"/>
          <w:highlight w:val="none"/>
          <w:lang w:val="en-US" w:eastAsia="zh-CN"/>
        </w:rPr>
        <w:t>委托业务费24.4万元：</w:t>
      </w:r>
      <w:r>
        <w:rPr>
          <w:rFonts w:hint="eastAsia" w:ascii="仿宋_GB2312"/>
          <w:color w:val="auto"/>
          <w:szCs w:val="28"/>
          <w:highlight w:val="none"/>
        </w:rPr>
        <w:t>12月10日支付乌鲁木齐市华天启元软件科技有限公司24.4万元</w:t>
      </w:r>
      <w:r>
        <w:rPr>
          <w:rFonts w:hint="eastAsia" w:ascii="仿宋_GB2312"/>
          <w:color w:val="auto"/>
          <w:szCs w:val="28"/>
          <w:highlight w:val="none"/>
          <w:lang w:eastAsia="zh-CN"/>
        </w:rPr>
        <w:t>。</w:t>
      </w:r>
    </w:p>
    <w:p w14:paraId="7EFA48E5">
      <w:pPr>
        <w:spacing w:line="360" w:lineRule="auto"/>
        <w:ind w:firstLine="560"/>
        <w:rPr>
          <w:rFonts w:ascii="仿宋_GB2312"/>
          <w:szCs w:val="28"/>
          <w:highlight w:val="none"/>
        </w:rPr>
      </w:pPr>
      <w:r>
        <w:rPr>
          <w:rFonts w:hint="eastAsia" w:ascii="仿宋_GB2312"/>
          <w:szCs w:val="28"/>
          <w:highlight w:val="none"/>
        </w:rPr>
        <w:t>办公设备购置</w:t>
      </w:r>
      <w:r>
        <w:rPr>
          <w:rFonts w:hint="eastAsia" w:ascii="仿宋_GB2312"/>
          <w:szCs w:val="28"/>
          <w:highlight w:val="none"/>
          <w:lang w:val="en-US" w:eastAsia="zh-CN"/>
        </w:rPr>
        <w:t>6.97万元，具体如下：</w:t>
      </w:r>
      <w:r>
        <w:rPr>
          <w:rFonts w:hint="eastAsia" w:ascii="仿宋_GB2312"/>
          <w:szCs w:val="28"/>
          <w:highlight w:val="none"/>
        </w:rPr>
        <w:t>12月19日支付水磨沟区华凌市场晶鸣欣家具经销部1.477万元</w:t>
      </w:r>
      <w:r>
        <w:rPr>
          <w:rFonts w:hint="eastAsia" w:ascii="仿宋_GB2312"/>
          <w:szCs w:val="28"/>
          <w:highlight w:val="none"/>
          <w:lang w:eastAsia="zh-CN"/>
        </w:rPr>
        <w:t>、</w:t>
      </w:r>
      <w:r>
        <w:rPr>
          <w:rFonts w:hint="eastAsia" w:ascii="仿宋_GB2312"/>
          <w:szCs w:val="28"/>
          <w:highlight w:val="none"/>
          <w:lang w:val="en-US" w:eastAsia="zh-CN"/>
        </w:rPr>
        <w:t>支付新疆博澳通电子工程有限公司3万元、支付新疆梧阳信息科技有限公司2.4946万元</w:t>
      </w:r>
      <w:r>
        <w:rPr>
          <w:rFonts w:hint="eastAsia" w:ascii="仿宋_GB2312"/>
          <w:szCs w:val="28"/>
          <w:highlight w:val="none"/>
          <w:lang w:eastAsia="zh-CN"/>
        </w:rPr>
        <w:t>。</w:t>
      </w:r>
    </w:p>
    <w:p w14:paraId="1FF060FD">
      <w:pPr>
        <w:spacing w:line="360" w:lineRule="auto"/>
        <w:ind w:firstLine="560"/>
        <w:rPr>
          <w:rFonts w:hint="eastAsia" w:ascii="仿宋_GB2312"/>
          <w:szCs w:val="28"/>
          <w:highlight w:val="none"/>
          <w:lang w:eastAsia="zh-CN"/>
        </w:rPr>
      </w:pPr>
      <w:r>
        <w:rPr>
          <w:rFonts w:hint="eastAsia" w:ascii="仿宋_GB2312"/>
          <w:szCs w:val="28"/>
          <w:highlight w:val="none"/>
        </w:rPr>
        <w:t>其他商品和服务支出</w:t>
      </w:r>
      <w:r>
        <w:rPr>
          <w:rFonts w:hint="eastAsia" w:ascii="仿宋_GB2312"/>
          <w:szCs w:val="28"/>
          <w:highlight w:val="none"/>
          <w:lang w:val="en-US" w:eastAsia="zh-CN"/>
        </w:rPr>
        <w:t>20万元：</w:t>
      </w:r>
      <w:r>
        <w:rPr>
          <w:rFonts w:hint="eastAsia" w:ascii="仿宋_GB2312"/>
          <w:szCs w:val="28"/>
          <w:highlight w:val="none"/>
        </w:rPr>
        <w:t>11月21日支付新疆帮灿商贸有限公司20万元</w:t>
      </w:r>
      <w:r>
        <w:rPr>
          <w:rFonts w:hint="eastAsia" w:ascii="仿宋_GB2312"/>
          <w:szCs w:val="28"/>
          <w:highlight w:val="none"/>
          <w:lang w:eastAsia="zh-CN"/>
        </w:rPr>
        <w:t>。</w:t>
      </w:r>
    </w:p>
    <w:p w14:paraId="47703C0E">
      <w:pPr>
        <w:spacing w:line="360" w:lineRule="auto"/>
        <w:ind w:firstLine="560"/>
        <w:rPr>
          <w:rFonts w:hint="eastAsia" w:ascii="仿宋_GB2312"/>
          <w:szCs w:val="28"/>
          <w:highlight w:val="none"/>
          <w:lang w:val="en-US" w:eastAsia="zh-CN"/>
        </w:rPr>
      </w:pPr>
      <w:r>
        <w:rPr>
          <w:rFonts w:hint="eastAsia" w:ascii="仿宋_GB2312"/>
          <w:szCs w:val="28"/>
          <w:highlight w:val="none"/>
          <w:lang w:val="en-US" w:eastAsia="zh-CN"/>
        </w:rPr>
        <w:t>专用材料费1319.40万元，具体如下：11月22日支付、</w:t>
      </w:r>
      <w:r>
        <w:rPr>
          <w:rFonts w:hint="default" w:ascii="仿宋_GB2312"/>
          <w:szCs w:val="28"/>
          <w:highlight w:val="none"/>
          <w:lang w:val="en-US" w:eastAsia="zh-CN"/>
        </w:rPr>
        <w:t>江西仓尹医疗器械有限公司127.5万元</w:t>
      </w:r>
      <w:r>
        <w:rPr>
          <w:rFonts w:hint="eastAsia" w:ascii="仿宋_GB2312"/>
          <w:szCs w:val="28"/>
          <w:highlight w:val="none"/>
          <w:lang w:val="en-US" w:eastAsia="zh-CN"/>
        </w:rPr>
        <w:t>、</w:t>
      </w:r>
      <w:r>
        <w:rPr>
          <w:rFonts w:hint="default" w:ascii="仿宋_GB2312"/>
          <w:szCs w:val="28"/>
          <w:highlight w:val="none"/>
          <w:lang w:val="en-US" w:eastAsia="zh-CN"/>
        </w:rPr>
        <w:t>新疆有道生物科技有限公司3.2万元</w:t>
      </w:r>
      <w:r>
        <w:rPr>
          <w:rFonts w:hint="eastAsia" w:ascii="仿宋_GB2312"/>
          <w:szCs w:val="28"/>
          <w:highlight w:val="none"/>
          <w:lang w:val="en-US" w:eastAsia="zh-CN"/>
        </w:rPr>
        <w:t>、</w:t>
      </w:r>
      <w:r>
        <w:rPr>
          <w:rFonts w:hint="default" w:ascii="仿宋_GB2312"/>
          <w:szCs w:val="28"/>
          <w:highlight w:val="none"/>
          <w:lang w:val="en-US" w:eastAsia="zh-CN"/>
        </w:rPr>
        <w:t>新疆康斯敦科技有限公司35.2792万元</w:t>
      </w:r>
      <w:r>
        <w:rPr>
          <w:rFonts w:hint="eastAsia" w:ascii="仿宋_GB2312"/>
          <w:szCs w:val="28"/>
          <w:highlight w:val="none"/>
          <w:lang w:val="en-US" w:eastAsia="zh-CN"/>
        </w:rPr>
        <w:t>、</w:t>
      </w:r>
      <w:r>
        <w:rPr>
          <w:rFonts w:hint="default" w:ascii="仿宋_GB2312"/>
          <w:szCs w:val="28"/>
          <w:highlight w:val="none"/>
          <w:lang w:val="en-US" w:eastAsia="zh-CN"/>
        </w:rPr>
        <w:t>上海输血技术有限公司17.999198万元</w:t>
      </w:r>
      <w:r>
        <w:rPr>
          <w:rFonts w:hint="eastAsia" w:ascii="仿宋_GB2312"/>
          <w:szCs w:val="28"/>
          <w:highlight w:val="none"/>
          <w:lang w:val="en-US" w:eastAsia="zh-CN"/>
        </w:rPr>
        <w:t>、</w:t>
      </w:r>
      <w:r>
        <w:rPr>
          <w:rFonts w:hint="default" w:ascii="仿宋_GB2312"/>
          <w:szCs w:val="28"/>
          <w:highlight w:val="none"/>
          <w:lang w:val="en-US" w:eastAsia="zh-CN"/>
        </w:rPr>
        <w:t>乌鲁木齐浩天中佳生物科技有限公司152.8505万元</w:t>
      </w:r>
      <w:r>
        <w:rPr>
          <w:rFonts w:hint="eastAsia" w:ascii="仿宋_GB2312"/>
          <w:szCs w:val="28"/>
          <w:highlight w:val="none"/>
          <w:lang w:val="en-US" w:eastAsia="zh-CN"/>
        </w:rPr>
        <w:t>、</w:t>
      </w:r>
      <w:r>
        <w:rPr>
          <w:rFonts w:hint="default" w:ascii="仿宋_GB2312"/>
          <w:szCs w:val="28"/>
          <w:highlight w:val="none"/>
          <w:lang w:val="en-US" w:eastAsia="zh-CN"/>
        </w:rPr>
        <w:t>江西仓尹医疗器械有限公司155.03015万元</w:t>
      </w:r>
      <w:r>
        <w:rPr>
          <w:rFonts w:hint="eastAsia" w:ascii="仿宋_GB2312"/>
          <w:szCs w:val="28"/>
          <w:highlight w:val="none"/>
          <w:lang w:val="en-US" w:eastAsia="zh-CN"/>
        </w:rPr>
        <w:t>、</w:t>
      </w:r>
      <w:r>
        <w:rPr>
          <w:rFonts w:hint="default" w:ascii="仿宋_GB2312"/>
          <w:szCs w:val="28"/>
          <w:highlight w:val="none"/>
          <w:lang w:val="en-US" w:eastAsia="zh-CN"/>
        </w:rPr>
        <w:t>新疆华巨星生物技术有限公司15万元</w:t>
      </w:r>
      <w:r>
        <w:rPr>
          <w:rFonts w:hint="eastAsia" w:ascii="仿宋_GB2312"/>
          <w:szCs w:val="28"/>
          <w:highlight w:val="none"/>
          <w:lang w:val="en-US" w:eastAsia="zh-CN"/>
        </w:rPr>
        <w:t>、</w:t>
      </w:r>
      <w:r>
        <w:rPr>
          <w:rFonts w:hint="default" w:ascii="仿宋_GB2312"/>
          <w:szCs w:val="28"/>
          <w:highlight w:val="none"/>
          <w:lang w:val="en-US" w:eastAsia="zh-CN"/>
        </w:rPr>
        <w:t>深圳市爱康生物科技股份有限公司26.3万元</w:t>
      </w:r>
      <w:r>
        <w:rPr>
          <w:rFonts w:hint="eastAsia" w:ascii="仿宋_GB2312"/>
          <w:szCs w:val="28"/>
          <w:highlight w:val="none"/>
          <w:lang w:val="en-US" w:eastAsia="zh-CN"/>
        </w:rPr>
        <w:t>、</w:t>
      </w:r>
      <w:r>
        <w:rPr>
          <w:rFonts w:hint="default" w:ascii="仿宋_GB2312"/>
          <w:szCs w:val="28"/>
          <w:highlight w:val="none"/>
          <w:lang w:val="en-US" w:eastAsia="zh-CN"/>
        </w:rPr>
        <w:t>乌鲁木齐义缘利业商贸有限公司5.11万元</w:t>
      </w:r>
      <w:r>
        <w:rPr>
          <w:rFonts w:hint="eastAsia" w:ascii="仿宋_GB2312"/>
          <w:szCs w:val="28"/>
          <w:highlight w:val="none"/>
          <w:lang w:val="en-US" w:eastAsia="zh-CN"/>
        </w:rPr>
        <w:t>、</w:t>
      </w:r>
      <w:r>
        <w:rPr>
          <w:rFonts w:hint="default" w:ascii="仿宋_GB2312"/>
          <w:szCs w:val="28"/>
          <w:highlight w:val="none"/>
          <w:lang w:val="en-US" w:eastAsia="zh-CN"/>
        </w:rPr>
        <w:t>乌鲁木齐市华天启元软件科技有限公司14.427762万元</w:t>
      </w:r>
      <w:r>
        <w:rPr>
          <w:rFonts w:hint="eastAsia" w:ascii="仿宋_GB2312"/>
          <w:szCs w:val="28"/>
          <w:highlight w:val="none"/>
          <w:lang w:val="en-US" w:eastAsia="zh-CN"/>
        </w:rPr>
        <w:t>、</w:t>
      </w:r>
      <w:r>
        <w:rPr>
          <w:rFonts w:hint="default" w:ascii="仿宋_GB2312"/>
          <w:szCs w:val="28"/>
          <w:highlight w:val="none"/>
          <w:lang w:val="en-US" w:eastAsia="zh-CN"/>
        </w:rPr>
        <w:t>北京曼泰里生物技术有限公司6.24万元</w:t>
      </w:r>
      <w:r>
        <w:rPr>
          <w:rFonts w:hint="eastAsia" w:ascii="仿宋_GB2312"/>
          <w:szCs w:val="28"/>
          <w:highlight w:val="none"/>
          <w:lang w:val="en-US" w:eastAsia="zh-CN"/>
        </w:rPr>
        <w:t>、</w:t>
      </w:r>
      <w:r>
        <w:rPr>
          <w:rFonts w:hint="default" w:ascii="仿宋_GB2312"/>
          <w:szCs w:val="28"/>
          <w:highlight w:val="none"/>
          <w:lang w:val="en-US" w:eastAsia="zh-CN"/>
        </w:rPr>
        <w:t>北京万泰生物药业股份有限公司115.645万元</w:t>
      </w:r>
      <w:r>
        <w:rPr>
          <w:rFonts w:hint="eastAsia" w:ascii="仿宋_GB2312"/>
          <w:szCs w:val="28"/>
          <w:highlight w:val="none"/>
          <w:lang w:val="en-US" w:eastAsia="zh-CN"/>
        </w:rPr>
        <w:t>、</w:t>
      </w:r>
      <w:r>
        <w:rPr>
          <w:rFonts w:hint="default" w:ascii="仿宋_GB2312"/>
          <w:szCs w:val="28"/>
          <w:highlight w:val="none"/>
          <w:lang w:val="en-US" w:eastAsia="zh-CN"/>
        </w:rPr>
        <w:t>西安元鼎体外诊断试剂有限公司188.0832万元</w:t>
      </w:r>
      <w:r>
        <w:rPr>
          <w:rFonts w:hint="eastAsia" w:ascii="仿宋_GB2312"/>
          <w:szCs w:val="28"/>
          <w:highlight w:val="none"/>
          <w:lang w:val="en-US" w:eastAsia="zh-CN"/>
        </w:rPr>
        <w:t>、</w:t>
      </w:r>
      <w:r>
        <w:rPr>
          <w:rFonts w:hint="default" w:ascii="仿宋_GB2312"/>
          <w:szCs w:val="28"/>
          <w:highlight w:val="none"/>
          <w:lang w:val="en-US" w:eastAsia="zh-CN"/>
        </w:rPr>
        <w:t>陕西健嘉医疗器械有限公司189.25万元</w:t>
      </w:r>
      <w:r>
        <w:rPr>
          <w:rFonts w:hint="eastAsia" w:ascii="仿宋_GB2312"/>
          <w:szCs w:val="28"/>
          <w:highlight w:val="none"/>
          <w:lang w:val="en-US" w:eastAsia="zh-CN"/>
        </w:rPr>
        <w:t>、</w:t>
      </w:r>
      <w:r>
        <w:rPr>
          <w:rFonts w:hint="default" w:ascii="仿宋_GB2312"/>
          <w:szCs w:val="28"/>
          <w:highlight w:val="none"/>
          <w:lang w:val="en-US" w:eastAsia="zh-CN"/>
        </w:rPr>
        <w:t>北京诺诗康瀛基因技术股份有限公司15.96万元</w:t>
      </w:r>
      <w:r>
        <w:rPr>
          <w:rFonts w:hint="eastAsia" w:ascii="仿宋_GB2312"/>
          <w:szCs w:val="28"/>
          <w:highlight w:val="none"/>
          <w:lang w:val="en-US" w:eastAsia="zh-CN"/>
        </w:rPr>
        <w:t>、</w:t>
      </w:r>
      <w:r>
        <w:rPr>
          <w:rFonts w:hint="default" w:ascii="仿宋_GB2312"/>
          <w:szCs w:val="28"/>
          <w:highlight w:val="none"/>
          <w:lang w:val="en-US" w:eastAsia="zh-CN"/>
        </w:rPr>
        <w:t>乌鲁木齐诚然信息技术有限公司220.65万元</w:t>
      </w:r>
      <w:r>
        <w:rPr>
          <w:rFonts w:hint="eastAsia" w:ascii="仿宋_GB2312"/>
          <w:szCs w:val="28"/>
          <w:highlight w:val="none"/>
          <w:lang w:val="en-US" w:eastAsia="zh-CN"/>
        </w:rPr>
        <w:t>、</w:t>
      </w:r>
      <w:r>
        <w:rPr>
          <w:rFonts w:hint="default" w:ascii="仿宋_GB2312"/>
          <w:szCs w:val="28"/>
          <w:highlight w:val="none"/>
          <w:lang w:val="en-US" w:eastAsia="zh-CN"/>
        </w:rPr>
        <w:t>山东威高集团医用高分子制品股份有限公司14.2万元</w:t>
      </w:r>
      <w:r>
        <w:rPr>
          <w:rFonts w:hint="eastAsia" w:ascii="仿宋_GB2312"/>
          <w:szCs w:val="28"/>
          <w:highlight w:val="none"/>
          <w:lang w:val="en-US" w:eastAsia="zh-CN"/>
        </w:rPr>
        <w:t>、</w:t>
      </w:r>
      <w:r>
        <w:rPr>
          <w:rFonts w:hint="default" w:ascii="仿宋_GB2312"/>
          <w:szCs w:val="28"/>
          <w:highlight w:val="none"/>
          <w:lang w:val="en-US" w:eastAsia="zh-CN"/>
        </w:rPr>
        <w:t>英科新创（厦门）科技股份有限公司16.6755万元</w:t>
      </w:r>
      <w:r>
        <w:rPr>
          <w:rFonts w:hint="eastAsia" w:ascii="仿宋_GB2312"/>
          <w:szCs w:val="28"/>
          <w:highlight w:val="none"/>
          <w:lang w:val="en-US" w:eastAsia="zh-CN"/>
        </w:rPr>
        <w:t>。</w:t>
      </w:r>
    </w:p>
    <w:p w14:paraId="5AE9FAA7">
      <w:pPr>
        <w:spacing w:line="360" w:lineRule="auto"/>
        <w:ind w:firstLine="560"/>
        <w:rPr>
          <w:rFonts w:hint="eastAsia" w:ascii="仿宋_GB2312"/>
          <w:szCs w:val="28"/>
          <w:highlight w:val="none"/>
          <w:lang w:val="en-US" w:eastAsia="zh-CN"/>
        </w:rPr>
      </w:pPr>
      <w:r>
        <w:rPr>
          <w:rFonts w:hint="eastAsia" w:ascii="仿宋_GB2312"/>
          <w:szCs w:val="28"/>
          <w:highlight w:val="none"/>
          <w:lang w:val="en-US" w:eastAsia="zh-CN"/>
        </w:rPr>
        <w:t>印刷费17.7万元：12月18日支付甘肃丰利佳传媒印刷有限公司17.7015万元。</w:t>
      </w:r>
    </w:p>
    <w:p w14:paraId="55A7D10B">
      <w:pPr>
        <w:spacing w:line="360" w:lineRule="auto"/>
        <w:ind w:firstLine="560"/>
        <w:rPr>
          <w:rFonts w:hint="eastAsia" w:ascii="仿宋_GB2312"/>
          <w:szCs w:val="28"/>
          <w:highlight w:val="none"/>
        </w:rPr>
      </w:pPr>
      <w:r>
        <w:rPr>
          <w:rFonts w:hint="eastAsia" w:ascii="仿宋_GB2312"/>
          <w:szCs w:val="28"/>
          <w:highlight w:val="none"/>
          <w:lang w:val="en-US" w:eastAsia="zh-CN"/>
        </w:rPr>
        <w:t>物业管理费86.17万元：</w:t>
      </w:r>
      <w:r>
        <w:rPr>
          <w:rFonts w:hint="eastAsia" w:ascii="仿宋_GB2312"/>
          <w:szCs w:val="28"/>
          <w:highlight w:val="none"/>
        </w:rPr>
        <w:t>11月21日支付乌鲁木齐清净洁物业服务有限公司86.1696万元。</w:t>
      </w:r>
    </w:p>
    <w:p w14:paraId="5219B44A">
      <w:pPr>
        <w:spacing w:line="360" w:lineRule="auto"/>
        <w:ind w:firstLine="562"/>
        <w:rPr>
          <w:rFonts w:ascii="仿宋_GB2312"/>
          <w:szCs w:val="28"/>
          <w:highlight w:val="none"/>
        </w:rPr>
      </w:pPr>
      <w:r>
        <w:rPr>
          <w:rFonts w:hint="eastAsia" w:ascii="仿宋_GB2312"/>
          <w:b/>
          <w:bCs/>
          <w:szCs w:val="28"/>
          <w:highlight w:val="none"/>
        </w:rPr>
        <w:t>资金使用合规性：</w:t>
      </w:r>
      <w:r>
        <w:rPr>
          <w:rFonts w:hint="eastAsia" w:ascii="仿宋_GB2312"/>
          <w:szCs w:val="28"/>
          <w:highlight w:val="none"/>
        </w:rPr>
        <w:t>本项目资金的使用符合国家财经法规和《乌鲁木齐市血液中心内部控制管理手册》以及有关专项资金管理办法的规定。同时，资金的使用由业务科室提出申请，财务科根据申请上报支付计划，支付计划由主管局和财政局审批，审批通过后，由财务科通知各科室提供支付材料，财务科人员根据支付材料进行支付。资金的拨付有完整的审批程序和手续，符合项目预算批复或合同规定的用途，不存在截留、挤占、挪用、虚列支出等情况。故资金使用合规性得分3分。</w:t>
      </w:r>
    </w:p>
    <w:p w14:paraId="0BB59F19">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13</w:t>
      </w:r>
      <w:r>
        <w:rPr>
          <w:rFonts w:hint="eastAsia" w:ascii="仿宋_GB2312" w:hAnsi="仿宋" w:cs="宋体"/>
          <w:b/>
          <w:kern w:val="0"/>
          <w:szCs w:val="28"/>
          <w:highlight w:val="none"/>
        </w:rPr>
        <w:t>分，得分1</w:t>
      </w:r>
      <w:r>
        <w:rPr>
          <w:rFonts w:hint="eastAsia" w:ascii="仿宋_GB2312" w:hAnsi="仿宋" w:cs="宋体"/>
          <w:b/>
          <w:kern w:val="0"/>
          <w:szCs w:val="28"/>
          <w:highlight w:val="none"/>
          <w:lang w:val="en-US" w:eastAsia="zh-CN"/>
        </w:rPr>
        <w:t>2.47</w:t>
      </w:r>
      <w:r>
        <w:rPr>
          <w:rFonts w:hint="eastAsia" w:ascii="仿宋_GB2312" w:hAnsi="仿宋" w:cs="宋体"/>
          <w:b/>
          <w:kern w:val="0"/>
          <w:szCs w:val="28"/>
          <w:highlight w:val="none"/>
        </w:rPr>
        <w:t>分。</w:t>
      </w:r>
    </w:p>
    <w:p w14:paraId="0BE20C3D">
      <w:pPr>
        <w:pStyle w:val="4"/>
        <w:ind w:firstLine="643"/>
        <w:rPr>
          <w:highlight w:val="none"/>
        </w:rPr>
      </w:pPr>
      <w:bookmarkStart w:id="44" w:name="_Toc28812"/>
      <w:r>
        <w:rPr>
          <w:highlight w:val="none"/>
        </w:rPr>
        <w:t>2.</w:t>
      </w:r>
      <w:r>
        <w:rPr>
          <w:rFonts w:hint="eastAsia"/>
          <w:highlight w:val="none"/>
        </w:rPr>
        <w:t>组织实施</w:t>
      </w:r>
      <w:bookmarkEnd w:id="44"/>
    </w:p>
    <w:p w14:paraId="0F7799C3">
      <w:pPr>
        <w:spacing w:line="360" w:lineRule="auto"/>
        <w:ind w:firstLine="562"/>
        <w:rPr>
          <w:rFonts w:ascii="仿宋_GB2312"/>
          <w:szCs w:val="28"/>
          <w:highlight w:val="none"/>
        </w:rPr>
      </w:pPr>
      <w:r>
        <w:rPr>
          <w:rFonts w:hint="eastAsia" w:ascii="仿宋_GB2312"/>
          <w:b/>
          <w:bCs/>
          <w:szCs w:val="28"/>
          <w:highlight w:val="none"/>
        </w:rPr>
        <w:t>管理制度健全性</w:t>
      </w:r>
      <w:r>
        <w:rPr>
          <w:rFonts w:hint="eastAsia" w:ascii="仿宋_GB2312"/>
          <w:szCs w:val="28"/>
          <w:highlight w:val="none"/>
        </w:rPr>
        <w:t>：乌鲁木齐市血液中心已制定相应的财务和业务管理制度，如《血站质量管理规范》《血站实验室质量管理规范》《市血液中心落实“三重一大”制度实施细则》《突发公共卫生事件应急条例》《血站技术操作规程（2019版）》《血站基本标准》等制度，且制度合法、合规、完整，为项目顺利实施提供重要保障。故管理制度健全性得分为3分。</w:t>
      </w:r>
    </w:p>
    <w:p w14:paraId="77F46063">
      <w:pPr>
        <w:spacing w:line="360" w:lineRule="auto"/>
        <w:ind w:firstLine="562"/>
        <w:rPr>
          <w:rFonts w:ascii="仿宋_GB2312"/>
          <w:szCs w:val="28"/>
          <w:highlight w:val="none"/>
        </w:rPr>
      </w:pPr>
      <w:r>
        <w:rPr>
          <w:rFonts w:hint="eastAsia" w:ascii="仿宋_GB2312"/>
          <w:b/>
          <w:bCs/>
          <w:szCs w:val="28"/>
          <w:highlight w:val="none"/>
        </w:rPr>
        <w:t>制度执行有效性：</w:t>
      </w:r>
      <w:r>
        <w:rPr>
          <w:rFonts w:hint="eastAsia" w:ascii="仿宋_GB2312"/>
          <w:szCs w:val="28"/>
          <w:highlight w:val="none"/>
        </w:rPr>
        <w:t>根据评价小组核查情况，乌鲁木齐市血液中心严格遵守相关法律法规和相关管理规定，项目调整及支出调整手续完备，整体管理合理有序，项目完成后，及时将会计凭证、固定资产入库单、采购合同、中标通知书等相关资料分类归档，制度执行有效。故制度执行有效性指标得分</w:t>
      </w:r>
      <w:r>
        <w:rPr>
          <w:rFonts w:ascii="仿宋_GB2312"/>
          <w:szCs w:val="28"/>
          <w:highlight w:val="none"/>
        </w:rPr>
        <w:t>4</w:t>
      </w:r>
      <w:r>
        <w:rPr>
          <w:rFonts w:hint="eastAsia" w:ascii="仿宋_GB2312"/>
          <w:szCs w:val="28"/>
          <w:highlight w:val="none"/>
        </w:rPr>
        <w:t>分。</w:t>
      </w:r>
    </w:p>
    <w:p w14:paraId="2A34BECE">
      <w:pPr>
        <w:autoSpaceDE w:val="0"/>
        <w:spacing w:line="600" w:lineRule="exact"/>
        <w:ind w:firstLine="562"/>
        <w:rPr>
          <w:rFonts w:hint="eastAsia" w:ascii="仿宋_GB2312" w:hAnsi="仿宋" w:cs="宋体"/>
          <w:b/>
          <w:kern w:val="0"/>
          <w:szCs w:val="28"/>
          <w:highlight w:val="none"/>
        </w:rPr>
      </w:pPr>
      <w:bookmarkStart w:id="45" w:name="_Hlk67670213"/>
      <w:r>
        <w:rPr>
          <w:rFonts w:hint="eastAsia" w:ascii="仿宋_GB2312" w:hAnsi="仿宋" w:cs="宋体"/>
          <w:b/>
          <w:kern w:val="0"/>
          <w:szCs w:val="28"/>
          <w:highlight w:val="none"/>
        </w:rPr>
        <w:t>综上，该指标满分</w:t>
      </w:r>
      <w:r>
        <w:rPr>
          <w:rFonts w:ascii="仿宋_GB2312" w:hAnsi="仿宋" w:cs="宋体"/>
          <w:b/>
          <w:kern w:val="0"/>
          <w:szCs w:val="28"/>
          <w:highlight w:val="none"/>
        </w:rPr>
        <w:t>7</w:t>
      </w:r>
      <w:r>
        <w:rPr>
          <w:rFonts w:hint="eastAsia" w:ascii="仿宋_GB2312" w:hAnsi="仿宋" w:cs="宋体"/>
          <w:b/>
          <w:kern w:val="0"/>
          <w:szCs w:val="28"/>
          <w:highlight w:val="none"/>
        </w:rPr>
        <w:t>分，得分</w:t>
      </w:r>
      <w:r>
        <w:rPr>
          <w:rFonts w:ascii="仿宋_GB2312" w:hAnsi="仿宋" w:cs="宋体"/>
          <w:b/>
          <w:kern w:val="0"/>
          <w:szCs w:val="28"/>
          <w:highlight w:val="none"/>
        </w:rPr>
        <w:t>7</w:t>
      </w:r>
      <w:r>
        <w:rPr>
          <w:rFonts w:hint="eastAsia" w:ascii="仿宋_GB2312" w:hAnsi="仿宋" w:cs="宋体"/>
          <w:b/>
          <w:kern w:val="0"/>
          <w:szCs w:val="28"/>
          <w:highlight w:val="none"/>
        </w:rPr>
        <w:t>分。</w:t>
      </w:r>
    </w:p>
    <w:p w14:paraId="33EB2FBE">
      <w:pPr>
        <w:pStyle w:val="3"/>
        <w:ind w:firstLine="643"/>
        <w:rPr>
          <w:rFonts w:hint="eastAsia" w:ascii="仿宋" w:hAnsi="仿宋" w:eastAsia="仿宋"/>
          <w:highlight w:val="none"/>
          <w:lang w:val="en-US" w:eastAsia="zh-CN" w:bidi="en-US"/>
        </w:rPr>
      </w:pPr>
      <w:bookmarkStart w:id="46" w:name="_Toc67911614"/>
      <w:bookmarkStart w:id="47" w:name="_Toc15035"/>
      <w:r>
        <w:rPr>
          <w:rFonts w:hint="eastAsia" w:ascii="仿宋" w:hAnsi="仿宋" w:eastAsia="仿宋"/>
          <w:highlight w:val="none"/>
          <w:lang w:bidi="en-US"/>
        </w:rPr>
        <w:t>（三）项目产出情况</w:t>
      </w:r>
      <w:bookmarkEnd w:id="46"/>
      <w:bookmarkEnd w:id="47"/>
      <w:r>
        <w:rPr>
          <w:rFonts w:hint="eastAsia" w:ascii="仿宋" w:hAnsi="仿宋" w:eastAsia="仿宋"/>
          <w:highlight w:val="none"/>
          <w:lang w:val="en-US" w:eastAsia="zh-CN" w:bidi="en-US"/>
        </w:rPr>
        <w:tab/>
      </w:r>
    </w:p>
    <w:p w14:paraId="2C0DBA01">
      <w:pPr>
        <w:spacing w:line="360" w:lineRule="auto"/>
        <w:ind w:firstLine="560"/>
        <w:rPr>
          <w:rFonts w:hint="eastAsia" w:ascii="仿宋_GB2312" w:hAnsi="仿宋" w:cs="宋体"/>
          <w:b/>
          <w:kern w:val="0"/>
          <w:szCs w:val="28"/>
          <w:highlight w:val="none"/>
        </w:rPr>
      </w:pPr>
      <w:r>
        <w:rPr>
          <w:rFonts w:hint="eastAsia" w:ascii="仿宋_GB2312"/>
          <w:szCs w:val="28"/>
          <w:highlight w:val="none"/>
        </w:rPr>
        <w:t>项目产出指标由</w:t>
      </w:r>
      <w:r>
        <w:rPr>
          <w:rFonts w:ascii="仿宋_GB2312"/>
          <w:szCs w:val="28"/>
          <w:highlight w:val="none"/>
        </w:rPr>
        <w:t>4</w:t>
      </w:r>
      <w:r>
        <w:rPr>
          <w:rFonts w:hint="eastAsia" w:ascii="仿宋_GB2312"/>
          <w:szCs w:val="28"/>
          <w:highlight w:val="none"/>
        </w:rPr>
        <w:t>个二级指标和12个三级指标构成，权重为</w:t>
      </w:r>
      <w:r>
        <w:rPr>
          <w:rFonts w:ascii="仿宋_GB2312"/>
          <w:szCs w:val="28"/>
          <w:highlight w:val="none"/>
        </w:rPr>
        <w:t>40</w:t>
      </w:r>
      <w:r>
        <w:rPr>
          <w:rFonts w:hint="eastAsia" w:ascii="仿宋_GB2312"/>
          <w:szCs w:val="28"/>
          <w:highlight w:val="none"/>
        </w:rPr>
        <w:t>分，实际得分39.38分。</w:t>
      </w:r>
      <w:bookmarkEnd w:id="45"/>
    </w:p>
    <w:p w14:paraId="55BD741A">
      <w:pPr>
        <w:pStyle w:val="4"/>
        <w:ind w:firstLine="643"/>
        <w:rPr>
          <w:highlight w:val="none"/>
        </w:rPr>
      </w:pPr>
      <w:r>
        <w:rPr>
          <w:rFonts w:hint="eastAsia"/>
          <w:highlight w:val="none"/>
        </w:rPr>
        <w:t>1</w:t>
      </w:r>
      <w:r>
        <w:rPr>
          <w:highlight w:val="none"/>
        </w:rPr>
        <w:t>.</w:t>
      </w:r>
      <w:r>
        <w:rPr>
          <w:rFonts w:hint="eastAsia"/>
          <w:highlight w:val="none"/>
        </w:rPr>
        <w:t>产出数量</w:t>
      </w:r>
      <w:bookmarkEnd w:id="43"/>
    </w:p>
    <w:p w14:paraId="0D4AC426">
      <w:pPr>
        <w:spacing w:line="360" w:lineRule="auto"/>
        <w:ind w:firstLine="560"/>
        <w:rPr>
          <w:rFonts w:ascii="仿宋_GB2312"/>
          <w:color w:val="auto"/>
          <w:szCs w:val="28"/>
          <w:highlight w:val="none"/>
        </w:rPr>
      </w:pPr>
      <w:r>
        <w:rPr>
          <w:rFonts w:hint="eastAsia" w:ascii="仿宋_GB2312"/>
          <w:b/>
          <w:bCs/>
          <w:szCs w:val="28"/>
          <w:highlight w:val="none"/>
        </w:rPr>
        <w:t>数量指标“采集人次”</w:t>
      </w:r>
      <w:r>
        <w:rPr>
          <w:rFonts w:hint="eastAsia" w:ascii="仿宋_GB2312"/>
          <w:bCs/>
          <w:szCs w:val="28"/>
          <w:highlight w:val="none"/>
        </w:rPr>
        <w:t>的目标值是≥7万人次，</w:t>
      </w:r>
      <w:r>
        <w:rPr>
          <w:rFonts w:hint="eastAsia" w:ascii="仿宋_GB2312"/>
          <w:bCs/>
          <w:color w:val="auto"/>
          <w:szCs w:val="28"/>
          <w:highlight w:val="none"/>
        </w:rPr>
        <w:t>2024</w:t>
      </w:r>
      <w:r>
        <w:rPr>
          <w:rFonts w:ascii="仿宋_GB2312"/>
          <w:bCs/>
          <w:color w:val="auto"/>
          <w:szCs w:val="28"/>
          <w:highlight w:val="none"/>
        </w:rPr>
        <w:t>年度我单位实际完成</w:t>
      </w:r>
      <w:r>
        <w:rPr>
          <w:rFonts w:hint="eastAsia" w:ascii="仿宋_GB2312"/>
          <w:bCs/>
          <w:color w:val="auto"/>
          <w:szCs w:val="28"/>
          <w:highlight w:val="none"/>
        </w:rPr>
        <w:t>血液采集7.99万人次，</w:t>
      </w:r>
      <w:r>
        <w:rPr>
          <w:rFonts w:hint="eastAsia" w:ascii="仿宋_GB2312"/>
          <w:bCs/>
          <w:color w:val="auto"/>
          <w:szCs w:val="28"/>
          <w:highlight w:val="none"/>
          <w:lang w:val="en-US" w:eastAsia="zh-CN"/>
        </w:rPr>
        <w:t>依据9.0信息系统导出采血日志：其中，采血65770人次（团体献血10901人次、自愿献血10344人次、应急献血44525人次）、单采血小板14130人次（团体献血241人次、自愿献血2314人次、应急献血11575人次）。实际完成情况与目标值偏差14.14%，属于合理范围内。目标值为综合往年采集人次数据及推测2024年度预计承载能力制定。后期，我单位将进一步加强采集人次的预测，降低偏差率。</w:t>
      </w:r>
      <w:r>
        <w:rPr>
          <w:rFonts w:hint="eastAsia" w:ascii="仿宋_GB2312"/>
          <w:b/>
          <w:bCs/>
          <w:szCs w:val="28"/>
          <w:highlight w:val="none"/>
        </w:rPr>
        <w:t>实际完成率：</w:t>
      </w:r>
      <w:r>
        <w:rPr>
          <w:rFonts w:hint="eastAsia" w:ascii="仿宋_GB2312"/>
          <w:szCs w:val="28"/>
          <w:highlight w:val="none"/>
        </w:rPr>
        <w:t>11</w:t>
      </w:r>
      <w:r>
        <w:rPr>
          <w:rFonts w:hint="eastAsia" w:ascii="仿宋_GB2312"/>
          <w:szCs w:val="28"/>
          <w:highlight w:val="none"/>
          <w:lang w:val="en-US" w:eastAsia="zh-CN"/>
        </w:rPr>
        <w:t>4.14</w:t>
      </w:r>
      <w:r>
        <w:rPr>
          <w:rFonts w:hint="eastAsia" w:ascii="仿宋_GB2312"/>
          <w:szCs w:val="28"/>
          <w:highlight w:val="none"/>
        </w:rPr>
        <w:t>%</w:t>
      </w:r>
      <w:r>
        <w:rPr>
          <w:rFonts w:hint="eastAsia" w:ascii="仿宋_GB2312"/>
          <w:color w:val="auto"/>
          <w:szCs w:val="28"/>
          <w:highlight w:val="none"/>
        </w:rPr>
        <w:t>，故实际完成率得分为2分。</w:t>
      </w:r>
    </w:p>
    <w:p w14:paraId="63930A9C">
      <w:pPr>
        <w:spacing w:line="360" w:lineRule="auto"/>
        <w:ind w:firstLine="560"/>
        <w:rPr>
          <w:rFonts w:ascii="仿宋_GB2312"/>
          <w:bCs/>
          <w:color w:val="auto"/>
          <w:szCs w:val="28"/>
          <w:highlight w:val="none"/>
        </w:rPr>
      </w:pPr>
      <w:r>
        <w:rPr>
          <w:rFonts w:hint="eastAsia" w:ascii="仿宋_GB2312"/>
          <w:b/>
          <w:bCs w:val="0"/>
          <w:color w:val="auto"/>
          <w:szCs w:val="28"/>
          <w:highlight w:val="none"/>
        </w:rPr>
        <w:t>数量指标“采血吨数”</w:t>
      </w:r>
      <w:r>
        <w:rPr>
          <w:rFonts w:hint="eastAsia" w:ascii="仿宋_GB2312"/>
          <w:bCs/>
          <w:color w:val="auto"/>
          <w:szCs w:val="28"/>
          <w:highlight w:val="none"/>
        </w:rPr>
        <w:t>的目标值是</w:t>
      </w:r>
      <w:r>
        <w:rPr>
          <w:rFonts w:hint="eastAsia" w:ascii="仿宋_GB2312"/>
          <w:bCs/>
          <w:color w:val="auto"/>
          <w:szCs w:val="28"/>
          <w:highlight w:val="none"/>
          <w:lang w:val="en-US" w:eastAsia="zh-CN"/>
        </w:rPr>
        <w:t>≥</w:t>
      </w:r>
      <w:r>
        <w:rPr>
          <w:rFonts w:hint="eastAsia" w:ascii="仿宋_GB2312"/>
          <w:bCs/>
          <w:color w:val="auto"/>
          <w:szCs w:val="28"/>
          <w:highlight w:val="none"/>
        </w:rPr>
        <w:t>22吨，</w:t>
      </w:r>
      <w:r>
        <w:rPr>
          <w:rFonts w:hint="eastAsia" w:ascii="仿宋_GB2312"/>
          <w:bCs/>
          <w:color w:val="auto"/>
          <w:szCs w:val="28"/>
          <w:highlight w:val="none"/>
          <w:lang w:val="en-US" w:eastAsia="zh-CN"/>
        </w:rPr>
        <w:t>2024年我单位实际完成采血24.85万吨，依据9.0信息系统导出采血日志：采血19.91吨（团体献血2.67吨、自愿献血2.99吨、应急献血14.25吨）、血小板4.94吨（团体献血0.08吨、自愿献血0.8吨、应急献血4.06吨）。实际完成情况与目标值偏差12.95%，属于合理范围内。目标值为综合往年采集人次数据及推测2024年度预计承载能力制定，实际采血量与当年实际献血人次相关。后期，我单位将进一步加强采集吨数的预测，降低偏差率。</w:t>
      </w:r>
      <w:r>
        <w:rPr>
          <w:rFonts w:hint="eastAsia" w:ascii="仿宋_GB2312"/>
          <w:b/>
          <w:bCs/>
          <w:color w:val="auto"/>
          <w:szCs w:val="28"/>
          <w:highlight w:val="none"/>
        </w:rPr>
        <w:t>实际完成率：</w:t>
      </w:r>
      <w:r>
        <w:rPr>
          <w:rFonts w:hint="eastAsia" w:ascii="仿宋_GB2312"/>
          <w:color w:val="auto"/>
          <w:szCs w:val="28"/>
          <w:highlight w:val="none"/>
        </w:rPr>
        <w:t>112.95%，故实际完成率得分为2分。</w:t>
      </w:r>
    </w:p>
    <w:p w14:paraId="0823ADAE">
      <w:pPr>
        <w:spacing w:line="360" w:lineRule="auto"/>
        <w:ind w:firstLine="560"/>
        <w:rPr>
          <w:rFonts w:ascii="仿宋_GB2312"/>
          <w:szCs w:val="28"/>
          <w:highlight w:val="none"/>
        </w:rPr>
      </w:pPr>
      <w:r>
        <w:rPr>
          <w:rFonts w:hint="eastAsia" w:ascii="仿宋_GB2312"/>
          <w:b/>
          <w:bCs w:val="0"/>
          <w:szCs w:val="28"/>
          <w:highlight w:val="none"/>
        </w:rPr>
        <w:t>数量指标“保安人数”</w:t>
      </w:r>
      <w:r>
        <w:rPr>
          <w:rFonts w:hint="eastAsia" w:ascii="仿宋_GB2312"/>
          <w:bCs/>
          <w:szCs w:val="28"/>
          <w:highlight w:val="none"/>
        </w:rPr>
        <w:t>的目标值是≥13人，</w:t>
      </w:r>
      <w:r>
        <w:rPr>
          <w:rFonts w:ascii="仿宋_GB2312"/>
          <w:bCs/>
          <w:szCs w:val="28"/>
          <w:highlight w:val="none"/>
        </w:rPr>
        <w:t>2024年度我单位</w:t>
      </w:r>
      <w:r>
        <w:rPr>
          <w:rFonts w:hint="eastAsia" w:ascii="仿宋_GB2312"/>
          <w:bCs/>
          <w:szCs w:val="28"/>
          <w:highlight w:val="none"/>
        </w:rPr>
        <w:t>实际保安人数为9人</w:t>
      </w:r>
      <w:r>
        <w:rPr>
          <w:rFonts w:hint="eastAsia" w:ascii="仿宋_GB2312"/>
          <w:bCs/>
          <w:szCs w:val="28"/>
          <w:highlight w:val="none"/>
          <w:lang w:eastAsia="zh-CN"/>
        </w:rPr>
        <w:t>。</w:t>
      </w:r>
      <w:r>
        <w:rPr>
          <w:rFonts w:hint="eastAsia" w:ascii="仿宋_GB2312"/>
          <w:bCs/>
          <w:szCs w:val="28"/>
          <w:highlight w:val="none"/>
          <w:lang w:val="en-US" w:eastAsia="zh-CN"/>
        </w:rPr>
        <w:t>通过政府采购平台公开招标确定物业管理公司为乌鲁木齐清净洁物业服务有限公司。该公司根据中标金额安排保安人员9人。</w:t>
      </w:r>
      <w:r>
        <w:rPr>
          <w:rFonts w:hint="eastAsia" w:ascii="仿宋_GB2312"/>
          <w:bCs/>
          <w:color w:val="auto"/>
          <w:szCs w:val="28"/>
          <w:highlight w:val="none"/>
          <w:lang w:val="en-US" w:eastAsia="zh-CN"/>
        </w:rPr>
        <w:t>实际完成情况与目标值偏差30.77%。目标值根据物业管理项目评审单确定，但实际</w:t>
      </w:r>
      <w:r>
        <w:rPr>
          <w:rFonts w:hint="eastAsia" w:ascii="仿宋_GB2312"/>
          <w:bCs/>
          <w:szCs w:val="28"/>
          <w:highlight w:val="none"/>
          <w:lang w:val="en-US" w:eastAsia="zh-CN"/>
        </w:rPr>
        <w:t>物业管理费中标情况导致保安人员配置未达预期。</w:t>
      </w:r>
      <w:r>
        <w:rPr>
          <w:rFonts w:hint="eastAsia" w:ascii="仿宋_GB2312"/>
          <w:b/>
          <w:bCs/>
          <w:szCs w:val="28"/>
          <w:highlight w:val="none"/>
        </w:rPr>
        <w:t>实际完成率：</w:t>
      </w:r>
      <w:r>
        <w:rPr>
          <w:rFonts w:hint="eastAsia" w:ascii="仿宋_GB2312"/>
          <w:szCs w:val="28"/>
          <w:highlight w:val="none"/>
        </w:rPr>
        <w:t>69.23%，故实际完成率得分为1.38分。</w:t>
      </w:r>
    </w:p>
    <w:p w14:paraId="578ACB64">
      <w:pPr>
        <w:spacing w:line="360" w:lineRule="auto"/>
        <w:ind w:firstLine="560"/>
        <w:rPr>
          <w:rFonts w:ascii="仿宋_GB2312"/>
          <w:szCs w:val="28"/>
          <w:highlight w:val="none"/>
        </w:rPr>
      </w:pPr>
      <w:r>
        <w:rPr>
          <w:rFonts w:hint="eastAsia" w:ascii="仿宋_GB2312"/>
          <w:b/>
          <w:bCs w:val="0"/>
          <w:szCs w:val="28"/>
          <w:highlight w:val="none"/>
        </w:rPr>
        <w:t>数量指标“血液包装盒”</w:t>
      </w:r>
      <w:r>
        <w:rPr>
          <w:rFonts w:hint="eastAsia" w:ascii="仿宋_GB2312"/>
          <w:bCs/>
          <w:szCs w:val="28"/>
          <w:highlight w:val="none"/>
        </w:rPr>
        <w:t>的目标值是4种，</w:t>
      </w:r>
      <w:r>
        <w:rPr>
          <w:rFonts w:ascii="仿宋_GB2312"/>
          <w:bCs/>
          <w:szCs w:val="28"/>
          <w:highlight w:val="none"/>
        </w:rPr>
        <w:t>2024年度我单位</w:t>
      </w:r>
      <w:r>
        <w:rPr>
          <w:rFonts w:hint="eastAsia" w:ascii="仿宋_GB2312"/>
          <w:bCs/>
          <w:szCs w:val="28"/>
          <w:highlight w:val="none"/>
        </w:rPr>
        <w:t>实际采购的血液包装盒数量为4种</w:t>
      </w:r>
      <w:r>
        <w:rPr>
          <w:rFonts w:hint="eastAsia" w:ascii="仿宋_GB2312"/>
          <w:bCs/>
          <w:szCs w:val="28"/>
          <w:highlight w:val="none"/>
          <w:lang w:eastAsia="zh-CN"/>
        </w:rPr>
        <w:t>。</w:t>
      </w:r>
      <w:r>
        <w:rPr>
          <w:rFonts w:hint="eastAsia" w:ascii="仿宋_GB2312"/>
          <w:bCs/>
          <w:szCs w:val="28"/>
          <w:highlight w:val="none"/>
          <w:lang w:val="en-US" w:eastAsia="zh-CN"/>
        </w:rPr>
        <w:t>2024年我单位通过政府采购平台对血液包装盒进行招标，种类为4种，用于新鲜血浆和冰冻血浆的储存和运输。</w:t>
      </w:r>
      <w:r>
        <w:rPr>
          <w:rFonts w:hint="eastAsia" w:ascii="仿宋_GB2312"/>
          <w:b/>
          <w:bCs/>
          <w:szCs w:val="28"/>
          <w:highlight w:val="none"/>
        </w:rPr>
        <w:t>实际完成率：</w:t>
      </w:r>
      <w:r>
        <w:rPr>
          <w:rFonts w:hint="eastAsia" w:ascii="仿宋_GB2312"/>
          <w:szCs w:val="28"/>
          <w:highlight w:val="none"/>
        </w:rPr>
        <w:t>100%，故实际完成率得分为2分。</w:t>
      </w:r>
    </w:p>
    <w:p w14:paraId="360A0BBE">
      <w:pPr>
        <w:autoSpaceDE w:val="0"/>
        <w:spacing w:line="600" w:lineRule="exact"/>
        <w:ind w:firstLine="562"/>
        <w:rPr>
          <w:rFonts w:hint="eastAsia" w:ascii="Times New Roman" w:hAnsi="Times New Roman" w:cs="宋体"/>
          <w:b/>
          <w:kern w:val="0"/>
          <w:szCs w:val="28"/>
          <w:highlight w:val="none"/>
        </w:rPr>
      </w:pPr>
      <w:r>
        <w:rPr>
          <w:rFonts w:hint="eastAsia" w:ascii="Times New Roman" w:hAnsi="Times New Roman" w:cs="宋体"/>
          <w:b/>
          <w:kern w:val="0"/>
          <w:szCs w:val="28"/>
          <w:highlight w:val="none"/>
        </w:rPr>
        <w:t>综上，</w:t>
      </w:r>
      <w:r>
        <w:rPr>
          <w:rFonts w:hint="eastAsia" w:ascii="Times New Roman" w:hAnsi="Times New Roman" w:cs="宋体"/>
          <w:b/>
          <w:kern w:val="0"/>
          <w:szCs w:val="28"/>
          <w:highlight w:val="none"/>
          <w:lang w:val="en-US" w:eastAsia="zh-CN"/>
        </w:rPr>
        <w:t>该</w:t>
      </w:r>
      <w:r>
        <w:rPr>
          <w:rFonts w:hint="eastAsia" w:ascii="Times New Roman" w:hAnsi="Times New Roman" w:cs="宋体"/>
          <w:b/>
          <w:kern w:val="0"/>
          <w:szCs w:val="28"/>
          <w:highlight w:val="none"/>
        </w:rPr>
        <w:t>指标的实际完成率</w:t>
      </w:r>
      <w:r>
        <w:rPr>
          <w:rFonts w:hint="eastAsia" w:ascii="Times New Roman" w:hAnsi="Times New Roman" w:cs="宋体"/>
          <w:b/>
          <w:kern w:val="0"/>
          <w:szCs w:val="28"/>
          <w:highlight w:val="none"/>
          <w:lang w:val="en-US" w:eastAsia="zh-CN"/>
        </w:rPr>
        <w:t>99.08</w:t>
      </w:r>
      <w:r>
        <w:rPr>
          <w:rFonts w:hint="eastAsia" w:ascii="Times New Roman" w:hAnsi="Times New Roman" w:cs="宋体"/>
          <w:b/>
          <w:kern w:val="0"/>
          <w:szCs w:val="28"/>
          <w:highlight w:val="none"/>
        </w:rPr>
        <w:t>%，赋分</w:t>
      </w:r>
      <w:r>
        <w:rPr>
          <w:rFonts w:hint="eastAsia" w:ascii="Times New Roman" w:hAnsi="Times New Roman" w:cs="宋体"/>
          <w:b/>
          <w:kern w:val="0"/>
          <w:szCs w:val="28"/>
          <w:highlight w:val="none"/>
          <w:lang w:val="en-US" w:eastAsia="zh-CN"/>
        </w:rPr>
        <w:t>8</w:t>
      </w:r>
      <w:r>
        <w:rPr>
          <w:rFonts w:hint="eastAsia" w:ascii="Times New Roman" w:hAnsi="Times New Roman" w:cs="宋体"/>
          <w:b/>
          <w:kern w:val="0"/>
          <w:szCs w:val="28"/>
          <w:highlight w:val="none"/>
        </w:rPr>
        <w:t>分，得分为</w:t>
      </w:r>
      <w:r>
        <w:rPr>
          <w:rFonts w:hint="eastAsia" w:ascii="Times New Roman" w:hAnsi="Times New Roman" w:cs="宋体"/>
          <w:b/>
          <w:kern w:val="0"/>
          <w:szCs w:val="28"/>
          <w:highlight w:val="none"/>
          <w:lang w:val="en-US" w:eastAsia="zh-CN"/>
        </w:rPr>
        <w:t>7.38</w:t>
      </w:r>
      <w:r>
        <w:rPr>
          <w:rFonts w:hint="eastAsia" w:ascii="Times New Roman" w:hAnsi="Times New Roman" w:cs="宋体"/>
          <w:b/>
          <w:kern w:val="0"/>
          <w:szCs w:val="28"/>
          <w:highlight w:val="none"/>
        </w:rPr>
        <w:t>分。</w:t>
      </w:r>
    </w:p>
    <w:p w14:paraId="394B3BCA">
      <w:pPr>
        <w:pStyle w:val="4"/>
        <w:ind w:firstLine="643"/>
        <w:rPr>
          <w:highlight w:val="none"/>
        </w:rPr>
      </w:pPr>
      <w:bookmarkStart w:id="48" w:name="_Toc28482"/>
      <w:r>
        <w:rPr>
          <w:rFonts w:hint="eastAsia"/>
          <w:highlight w:val="none"/>
        </w:rPr>
        <w:t>2</w:t>
      </w:r>
      <w:r>
        <w:rPr>
          <w:highlight w:val="none"/>
        </w:rPr>
        <w:t>.</w:t>
      </w:r>
      <w:r>
        <w:rPr>
          <w:rFonts w:hint="eastAsia"/>
          <w:highlight w:val="none"/>
        </w:rPr>
        <w:t>产出质量</w:t>
      </w:r>
      <w:bookmarkEnd w:id="48"/>
    </w:p>
    <w:p w14:paraId="167939E5">
      <w:pPr>
        <w:spacing w:line="360" w:lineRule="auto"/>
        <w:ind w:firstLine="562"/>
        <w:rPr>
          <w:rFonts w:hint="eastAsia" w:ascii="仿宋_GB2312"/>
          <w:szCs w:val="28"/>
          <w:highlight w:val="none"/>
        </w:rPr>
      </w:pPr>
      <w:r>
        <w:rPr>
          <w:rFonts w:hint="eastAsia" w:ascii="仿宋_GB2312"/>
          <w:b/>
          <w:bCs/>
          <w:szCs w:val="28"/>
          <w:highlight w:val="none"/>
        </w:rPr>
        <w:t>一次性验收合格率：</w:t>
      </w:r>
      <w:r>
        <w:rPr>
          <w:rFonts w:hint="eastAsia" w:ascii="仿宋_GB2312"/>
          <w:szCs w:val="28"/>
          <w:highlight w:val="none"/>
        </w:rPr>
        <w:t>我单位在试剂耗材入库前进行验收，验收合格后方可进行入库操作，2024年本项目试剂耗材经</w:t>
      </w:r>
      <w:r>
        <w:rPr>
          <w:rFonts w:hint="eastAsia" w:ascii="仿宋_GB2312"/>
          <w:szCs w:val="28"/>
          <w:highlight w:val="none"/>
          <w:lang w:val="en-US" w:eastAsia="zh-CN"/>
        </w:rPr>
        <w:t>验收合格后入库</w:t>
      </w:r>
      <w:r>
        <w:rPr>
          <w:rFonts w:hint="eastAsia" w:ascii="仿宋_GB2312"/>
          <w:szCs w:val="28"/>
          <w:highlight w:val="none"/>
        </w:rPr>
        <w:t>，</w:t>
      </w:r>
      <w:r>
        <w:rPr>
          <w:rFonts w:hint="eastAsia" w:ascii="仿宋_GB2312"/>
          <w:szCs w:val="28"/>
          <w:highlight w:val="none"/>
          <w:lang w:val="en-US" w:eastAsia="zh-CN"/>
        </w:rPr>
        <w:t>并由各业务科室领用。</w:t>
      </w:r>
      <w:r>
        <w:rPr>
          <w:rFonts w:hint="eastAsia" w:ascii="仿宋_GB2312"/>
          <w:szCs w:val="28"/>
          <w:highlight w:val="none"/>
        </w:rPr>
        <w:t>一次性验收合格率得分为10分。</w:t>
      </w:r>
    </w:p>
    <w:p w14:paraId="42E93DDD">
      <w:pPr>
        <w:autoSpaceDE w:val="0"/>
        <w:spacing w:line="600" w:lineRule="exact"/>
        <w:ind w:firstLine="562"/>
        <w:rPr>
          <w:rFonts w:hint="eastAsia" w:ascii="仿宋_GB2312"/>
          <w:szCs w:val="28"/>
          <w:highlight w:val="none"/>
        </w:rPr>
      </w:pPr>
      <w:r>
        <w:rPr>
          <w:rFonts w:hint="eastAsia" w:ascii="Times New Roman" w:hAnsi="Times New Roman" w:cs="宋体"/>
          <w:b/>
          <w:kern w:val="0"/>
          <w:szCs w:val="28"/>
          <w:highlight w:val="none"/>
        </w:rPr>
        <w:t>综上，该指标满分</w:t>
      </w:r>
      <w:r>
        <w:rPr>
          <w:rFonts w:ascii="Times New Roman" w:hAnsi="Times New Roman" w:cs="宋体"/>
          <w:b/>
          <w:kern w:val="0"/>
          <w:szCs w:val="28"/>
          <w:highlight w:val="none"/>
        </w:rPr>
        <w:t>1</w:t>
      </w:r>
      <w:r>
        <w:rPr>
          <w:rFonts w:hint="eastAsia" w:ascii="Times New Roman" w:hAnsi="Times New Roman" w:cs="宋体"/>
          <w:b/>
          <w:kern w:val="0"/>
          <w:szCs w:val="28"/>
          <w:highlight w:val="none"/>
          <w:lang w:val="en-US" w:eastAsia="zh-CN"/>
        </w:rPr>
        <w:t>0</w:t>
      </w:r>
      <w:r>
        <w:rPr>
          <w:rFonts w:hint="eastAsia" w:ascii="Times New Roman" w:hAnsi="Times New Roman" w:cs="宋体"/>
          <w:b/>
          <w:kern w:val="0"/>
          <w:szCs w:val="28"/>
          <w:highlight w:val="none"/>
        </w:rPr>
        <w:t>分，得分1</w:t>
      </w:r>
      <w:r>
        <w:rPr>
          <w:rFonts w:hint="eastAsia" w:ascii="Times New Roman" w:hAnsi="Times New Roman" w:cs="宋体"/>
          <w:b/>
          <w:kern w:val="0"/>
          <w:szCs w:val="28"/>
          <w:highlight w:val="none"/>
          <w:lang w:val="en-US" w:eastAsia="zh-CN"/>
        </w:rPr>
        <w:t>0</w:t>
      </w:r>
      <w:r>
        <w:rPr>
          <w:rFonts w:hint="eastAsia" w:ascii="Times New Roman" w:hAnsi="Times New Roman" w:cs="宋体"/>
          <w:b/>
          <w:kern w:val="0"/>
          <w:szCs w:val="28"/>
          <w:highlight w:val="none"/>
        </w:rPr>
        <w:t>分。</w:t>
      </w:r>
    </w:p>
    <w:p w14:paraId="0617AE73">
      <w:pPr>
        <w:pStyle w:val="4"/>
        <w:ind w:firstLine="643"/>
        <w:rPr>
          <w:highlight w:val="none"/>
        </w:rPr>
      </w:pPr>
      <w:bookmarkStart w:id="49" w:name="_Toc22409"/>
      <w:r>
        <w:rPr>
          <w:rFonts w:hint="eastAsia"/>
          <w:highlight w:val="none"/>
        </w:rPr>
        <w:t>3</w:t>
      </w:r>
      <w:r>
        <w:rPr>
          <w:highlight w:val="none"/>
        </w:rPr>
        <w:t>.</w:t>
      </w:r>
      <w:r>
        <w:rPr>
          <w:rFonts w:hint="eastAsia"/>
          <w:highlight w:val="none"/>
        </w:rPr>
        <w:t>产出时效</w:t>
      </w:r>
      <w:bookmarkEnd w:id="49"/>
    </w:p>
    <w:p w14:paraId="0B9438D2">
      <w:pPr>
        <w:spacing w:line="360" w:lineRule="auto"/>
        <w:ind w:firstLine="562"/>
        <w:rPr>
          <w:rFonts w:hint="eastAsia" w:ascii="仿宋_GB2312"/>
          <w:szCs w:val="28"/>
          <w:highlight w:val="none"/>
        </w:rPr>
      </w:pPr>
      <w:r>
        <w:rPr>
          <w:rFonts w:hint="eastAsia" w:ascii="仿宋_GB2312"/>
          <w:b/>
          <w:bCs/>
          <w:szCs w:val="28"/>
          <w:highlight w:val="none"/>
        </w:rPr>
        <w:t>预算下达后完成招标采购时间：</w:t>
      </w:r>
      <w:r>
        <w:rPr>
          <w:rFonts w:hint="eastAsia" w:ascii="仿宋_GB2312"/>
          <w:szCs w:val="28"/>
          <w:highlight w:val="none"/>
          <w:lang w:val="en-US" w:eastAsia="zh-CN"/>
        </w:rPr>
        <w:t>目标值：≤10个月。本项目</w:t>
      </w:r>
      <w:r>
        <w:rPr>
          <w:rFonts w:hint="eastAsia" w:ascii="仿宋_GB2312"/>
          <w:szCs w:val="28"/>
          <w:highlight w:val="none"/>
        </w:rPr>
        <w:t>预算</w:t>
      </w:r>
      <w:r>
        <w:rPr>
          <w:rFonts w:hint="eastAsia" w:ascii="仿宋_GB2312"/>
          <w:szCs w:val="28"/>
          <w:highlight w:val="none"/>
          <w:lang w:val="en-US" w:eastAsia="zh-CN"/>
        </w:rPr>
        <w:t>于2024年</w:t>
      </w:r>
      <w:r>
        <w:rPr>
          <w:rFonts w:hint="eastAsia" w:ascii="仿宋_GB2312"/>
          <w:szCs w:val="28"/>
          <w:highlight w:val="none"/>
        </w:rPr>
        <w:t>1月拨付，我单位在1</w:t>
      </w:r>
      <w:r>
        <w:rPr>
          <w:rFonts w:hint="eastAsia" w:ascii="仿宋_GB2312"/>
          <w:szCs w:val="28"/>
          <w:highlight w:val="none"/>
          <w:lang w:val="en-US" w:eastAsia="zh-CN"/>
        </w:rPr>
        <w:t>1</w:t>
      </w:r>
      <w:r>
        <w:rPr>
          <w:rFonts w:hint="eastAsia" w:ascii="仿宋_GB2312"/>
          <w:szCs w:val="28"/>
          <w:highlight w:val="none"/>
        </w:rPr>
        <w:t>月完成采购。</w:t>
      </w:r>
      <w:r>
        <w:rPr>
          <w:rFonts w:hint="eastAsia" w:ascii="仿宋_GB2312"/>
          <w:szCs w:val="28"/>
          <w:highlight w:val="none"/>
          <w:lang w:val="en-US" w:eastAsia="zh-CN"/>
        </w:rPr>
        <w:t>预算下达后完成招标采购时间为10个月。</w:t>
      </w:r>
      <w:r>
        <w:rPr>
          <w:rFonts w:hint="eastAsia" w:ascii="仿宋_GB2312"/>
          <w:szCs w:val="28"/>
          <w:highlight w:val="none"/>
        </w:rPr>
        <w:t>故产出时效得分为10分。</w:t>
      </w:r>
    </w:p>
    <w:p w14:paraId="2BB38416">
      <w:pPr>
        <w:autoSpaceDE w:val="0"/>
        <w:spacing w:line="600" w:lineRule="exact"/>
        <w:ind w:firstLine="562"/>
        <w:rPr>
          <w:rFonts w:hint="eastAsia" w:ascii="仿宋_GB2312"/>
          <w:b/>
          <w:bCs/>
          <w:szCs w:val="28"/>
          <w:highlight w:val="none"/>
        </w:rPr>
      </w:pPr>
      <w:r>
        <w:rPr>
          <w:rFonts w:hint="eastAsia" w:ascii="Times New Roman" w:hAnsi="Times New Roman" w:cs="宋体"/>
          <w:b/>
          <w:kern w:val="0"/>
          <w:szCs w:val="28"/>
          <w:highlight w:val="none"/>
        </w:rPr>
        <w:t>综上，该指标满分</w:t>
      </w:r>
      <w:r>
        <w:rPr>
          <w:rFonts w:ascii="Times New Roman" w:hAnsi="Times New Roman" w:cs="宋体"/>
          <w:b/>
          <w:kern w:val="0"/>
          <w:szCs w:val="28"/>
          <w:highlight w:val="none"/>
        </w:rPr>
        <w:t>1</w:t>
      </w:r>
      <w:r>
        <w:rPr>
          <w:rFonts w:hint="eastAsia" w:ascii="Times New Roman" w:hAnsi="Times New Roman" w:cs="宋体"/>
          <w:b/>
          <w:kern w:val="0"/>
          <w:szCs w:val="28"/>
          <w:highlight w:val="none"/>
          <w:lang w:val="en-US" w:eastAsia="zh-CN"/>
        </w:rPr>
        <w:t>0</w:t>
      </w:r>
      <w:r>
        <w:rPr>
          <w:rFonts w:hint="eastAsia" w:ascii="Times New Roman" w:hAnsi="Times New Roman" w:cs="宋体"/>
          <w:b/>
          <w:kern w:val="0"/>
          <w:szCs w:val="28"/>
          <w:highlight w:val="none"/>
        </w:rPr>
        <w:t>分，得分1</w:t>
      </w:r>
      <w:r>
        <w:rPr>
          <w:rFonts w:hint="eastAsia" w:ascii="Times New Roman" w:hAnsi="Times New Roman" w:cs="宋体"/>
          <w:b/>
          <w:kern w:val="0"/>
          <w:szCs w:val="28"/>
          <w:highlight w:val="none"/>
          <w:lang w:val="en-US" w:eastAsia="zh-CN"/>
        </w:rPr>
        <w:t>0</w:t>
      </w:r>
      <w:r>
        <w:rPr>
          <w:rFonts w:hint="eastAsia" w:ascii="Times New Roman" w:hAnsi="Times New Roman" w:cs="宋体"/>
          <w:b/>
          <w:kern w:val="0"/>
          <w:szCs w:val="28"/>
          <w:highlight w:val="none"/>
        </w:rPr>
        <w:t>分。</w:t>
      </w:r>
    </w:p>
    <w:p w14:paraId="006654F4">
      <w:pPr>
        <w:pStyle w:val="4"/>
        <w:ind w:firstLine="643"/>
        <w:rPr>
          <w:highlight w:val="none"/>
        </w:rPr>
      </w:pPr>
      <w:bookmarkStart w:id="50" w:name="_Toc25296"/>
      <w:bookmarkStart w:id="51" w:name="_Toc67911615"/>
      <w:r>
        <w:rPr>
          <w:rFonts w:hint="eastAsia"/>
          <w:highlight w:val="none"/>
        </w:rPr>
        <w:t>4</w:t>
      </w:r>
      <w:r>
        <w:rPr>
          <w:highlight w:val="none"/>
        </w:rPr>
        <w:t>.</w:t>
      </w:r>
      <w:r>
        <w:rPr>
          <w:rFonts w:hint="eastAsia"/>
          <w:highlight w:val="none"/>
        </w:rPr>
        <w:t>产出成本</w:t>
      </w:r>
      <w:bookmarkEnd w:id="50"/>
      <w:bookmarkEnd w:id="51"/>
    </w:p>
    <w:p w14:paraId="440DD84F">
      <w:pPr>
        <w:spacing w:line="360" w:lineRule="auto"/>
        <w:ind w:firstLine="562"/>
        <w:rPr>
          <w:rFonts w:ascii="仿宋_GB2312"/>
          <w:bCs/>
          <w:szCs w:val="28"/>
          <w:highlight w:val="none"/>
        </w:rPr>
      </w:pPr>
      <w:r>
        <w:rPr>
          <w:rFonts w:hint="eastAsia" w:ascii="仿宋_GB2312"/>
          <w:b/>
          <w:bCs/>
          <w:szCs w:val="28"/>
          <w:highlight w:val="none"/>
        </w:rPr>
        <w:t>经济成本</w:t>
      </w:r>
      <w:r>
        <w:rPr>
          <w:rFonts w:ascii="仿宋_GB2312"/>
          <w:b/>
          <w:bCs/>
          <w:szCs w:val="28"/>
          <w:highlight w:val="none"/>
        </w:rPr>
        <w:t>：</w:t>
      </w:r>
      <w:r>
        <w:rPr>
          <w:rFonts w:hint="eastAsia" w:ascii="仿宋_GB2312"/>
          <w:b/>
          <w:bCs/>
          <w:szCs w:val="28"/>
          <w:highlight w:val="none"/>
        </w:rPr>
        <w:t>支付试剂耗材：</w:t>
      </w:r>
      <w:r>
        <w:rPr>
          <w:rFonts w:hint="eastAsia" w:ascii="仿宋_GB2312"/>
          <w:bCs/>
          <w:szCs w:val="28"/>
          <w:highlight w:val="none"/>
        </w:rPr>
        <w:t>本项目试剂耗材预算1319.40万元，实际支出1319.40万元</w:t>
      </w:r>
      <w:r>
        <w:rPr>
          <w:rFonts w:hint="eastAsia" w:ascii="仿宋_GB2312"/>
          <w:bCs/>
          <w:szCs w:val="28"/>
          <w:highlight w:val="none"/>
          <w:lang w:eastAsia="zh-CN"/>
        </w:rPr>
        <w:t>，</w:t>
      </w:r>
      <w:r>
        <w:rPr>
          <w:rFonts w:hint="eastAsia" w:ascii="仿宋_GB2312"/>
          <w:bCs/>
          <w:szCs w:val="28"/>
          <w:highlight w:val="none"/>
          <w:lang w:val="en-US" w:eastAsia="zh-CN"/>
        </w:rPr>
        <w:t>试剂耗材采购严格遵守相关要求，在中国政府采购网进行公开招标，采用综合评分法进行评标，最终与北京曼泰里生物技术有限公司、北京万泰生物药业股份有限公司、西安元鼎体外诊断试剂有限公司、陕西健嘉医疗器械有限公司等17家公司签订试剂耗材采购合同，验收合格后进行款项的支付</w:t>
      </w:r>
      <w:r>
        <w:rPr>
          <w:rFonts w:hint="eastAsia" w:ascii="仿宋_GB2312"/>
          <w:bCs/>
          <w:szCs w:val="28"/>
          <w:highlight w:val="none"/>
          <w:lang w:eastAsia="zh-CN"/>
        </w:rPr>
        <w:t>。</w:t>
      </w:r>
      <w:r>
        <w:rPr>
          <w:rFonts w:hint="eastAsia" w:ascii="仿宋_GB2312"/>
          <w:bCs/>
          <w:szCs w:val="28"/>
          <w:highlight w:val="none"/>
        </w:rPr>
        <w:t>无超支情况，项目资金全部完成，得分为2分</w:t>
      </w:r>
      <w:r>
        <w:rPr>
          <w:rFonts w:ascii="仿宋_GB2312"/>
          <w:bCs/>
          <w:szCs w:val="28"/>
          <w:highlight w:val="none"/>
        </w:rPr>
        <w:t>。</w:t>
      </w:r>
    </w:p>
    <w:p w14:paraId="60D74E0D">
      <w:pPr>
        <w:spacing w:line="360" w:lineRule="auto"/>
        <w:ind w:firstLine="562"/>
        <w:rPr>
          <w:rFonts w:ascii="仿宋_GB2312"/>
          <w:b/>
          <w:bCs/>
          <w:szCs w:val="28"/>
          <w:highlight w:val="none"/>
        </w:rPr>
      </w:pPr>
      <w:r>
        <w:rPr>
          <w:rFonts w:hint="eastAsia" w:ascii="仿宋_GB2312"/>
          <w:b/>
          <w:bCs/>
          <w:szCs w:val="28"/>
          <w:highlight w:val="none"/>
        </w:rPr>
        <w:t>经济成本</w:t>
      </w:r>
      <w:r>
        <w:rPr>
          <w:rFonts w:ascii="仿宋_GB2312"/>
          <w:b/>
          <w:bCs/>
          <w:szCs w:val="28"/>
          <w:highlight w:val="none"/>
        </w:rPr>
        <w:t>：</w:t>
      </w:r>
      <w:r>
        <w:rPr>
          <w:rFonts w:hint="eastAsia" w:ascii="仿宋_GB2312"/>
          <w:b/>
          <w:bCs/>
          <w:szCs w:val="28"/>
          <w:highlight w:val="none"/>
        </w:rPr>
        <w:t>支付印刷费：</w:t>
      </w:r>
      <w:r>
        <w:rPr>
          <w:rFonts w:hint="eastAsia" w:ascii="仿宋_GB2312"/>
          <w:bCs/>
          <w:szCs w:val="28"/>
          <w:highlight w:val="none"/>
        </w:rPr>
        <w:t>本项目印刷费预算17.70万元，实际支出17.70万元</w:t>
      </w:r>
      <w:r>
        <w:rPr>
          <w:rFonts w:hint="eastAsia" w:ascii="仿宋_GB2312"/>
          <w:bCs/>
          <w:szCs w:val="28"/>
          <w:highlight w:val="none"/>
          <w:lang w:eastAsia="zh-CN"/>
        </w:rPr>
        <w:t>。</w:t>
      </w:r>
      <w:r>
        <w:rPr>
          <w:rFonts w:hint="eastAsia" w:ascii="仿宋_GB2312"/>
          <w:bCs/>
          <w:szCs w:val="28"/>
          <w:highlight w:val="none"/>
          <w:lang w:val="en-US" w:eastAsia="zh-CN"/>
        </w:rPr>
        <w:t>印刷品采购严格遵守相关要求，在中国政府采购网发布公告，与印刷</w:t>
      </w:r>
      <w:r>
        <w:rPr>
          <w:rFonts w:hint="eastAsia" w:ascii="仿宋_GB2312"/>
          <w:bCs/>
          <w:szCs w:val="28"/>
          <w:highlight w:val="none"/>
        </w:rPr>
        <w:t>甘肃丰利佳传媒印刷有限公司</w:t>
      </w:r>
      <w:r>
        <w:rPr>
          <w:rFonts w:hint="eastAsia" w:ascii="仿宋_GB2312"/>
          <w:bCs/>
          <w:szCs w:val="28"/>
          <w:highlight w:val="none"/>
          <w:lang w:val="en-US" w:eastAsia="zh-CN"/>
        </w:rPr>
        <w:t>签订框架协议采购合同，付款时提供完整的支付材料方可支付</w:t>
      </w:r>
      <w:r>
        <w:rPr>
          <w:rFonts w:hint="eastAsia" w:ascii="仿宋_GB2312"/>
          <w:bCs/>
          <w:szCs w:val="28"/>
          <w:highlight w:val="none"/>
          <w:lang w:eastAsia="zh-CN"/>
        </w:rPr>
        <w:t>。</w:t>
      </w:r>
      <w:r>
        <w:rPr>
          <w:rFonts w:hint="eastAsia" w:ascii="仿宋_GB2312"/>
          <w:bCs/>
          <w:szCs w:val="28"/>
          <w:highlight w:val="none"/>
        </w:rPr>
        <w:t>无超支情况，项目资金全部完成，得分为2分</w:t>
      </w:r>
      <w:r>
        <w:rPr>
          <w:rFonts w:ascii="仿宋_GB2312"/>
          <w:bCs/>
          <w:szCs w:val="28"/>
          <w:highlight w:val="none"/>
        </w:rPr>
        <w:t>。</w:t>
      </w:r>
    </w:p>
    <w:p w14:paraId="48A0B329">
      <w:pPr>
        <w:spacing w:line="360" w:lineRule="auto"/>
        <w:ind w:firstLine="562"/>
        <w:rPr>
          <w:rFonts w:ascii="仿宋_GB2312"/>
          <w:b/>
          <w:bCs/>
          <w:szCs w:val="28"/>
          <w:highlight w:val="none"/>
        </w:rPr>
      </w:pPr>
      <w:r>
        <w:rPr>
          <w:rFonts w:hint="eastAsia" w:ascii="仿宋_GB2312"/>
          <w:b/>
          <w:bCs/>
          <w:szCs w:val="28"/>
          <w:highlight w:val="none"/>
        </w:rPr>
        <w:t>经济成本</w:t>
      </w:r>
      <w:r>
        <w:rPr>
          <w:rFonts w:ascii="仿宋_GB2312"/>
          <w:b/>
          <w:bCs/>
          <w:szCs w:val="28"/>
          <w:highlight w:val="none"/>
        </w:rPr>
        <w:t>：</w:t>
      </w:r>
      <w:r>
        <w:rPr>
          <w:rFonts w:hint="eastAsia" w:ascii="仿宋_GB2312"/>
          <w:b/>
          <w:bCs/>
          <w:szCs w:val="28"/>
          <w:highlight w:val="none"/>
        </w:rPr>
        <w:t>支付物业管理费：</w:t>
      </w:r>
      <w:r>
        <w:rPr>
          <w:rFonts w:hint="eastAsia" w:ascii="仿宋_GB2312"/>
          <w:bCs/>
          <w:szCs w:val="28"/>
          <w:highlight w:val="none"/>
        </w:rPr>
        <w:t>本项目物业管理费预算86.17万元，实际支出86.17万元</w:t>
      </w:r>
      <w:r>
        <w:rPr>
          <w:rFonts w:hint="eastAsia" w:ascii="仿宋_GB2312"/>
          <w:bCs/>
          <w:szCs w:val="28"/>
          <w:highlight w:val="none"/>
          <w:lang w:eastAsia="zh-CN"/>
        </w:rPr>
        <w:t>。</w:t>
      </w:r>
      <w:r>
        <w:rPr>
          <w:rFonts w:hint="eastAsia" w:ascii="仿宋_GB2312"/>
          <w:bCs/>
          <w:szCs w:val="28"/>
          <w:highlight w:val="none"/>
        </w:rPr>
        <w:t>物业管理</w:t>
      </w:r>
      <w:r>
        <w:rPr>
          <w:rFonts w:hint="eastAsia" w:ascii="仿宋_GB2312"/>
          <w:bCs/>
          <w:szCs w:val="28"/>
          <w:highlight w:val="none"/>
          <w:lang w:val="en-US" w:eastAsia="zh-CN"/>
        </w:rPr>
        <w:t>采购严格遵守相关要求，在中国政府采购网进行公开招标与乌鲁木齐清净洁物业服务有限公司签订采购合同。</w:t>
      </w:r>
      <w:r>
        <w:rPr>
          <w:rFonts w:hint="eastAsia" w:ascii="仿宋_GB2312"/>
          <w:bCs/>
          <w:szCs w:val="28"/>
          <w:highlight w:val="none"/>
        </w:rPr>
        <w:t>无超支情况，项目资金全部完成，得分为2分</w:t>
      </w:r>
      <w:r>
        <w:rPr>
          <w:rFonts w:ascii="仿宋_GB2312"/>
          <w:bCs/>
          <w:szCs w:val="28"/>
          <w:highlight w:val="none"/>
        </w:rPr>
        <w:t>。</w:t>
      </w:r>
    </w:p>
    <w:p w14:paraId="75E831A5">
      <w:pPr>
        <w:spacing w:line="360" w:lineRule="auto"/>
        <w:ind w:firstLine="562"/>
        <w:rPr>
          <w:rFonts w:ascii="仿宋_GB2312"/>
          <w:b/>
          <w:bCs/>
          <w:szCs w:val="28"/>
          <w:highlight w:val="none"/>
        </w:rPr>
      </w:pPr>
      <w:r>
        <w:rPr>
          <w:rFonts w:hint="eastAsia" w:ascii="仿宋_GB2312"/>
          <w:b/>
          <w:bCs/>
          <w:szCs w:val="28"/>
          <w:highlight w:val="none"/>
        </w:rPr>
        <w:t>经济成本</w:t>
      </w:r>
      <w:r>
        <w:rPr>
          <w:rFonts w:ascii="仿宋_GB2312"/>
          <w:b/>
          <w:bCs/>
          <w:szCs w:val="28"/>
          <w:highlight w:val="none"/>
        </w:rPr>
        <w:t>：</w:t>
      </w:r>
      <w:r>
        <w:rPr>
          <w:rFonts w:hint="eastAsia" w:ascii="仿宋_GB2312"/>
          <w:b/>
          <w:bCs/>
          <w:szCs w:val="28"/>
          <w:highlight w:val="none"/>
        </w:rPr>
        <w:t>支付献血者食品：</w:t>
      </w:r>
      <w:r>
        <w:rPr>
          <w:rFonts w:hint="eastAsia" w:ascii="仿宋_GB2312"/>
          <w:bCs/>
          <w:szCs w:val="28"/>
          <w:highlight w:val="none"/>
        </w:rPr>
        <w:t>本项目献血者食品预算20万元，实际支出20万元</w:t>
      </w:r>
      <w:r>
        <w:rPr>
          <w:rFonts w:hint="eastAsia" w:ascii="仿宋_GB2312"/>
          <w:bCs/>
          <w:szCs w:val="28"/>
          <w:highlight w:val="none"/>
          <w:lang w:eastAsia="zh-CN"/>
        </w:rPr>
        <w:t>。</w:t>
      </w:r>
      <w:r>
        <w:rPr>
          <w:rFonts w:hint="eastAsia" w:ascii="仿宋_GB2312"/>
          <w:bCs/>
          <w:szCs w:val="28"/>
          <w:highlight w:val="none"/>
        </w:rPr>
        <w:t>献血者食品</w:t>
      </w:r>
      <w:r>
        <w:rPr>
          <w:rFonts w:hint="eastAsia" w:ascii="仿宋_GB2312"/>
          <w:bCs/>
          <w:szCs w:val="28"/>
          <w:highlight w:val="none"/>
          <w:lang w:val="en-US" w:eastAsia="zh-CN"/>
        </w:rPr>
        <w:t>采购严格遵守相关要求，在中国政府采购网发布竞争性谈判公告，经过专家评标，与</w:t>
      </w:r>
      <w:r>
        <w:rPr>
          <w:rFonts w:hint="eastAsia" w:ascii="仿宋_GB2312"/>
          <w:bCs/>
          <w:szCs w:val="28"/>
          <w:highlight w:val="none"/>
        </w:rPr>
        <w:t>新疆帮灿商贸有限公司</w:t>
      </w:r>
      <w:r>
        <w:rPr>
          <w:rFonts w:hint="eastAsia" w:ascii="仿宋_GB2312"/>
          <w:bCs/>
          <w:szCs w:val="28"/>
          <w:highlight w:val="none"/>
          <w:lang w:val="en-US" w:eastAsia="zh-CN"/>
        </w:rPr>
        <w:t>签订采购合同，货物验收合格后进行款项的支付</w:t>
      </w:r>
      <w:r>
        <w:rPr>
          <w:rFonts w:hint="eastAsia" w:ascii="仿宋_GB2312"/>
          <w:bCs/>
          <w:szCs w:val="28"/>
          <w:highlight w:val="none"/>
          <w:lang w:eastAsia="zh-CN"/>
        </w:rPr>
        <w:t>。</w:t>
      </w:r>
      <w:r>
        <w:rPr>
          <w:rFonts w:hint="eastAsia" w:ascii="仿宋_GB2312"/>
          <w:bCs/>
          <w:szCs w:val="28"/>
          <w:highlight w:val="none"/>
        </w:rPr>
        <w:t>无超支情况，项目资金全部完成，得分为2分</w:t>
      </w:r>
      <w:r>
        <w:rPr>
          <w:rFonts w:ascii="仿宋_GB2312"/>
          <w:bCs/>
          <w:szCs w:val="28"/>
          <w:highlight w:val="none"/>
        </w:rPr>
        <w:t>。</w:t>
      </w:r>
    </w:p>
    <w:p w14:paraId="578F9559">
      <w:pPr>
        <w:spacing w:line="360" w:lineRule="auto"/>
        <w:ind w:firstLine="562"/>
        <w:rPr>
          <w:rFonts w:ascii="仿宋_GB2312"/>
          <w:b/>
          <w:bCs/>
          <w:szCs w:val="28"/>
          <w:highlight w:val="none"/>
        </w:rPr>
      </w:pPr>
      <w:r>
        <w:rPr>
          <w:rFonts w:hint="eastAsia" w:ascii="仿宋_GB2312"/>
          <w:b/>
          <w:bCs/>
          <w:szCs w:val="28"/>
          <w:highlight w:val="none"/>
        </w:rPr>
        <w:t>经济成本</w:t>
      </w:r>
      <w:r>
        <w:rPr>
          <w:rFonts w:ascii="仿宋_GB2312"/>
          <w:b/>
          <w:bCs/>
          <w:szCs w:val="28"/>
          <w:highlight w:val="none"/>
        </w:rPr>
        <w:t>：</w:t>
      </w:r>
      <w:r>
        <w:rPr>
          <w:rFonts w:hint="eastAsia" w:ascii="仿宋_GB2312"/>
          <w:b/>
          <w:bCs/>
          <w:szCs w:val="28"/>
          <w:highlight w:val="none"/>
        </w:rPr>
        <w:t>支付9.0信息系统维护等：</w:t>
      </w:r>
      <w:r>
        <w:rPr>
          <w:rFonts w:hint="eastAsia" w:ascii="仿宋_GB2312"/>
          <w:bCs/>
          <w:szCs w:val="28"/>
          <w:highlight w:val="none"/>
        </w:rPr>
        <w:t>本项目信息系统维护预算24.40万元，实际支出24.40万元</w:t>
      </w:r>
      <w:r>
        <w:rPr>
          <w:rFonts w:hint="eastAsia" w:ascii="仿宋_GB2312"/>
          <w:bCs/>
          <w:szCs w:val="28"/>
          <w:highlight w:val="none"/>
          <w:lang w:eastAsia="zh-CN"/>
        </w:rPr>
        <w:t>。</w:t>
      </w:r>
      <w:r>
        <w:rPr>
          <w:rFonts w:hint="eastAsia" w:ascii="仿宋_GB2312"/>
          <w:bCs/>
          <w:szCs w:val="28"/>
          <w:highlight w:val="none"/>
          <w:lang w:val="en-US" w:eastAsia="zh-CN"/>
        </w:rPr>
        <w:t>信息系统维护及云灾备采购严格遵守相关要求，在中国政府采购网发布竞争性磋商公告，经过专家评标，与乌鲁木齐市华天启元软件科技有限公司签订合同</w:t>
      </w:r>
      <w:r>
        <w:rPr>
          <w:rFonts w:hint="eastAsia" w:ascii="仿宋_GB2312"/>
          <w:bCs/>
          <w:szCs w:val="28"/>
          <w:highlight w:val="none"/>
          <w:lang w:eastAsia="zh-CN"/>
        </w:rPr>
        <w:t>。</w:t>
      </w:r>
      <w:r>
        <w:rPr>
          <w:rFonts w:hint="eastAsia" w:ascii="仿宋_GB2312"/>
          <w:bCs/>
          <w:szCs w:val="28"/>
          <w:highlight w:val="none"/>
        </w:rPr>
        <w:t>无超支情况，项目资金全部完成，得分为2分</w:t>
      </w:r>
      <w:r>
        <w:rPr>
          <w:rFonts w:ascii="仿宋_GB2312"/>
          <w:bCs/>
          <w:szCs w:val="28"/>
          <w:highlight w:val="none"/>
        </w:rPr>
        <w:t>。</w:t>
      </w:r>
    </w:p>
    <w:p w14:paraId="6D824F77">
      <w:pPr>
        <w:spacing w:line="360" w:lineRule="auto"/>
        <w:ind w:firstLine="562"/>
        <w:rPr>
          <w:rFonts w:ascii="仿宋_GB2312"/>
          <w:bCs/>
          <w:szCs w:val="28"/>
          <w:highlight w:val="none"/>
        </w:rPr>
      </w:pPr>
      <w:r>
        <w:rPr>
          <w:rFonts w:hint="eastAsia" w:ascii="仿宋_GB2312"/>
          <w:b/>
          <w:bCs/>
          <w:szCs w:val="28"/>
          <w:highlight w:val="none"/>
        </w:rPr>
        <w:t>经济成本</w:t>
      </w:r>
      <w:r>
        <w:rPr>
          <w:rFonts w:ascii="仿宋_GB2312"/>
          <w:b/>
          <w:bCs/>
          <w:szCs w:val="28"/>
          <w:highlight w:val="none"/>
        </w:rPr>
        <w:t>：</w:t>
      </w:r>
      <w:r>
        <w:rPr>
          <w:rFonts w:hint="eastAsia" w:ascii="仿宋_GB2312"/>
          <w:b/>
          <w:bCs/>
          <w:szCs w:val="28"/>
          <w:highlight w:val="none"/>
        </w:rPr>
        <w:t>支付专用设备、办公设备：</w:t>
      </w:r>
      <w:r>
        <w:rPr>
          <w:rFonts w:hint="eastAsia" w:ascii="仿宋_GB2312"/>
          <w:bCs/>
          <w:szCs w:val="28"/>
          <w:highlight w:val="none"/>
        </w:rPr>
        <w:t>本项目购置办公专用设备、办公设备预算46.66万元</w:t>
      </w:r>
      <w:r>
        <w:rPr>
          <w:rFonts w:hint="eastAsia" w:ascii="仿宋_GB2312"/>
          <w:bCs/>
          <w:szCs w:val="28"/>
          <w:highlight w:val="none"/>
          <w:lang w:eastAsia="zh-CN"/>
        </w:rPr>
        <w:t>，</w:t>
      </w:r>
      <w:r>
        <w:rPr>
          <w:rFonts w:hint="eastAsia" w:ascii="仿宋_GB2312"/>
          <w:bCs/>
          <w:szCs w:val="28"/>
          <w:highlight w:val="none"/>
        </w:rPr>
        <w:t>实际支出46.66万元</w:t>
      </w:r>
      <w:r>
        <w:rPr>
          <w:rFonts w:hint="eastAsia" w:ascii="仿宋_GB2312"/>
          <w:bCs/>
          <w:szCs w:val="28"/>
          <w:highlight w:val="none"/>
          <w:lang w:eastAsia="zh-CN"/>
        </w:rPr>
        <w:t>。</w:t>
      </w:r>
      <w:r>
        <w:rPr>
          <w:rFonts w:hint="eastAsia" w:ascii="仿宋_GB2312"/>
          <w:bCs/>
          <w:szCs w:val="28"/>
          <w:highlight w:val="none"/>
          <w:lang w:val="en-US" w:eastAsia="zh-CN"/>
        </w:rPr>
        <w:t>专用设备和办公设备的采购严格遵守相关要求，在中国政府采购网发布竞争性磋商公告、公开招标公告、单一来源论证等，采用单一来源方式采购辐照检测仪，采用磋商方式采购自助登记机，采用公开方式采购体重秤，通过专家评标后，与广东穗乐科技有限公司、新疆留耕堂生物科技开发有限公司等9家公司签订采购合同</w:t>
      </w:r>
      <w:r>
        <w:rPr>
          <w:rFonts w:hint="eastAsia" w:ascii="仿宋_GB2312"/>
          <w:bCs/>
          <w:szCs w:val="28"/>
          <w:highlight w:val="none"/>
          <w:lang w:eastAsia="zh-CN"/>
        </w:rPr>
        <w:t>。</w:t>
      </w:r>
      <w:r>
        <w:rPr>
          <w:rFonts w:hint="eastAsia" w:ascii="仿宋_GB2312"/>
          <w:bCs/>
          <w:szCs w:val="28"/>
          <w:highlight w:val="none"/>
        </w:rPr>
        <w:t>无超支情况，项目资金全部完成，得分为2分</w:t>
      </w:r>
      <w:r>
        <w:rPr>
          <w:rFonts w:ascii="仿宋_GB2312"/>
          <w:bCs/>
          <w:szCs w:val="28"/>
          <w:highlight w:val="none"/>
        </w:rPr>
        <w:t>。</w:t>
      </w:r>
    </w:p>
    <w:p w14:paraId="715C861F">
      <w:pPr>
        <w:autoSpaceDE w:val="0"/>
        <w:spacing w:line="600" w:lineRule="exact"/>
        <w:ind w:firstLine="562"/>
        <w:rPr>
          <w:rFonts w:ascii="仿宋_GB2312"/>
          <w:bCs/>
          <w:szCs w:val="28"/>
          <w:highlight w:val="none"/>
        </w:rPr>
      </w:pPr>
      <w:r>
        <w:rPr>
          <w:rFonts w:hint="eastAsia" w:ascii="Times New Roman" w:hAnsi="Times New Roman" w:cs="宋体"/>
          <w:b/>
          <w:kern w:val="0"/>
          <w:szCs w:val="28"/>
          <w:highlight w:val="none"/>
        </w:rPr>
        <w:t>综上，</w:t>
      </w:r>
      <w:r>
        <w:rPr>
          <w:rFonts w:hint="eastAsia" w:ascii="Times New Roman" w:hAnsi="Times New Roman" w:cs="宋体"/>
          <w:b/>
          <w:kern w:val="0"/>
          <w:szCs w:val="28"/>
          <w:highlight w:val="none"/>
          <w:lang w:val="en-US" w:eastAsia="zh-CN"/>
        </w:rPr>
        <w:t>产出成本</w:t>
      </w:r>
      <w:r>
        <w:rPr>
          <w:rFonts w:hint="eastAsia" w:ascii="Times New Roman" w:hAnsi="Times New Roman" w:cs="宋体"/>
          <w:b/>
          <w:kern w:val="0"/>
          <w:szCs w:val="28"/>
          <w:highlight w:val="none"/>
        </w:rPr>
        <w:t>指标满分</w:t>
      </w:r>
      <w:r>
        <w:rPr>
          <w:rFonts w:hint="eastAsia" w:ascii="Times New Roman" w:hAnsi="Times New Roman" w:cs="宋体"/>
          <w:b/>
          <w:kern w:val="0"/>
          <w:szCs w:val="28"/>
          <w:highlight w:val="none"/>
          <w:lang w:val="en-US" w:eastAsia="zh-CN"/>
        </w:rPr>
        <w:t>12</w:t>
      </w:r>
      <w:r>
        <w:rPr>
          <w:rFonts w:hint="eastAsia" w:ascii="Times New Roman" w:hAnsi="Times New Roman" w:cs="宋体"/>
          <w:b/>
          <w:kern w:val="0"/>
          <w:szCs w:val="28"/>
          <w:highlight w:val="none"/>
        </w:rPr>
        <w:t>分，得分</w:t>
      </w:r>
      <w:r>
        <w:rPr>
          <w:rFonts w:hint="eastAsia" w:ascii="Times New Roman" w:hAnsi="Times New Roman" w:cs="宋体"/>
          <w:b/>
          <w:kern w:val="0"/>
          <w:szCs w:val="28"/>
          <w:highlight w:val="none"/>
          <w:lang w:val="en-US" w:eastAsia="zh-CN"/>
        </w:rPr>
        <w:t>12</w:t>
      </w:r>
      <w:r>
        <w:rPr>
          <w:rFonts w:hint="eastAsia" w:ascii="Times New Roman" w:hAnsi="Times New Roman" w:cs="宋体"/>
          <w:b/>
          <w:kern w:val="0"/>
          <w:szCs w:val="28"/>
          <w:highlight w:val="none"/>
        </w:rPr>
        <w:t>分。</w:t>
      </w:r>
    </w:p>
    <w:p w14:paraId="6C5FD8A7">
      <w:pPr>
        <w:pStyle w:val="3"/>
        <w:ind w:firstLine="643"/>
        <w:rPr>
          <w:rFonts w:hint="eastAsia" w:ascii="仿宋" w:hAnsi="仿宋" w:eastAsia="仿宋"/>
          <w:highlight w:val="none"/>
          <w:lang w:bidi="en-US"/>
        </w:rPr>
      </w:pPr>
      <w:bookmarkStart w:id="52" w:name="_Toc13721"/>
      <w:bookmarkStart w:id="53" w:name="_Toc23699"/>
      <w:r>
        <w:rPr>
          <w:rFonts w:hint="eastAsia" w:ascii="仿宋" w:hAnsi="仿宋" w:eastAsia="仿宋"/>
          <w:highlight w:val="none"/>
          <w:lang w:bidi="en-US"/>
        </w:rPr>
        <w:t>（四）项目效益</w:t>
      </w:r>
      <w:bookmarkEnd w:id="52"/>
    </w:p>
    <w:p w14:paraId="58CA31B7">
      <w:pPr>
        <w:spacing w:line="360" w:lineRule="auto"/>
        <w:ind w:firstLine="560"/>
        <w:rPr>
          <w:rFonts w:ascii="仿宋_GB2312"/>
          <w:szCs w:val="28"/>
          <w:highlight w:val="none"/>
        </w:rPr>
      </w:pPr>
      <w:r>
        <w:rPr>
          <w:rFonts w:hint="eastAsia" w:ascii="仿宋_GB2312"/>
          <w:szCs w:val="28"/>
          <w:highlight w:val="none"/>
        </w:rPr>
        <w:t>项目效益指标由</w:t>
      </w:r>
      <w:r>
        <w:rPr>
          <w:rFonts w:ascii="仿宋_GB2312"/>
          <w:szCs w:val="28"/>
          <w:highlight w:val="none"/>
        </w:rPr>
        <w:t>1</w:t>
      </w:r>
      <w:r>
        <w:rPr>
          <w:rFonts w:hint="eastAsia" w:ascii="仿宋_GB2312"/>
          <w:szCs w:val="28"/>
          <w:highlight w:val="none"/>
        </w:rPr>
        <w:t>个二级指标和1个三级指标构成，权重为1</w:t>
      </w:r>
      <w:r>
        <w:rPr>
          <w:rFonts w:ascii="仿宋_GB2312"/>
          <w:szCs w:val="28"/>
          <w:highlight w:val="none"/>
        </w:rPr>
        <w:t>0</w:t>
      </w:r>
      <w:r>
        <w:rPr>
          <w:rFonts w:hint="eastAsia" w:ascii="仿宋_GB2312"/>
          <w:szCs w:val="28"/>
          <w:highlight w:val="none"/>
        </w:rPr>
        <w:t>分，实际得分10分。</w:t>
      </w:r>
    </w:p>
    <w:p w14:paraId="714CD0C3">
      <w:pPr>
        <w:spacing w:line="360" w:lineRule="auto"/>
        <w:ind w:firstLine="562"/>
        <w:rPr>
          <w:rFonts w:ascii="仿宋_GB2312"/>
          <w:b/>
          <w:bCs/>
          <w:szCs w:val="28"/>
          <w:highlight w:val="none"/>
        </w:rPr>
      </w:pPr>
      <w:r>
        <w:rPr>
          <w:rFonts w:hint="eastAsia" w:ascii="仿宋_GB2312"/>
          <w:b/>
          <w:bCs/>
          <w:szCs w:val="28"/>
          <w:highlight w:val="none"/>
        </w:rPr>
        <w:t>（1）实施效益</w:t>
      </w:r>
    </w:p>
    <w:p w14:paraId="1D9C91D7">
      <w:pPr>
        <w:spacing w:line="360" w:lineRule="auto"/>
        <w:ind w:firstLine="562"/>
        <w:rPr>
          <w:rFonts w:ascii="仿宋_GB2312"/>
          <w:szCs w:val="28"/>
          <w:highlight w:val="none"/>
        </w:rPr>
      </w:pPr>
      <w:r>
        <w:rPr>
          <w:rFonts w:hint="eastAsia" w:ascii="仿宋_GB2312"/>
          <w:b/>
          <w:bCs/>
          <w:szCs w:val="28"/>
          <w:highlight w:val="none"/>
        </w:rPr>
        <w:t>经济效益指标：</w:t>
      </w:r>
      <w:r>
        <w:rPr>
          <w:rFonts w:hint="eastAsia" w:ascii="仿宋_GB2312"/>
          <w:szCs w:val="28"/>
          <w:highlight w:val="none"/>
        </w:rPr>
        <w:t>不适用。</w:t>
      </w:r>
    </w:p>
    <w:p w14:paraId="1E523B22">
      <w:pPr>
        <w:spacing w:line="360" w:lineRule="auto"/>
        <w:ind w:firstLine="562"/>
        <w:rPr>
          <w:rFonts w:ascii="仿宋_GB2312"/>
          <w:szCs w:val="28"/>
          <w:highlight w:val="none"/>
        </w:rPr>
      </w:pPr>
      <w:r>
        <w:rPr>
          <w:rFonts w:hint="eastAsia" w:ascii="仿宋_GB2312"/>
          <w:b/>
          <w:bCs/>
          <w:szCs w:val="28"/>
          <w:highlight w:val="none"/>
        </w:rPr>
        <w:t>社会效益指标</w:t>
      </w:r>
      <w:r>
        <w:rPr>
          <w:rFonts w:hint="eastAsia" w:ascii="仿宋_GB2312"/>
          <w:szCs w:val="28"/>
          <w:highlight w:val="none"/>
        </w:rPr>
        <w:t>：评价指标“保障采供血工作顺利开展”，指标值：有效保障，实际完成值：完全达到预期效果。本项目的实施，保障了中心及各点位的场所工作安全和卫生清洁，完成各类试剂耗材、办公设备、专用设备的采购，保障了我单位职能，顺利完成年度采血工作</w:t>
      </w:r>
      <w:r>
        <w:rPr>
          <w:rFonts w:hint="eastAsia" w:ascii="仿宋_GB2312"/>
          <w:szCs w:val="28"/>
          <w:highlight w:val="none"/>
          <w:lang w:eastAsia="zh-CN"/>
        </w:rPr>
        <w:t>，</w:t>
      </w:r>
      <w:r>
        <w:rPr>
          <w:rFonts w:hint="eastAsia" w:ascii="仿宋_GB2312"/>
          <w:szCs w:val="28"/>
          <w:highlight w:val="none"/>
          <w:lang w:val="en-US" w:eastAsia="zh-CN"/>
        </w:rPr>
        <w:t>采集7.99万人次，采集血液24.85吨，</w:t>
      </w:r>
      <w:r>
        <w:rPr>
          <w:rFonts w:hint="eastAsia" w:ascii="仿宋_GB2312"/>
          <w:szCs w:val="28"/>
          <w:highlight w:val="none"/>
        </w:rPr>
        <w:t>保障全区血液供应。</w:t>
      </w:r>
    </w:p>
    <w:p w14:paraId="119020FA">
      <w:pPr>
        <w:spacing w:line="360" w:lineRule="auto"/>
        <w:ind w:firstLine="562"/>
        <w:rPr>
          <w:rFonts w:ascii="仿宋_GB2312"/>
          <w:szCs w:val="28"/>
          <w:highlight w:val="none"/>
        </w:rPr>
      </w:pPr>
      <w:r>
        <w:rPr>
          <w:rFonts w:hint="eastAsia" w:ascii="仿宋_GB2312"/>
          <w:b/>
          <w:bCs/>
          <w:szCs w:val="28"/>
          <w:highlight w:val="none"/>
        </w:rPr>
        <w:t>生态效益指标</w:t>
      </w:r>
      <w:r>
        <w:rPr>
          <w:rFonts w:hint="eastAsia" w:ascii="仿宋_GB2312"/>
          <w:szCs w:val="28"/>
          <w:highlight w:val="none"/>
        </w:rPr>
        <w:t>：不适用。</w:t>
      </w:r>
    </w:p>
    <w:p w14:paraId="6C34BE95">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10</w:t>
      </w:r>
      <w:r>
        <w:rPr>
          <w:rFonts w:hint="eastAsia" w:ascii="仿宋_GB2312" w:hAnsi="仿宋" w:cs="宋体"/>
          <w:b/>
          <w:kern w:val="0"/>
          <w:szCs w:val="28"/>
          <w:highlight w:val="none"/>
        </w:rPr>
        <w:t>分，得分10分。</w:t>
      </w:r>
    </w:p>
    <w:p w14:paraId="73ED2A37">
      <w:pPr>
        <w:pStyle w:val="3"/>
        <w:ind w:firstLine="643"/>
        <w:rPr>
          <w:rFonts w:ascii="仿宋" w:hAnsi="仿宋" w:eastAsia="仿宋"/>
          <w:highlight w:val="none"/>
          <w:lang w:bidi="en-US"/>
        </w:rPr>
      </w:pPr>
      <w:r>
        <w:rPr>
          <w:rFonts w:hint="eastAsia" w:ascii="仿宋" w:hAnsi="仿宋" w:eastAsia="仿宋"/>
          <w:highlight w:val="none"/>
          <w:lang w:bidi="en-US"/>
        </w:rPr>
        <w:t>（五）</w:t>
      </w:r>
      <w:r>
        <w:rPr>
          <w:rFonts w:ascii="仿宋" w:hAnsi="仿宋" w:eastAsia="仿宋"/>
          <w:highlight w:val="none"/>
          <w:lang w:bidi="en-US"/>
        </w:rPr>
        <w:t>满意度指标完成情况分析</w:t>
      </w:r>
      <w:bookmarkEnd w:id="53"/>
    </w:p>
    <w:p w14:paraId="35130F33">
      <w:pPr>
        <w:spacing w:line="360" w:lineRule="auto"/>
        <w:ind w:firstLine="562"/>
        <w:rPr>
          <w:rFonts w:ascii="仿宋_GB2312"/>
          <w:b/>
          <w:bCs/>
          <w:szCs w:val="28"/>
          <w:highlight w:val="none"/>
        </w:rPr>
      </w:pPr>
      <w:r>
        <w:rPr>
          <w:rFonts w:hint="eastAsia" w:ascii="仿宋_GB2312"/>
          <w:b/>
          <w:bCs/>
          <w:szCs w:val="28"/>
          <w:highlight w:val="none"/>
        </w:rPr>
        <w:t>（</w:t>
      </w:r>
      <w:r>
        <w:rPr>
          <w:rFonts w:ascii="仿宋_GB2312"/>
          <w:b/>
          <w:bCs/>
          <w:szCs w:val="28"/>
          <w:highlight w:val="none"/>
        </w:rPr>
        <w:t>1</w:t>
      </w:r>
      <w:r>
        <w:rPr>
          <w:rFonts w:hint="eastAsia" w:ascii="仿宋_GB2312"/>
          <w:b/>
          <w:bCs/>
          <w:szCs w:val="28"/>
          <w:highlight w:val="none"/>
        </w:rPr>
        <w:t>）满意度指标</w:t>
      </w:r>
    </w:p>
    <w:p w14:paraId="6946DA7B">
      <w:pPr>
        <w:spacing w:line="360" w:lineRule="auto"/>
        <w:ind w:firstLine="562"/>
        <w:rPr>
          <w:rFonts w:ascii="仿宋_GB2312"/>
          <w:b/>
          <w:bCs/>
          <w:i/>
          <w:iCs/>
          <w:strike w:val="0"/>
          <w:dstrike w:val="0"/>
          <w:color w:val="auto"/>
          <w:szCs w:val="28"/>
          <w:highlight w:val="none"/>
          <w:u w:val="single"/>
        </w:rPr>
      </w:pPr>
      <w:r>
        <w:rPr>
          <w:rFonts w:hint="eastAsia" w:ascii="仿宋_GB2312"/>
          <w:b/>
          <w:bCs/>
          <w:color w:val="auto"/>
          <w:szCs w:val="28"/>
          <w:highlight w:val="none"/>
        </w:rPr>
        <w:t>群众满意度：</w:t>
      </w:r>
      <w:r>
        <w:rPr>
          <w:rFonts w:hint="eastAsia" w:ascii="仿宋_GB2312"/>
          <w:color w:val="auto"/>
          <w:szCs w:val="28"/>
          <w:highlight w:val="none"/>
        </w:rPr>
        <w:t>评价指标“献血者满意度测评率”，指标值：</w:t>
      </w:r>
      <w:r>
        <w:rPr>
          <w:rFonts w:hint="eastAsia" w:ascii="华文宋体" w:hAnsi="华文宋体" w:eastAsia="华文宋体"/>
          <w:color w:val="auto"/>
          <w:szCs w:val="28"/>
          <w:highlight w:val="none"/>
        </w:rPr>
        <w:t>≥</w:t>
      </w:r>
      <w:r>
        <w:rPr>
          <w:rFonts w:hint="eastAsia" w:ascii="仿宋_GB2312"/>
          <w:color w:val="auto"/>
          <w:szCs w:val="28"/>
          <w:highlight w:val="none"/>
        </w:rPr>
        <w:t>20%，实际完成值：22.5%。</w:t>
      </w:r>
      <w:r>
        <w:rPr>
          <w:rFonts w:hint="eastAsia" w:ascii="仿宋_GB2312"/>
          <w:color w:val="auto"/>
          <w:szCs w:val="28"/>
          <w:highlight w:val="none"/>
          <w:lang w:val="en-US" w:eastAsia="zh-CN"/>
        </w:rPr>
        <w:t>献血者和医院满意度测评平台自2021年12月试运行时起，各个血站并不能看到测评结果，只能看到测评人次，因此我单位设置献血者满意度测评率指标。</w:t>
      </w:r>
      <w:r>
        <w:rPr>
          <w:rFonts w:hint="eastAsia" w:ascii="仿宋_GB2312"/>
          <w:color w:val="auto"/>
          <w:szCs w:val="28"/>
          <w:highlight w:val="none"/>
        </w:rPr>
        <w:t>2024年我单位采血人次共计79900人次，共17780人次参与测评，实际参与测评率为22.25%</w:t>
      </w:r>
      <w:r>
        <w:rPr>
          <w:rFonts w:hint="eastAsia" w:ascii="仿宋_GB2312"/>
          <w:color w:val="auto"/>
          <w:szCs w:val="28"/>
          <w:highlight w:val="none"/>
          <w:lang w:val="en-US" w:eastAsia="zh-CN"/>
        </w:rPr>
        <w:t>。</w:t>
      </w:r>
      <w:r>
        <w:rPr>
          <w:rFonts w:hint="eastAsia" w:ascii="仿宋_GB2312"/>
          <w:color w:val="auto"/>
          <w:szCs w:val="28"/>
          <w:highlight w:val="none"/>
        </w:rPr>
        <w:t>故满意度指标得分为10分。</w:t>
      </w:r>
    </w:p>
    <w:p w14:paraId="34701BD6">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10</w:t>
      </w:r>
      <w:r>
        <w:rPr>
          <w:rFonts w:hint="eastAsia" w:ascii="仿宋_GB2312" w:hAnsi="仿宋" w:cs="宋体"/>
          <w:b/>
          <w:kern w:val="0"/>
          <w:szCs w:val="28"/>
          <w:highlight w:val="none"/>
        </w:rPr>
        <w:t>分，得分10分。</w:t>
      </w:r>
    </w:p>
    <w:p w14:paraId="77754577">
      <w:pPr>
        <w:pStyle w:val="2"/>
        <w:ind w:firstLine="0" w:firstLineChars="0"/>
        <w:jc w:val="left"/>
        <w:rPr>
          <w:rFonts w:ascii="仿宋" w:hAnsi="仿宋" w:eastAsia="仿宋"/>
          <w:sz w:val="36"/>
          <w:szCs w:val="36"/>
          <w:highlight w:val="none"/>
          <w:lang w:bidi="en-US"/>
        </w:rPr>
      </w:pPr>
      <w:bookmarkStart w:id="54" w:name="_Toc21008"/>
      <w:bookmarkStart w:id="55" w:name="_Toc67911617"/>
      <w:r>
        <w:rPr>
          <w:rFonts w:hint="eastAsia" w:ascii="仿宋" w:hAnsi="仿宋" w:eastAsia="仿宋"/>
          <w:sz w:val="36"/>
          <w:szCs w:val="36"/>
          <w:highlight w:val="none"/>
          <w:lang w:bidi="en-US"/>
        </w:rPr>
        <w:t>五、主要经验及做法、存在的问题及原因分析</w:t>
      </w:r>
      <w:bookmarkEnd w:id="54"/>
      <w:bookmarkEnd w:id="55"/>
    </w:p>
    <w:p w14:paraId="4F299521">
      <w:pPr>
        <w:pStyle w:val="3"/>
        <w:ind w:firstLine="643"/>
        <w:rPr>
          <w:rFonts w:ascii="仿宋" w:hAnsi="仿宋" w:eastAsia="仿宋"/>
          <w:highlight w:val="none"/>
          <w:lang w:bidi="en-US"/>
        </w:rPr>
      </w:pPr>
      <w:bookmarkStart w:id="56" w:name="_Toc67911618"/>
      <w:bookmarkStart w:id="57" w:name="_Toc6413"/>
      <w:r>
        <w:rPr>
          <w:rFonts w:hint="eastAsia" w:ascii="仿宋" w:hAnsi="仿宋" w:eastAsia="仿宋"/>
          <w:highlight w:val="none"/>
          <w:lang w:bidi="en-US"/>
        </w:rPr>
        <w:t>（一）主要经验及做法</w:t>
      </w:r>
      <w:bookmarkEnd w:id="56"/>
      <w:bookmarkEnd w:id="57"/>
    </w:p>
    <w:p w14:paraId="5D5DAF7D">
      <w:pPr>
        <w:spacing w:line="540" w:lineRule="exact"/>
        <w:ind w:firstLine="562"/>
        <w:rPr>
          <w:rFonts w:hint="eastAsia" w:ascii="仿宋_GB2312"/>
          <w:szCs w:val="28"/>
          <w:highlight w:val="none"/>
        </w:rPr>
      </w:pPr>
      <w:r>
        <w:rPr>
          <w:rFonts w:hint="eastAsia" w:ascii="仿宋_GB2312" w:hAnsi="仿宋" w:cs="宋体"/>
          <w:b/>
          <w:kern w:val="0"/>
          <w:szCs w:val="28"/>
          <w:highlight w:val="none"/>
        </w:rPr>
        <w:t>1.</w:t>
      </w:r>
      <w:r>
        <w:rPr>
          <w:rFonts w:hint="eastAsia" w:ascii="仿宋_GB2312"/>
          <w:szCs w:val="28"/>
          <w:highlight w:val="none"/>
        </w:rPr>
        <w:t>科学规划资金管理体系，实现全流程精准管控</w:t>
      </w:r>
      <w:r>
        <w:rPr>
          <w:rFonts w:hint="eastAsia" w:ascii="仿宋_GB2312"/>
          <w:szCs w:val="28"/>
          <w:highlight w:val="none"/>
          <w:lang w:eastAsia="zh-CN"/>
        </w:rPr>
        <w:t>。</w:t>
      </w:r>
      <w:r>
        <w:rPr>
          <w:rFonts w:hint="eastAsia" w:ascii="仿宋_GB2312"/>
          <w:szCs w:val="28"/>
          <w:highlight w:val="none"/>
        </w:rPr>
        <w:t>项目</w:t>
      </w:r>
      <w:r>
        <w:rPr>
          <w:rFonts w:hint="eastAsia" w:ascii="仿宋_GB2312"/>
          <w:szCs w:val="28"/>
          <w:highlight w:val="none"/>
          <w:lang w:val="en-US" w:eastAsia="zh-CN"/>
        </w:rPr>
        <w:t>从预算编制到执行监控形成闭环，</w:t>
      </w:r>
      <w:r>
        <w:rPr>
          <w:rFonts w:hint="eastAsia" w:ascii="仿宋_GB2312"/>
          <w:szCs w:val="28"/>
          <w:highlight w:val="none"/>
        </w:rPr>
        <w:t>确保资金高效使用。依据《血站技术操作规程》等规范，结合采血量、试剂消耗量等历史数据，将预算细化为试剂耗材、设备购置等，保障资金与业务需求匹配</w:t>
      </w:r>
      <w:r>
        <w:rPr>
          <w:rFonts w:hint="eastAsia" w:ascii="仿宋_GB2312"/>
          <w:szCs w:val="28"/>
          <w:highlight w:val="none"/>
          <w:lang w:eastAsia="zh-CN"/>
        </w:rPr>
        <w:t>；</w:t>
      </w:r>
      <w:r>
        <w:rPr>
          <w:rFonts w:hint="eastAsia" w:ascii="仿宋_GB2312"/>
          <w:szCs w:val="28"/>
          <w:highlight w:val="none"/>
          <w:lang w:val="en-US" w:eastAsia="zh-CN"/>
        </w:rPr>
        <w:t>对项目进行节点检查</w:t>
      </w:r>
      <w:r>
        <w:rPr>
          <w:rFonts w:hint="eastAsia" w:ascii="仿宋_GB2312"/>
          <w:szCs w:val="28"/>
          <w:highlight w:val="none"/>
          <w:lang w:eastAsia="zh-CN"/>
        </w:rPr>
        <w:t>，</w:t>
      </w:r>
      <w:r>
        <w:rPr>
          <w:rFonts w:hint="eastAsia" w:ascii="仿宋_GB2312"/>
          <w:szCs w:val="28"/>
          <w:highlight w:val="none"/>
          <w:lang w:val="en-US" w:eastAsia="zh-CN"/>
        </w:rPr>
        <w:t>于年中多次核查项目进度</w:t>
      </w:r>
      <w:r>
        <w:rPr>
          <w:rFonts w:hint="eastAsia" w:ascii="仿宋_GB2312"/>
          <w:szCs w:val="28"/>
          <w:highlight w:val="none"/>
        </w:rPr>
        <w:t>。</w:t>
      </w:r>
    </w:p>
    <w:p w14:paraId="6F141773">
      <w:pPr>
        <w:autoSpaceDE w:val="0"/>
        <w:spacing w:line="600" w:lineRule="exact"/>
        <w:ind w:firstLine="624"/>
        <w:rPr>
          <w:rFonts w:hint="eastAsia" w:ascii="仿宋_GB2312"/>
          <w:szCs w:val="28"/>
          <w:highlight w:val="none"/>
        </w:rPr>
      </w:pPr>
      <w:r>
        <w:rPr>
          <w:rStyle w:val="16"/>
          <w:rFonts w:hint="eastAsia" w:ascii="Times New Roman" w:hAnsi="Times New Roman" w:eastAsia="楷体"/>
          <w:b w:val="0"/>
          <w:bCs w:val="0"/>
          <w:spacing w:val="-4"/>
          <w:sz w:val="32"/>
          <w:szCs w:val="32"/>
          <w:highlight w:val="none"/>
          <w:lang w:val="en-US" w:eastAsia="zh-CN"/>
        </w:rPr>
        <w:t>2</w:t>
      </w:r>
      <w:r>
        <w:rPr>
          <w:rStyle w:val="16"/>
          <w:rFonts w:hint="eastAsia" w:ascii="Times New Roman" w:hAnsi="Times New Roman" w:eastAsia="楷体"/>
          <w:b w:val="0"/>
          <w:bCs w:val="0"/>
          <w:spacing w:val="-4"/>
          <w:sz w:val="32"/>
          <w:szCs w:val="32"/>
          <w:highlight w:val="none"/>
        </w:rPr>
        <w:t>.</w:t>
      </w:r>
      <w:r>
        <w:rPr>
          <w:rFonts w:hint="eastAsia" w:ascii="仿宋_GB2312"/>
          <w:szCs w:val="28"/>
          <w:highlight w:val="none"/>
        </w:rPr>
        <w:t>深化部门协同与制度保障，提升执行效能</w:t>
      </w:r>
      <w:r>
        <w:rPr>
          <w:rFonts w:hint="eastAsia" w:ascii="仿宋_GB2312"/>
          <w:szCs w:val="28"/>
          <w:highlight w:val="none"/>
          <w:lang w:eastAsia="zh-CN"/>
        </w:rPr>
        <w:t>。</w:t>
      </w:r>
      <w:bookmarkStart w:id="58" w:name="_Toc22959"/>
      <w:r>
        <w:rPr>
          <w:rFonts w:hint="eastAsia" w:ascii="仿宋_GB2312"/>
          <w:szCs w:val="28"/>
          <w:highlight w:val="none"/>
        </w:rPr>
        <w:t>通过跨部门协作提升管理效能。</w:t>
      </w:r>
      <w:r>
        <w:rPr>
          <w:rFonts w:hint="eastAsia" w:ascii="仿宋_GB2312"/>
          <w:szCs w:val="28"/>
          <w:highlight w:val="none"/>
          <w:lang w:val="en-US" w:eastAsia="zh-CN"/>
        </w:rPr>
        <w:t>参与科室</w:t>
      </w:r>
      <w:r>
        <w:rPr>
          <w:rFonts w:hint="eastAsia" w:ascii="仿宋_GB2312"/>
          <w:szCs w:val="28"/>
          <w:highlight w:val="none"/>
        </w:rPr>
        <w:t>明确职责</w:t>
      </w:r>
      <w:r>
        <w:rPr>
          <w:rFonts w:hint="eastAsia" w:ascii="仿宋_GB2312"/>
          <w:szCs w:val="28"/>
          <w:highlight w:val="none"/>
          <w:lang w:eastAsia="zh-CN"/>
        </w:rPr>
        <w:t>，</w:t>
      </w:r>
      <w:r>
        <w:rPr>
          <w:rFonts w:hint="eastAsia" w:ascii="仿宋_GB2312"/>
          <w:szCs w:val="28"/>
          <w:highlight w:val="none"/>
          <w:lang w:val="en-US" w:eastAsia="zh-CN"/>
        </w:rPr>
        <w:t>各司其职，联动配合。</w:t>
      </w:r>
      <w:r>
        <w:rPr>
          <w:rFonts w:hint="eastAsia" w:ascii="仿宋_GB2312"/>
          <w:szCs w:val="28"/>
          <w:highlight w:val="none"/>
        </w:rPr>
        <w:t>是完善内控制度。修订专项资金管理办法，保障资金零挪用，形成可复制的管理范式。</w:t>
      </w:r>
    </w:p>
    <w:p w14:paraId="74744C8A">
      <w:pPr>
        <w:pStyle w:val="3"/>
        <w:ind w:firstLine="643"/>
        <w:rPr>
          <w:rFonts w:hint="eastAsia" w:ascii="仿宋" w:hAnsi="仿宋" w:eastAsia="仿宋"/>
          <w:highlight w:val="none"/>
          <w:lang w:bidi="en-US"/>
        </w:rPr>
      </w:pPr>
      <w:r>
        <w:rPr>
          <w:rFonts w:hint="eastAsia" w:ascii="仿宋" w:hAnsi="仿宋" w:eastAsia="仿宋"/>
          <w:highlight w:val="none"/>
          <w:lang w:bidi="en-US"/>
        </w:rPr>
        <w:t>（二）存在的问题及原因分析</w:t>
      </w:r>
      <w:bookmarkEnd w:id="58"/>
    </w:p>
    <w:p w14:paraId="4DD3B6E1">
      <w:pPr>
        <w:spacing w:line="360" w:lineRule="auto"/>
        <w:ind w:firstLine="624"/>
        <w:rPr>
          <w:rFonts w:hint="eastAsia" w:ascii="仿宋_GB2312" w:hAnsi="仿宋" w:cs="宋体"/>
          <w:kern w:val="0"/>
          <w:szCs w:val="28"/>
          <w:highlight w:val="none"/>
        </w:rPr>
      </w:pPr>
      <w:r>
        <w:rPr>
          <w:rStyle w:val="16"/>
          <w:rFonts w:hint="eastAsia" w:ascii="Times New Roman" w:hAnsi="Times New Roman" w:eastAsia="楷体" w:cs="Times New Roman"/>
          <w:b w:val="0"/>
          <w:bCs w:val="0"/>
          <w:spacing w:val="-4"/>
          <w:sz w:val="32"/>
          <w:szCs w:val="32"/>
          <w:highlight w:val="none"/>
        </w:rPr>
        <w:t>1.</w:t>
      </w:r>
      <w:r>
        <w:rPr>
          <w:rFonts w:hint="eastAsia" w:ascii="仿宋_GB2312" w:hAnsi="仿宋" w:cs="宋体"/>
          <w:kern w:val="0"/>
          <w:szCs w:val="28"/>
          <w:highlight w:val="none"/>
          <w:lang w:val="en-US" w:eastAsia="zh-CN"/>
        </w:rPr>
        <w:t>安保</w:t>
      </w:r>
      <w:r>
        <w:rPr>
          <w:rFonts w:hint="eastAsia" w:ascii="仿宋_GB2312" w:hAnsi="仿宋" w:cs="宋体"/>
          <w:kern w:val="0"/>
          <w:szCs w:val="28"/>
          <w:highlight w:val="none"/>
        </w:rPr>
        <w:t>岗位人员配置不足，影响服务保障效能。项目执行中保安人员实际到岗9人，导致献血点安保巡查频次降低，部分时段存在安全隐患。主要原因：物业管理费招标方案致保安人员配置未达预期</w:t>
      </w:r>
      <w:r>
        <w:rPr>
          <w:rFonts w:hint="eastAsia" w:ascii="仿宋_GB2312" w:hAnsi="仿宋" w:cs="宋体"/>
          <w:kern w:val="0"/>
          <w:szCs w:val="28"/>
          <w:highlight w:val="none"/>
          <w:lang w:eastAsia="zh-CN"/>
        </w:rPr>
        <w:t>、</w:t>
      </w:r>
      <w:r>
        <w:rPr>
          <w:rFonts w:hint="eastAsia" w:ascii="仿宋_GB2312" w:hAnsi="仿宋" w:cs="宋体"/>
          <w:kern w:val="0"/>
          <w:szCs w:val="28"/>
          <w:highlight w:val="none"/>
        </w:rPr>
        <w:t>安保薪酬标准低于市场水平，人员流动性较高</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后期我单位将与物业管理公司积极沟通协调，保障安保人员到岗率</w:t>
      </w:r>
      <w:r>
        <w:rPr>
          <w:rFonts w:hint="eastAsia" w:ascii="仿宋_GB2312" w:hAnsi="仿宋" w:cs="宋体"/>
          <w:kern w:val="0"/>
          <w:szCs w:val="28"/>
          <w:highlight w:val="none"/>
        </w:rPr>
        <w:t>。</w:t>
      </w:r>
    </w:p>
    <w:p w14:paraId="62BD89EB">
      <w:pPr>
        <w:spacing w:line="360" w:lineRule="auto"/>
        <w:ind w:firstLine="624"/>
        <w:rPr>
          <w:rFonts w:ascii="仿宋_GB2312" w:hAnsi="仿宋" w:cs="宋体"/>
          <w:kern w:val="0"/>
          <w:szCs w:val="28"/>
          <w:highlight w:val="none"/>
        </w:rPr>
      </w:pPr>
      <w:r>
        <w:rPr>
          <w:rStyle w:val="16"/>
          <w:rFonts w:hint="eastAsia" w:ascii="Times New Roman" w:hAnsi="Times New Roman" w:eastAsia="楷体" w:cs="Times New Roman"/>
          <w:b w:val="0"/>
          <w:bCs w:val="0"/>
          <w:spacing w:val="-4"/>
          <w:sz w:val="32"/>
          <w:szCs w:val="32"/>
          <w:highlight w:val="none"/>
        </w:rPr>
        <w:t>2.</w:t>
      </w:r>
      <w:r>
        <w:rPr>
          <w:rFonts w:hint="eastAsia" w:ascii="仿宋_GB2312" w:hAnsi="仿宋" w:cs="宋体"/>
          <w:kern w:val="0"/>
          <w:szCs w:val="28"/>
          <w:highlight w:val="none"/>
        </w:rPr>
        <w:t>绩效管理意识需要加强。我单位对于项目绩效管理，缺少针对历年延续内容的汇总和分析。在今后的工作中，要树立绩效管理理念，加强各科室的参与度，及时归集绩效成果资料，注重绩效过程资料总结和数据汇总分析，注重建立长效机制，全面绩效管理，全面真实项目实施效果。</w:t>
      </w:r>
    </w:p>
    <w:p w14:paraId="7FF49C24">
      <w:pPr>
        <w:pStyle w:val="2"/>
        <w:numPr>
          <w:ilvl w:val="0"/>
          <w:numId w:val="0"/>
        </w:numPr>
        <w:jc w:val="left"/>
        <w:rPr>
          <w:rFonts w:ascii="仿宋" w:hAnsi="仿宋" w:eastAsia="仿宋"/>
          <w:sz w:val="36"/>
          <w:szCs w:val="36"/>
          <w:highlight w:val="none"/>
          <w:lang w:bidi="en-US"/>
        </w:rPr>
      </w:pPr>
      <w:bookmarkStart w:id="59" w:name="_Toc29485"/>
      <w:bookmarkStart w:id="60" w:name="_Toc67911620"/>
      <w:bookmarkStart w:id="61" w:name="_Toc67911619"/>
      <w:r>
        <w:rPr>
          <w:rFonts w:hint="eastAsia" w:ascii="仿宋" w:hAnsi="仿宋" w:eastAsia="仿宋"/>
          <w:sz w:val="36"/>
          <w:szCs w:val="36"/>
          <w:highlight w:val="none"/>
          <w:lang w:val="en-US" w:eastAsia="zh-CN" w:bidi="en-US"/>
        </w:rPr>
        <w:t>六、</w:t>
      </w:r>
      <w:r>
        <w:rPr>
          <w:rFonts w:hint="eastAsia" w:ascii="仿宋" w:hAnsi="仿宋" w:eastAsia="仿宋"/>
          <w:sz w:val="36"/>
          <w:szCs w:val="36"/>
          <w:highlight w:val="none"/>
          <w:lang w:bidi="en-US"/>
        </w:rPr>
        <w:t>有关建议</w:t>
      </w:r>
      <w:bookmarkEnd w:id="59"/>
      <w:bookmarkEnd w:id="60"/>
    </w:p>
    <w:p w14:paraId="21F54083">
      <w:pPr>
        <w:pStyle w:val="2"/>
        <w:spacing w:before="0" w:after="0" w:line="360" w:lineRule="auto"/>
        <w:ind w:firstLine="560"/>
        <w:jc w:val="left"/>
        <w:rPr>
          <w:rFonts w:ascii="仿宋_GB2312"/>
          <w:b w:val="0"/>
          <w:bCs w:val="0"/>
          <w:kern w:val="2"/>
          <w:sz w:val="28"/>
          <w:szCs w:val="28"/>
          <w:highlight w:val="none"/>
        </w:rPr>
      </w:pPr>
      <w:bookmarkStart w:id="62" w:name="_Toc32758"/>
      <w:r>
        <w:rPr>
          <w:rFonts w:hint="eastAsia" w:ascii="仿宋_GB2312"/>
          <w:b w:val="0"/>
          <w:bCs w:val="0"/>
          <w:kern w:val="2"/>
          <w:sz w:val="28"/>
          <w:szCs w:val="28"/>
          <w:highlight w:val="none"/>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bookmarkEnd w:id="62"/>
    </w:p>
    <w:p w14:paraId="7CF09A48">
      <w:pPr>
        <w:spacing w:line="540" w:lineRule="exact"/>
        <w:ind w:firstLine="560"/>
        <w:rPr>
          <w:rFonts w:ascii="仿宋_GB2312" w:hAnsi="仿宋" w:cs="宋体"/>
          <w:kern w:val="0"/>
          <w:szCs w:val="28"/>
          <w:highlight w:val="none"/>
        </w:rPr>
      </w:pPr>
      <w:r>
        <w:rPr>
          <w:rFonts w:hint="eastAsia" w:ascii="仿宋_GB2312" w:hAnsi="仿宋" w:cs="宋体"/>
          <w:kern w:val="0"/>
          <w:szCs w:val="28"/>
          <w:highlight w:val="none"/>
        </w:rPr>
        <w:t>对项目决策的建议：该项目全面性、完整性较好，真实、准确，保证采血、供血安全，保证血液的采集、检测、储存和临床用血的供应，开展成分血制备。我单位继续做好年初目标值的测算，保证尽可能准确。</w:t>
      </w:r>
    </w:p>
    <w:p w14:paraId="26524EBD">
      <w:pPr>
        <w:spacing w:line="540" w:lineRule="exact"/>
        <w:ind w:firstLine="560"/>
        <w:rPr>
          <w:rFonts w:ascii="仿宋_GB2312" w:hAnsi="仿宋" w:cs="宋体"/>
          <w:kern w:val="0"/>
          <w:szCs w:val="28"/>
          <w:highlight w:val="none"/>
        </w:rPr>
      </w:pPr>
      <w:r>
        <w:rPr>
          <w:rFonts w:hint="eastAsia" w:ascii="仿宋_GB2312" w:hAnsi="仿宋" w:cs="宋体"/>
          <w:kern w:val="0"/>
          <w:szCs w:val="28"/>
          <w:highlight w:val="none"/>
        </w:rPr>
        <w:t>对预算安排与执行的建议:针对临床用血需求，保证采供血业务的正常开展，保证血液的采集、检测、储存和临床用血的供应，建议按照预算安排的项目资金，办理相关支付，保障项目的正常支付。</w:t>
      </w:r>
    </w:p>
    <w:p w14:paraId="1C0789EF">
      <w:pPr>
        <w:spacing w:line="540" w:lineRule="exact"/>
        <w:ind w:firstLine="560"/>
        <w:rPr>
          <w:rFonts w:ascii="仿宋_GB2312" w:hAnsi="仿宋" w:cs="宋体"/>
          <w:kern w:val="0"/>
          <w:szCs w:val="28"/>
          <w:highlight w:val="none"/>
        </w:rPr>
      </w:pPr>
      <w:r>
        <w:rPr>
          <w:rFonts w:hint="eastAsia" w:ascii="仿宋_GB2312" w:hAnsi="仿宋" w:cs="宋体"/>
          <w:kern w:val="0"/>
          <w:szCs w:val="28"/>
          <w:highlight w:val="none"/>
        </w:rPr>
        <w:t>对资金管理的建议：针对临床用血需求，保证采供血业务的正常开展，保证血液的采集、检测、储存和临床用血的供应，建议按照预算安排的项目资金，办理相关支付，保障项目的正常支付。</w:t>
      </w:r>
    </w:p>
    <w:p w14:paraId="70240073">
      <w:pPr>
        <w:spacing w:line="540" w:lineRule="exact"/>
        <w:ind w:firstLine="560"/>
        <w:rPr>
          <w:rFonts w:ascii="仿宋_GB2312" w:hAnsi="仿宋" w:cs="宋体"/>
          <w:kern w:val="0"/>
          <w:szCs w:val="28"/>
          <w:highlight w:val="none"/>
        </w:rPr>
      </w:pPr>
      <w:r>
        <w:rPr>
          <w:rFonts w:hint="eastAsia" w:ascii="仿宋_GB2312" w:hAnsi="仿宋" w:cs="宋体"/>
          <w:kern w:val="0"/>
          <w:szCs w:val="28"/>
          <w:highlight w:val="none"/>
        </w:rPr>
        <w:t>项目管理的建议：项目执行过程中有序开展工作，财务科要应与业务科室协同工作按时收集数据资料。在项目实施过程中</w:t>
      </w:r>
      <w:r>
        <w:rPr>
          <w:rFonts w:hint="eastAsia" w:ascii="仿宋_GB2312" w:hAnsi="仿宋" w:cs="宋体"/>
          <w:kern w:val="0"/>
          <w:szCs w:val="28"/>
          <w:highlight w:val="none"/>
          <w:lang w:val="en-US" w:eastAsia="zh-CN"/>
        </w:rPr>
        <w:t>要</w:t>
      </w:r>
      <w:r>
        <w:rPr>
          <w:rFonts w:hint="eastAsia" w:ascii="仿宋_GB2312" w:hAnsi="仿宋" w:cs="宋体"/>
          <w:kern w:val="0"/>
          <w:szCs w:val="28"/>
          <w:highlight w:val="none"/>
        </w:rPr>
        <w:t>加强事前、事中、事后管理，争取项目保质保量的完成，以保障采供血业务的正常开展，保证血液采集、检测、储存和临床用血的供应。</w:t>
      </w:r>
    </w:p>
    <w:p w14:paraId="3F6A15FD">
      <w:pPr>
        <w:pStyle w:val="2"/>
        <w:ind w:firstLine="420" w:firstLineChars="0"/>
        <w:jc w:val="left"/>
        <w:rPr>
          <w:rFonts w:ascii="仿宋" w:hAnsi="仿宋" w:eastAsia="仿宋"/>
          <w:sz w:val="36"/>
          <w:szCs w:val="36"/>
          <w:highlight w:val="none"/>
          <w:lang w:bidi="en-US"/>
        </w:rPr>
      </w:pPr>
      <w:bookmarkStart w:id="63" w:name="_Toc19328"/>
      <w:r>
        <w:rPr>
          <w:rFonts w:hint="eastAsia" w:ascii="仿宋" w:hAnsi="仿宋" w:eastAsia="仿宋"/>
          <w:sz w:val="36"/>
          <w:szCs w:val="36"/>
          <w:highlight w:val="none"/>
          <w:lang w:bidi="en-US"/>
        </w:rPr>
        <w:t>七、其他需要说明的问题</w:t>
      </w:r>
      <w:bookmarkEnd w:id="61"/>
      <w:bookmarkEnd w:id="63"/>
    </w:p>
    <w:p w14:paraId="3FCF2985">
      <w:pPr>
        <w:spacing w:line="540" w:lineRule="exact"/>
        <w:ind w:firstLine="560"/>
        <w:rPr>
          <w:rFonts w:hint="eastAsia" w:ascii="仿宋_GB2312" w:hAnsi="仿宋" w:cs="宋体"/>
          <w:kern w:val="0"/>
          <w:szCs w:val="28"/>
          <w:highlight w:val="none"/>
          <w:lang w:eastAsia="zh-CN"/>
        </w:rPr>
      </w:pPr>
      <w:r>
        <w:rPr>
          <w:rFonts w:hint="eastAsia" w:ascii="仿宋_GB2312" w:hAnsi="仿宋" w:cs="宋体"/>
          <w:kern w:val="0"/>
          <w:szCs w:val="28"/>
          <w:highlight w:val="none"/>
        </w:rPr>
        <w:t>1.项目支出政策和路径设计科学，符合实际需要</w:t>
      </w:r>
      <w:r>
        <w:rPr>
          <w:rFonts w:hint="eastAsia" w:ascii="仿宋_GB2312" w:hAnsi="仿宋" w:cs="宋体"/>
          <w:kern w:val="0"/>
          <w:szCs w:val="28"/>
          <w:highlight w:val="none"/>
          <w:lang w:eastAsia="zh-CN"/>
        </w:rPr>
        <w:t>。</w:t>
      </w:r>
      <w:r>
        <w:rPr>
          <w:rFonts w:hint="eastAsia" w:ascii="仿宋_GB2312" w:hAnsi="仿宋" w:cs="宋体"/>
          <w:kern w:val="0"/>
          <w:szCs w:val="28"/>
          <w:highlight w:val="none"/>
        </w:rPr>
        <w:t>项目以保障血液安全为核心，政策依据充分、路径设计精准。项目严格遵循《血站质量管理规范》《血站实验室质量管理规范》等法规，结合全疆血液联动机制需求，科学规划资金投向：分科目预算机制，针对试剂耗材、设备购置、信息系统维护等刚性需求，依据历史用量及临床用血增长率测算资金规模，确保预算与业务量动态匹配；全流程监管路径，通过“采购合同标准化+资金支付节点化”管理，明确设备验收、耗材抽检、服务履约等环节的绩效标准，保障资金效益</w:t>
      </w:r>
      <w:r>
        <w:rPr>
          <w:rFonts w:hint="eastAsia" w:ascii="仿宋_GB2312" w:hAnsi="仿宋" w:cs="宋体"/>
          <w:kern w:val="0"/>
          <w:szCs w:val="28"/>
          <w:highlight w:val="none"/>
          <w:lang w:eastAsia="zh-CN"/>
        </w:rPr>
        <w:t>。</w:t>
      </w:r>
      <w:r>
        <w:rPr>
          <w:rFonts w:hint="eastAsia" w:ascii="仿宋_GB2312" w:hAnsi="仿宋" w:cs="宋体"/>
          <w:kern w:val="0"/>
          <w:szCs w:val="28"/>
          <w:highlight w:val="none"/>
        </w:rPr>
        <w:t>项目设计紧密贴合采供血业务实际，如献血者食品投入提升服务体验，有效支撑全区临床用血安全与公共卫生应急能力。</w:t>
      </w:r>
    </w:p>
    <w:p w14:paraId="3C618C31">
      <w:pPr>
        <w:spacing w:line="540" w:lineRule="exact"/>
        <w:ind w:firstLine="560"/>
        <w:rPr>
          <w:rFonts w:hint="eastAsia" w:ascii="仿宋_GB2312" w:hAnsi="仿宋" w:cs="宋体"/>
          <w:kern w:val="0"/>
          <w:szCs w:val="28"/>
          <w:highlight w:val="none"/>
        </w:rPr>
      </w:pPr>
      <w:r>
        <w:rPr>
          <w:rFonts w:hint="eastAsia" w:ascii="仿宋_GB2312" w:hAnsi="仿宋" w:cs="宋体"/>
          <w:kern w:val="0"/>
          <w:szCs w:val="28"/>
          <w:highlight w:val="none"/>
        </w:rPr>
        <w:t>2.项目安排准确，未发现背离项目立项初衷的情况</w:t>
      </w:r>
      <w:r>
        <w:rPr>
          <w:rFonts w:hint="eastAsia" w:ascii="仿宋_GB2312" w:hAnsi="仿宋" w:cs="宋体"/>
          <w:kern w:val="0"/>
          <w:szCs w:val="28"/>
          <w:highlight w:val="none"/>
          <w:lang w:eastAsia="zh-CN"/>
        </w:rPr>
        <w:t>。</w:t>
      </w:r>
      <w:r>
        <w:rPr>
          <w:rFonts w:hint="eastAsia" w:ascii="仿宋_GB2312" w:hAnsi="仿宋" w:cs="宋体"/>
          <w:kern w:val="0"/>
          <w:szCs w:val="28"/>
          <w:highlight w:val="none"/>
        </w:rPr>
        <w:t>项目实施全过程严格对标立项初衷，资金投向精准聚焦核心需求。项目资金全部用于保障采供血业务链条关键环节：试剂耗材采购直接服务于血液采集、检测、储存全流程质量管控，杜绝血液安全风险；设备购置覆盖离心机、储血冰箱等专用设备，确保血液成分制备符合国标；信息系统维护保障血液追溯体系高效运行，实现从献血者到用血医院的全链路可追溯管理；献血者食品和物业管理等辅助投入，显著提升献血服务体验与环境安全，间接推动无偿献血人次增长。</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72C08">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76CDE">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601D15E4">
        <w:pPr>
          <w:pStyle w:val="8"/>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15</w:t>
        </w:r>
        <w:r>
          <w:rPr>
            <w:rFonts w:hint="eastAsia" w:ascii="仿宋_GB2312" w:eastAsia="仿宋_GB2312"/>
            <w:sz w:val="21"/>
            <w:szCs w:val="21"/>
          </w:rPr>
          <w:fldChar w:fldCharType="end"/>
        </w:r>
      </w:p>
    </w:sdtContent>
  </w:sdt>
  <w:p w14:paraId="43FD8D53">
    <w:pPr>
      <w:pStyle w:val="8"/>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7E8EB3E7">
        <w:pPr>
          <w:pStyle w:val="8"/>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29</w:t>
        </w:r>
        <w:r>
          <w:rPr>
            <w:rFonts w:hint="eastAsia" w:ascii="仿宋_GB2312" w:eastAsia="仿宋_GB2312"/>
            <w:sz w:val="21"/>
            <w:szCs w:val="21"/>
          </w:rPr>
          <w:fldChar w:fldCharType="end"/>
        </w:r>
      </w:p>
    </w:sdtContent>
  </w:sdt>
  <w:p w14:paraId="35883A51">
    <w:pPr>
      <w:pStyle w:val="8"/>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23EAAFCA">
      <w:pPr>
        <w:pStyle w:val="11"/>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275D5C87">
      <w:pPr>
        <w:pStyle w:val="11"/>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FD8D9">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57C99">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C17E4">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5D720">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A7E10">
    <w:pPr>
      <w:pStyle w:val="9"/>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NotTrackMoves/>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ZWFiYWQ4ODczNDIyY2E1NmRkOTljMDE2ZDBhZTgifQ=="/>
  </w:docVars>
  <w:rsids>
    <w:rsidRoot w:val="00000000"/>
    <w:rsid w:val="07AD3052"/>
    <w:rsid w:val="17A11DF8"/>
    <w:rsid w:val="3CC11BBD"/>
    <w:rsid w:val="69837AE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Date"/>
    <w:basedOn w:val="1"/>
    <w:next w:val="1"/>
    <w:link w:val="24"/>
    <w:semiHidden/>
    <w:unhideWhenUsed/>
    <w:qFormat/>
    <w:uiPriority w:val="99"/>
    <w:pPr>
      <w:ind w:left="100" w:leftChars="2500"/>
    </w:pPr>
  </w:style>
  <w:style w:type="paragraph" w:styleId="7">
    <w:name w:val="Balloon Text"/>
    <w:basedOn w:val="1"/>
    <w:link w:val="33"/>
    <w:semiHidden/>
    <w:unhideWhenUsed/>
    <w:qFormat/>
    <w:uiPriority w:val="99"/>
    <w:rPr>
      <w:sz w:val="18"/>
      <w:szCs w:val="18"/>
    </w:rPr>
  </w:style>
  <w:style w:type="paragraph" w:styleId="8">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0">
    <w:name w:val="toc 1"/>
    <w:basedOn w:val="1"/>
    <w:next w:val="1"/>
    <w:unhideWhenUsed/>
    <w:qFormat/>
    <w:uiPriority w:val="39"/>
  </w:style>
  <w:style w:type="paragraph" w:styleId="11">
    <w:name w:val="footnote text"/>
    <w:basedOn w:val="1"/>
    <w:link w:val="26"/>
    <w:semiHidden/>
    <w:unhideWhenUsed/>
    <w:qFormat/>
    <w:uiPriority w:val="99"/>
    <w:pPr>
      <w:snapToGrid w:val="0"/>
      <w:jc w:val="left"/>
    </w:pPr>
    <w:rPr>
      <w:sz w:val="18"/>
      <w:szCs w:val="18"/>
    </w:rPr>
  </w:style>
  <w:style w:type="paragraph" w:styleId="12">
    <w:name w:val="toc 2"/>
    <w:basedOn w:val="1"/>
    <w:next w:val="1"/>
    <w:unhideWhenUsed/>
    <w:qFormat/>
    <w:uiPriority w:val="39"/>
    <w:pPr>
      <w:ind w:left="420" w:leftChars="2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footnote reference"/>
    <w:basedOn w:val="15"/>
    <w:semiHidden/>
    <w:unhideWhenUsed/>
    <w:qFormat/>
    <w:uiPriority w:val="99"/>
    <w:rPr>
      <w:vertAlign w:val="superscript"/>
    </w:rPr>
  </w:style>
  <w:style w:type="paragraph" w:customStyle="1" w:styleId="19">
    <w:name w:val="Comment Text"/>
    <w:basedOn w:val="1"/>
    <w:link w:val="31"/>
    <w:unhideWhenUsed/>
    <w:qFormat/>
    <w:uiPriority w:val="99"/>
    <w:pPr>
      <w:jc w:val="left"/>
    </w:pPr>
  </w:style>
  <w:style w:type="paragraph" w:customStyle="1" w:styleId="20">
    <w:name w:val="Comment Subject"/>
    <w:basedOn w:val="19"/>
    <w:next w:val="19"/>
    <w:link w:val="32"/>
    <w:semiHidden/>
    <w:unhideWhenUsed/>
    <w:qFormat/>
    <w:uiPriority w:val="99"/>
    <w:rPr>
      <w:b/>
      <w:bCs/>
    </w:rPr>
  </w:style>
  <w:style w:type="character" w:customStyle="1" w:styleId="21">
    <w:name w:val="Comment Reference"/>
    <w:basedOn w:val="15"/>
    <w:semiHidden/>
    <w:unhideWhenUsed/>
    <w:qFormat/>
    <w:uiPriority w:val="99"/>
    <w:rPr>
      <w:sz w:val="21"/>
      <w:szCs w:val="21"/>
    </w:rPr>
  </w:style>
  <w:style w:type="character" w:customStyle="1" w:styleId="22">
    <w:name w:val="页眉 Char"/>
    <w:basedOn w:val="15"/>
    <w:link w:val="9"/>
    <w:qFormat/>
    <w:uiPriority w:val="99"/>
    <w:rPr>
      <w:sz w:val="18"/>
      <w:szCs w:val="18"/>
    </w:rPr>
  </w:style>
  <w:style w:type="character" w:customStyle="1" w:styleId="23">
    <w:name w:val="页脚 Char"/>
    <w:basedOn w:val="15"/>
    <w:link w:val="8"/>
    <w:qFormat/>
    <w:uiPriority w:val="99"/>
    <w:rPr>
      <w:sz w:val="18"/>
      <w:szCs w:val="18"/>
    </w:rPr>
  </w:style>
  <w:style w:type="character" w:customStyle="1" w:styleId="24">
    <w:name w:val="日期 Char"/>
    <w:basedOn w:val="15"/>
    <w:link w:val="6"/>
    <w:semiHidden/>
    <w:qFormat/>
    <w:uiPriority w:val="99"/>
    <w:rPr>
      <w:rFonts w:ascii="Calibri" w:hAnsi="Calibri" w:eastAsia="仿宋_GB2312" w:cs="黑体"/>
      <w:sz w:val="28"/>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character" w:customStyle="1" w:styleId="26">
    <w:name w:val="脚注文本 Char"/>
    <w:basedOn w:val="15"/>
    <w:link w:val="11"/>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5"/>
    <w:link w:val="2"/>
    <w:qFormat/>
    <w:uiPriority w:val="9"/>
    <w:rPr>
      <w:rFonts w:ascii="Calibri" w:hAnsi="Calibri" w:eastAsia="仿宋_GB2312" w:cs="黑体"/>
      <w:b/>
      <w:bCs/>
      <w:kern w:val="44"/>
      <w:sz w:val="44"/>
      <w:szCs w:val="44"/>
    </w:rPr>
  </w:style>
  <w:style w:type="paragraph" w:customStyle="1" w:styleId="30">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5"/>
    <w:link w:val="19"/>
    <w:qFormat/>
    <w:uiPriority w:val="99"/>
    <w:rPr>
      <w:rFonts w:ascii="Calibri" w:hAnsi="Calibri" w:eastAsia="仿宋_GB2312" w:cs="黑体"/>
      <w:sz w:val="28"/>
    </w:rPr>
  </w:style>
  <w:style w:type="character" w:customStyle="1" w:styleId="32">
    <w:name w:val="批注主题 Char"/>
    <w:basedOn w:val="31"/>
    <w:link w:val="20"/>
    <w:semiHidden/>
    <w:qFormat/>
    <w:uiPriority w:val="99"/>
    <w:rPr>
      <w:rFonts w:ascii="Calibri" w:hAnsi="Calibri" w:eastAsia="仿宋_GB2312" w:cs="黑体"/>
      <w:b/>
      <w:bCs/>
      <w:sz w:val="28"/>
    </w:rPr>
  </w:style>
  <w:style w:type="character" w:customStyle="1" w:styleId="33">
    <w:name w:val="批注框文本 Char"/>
    <w:basedOn w:val="15"/>
    <w:link w:val="7"/>
    <w:semiHidden/>
    <w:qFormat/>
    <w:uiPriority w:val="99"/>
    <w:rPr>
      <w:rFonts w:ascii="Calibri" w:hAnsi="Calibri" w:eastAsia="仿宋_GB2312" w:cs="黑体"/>
      <w:sz w:val="18"/>
      <w:szCs w:val="18"/>
    </w:rPr>
  </w:style>
  <w:style w:type="character" w:customStyle="1" w:styleId="34">
    <w:name w:val="标题 3 Char"/>
    <w:basedOn w:val="15"/>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3.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F24F6535EF794DA09CF92427DE09B15E_12</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F24F6535EF794DA09CF92427DE09B15E_12</vt:lpwstr>
  </property>
</Properties>
</file>

<file path=customXml/itemProps1.xml><?xml version="1.0" encoding="utf-8"?>
<ds:datastoreItem xmlns:ds="http://schemas.openxmlformats.org/officeDocument/2006/customXml" ds:itemID="{1b0e4cb1-bc95-45c2-8898-9b8366b6cc33}">
  <ds:schemaRefs/>
</ds:datastoreItem>
</file>

<file path=customXml/itemProps2.xml><?xml version="1.0" encoding="utf-8"?>
<ds:datastoreItem xmlns:ds="http://schemas.openxmlformats.org/officeDocument/2006/customXml" ds:itemID="{C0F2CE9F-77F7-4C86-BD4B-D65E5839B120}">
  <ds:schemaRefs/>
</ds:datastoreItem>
</file>

<file path=customXml/itemProps3.xml><?xml version="1.0" encoding="utf-8"?>
<ds:datastoreItem xmlns:ds="http://schemas.openxmlformats.org/officeDocument/2006/customXml" ds:itemID="{ac0c9cdb-53f4-4eb8-ab0f-469cf2e86d1f}">
  <ds:schemaRefs/>
</ds:datastoreItem>
</file>

<file path=docProps/app.xml><?xml version="1.0" encoding="utf-8"?>
<Properties xmlns="http://schemas.openxmlformats.org/officeDocument/2006/extended-properties" xmlns:vt="http://schemas.openxmlformats.org/officeDocument/2006/docPropsVTypes">
  <Template>Normal</Template>
  <Pages>35</Pages>
  <Words>15773</Words>
  <Characters>16769</Characters>
  <Lines>132</Lines>
  <Paragraphs>37</Paragraphs>
  <TotalTime>18</TotalTime>
  <ScaleCrop>false</ScaleCrop>
  <LinksUpToDate>false</LinksUpToDate>
  <CharactersWithSpaces>16893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2025-04-25T07:26:00Z</dcterms:created>
  <dc:creator>张 宇</dc:creator>
  <cp:lastModifiedBy>lenovo</cp:lastModifiedBy>
  <cp:lastPrinted>2023-04-11T02:57:00Z</cp:lastPrinted>
  <dcterms:modified xsi:type="dcterms:W3CDTF">2025-10-09T03:41:00Z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F24F6535EF794DA09CF92427DE09B15E_12</vt:lpwstr>
  </property>
</Properties>
</file>