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480" w:lineRule="auto"/>
        <w:ind w:firstLine="0" w:firstLineChars="0"/>
        <w:rPr>
          <w:rFonts w:ascii="Times New Roman" w:hAnsi="Times New Roman" w:eastAsia="黑体" w:cs="Times New Roman"/>
          <w:b/>
          <w:color w:val="000000"/>
          <w:kern w:val="0"/>
          <w:sz w:val="50"/>
          <w:szCs w:val="50"/>
          <w:highlight w:val="none"/>
          <w:lang w:bidi="en-US"/>
        </w:rPr>
      </w:pPr>
      <w:bookmarkStart w:id="60" w:name="_GoBack"/>
    </w:p>
    <w:p>
      <w:pPr>
        <w:spacing w:line="480" w:lineRule="auto"/>
        <w:ind w:firstLine="0" w:firstLineChars="0"/>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before="120" w:after="120" w:line="480" w:lineRule="auto"/>
        <w:ind w:firstLine="0" w:firstLineChars="0"/>
        <w:jc w:val="center"/>
        <w:rPr>
          <w:rFonts w:ascii="仿宋_GB2312" w:hAnsi="Arial"/>
          <w:b/>
          <w:color w:val="000000"/>
          <w:sz w:val="44"/>
          <w:szCs w:val="44"/>
          <w:highlight w:val="none"/>
        </w:rPr>
      </w:pPr>
      <w:r>
        <w:rPr>
          <w:rFonts w:hint="eastAsia" w:ascii="仿宋_GB2312" w:hAnsi="Arial"/>
          <w:b/>
          <w:color w:val="000000"/>
          <w:sz w:val="44"/>
          <w:szCs w:val="44"/>
          <w:highlight w:val="none"/>
        </w:rPr>
        <w:t>财政项目支出绩效评价报告</w:t>
      </w: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仿宋_GB2312" w:hAnsi="Times New Roman" w:cs="Times New Roman"/>
          <w:color w:val="000000"/>
          <w:kern w:val="0"/>
          <w:sz w:val="30"/>
          <w:szCs w:val="30"/>
          <w:highlight w:val="none"/>
          <w:lang w:bidi="en-US"/>
        </w:rPr>
      </w:pPr>
    </w:p>
    <w:p>
      <w:pPr>
        <w:spacing w:line="480" w:lineRule="auto"/>
        <w:ind w:firstLine="1411" w:firstLineChars="441"/>
        <w:jc w:val="left"/>
        <w:rPr>
          <w:rFonts w:ascii="仿宋_GB2312" w:hAnsi="Times New Roman" w:cs="Times New Roman"/>
          <w:color w:val="000000"/>
          <w:kern w:val="0"/>
          <w:sz w:val="32"/>
          <w:szCs w:val="32"/>
          <w:highlight w:val="none"/>
          <w:lang w:bidi="en-US"/>
        </w:rPr>
      </w:pPr>
      <w:r>
        <w:rPr>
          <w:rFonts w:hint="eastAsia" w:ascii="仿宋_GB2312" w:hAnsi="Times New Roman" w:cs="Times New Roman"/>
          <w:color w:val="000000"/>
          <w:kern w:val="0"/>
          <w:sz w:val="32"/>
          <w:szCs w:val="32"/>
          <w:highlight w:val="none"/>
          <w:lang w:bidi="en-US"/>
        </w:rPr>
        <w:t>项目名称：乌鲁木齐市中医药传承创新发展示范试点项目市级财政经费</w:t>
      </w:r>
    </w:p>
    <w:p>
      <w:pPr>
        <w:spacing w:line="480" w:lineRule="auto"/>
        <w:ind w:left="280" w:leftChars="100" w:firstLine="1091" w:firstLineChars="341"/>
        <w:jc w:val="left"/>
        <w:rPr>
          <w:rFonts w:ascii="仿宋_GB2312" w:hAnsi="Times New Roman" w:cs="Times New Roman"/>
          <w:color w:val="000000"/>
          <w:kern w:val="0"/>
          <w:sz w:val="32"/>
          <w:szCs w:val="32"/>
          <w:highlight w:val="none"/>
          <w:lang w:bidi="en-US"/>
        </w:rPr>
      </w:pPr>
      <w:r>
        <w:rPr>
          <w:rFonts w:hint="eastAsia" w:ascii="仿宋_GB2312" w:hAnsi="Times New Roman" w:cs="Times New Roman"/>
          <w:color w:val="000000"/>
          <w:kern w:val="0"/>
          <w:sz w:val="32"/>
          <w:szCs w:val="32"/>
          <w:highlight w:val="none"/>
          <w:lang w:bidi="en-US"/>
        </w:rPr>
        <w:t>项目单位：乌鲁木齐市中医医院</w:t>
      </w:r>
    </w:p>
    <w:p>
      <w:pPr>
        <w:spacing w:line="480" w:lineRule="auto"/>
        <w:ind w:left="280" w:leftChars="100" w:firstLine="1091" w:firstLineChars="341"/>
        <w:jc w:val="left"/>
        <w:rPr>
          <w:rFonts w:ascii="仿宋_GB2312" w:hAnsi="Times New Roman" w:cs="Times New Roman"/>
          <w:color w:val="000000"/>
          <w:kern w:val="0"/>
          <w:sz w:val="32"/>
          <w:szCs w:val="32"/>
          <w:highlight w:val="none"/>
          <w:lang w:bidi="en-US"/>
        </w:rPr>
      </w:pPr>
      <w:r>
        <w:rPr>
          <w:rFonts w:hint="eastAsia" w:ascii="仿宋_GB2312" w:hAnsi="Times New Roman" w:cs="Times New Roman"/>
          <w:color w:val="000000"/>
          <w:kern w:val="0"/>
          <w:sz w:val="32"/>
          <w:szCs w:val="32"/>
          <w:highlight w:val="none"/>
          <w:lang w:bidi="en-US"/>
        </w:rPr>
        <w:t>主管部门：乌鲁木齐市卫生健康委员会</w:t>
      </w:r>
    </w:p>
    <w:p>
      <w:pPr>
        <w:spacing w:line="480" w:lineRule="auto"/>
        <w:ind w:firstLine="1411" w:firstLineChars="441"/>
        <w:jc w:val="left"/>
        <w:rPr>
          <w:rFonts w:ascii="仿宋_GB2312" w:hAnsi="Times New Roman" w:cs="Times New Roman"/>
          <w:color w:val="000000"/>
          <w:kern w:val="0"/>
          <w:sz w:val="32"/>
          <w:szCs w:val="32"/>
          <w:highlight w:val="none"/>
          <w:lang w:bidi="en-US"/>
        </w:rPr>
      </w:pPr>
    </w:p>
    <w:p>
      <w:pPr>
        <w:spacing w:line="480" w:lineRule="auto"/>
        <w:ind w:firstLine="0" w:firstLineChars="0"/>
        <w:rPr>
          <w:rFonts w:ascii="黑体" w:hAnsi="Times New Roman" w:eastAsia="黑体" w:cs="Times New Roman"/>
          <w:b/>
          <w:color w:val="000000"/>
          <w:kern w:val="0"/>
          <w:sz w:val="32"/>
          <w:szCs w:val="32"/>
          <w:highlight w:val="none"/>
          <w:lang w:bidi="en-US"/>
        </w:rPr>
      </w:pPr>
    </w:p>
    <w:p>
      <w:pPr>
        <w:spacing w:line="480" w:lineRule="auto"/>
        <w:ind w:firstLine="0" w:firstLineChars="0"/>
        <w:rPr>
          <w:rFonts w:ascii="黑体" w:hAnsi="Times New Roman" w:eastAsia="黑体" w:cs="Times New Roman"/>
          <w:b/>
          <w:color w:val="000000"/>
          <w:kern w:val="0"/>
          <w:sz w:val="32"/>
          <w:szCs w:val="32"/>
          <w:highlight w:val="none"/>
          <w:lang w:bidi="en-US"/>
        </w:rPr>
      </w:pPr>
    </w:p>
    <w:p>
      <w:pPr>
        <w:spacing w:line="480" w:lineRule="auto"/>
        <w:ind w:firstLine="0" w:firstLineChars="0"/>
        <w:jc w:val="center"/>
        <w:rPr>
          <w:rFonts w:ascii="仿宋_GB2312" w:hAnsi="Times New Roman" w:cs="Times New Roman"/>
          <w:color w:val="000000"/>
          <w:kern w:val="0"/>
          <w:sz w:val="32"/>
          <w:szCs w:val="32"/>
          <w:highlight w:val="none"/>
          <w:lang w:bidi="en-US"/>
        </w:rPr>
      </w:pPr>
      <w:r>
        <w:rPr>
          <w:rFonts w:hint="eastAsia" w:ascii="仿宋_GB2312" w:hAnsi="Times New Roman" w:cs="Times New Roman"/>
          <w:color w:val="000000"/>
          <w:kern w:val="0"/>
          <w:sz w:val="32"/>
          <w:szCs w:val="32"/>
          <w:highlight w:val="none"/>
          <w:lang w:eastAsia="zh-CN" w:bidi="en-US"/>
        </w:rPr>
        <w:t>2024年5月</w:t>
      </w:r>
    </w:p>
    <w:p>
      <w:pPr>
        <w:spacing w:line="480" w:lineRule="auto"/>
        <w:ind w:firstLine="0" w:firstLineChars="0"/>
        <w:jc w:val="center"/>
        <w:rPr>
          <w:rFonts w:ascii="仿宋_GB2312" w:hAnsi="Times New Roman" w:cs="Times New Roman"/>
          <w:color w:val="000000"/>
          <w:kern w:val="0"/>
          <w:sz w:val="32"/>
          <w:szCs w:val="32"/>
          <w:highlight w:val="none"/>
          <w:lang w:bidi="en-US"/>
        </w:rPr>
      </w:pPr>
    </w:p>
    <w:p>
      <w:pPr>
        <w:tabs>
          <w:tab w:val="left" w:pos="3324"/>
        </w:tabs>
        <w:spacing w:line="480" w:lineRule="auto"/>
        <w:ind w:firstLine="0" w:firstLineChars="0"/>
        <w:rPr>
          <w:rFonts w:ascii="仿宋_GB2312" w:hAnsi="Times New Roman" w:cs="Times New Roman"/>
          <w:color w:val="000000"/>
          <w:kern w:val="0"/>
          <w:sz w:val="32"/>
          <w:szCs w:val="32"/>
          <w:highlight w:val="none"/>
          <w:lang w:bidi="en-US"/>
        </w:rPr>
      </w:pPr>
      <w:r>
        <w:rPr>
          <w:rFonts w:ascii="仿宋_GB2312" w:hAnsi="Times New Roman" w:cs="Times New Roman"/>
          <w:color w:val="000000"/>
          <w:kern w:val="0"/>
          <w:sz w:val="32"/>
          <w:szCs w:val="32"/>
          <w:highlight w:val="none"/>
          <w:lang w:bidi="en-US"/>
        </w:rPr>
        <w:tab/>
      </w:r>
    </w:p>
    <w:p>
      <w:pPr>
        <w:ind w:firstLine="640"/>
        <w:rPr>
          <w:rFonts w:ascii="仿宋_GB2312" w:hAnsi="Times New Roman" w:cs="Times New Roman"/>
          <w:color w:val="000000"/>
          <w:kern w:val="0"/>
          <w:sz w:val="32"/>
          <w:szCs w:val="32"/>
          <w:highlight w:val="none"/>
          <w:lang w:bidi="en-US"/>
        </w:rPr>
      </w:pPr>
    </w:p>
    <w:p>
      <w:pPr>
        <w:pStyle w:val="20"/>
        <w:ind w:firstLine="560"/>
        <w:jc w:val="center"/>
        <w:rPr>
          <w:color w:val="000000"/>
          <w:highlight w:val="none"/>
        </w:rPr>
      </w:pPr>
      <w:r>
        <w:rPr>
          <w:color w:val="000000"/>
          <w:highlight w:val="none"/>
          <w:lang w:val="zh-CN"/>
        </w:rPr>
        <w:t>目录</w:t>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TOC \o "1-3" \h \z \u </w:instrText>
      </w:r>
      <w:r>
        <w:rPr>
          <w:color w:val="000000"/>
          <w:highlight w:val="none"/>
        </w:rPr>
        <w:fldChar w:fldCharType="separate"/>
      </w:r>
      <w:r>
        <w:rPr>
          <w:color w:val="000000"/>
          <w:highlight w:val="none"/>
        </w:rPr>
        <w:fldChar w:fldCharType="begin"/>
      </w:r>
      <w:r>
        <w:rPr>
          <w:color w:val="000000"/>
          <w:highlight w:val="none"/>
        </w:rPr>
        <w:instrText xml:space="preserve"> HYPERLINK \l "_Toc165277220" </w:instrText>
      </w:r>
      <w:r>
        <w:rPr>
          <w:color w:val="000000"/>
          <w:highlight w:val="none"/>
        </w:rPr>
        <w:fldChar w:fldCharType="separate"/>
      </w:r>
      <w:r>
        <w:rPr>
          <w:rStyle w:val="16"/>
          <w:rFonts w:hint="eastAsia" w:ascii="仿宋" w:hAnsi="仿宋" w:eastAsia="仿宋"/>
          <w:color w:val="000000"/>
          <w:highlight w:val="none"/>
          <w:lang w:bidi="en-US"/>
        </w:rPr>
        <w:t>一、基本情况</w:t>
      </w:r>
      <w:r>
        <w:rPr>
          <w:color w:val="000000"/>
          <w:highlight w:val="none"/>
        </w:rPr>
        <w:tab/>
      </w:r>
      <w:r>
        <w:rPr>
          <w:color w:val="000000"/>
          <w:highlight w:val="none"/>
        </w:rPr>
        <w:fldChar w:fldCharType="begin"/>
      </w:r>
      <w:r>
        <w:rPr>
          <w:color w:val="000000"/>
          <w:highlight w:val="none"/>
        </w:rPr>
        <w:instrText xml:space="preserve"> PAGEREF _Toc165277220 \h </w:instrText>
      </w:r>
      <w:r>
        <w:rPr>
          <w:color w:val="000000"/>
          <w:highlight w:val="none"/>
        </w:rPr>
        <w:fldChar w:fldCharType="separate"/>
      </w:r>
      <w:r>
        <w:rPr>
          <w:color w:val="000000"/>
          <w:highlight w:val="none"/>
        </w:rPr>
        <w:t>1</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"_Toc165277221" </w:instrText>
      </w:r>
      <w:r>
        <w:rPr>
          <w:color w:val="000000"/>
          <w:highlight w:val="none"/>
        </w:rPr>
        <w:fldChar w:fldCharType="separate"/>
      </w:r>
      <w:r>
        <w:rPr>
          <w:rStyle w:val="16"/>
          <w:rFonts w:hint="eastAsia" w:ascii="仿宋" w:hAnsi="仿宋" w:eastAsia="仿宋"/>
          <w:color w:val="000000"/>
          <w:highlight w:val="none"/>
          <w:lang w:bidi="en-US"/>
        </w:rPr>
        <w:t>（一）项目概况：</w:t>
      </w:r>
      <w:r>
        <w:rPr>
          <w:color w:val="000000"/>
          <w:highlight w:val="none"/>
        </w:rPr>
        <w:tab/>
      </w:r>
      <w:r>
        <w:rPr>
          <w:color w:val="000000"/>
          <w:highlight w:val="none"/>
        </w:rPr>
        <w:fldChar w:fldCharType="begin"/>
      </w:r>
      <w:r>
        <w:rPr>
          <w:color w:val="000000"/>
          <w:highlight w:val="none"/>
        </w:rPr>
        <w:instrText xml:space="preserve"> PAGEREF _Toc165277221 \h </w:instrText>
      </w:r>
      <w:r>
        <w:rPr>
          <w:color w:val="000000"/>
          <w:highlight w:val="none"/>
        </w:rPr>
        <w:fldChar w:fldCharType="separate"/>
      </w:r>
      <w:r>
        <w:rPr>
          <w:color w:val="000000"/>
          <w:highlight w:val="none"/>
        </w:rPr>
        <w:t>1</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"_Toc165277222" </w:instrText>
      </w:r>
      <w:r>
        <w:rPr>
          <w:color w:val="000000"/>
          <w:highlight w:val="none"/>
        </w:rPr>
        <w:fldChar w:fldCharType="separate"/>
      </w:r>
      <w:r>
        <w:rPr>
          <w:rStyle w:val="16"/>
          <w:color w:val="000000"/>
          <w:highlight w:val="none"/>
        </w:rPr>
        <w:t>1</w:t>
      </w:r>
      <w:r>
        <w:rPr>
          <w:rStyle w:val="16"/>
          <w:rFonts w:hint="eastAsia"/>
          <w:color w:val="000000"/>
          <w:highlight w:val="none"/>
        </w:rPr>
        <w:t>．项目背景、主要内容及实施情况</w:t>
      </w:r>
      <w:r>
        <w:rPr>
          <w:color w:val="000000"/>
          <w:highlight w:val="none"/>
        </w:rPr>
        <w:tab/>
      </w:r>
      <w:r>
        <w:rPr>
          <w:color w:val="000000"/>
          <w:highlight w:val="none"/>
        </w:rPr>
        <w:fldChar w:fldCharType="begin"/>
      </w:r>
      <w:r>
        <w:rPr>
          <w:color w:val="000000"/>
          <w:highlight w:val="none"/>
        </w:rPr>
        <w:instrText xml:space="preserve"> PAGEREF _Toc165277222 \h </w:instrText>
      </w:r>
      <w:r>
        <w:rPr>
          <w:color w:val="000000"/>
          <w:highlight w:val="none"/>
        </w:rPr>
        <w:fldChar w:fldCharType="separate"/>
      </w:r>
      <w:r>
        <w:rPr>
          <w:color w:val="000000"/>
          <w:highlight w:val="none"/>
        </w:rPr>
        <w:t>1</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"_Toc165277223" </w:instrText>
      </w:r>
      <w:r>
        <w:rPr>
          <w:color w:val="000000"/>
          <w:highlight w:val="none"/>
        </w:rPr>
        <w:fldChar w:fldCharType="separate"/>
      </w:r>
      <w:r>
        <w:rPr>
          <w:rStyle w:val="16"/>
          <w:color w:val="000000"/>
          <w:highlight w:val="none"/>
        </w:rPr>
        <w:t>2.</w:t>
      </w:r>
      <w:r>
        <w:rPr>
          <w:rStyle w:val="16"/>
          <w:rFonts w:hint="eastAsia"/>
          <w:color w:val="000000"/>
          <w:highlight w:val="none"/>
        </w:rPr>
        <w:t>资金投入和使用情况</w:t>
      </w:r>
      <w:r>
        <w:rPr>
          <w:color w:val="000000"/>
          <w:highlight w:val="none"/>
        </w:rPr>
        <w:tab/>
      </w:r>
      <w:r>
        <w:rPr>
          <w:color w:val="000000"/>
          <w:highlight w:val="none"/>
        </w:rPr>
        <w:fldChar w:fldCharType="begin"/>
      </w:r>
      <w:r>
        <w:rPr>
          <w:color w:val="000000"/>
          <w:highlight w:val="none"/>
        </w:rPr>
        <w:instrText xml:space="preserve"> PAGEREF _Toc165277223 \h </w:instrText>
      </w:r>
      <w:r>
        <w:rPr>
          <w:color w:val="000000"/>
          <w:highlight w:val="none"/>
        </w:rPr>
        <w:fldChar w:fldCharType="separate"/>
      </w:r>
      <w:r>
        <w:rPr>
          <w:color w:val="000000"/>
          <w:highlight w:val="none"/>
        </w:rPr>
        <w:t>1</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"_Toc165277224" </w:instrText>
      </w:r>
      <w:r>
        <w:rPr>
          <w:color w:val="000000"/>
          <w:highlight w:val="none"/>
        </w:rPr>
        <w:fldChar w:fldCharType="separate"/>
      </w:r>
      <w:r>
        <w:rPr>
          <w:rStyle w:val="16"/>
          <w:rFonts w:hint="eastAsia" w:ascii="仿宋" w:hAnsi="仿宋" w:eastAsia="仿宋"/>
          <w:color w:val="000000"/>
          <w:highlight w:val="none"/>
          <w:lang w:bidi="en-US"/>
        </w:rPr>
        <w:t>（二）项目绩效目标：</w:t>
      </w:r>
      <w:r>
        <w:rPr>
          <w:color w:val="000000"/>
          <w:highlight w:val="none"/>
        </w:rPr>
        <w:tab/>
      </w:r>
      <w:r>
        <w:rPr>
          <w:color w:val="000000"/>
          <w:highlight w:val="none"/>
        </w:rPr>
        <w:fldChar w:fldCharType="begin"/>
      </w:r>
      <w:r>
        <w:rPr>
          <w:color w:val="000000"/>
          <w:highlight w:val="none"/>
        </w:rPr>
        <w:instrText xml:space="preserve"> PAGEREF _Toc165277224 \h </w:instrText>
      </w:r>
      <w:r>
        <w:rPr>
          <w:color w:val="000000"/>
          <w:highlight w:val="none"/>
        </w:rPr>
        <w:fldChar w:fldCharType="separate"/>
      </w:r>
      <w:r>
        <w:rPr>
          <w:color w:val="000000"/>
          <w:highlight w:val="none"/>
        </w:rPr>
        <w:t>1</w:t>
      </w:r>
      <w:r>
        <w:rPr>
          <w:color w:val="000000"/>
          <w:highlight w:val="none"/>
        </w:rPr>
        <w:fldChar w:fldCharType="end"/>
      </w:r>
      <w:r>
        <w:rPr>
          <w:color w:val="000000"/>
          <w:highlight w:val="none"/>
        </w:rPr>
        <w:fldChar w:fldCharType="end"/>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"_Toc165277225" </w:instrText>
      </w:r>
      <w:r>
        <w:rPr>
          <w:color w:val="000000"/>
          <w:highlight w:val="none"/>
        </w:rPr>
        <w:fldChar w:fldCharType="separate"/>
      </w:r>
      <w:r>
        <w:rPr>
          <w:rStyle w:val="16"/>
          <w:rFonts w:hint="eastAsia" w:ascii="仿宋" w:hAnsi="仿宋" w:eastAsia="仿宋"/>
          <w:color w:val="000000"/>
          <w:highlight w:val="none"/>
          <w:lang w:bidi="en-US"/>
        </w:rPr>
        <w:t>二、绩效评价工作开展情况</w:t>
      </w:r>
      <w:r>
        <w:rPr>
          <w:color w:val="000000"/>
          <w:highlight w:val="none"/>
        </w:rPr>
        <w:tab/>
      </w:r>
      <w:r>
        <w:rPr>
          <w:color w:val="000000"/>
          <w:highlight w:val="none"/>
        </w:rPr>
        <w:fldChar w:fldCharType="begin"/>
      </w:r>
      <w:r>
        <w:rPr>
          <w:color w:val="000000"/>
          <w:highlight w:val="none"/>
        </w:rPr>
        <w:instrText xml:space="preserve"> PAGEREF _Toc165277225 \h </w:instrText>
      </w:r>
      <w:r>
        <w:rPr>
          <w:color w:val="000000"/>
          <w:highlight w:val="none"/>
        </w:rPr>
        <w:fldChar w:fldCharType="separate"/>
      </w:r>
      <w:r>
        <w:rPr>
          <w:color w:val="000000"/>
          <w:highlight w:val="none"/>
        </w:rPr>
        <w:t>2</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"_Toc165277226" </w:instrText>
      </w:r>
      <w:r>
        <w:rPr>
          <w:color w:val="000000"/>
          <w:highlight w:val="none"/>
        </w:rPr>
        <w:fldChar w:fldCharType="separate"/>
      </w:r>
      <w:r>
        <w:rPr>
          <w:rStyle w:val="16"/>
          <w:rFonts w:hint="eastAsia" w:ascii="仿宋" w:hAnsi="仿宋" w:eastAsia="仿宋"/>
          <w:color w:val="000000"/>
          <w:highlight w:val="none"/>
          <w:lang w:bidi="en-US"/>
        </w:rPr>
        <w:t>（一）绩效评价目的、对象和范围</w:t>
      </w:r>
      <w:r>
        <w:rPr>
          <w:color w:val="000000"/>
          <w:highlight w:val="none"/>
        </w:rPr>
        <w:tab/>
      </w:r>
      <w:r>
        <w:rPr>
          <w:color w:val="000000"/>
          <w:highlight w:val="none"/>
        </w:rPr>
        <w:fldChar w:fldCharType="begin"/>
      </w:r>
      <w:r>
        <w:rPr>
          <w:color w:val="000000"/>
          <w:highlight w:val="none"/>
        </w:rPr>
        <w:instrText xml:space="preserve"> PAGEREF _Toc165277226 \h </w:instrText>
      </w:r>
      <w:r>
        <w:rPr>
          <w:color w:val="000000"/>
          <w:highlight w:val="none"/>
        </w:rPr>
        <w:fldChar w:fldCharType="separate"/>
      </w:r>
      <w:r>
        <w:rPr>
          <w:color w:val="000000"/>
          <w:highlight w:val="none"/>
        </w:rPr>
        <w:t>2</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"_Toc165277227" </w:instrText>
      </w:r>
      <w:r>
        <w:rPr>
          <w:color w:val="000000"/>
          <w:highlight w:val="none"/>
        </w:rPr>
        <w:fldChar w:fldCharType="separate"/>
      </w:r>
      <w:r>
        <w:rPr>
          <w:rStyle w:val="16"/>
          <w:color w:val="000000"/>
          <w:highlight w:val="none"/>
        </w:rPr>
        <w:t>1.</w:t>
      </w:r>
      <w:r>
        <w:rPr>
          <w:rStyle w:val="16"/>
          <w:rFonts w:hint="eastAsia"/>
          <w:color w:val="000000"/>
          <w:highlight w:val="none"/>
        </w:rPr>
        <w:t>绩效评价完整性</w:t>
      </w:r>
      <w:r>
        <w:rPr>
          <w:color w:val="000000"/>
          <w:highlight w:val="none"/>
        </w:rPr>
        <w:tab/>
      </w:r>
      <w:r>
        <w:rPr>
          <w:color w:val="000000"/>
          <w:highlight w:val="none"/>
        </w:rPr>
        <w:fldChar w:fldCharType="begin"/>
      </w:r>
      <w:r>
        <w:rPr>
          <w:color w:val="000000"/>
          <w:highlight w:val="none"/>
        </w:rPr>
        <w:instrText xml:space="preserve"> PAGEREF _Toc165277227 \h </w:instrText>
      </w:r>
      <w:r>
        <w:rPr>
          <w:color w:val="000000"/>
          <w:highlight w:val="none"/>
        </w:rPr>
        <w:fldChar w:fldCharType="separate"/>
      </w:r>
      <w:r>
        <w:rPr>
          <w:color w:val="000000"/>
          <w:highlight w:val="none"/>
        </w:rPr>
        <w:t>2</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"_Toc165277228" </w:instrText>
      </w:r>
      <w:r>
        <w:rPr>
          <w:color w:val="000000"/>
          <w:highlight w:val="none"/>
        </w:rPr>
        <w:fldChar w:fldCharType="separate"/>
      </w:r>
      <w:r>
        <w:rPr>
          <w:rStyle w:val="16"/>
          <w:color w:val="000000"/>
          <w:highlight w:val="none"/>
        </w:rPr>
        <w:t>2.</w:t>
      </w:r>
      <w:r>
        <w:rPr>
          <w:rStyle w:val="16"/>
          <w:rFonts w:hint="eastAsia"/>
          <w:color w:val="000000"/>
          <w:highlight w:val="none"/>
        </w:rPr>
        <w:t>评价目的</w:t>
      </w:r>
      <w:r>
        <w:rPr>
          <w:color w:val="000000"/>
          <w:highlight w:val="none"/>
        </w:rPr>
        <w:tab/>
      </w:r>
      <w:r>
        <w:rPr>
          <w:color w:val="000000"/>
          <w:highlight w:val="none"/>
        </w:rPr>
        <w:fldChar w:fldCharType="begin"/>
      </w:r>
      <w:r>
        <w:rPr>
          <w:color w:val="000000"/>
          <w:highlight w:val="none"/>
        </w:rPr>
        <w:instrText xml:space="preserve"> PAGEREF _Toc165277228 \h </w:instrText>
      </w:r>
      <w:r>
        <w:rPr>
          <w:color w:val="000000"/>
          <w:highlight w:val="none"/>
        </w:rPr>
        <w:fldChar w:fldCharType="separate"/>
      </w:r>
      <w:r>
        <w:rPr>
          <w:color w:val="000000"/>
          <w:highlight w:val="none"/>
        </w:rPr>
        <w:t>3</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"_Toc165277229" </w:instrText>
      </w:r>
      <w:r>
        <w:rPr>
          <w:color w:val="000000"/>
          <w:highlight w:val="none"/>
        </w:rPr>
        <w:fldChar w:fldCharType="separate"/>
      </w:r>
      <w:r>
        <w:rPr>
          <w:rStyle w:val="16"/>
          <w:color w:val="000000"/>
          <w:highlight w:val="none"/>
        </w:rPr>
        <w:t>3.</w:t>
      </w:r>
      <w:r>
        <w:rPr>
          <w:rStyle w:val="16"/>
          <w:rFonts w:hint="eastAsia"/>
          <w:color w:val="000000"/>
          <w:highlight w:val="none"/>
        </w:rPr>
        <w:t>评价对象</w:t>
      </w:r>
      <w:r>
        <w:rPr>
          <w:color w:val="000000"/>
          <w:highlight w:val="none"/>
        </w:rPr>
        <w:tab/>
      </w:r>
      <w:r>
        <w:rPr>
          <w:color w:val="000000"/>
          <w:highlight w:val="none"/>
        </w:rPr>
        <w:fldChar w:fldCharType="begin"/>
      </w:r>
      <w:r>
        <w:rPr>
          <w:color w:val="000000"/>
          <w:highlight w:val="none"/>
        </w:rPr>
        <w:instrText xml:space="preserve"> PAGEREF _Toc165277229 \h </w:instrText>
      </w:r>
      <w:r>
        <w:rPr>
          <w:color w:val="000000"/>
          <w:highlight w:val="none"/>
        </w:rPr>
        <w:fldChar w:fldCharType="separate"/>
      </w:r>
      <w:r>
        <w:rPr>
          <w:color w:val="000000"/>
          <w:highlight w:val="none"/>
        </w:rPr>
        <w:t>3</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"_Toc165277230" </w:instrText>
      </w:r>
      <w:r>
        <w:rPr>
          <w:color w:val="000000"/>
          <w:highlight w:val="none"/>
        </w:rPr>
        <w:fldChar w:fldCharType="separate"/>
      </w:r>
      <w:r>
        <w:rPr>
          <w:rStyle w:val="16"/>
          <w:color w:val="000000"/>
          <w:highlight w:val="none"/>
        </w:rPr>
        <w:t>4.</w:t>
      </w:r>
      <w:r>
        <w:rPr>
          <w:rStyle w:val="16"/>
          <w:rFonts w:hint="eastAsia"/>
          <w:color w:val="000000"/>
          <w:highlight w:val="none"/>
        </w:rPr>
        <w:t>绩效评价范围</w:t>
      </w:r>
      <w:r>
        <w:rPr>
          <w:color w:val="000000"/>
          <w:highlight w:val="none"/>
        </w:rPr>
        <w:tab/>
      </w:r>
      <w:r>
        <w:rPr>
          <w:color w:val="000000"/>
          <w:highlight w:val="none"/>
        </w:rPr>
        <w:fldChar w:fldCharType="begin"/>
      </w:r>
      <w:r>
        <w:rPr>
          <w:color w:val="000000"/>
          <w:highlight w:val="none"/>
        </w:rPr>
        <w:instrText xml:space="preserve"> PAGEREF _Toc165277230 \h </w:instrText>
      </w:r>
      <w:r>
        <w:rPr>
          <w:color w:val="000000"/>
          <w:highlight w:val="none"/>
        </w:rPr>
        <w:fldChar w:fldCharType="separate"/>
      </w:r>
      <w:r>
        <w:rPr>
          <w:color w:val="000000"/>
          <w:highlight w:val="none"/>
        </w:rPr>
        <w:t>3</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"_Toc165277231" </w:instrText>
      </w:r>
      <w:r>
        <w:rPr>
          <w:color w:val="000000"/>
          <w:highlight w:val="none"/>
        </w:rPr>
        <w:fldChar w:fldCharType="separate"/>
      </w:r>
      <w:r>
        <w:rPr>
          <w:rStyle w:val="16"/>
          <w:rFonts w:hint="eastAsia" w:ascii="仿宋" w:hAnsi="仿宋" w:eastAsia="仿宋"/>
          <w:color w:val="000000"/>
          <w:highlight w:val="none"/>
          <w:lang w:bidi="en-US"/>
        </w:rPr>
        <w:t>（二）绩效评价原则、指标体系、方法及标准</w:t>
      </w:r>
      <w:r>
        <w:rPr>
          <w:color w:val="000000"/>
          <w:highlight w:val="none"/>
        </w:rPr>
        <w:tab/>
      </w:r>
      <w:r>
        <w:rPr>
          <w:color w:val="000000"/>
          <w:highlight w:val="none"/>
        </w:rPr>
        <w:fldChar w:fldCharType="begin"/>
      </w:r>
      <w:r>
        <w:rPr>
          <w:color w:val="000000"/>
          <w:highlight w:val="none"/>
        </w:rPr>
        <w:instrText xml:space="preserve"> PAGEREF _Toc165277231 \h </w:instrText>
      </w:r>
      <w:r>
        <w:rPr>
          <w:color w:val="000000"/>
          <w:highlight w:val="none"/>
        </w:rPr>
        <w:fldChar w:fldCharType="separate"/>
      </w:r>
      <w:r>
        <w:rPr>
          <w:color w:val="000000"/>
          <w:highlight w:val="none"/>
        </w:rPr>
        <w:t>4</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"_Toc165277232" </w:instrText>
      </w:r>
      <w:r>
        <w:rPr>
          <w:color w:val="000000"/>
          <w:highlight w:val="none"/>
        </w:rPr>
        <w:fldChar w:fldCharType="separate"/>
      </w:r>
      <w:r>
        <w:rPr>
          <w:rStyle w:val="16"/>
          <w:color w:val="000000"/>
          <w:highlight w:val="none"/>
        </w:rPr>
        <w:t>1.</w:t>
      </w:r>
      <w:r>
        <w:rPr>
          <w:rStyle w:val="16"/>
          <w:rFonts w:hint="eastAsia"/>
          <w:color w:val="000000"/>
          <w:highlight w:val="none"/>
        </w:rPr>
        <w:t>评价原则</w:t>
      </w:r>
      <w:r>
        <w:rPr>
          <w:color w:val="000000"/>
          <w:highlight w:val="none"/>
        </w:rPr>
        <w:tab/>
      </w:r>
      <w:r>
        <w:rPr>
          <w:color w:val="000000"/>
          <w:highlight w:val="none"/>
        </w:rPr>
        <w:fldChar w:fldCharType="begin"/>
      </w:r>
      <w:r>
        <w:rPr>
          <w:color w:val="000000"/>
          <w:highlight w:val="none"/>
        </w:rPr>
        <w:instrText xml:space="preserve"> PAGEREF _Toc165277232 \h </w:instrText>
      </w:r>
      <w:r>
        <w:rPr>
          <w:color w:val="000000"/>
          <w:highlight w:val="none"/>
        </w:rPr>
        <w:fldChar w:fldCharType="separate"/>
      </w:r>
      <w:r>
        <w:rPr>
          <w:color w:val="000000"/>
          <w:highlight w:val="none"/>
        </w:rPr>
        <w:t>4</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"_Toc165277233" </w:instrText>
      </w:r>
      <w:r>
        <w:rPr>
          <w:color w:val="000000"/>
          <w:highlight w:val="none"/>
        </w:rPr>
        <w:fldChar w:fldCharType="separate"/>
      </w:r>
      <w:r>
        <w:rPr>
          <w:rStyle w:val="16"/>
          <w:color w:val="000000"/>
          <w:highlight w:val="none"/>
        </w:rPr>
        <w:t>2.</w:t>
      </w:r>
      <w:r>
        <w:rPr>
          <w:rStyle w:val="16"/>
          <w:rFonts w:hint="eastAsia"/>
          <w:color w:val="000000"/>
          <w:highlight w:val="none"/>
        </w:rPr>
        <w:t>评价指标体系</w:t>
      </w:r>
      <w:r>
        <w:rPr>
          <w:color w:val="000000"/>
          <w:highlight w:val="none"/>
        </w:rPr>
        <w:tab/>
      </w:r>
      <w:r>
        <w:rPr>
          <w:color w:val="000000"/>
          <w:highlight w:val="none"/>
        </w:rPr>
        <w:fldChar w:fldCharType="begin"/>
      </w:r>
      <w:r>
        <w:rPr>
          <w:color w:val="000000"/>
          <w:highlight w:val="none"/>
        </w:rPr>
        <w:instrText xml:space="preserve"> PAGEREF _Toc165277233 \h </w:instrText>
      </w:r>
      <w:r>
        <w:rPr>
          <w:color w:val="000000"/>
          <w:highlight w:val="none"/>
        </w:rPr>
        <w:fldChar w:fldCharType="separate"/>
      </w:r>
      <w:r>
        <w:rPr>
          <w:color w:val="000000"/>
          <w:highlight w:val="none"/>
        </w:rPr>
        <w:t>4</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"_Toc165277234" </w:instrText>
      </w:r>
      <w:r>
        <w:rPr>
          <w:color w:val="000000"/>
          <w:highlight w:val="none"/>
        </w:rPr>
        <w:fldChar w:fldCharType="separate"/>
      </w:r>
      <w:r>
        <w:rPr>
          <w:rStyle w:val="16"/>
          <w:color w:val="000000"/>
          <w:highlight w:val="none"/>
        </w:rPr>
        <w:t>3.</w:t>
      </w:r>
      <w:r>
        <w:rPr>
          <w:rStyle w:val="16"/>
          <w:rFonts w:hint="eastAsia"/>
          <w:color w:val="000000"/>
          <w:highlight w:val="none"/>
        </w:rPr>
        <w:t>评价方法</w:t>
      </w:r>
      <w:r>
        <w:rPr>
          <w:color w:val="000000"/>
          <w:highlight w:val="none"/>
        </w:rPr>
        <w:tab/>
      </w:r>
      <w:r>
        <w:rPr>
          <w:color w:val="000000"/>
          <w:highlight w:val="none"/>
        </w:rPr>
        <w:fldChar w:fldCharType="begin"/>
      </w:r>
      <w:r>
        <w:rPr>
          <w:color w:val="000000"/>
          <w:highlight w:val="none"/>
        </w:rPr>
        <w:instrText xml:space="preserve"> PAGEREF _Toc165277234 \h </w:instrText>
      </w:r>
      <w:r>
        <w:rPr>
          <w:color w:val="000000"/>
          <w:highlight w:val="none"/>
        </w:rPr>
        <w:fldChar w:fldCharType="separate"/>
      </w:r>
      <w:r>
        <w:rPr>
          <w:color w:val="000000"/>
          <w:highlight w:val="none"/>
        </w:rPr>
        <w:t>12</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"_Toc165277235" </w:instrText>
      </w:r>
      <w:r>
        <w:rPr>
          <w:color w:val="000000"/>
          <w:highlight w:val="none"/>
        </w:rPr>
        <w:fldChar w:fldCharType="separate"/>
      </w:r>
      <w:r>
        <w:rPr>
          <w:rStyle w:val="16"/>
          <w:color w:val="000000"/>
          <w:highlight w:val="none"/>
        </w:rPr>
        <w:t>4.</w:t>
      </w:r>
      <w:r>
        <w:rPr>
          <w:rStyle w:val="16"/>
          <w:rFonts w:hint="eastAsia"/>
          <w:color w:val="000000"/>
          <w:highlight w:val="none"/>
        </w:rPr>
        <w:t>评价标准</w:t>
      </w:r>
      <w:r>
        <w:rPr>
          <w:color w:val="000000"/>
          <w:highlight w:val="none"/>
        </w:rPr>
        <w:tab/>
      </w:r>
      <w:r>
        <w:rPr>
          <w:color w:val="000000"/>
          <w:highlight w:val="none"/>
        </w:rPr>
        <w:fldChar w:fldCharType="begin"/>
      </w:r>
      <w:r>
        <w:rPr>
          <w:color w:val="000000"/>
          <w:highlight w:val="none"/>
        </w:rPr>
        <w:instrText xml:space="preserve"> PAGEREF _Toc165277235 \h </w:instrText>
      </w:r>
      <w:r>
        <w:rPr>
          <w:color w:val="000000"/>
          <w:highlight w:val="none"/>
        </w:rPr>
        <w:fldChar w:fldCharType="separate"/>
      </w:r>
      <w:r>
        <w:rPr>
          <w:color w:val="000000"/>
          <w:highlight w:val="none"/>
        </w:rPr>
        <w:t>13</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"_Toc165277236" </w:instrText>
      </w:r>
      <w:r>
        <w:rPr>
          <w:color w:val="000000"/>
          <w:highlight w:val="none"/>
        </w:rPr>
        <w:fldChar w:fldCharType="separate"/>
      </w:r>
      <w:r>
        <w:rPr>
          <w:rStyle w:val="16"/>
          <w:rFonts w:hint="eastAsia" w:ascii="仿宋" w:hAnsi="仿宋" w:eastAsia="仿宋"/>
          <w:color w:val="000000"/>
          <w:highlight w:val="none"/>
          <w:lang w:bidi="en-US"/>
        </w:rPr>
        <w:t>（三）绩效评价工作过程</w:t>
      </w:r>
      <w:r>
        <w:rPr>
          <w:color w:val="000000"/>
          <w:highlight w:val="none"/>
        </w:rPr>
        <w:tab/>
      </w:r>
      <w:r>
        <w:rPr>
          <w:color w:val="000000"/>
          <w:highlight w:val="none"/>
        </w:rPr>
        <w:fldChar w:fldCharType="begin"/>
      </w:r>
      <w:r>
        <w:rPr>
          <w:color w:val="000000"/>
          <w:highlight w:val="none"/>
        </w:rPr>
        <w:instrText xml:space="preserve"> PAGEREF _Toc165277236 \h </w:instrText>
      </w:r>
      <w:r>
        <w:rPr>
          <w:color w:val="000000"/>
          <w:highlight w:val="none"/>
        </w:rPr>
        <w:fldChar w:fldCharType="separate"/>
      </w:r>
      <w:r>
        <w:rPr>
          <w:color w:val="000000"/>
          <w:highlight w:val="none"/>
        </w:rPr>
        <w:t>13</w:t>
      </w:r>
      <w:r>
        <w:rPr>
          <w:color w:val="000000"/>
          <w:highlight w:val="none"/>
        </w:rPr>
        <w:fldChar w:fldCharType="end"/>
      </w:r>
      <w:r>
        <w:rPr>
          <w:color w:val="000000"/>
          <w:highlight w:val="none"/>
        </w:rPr>
        <w:fldChar w:fldCharType="end"/>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"_Toc165277237" </w:instrText>
      </w:r>
      <w:r>
        <w:rPr>
          <w:color w:val="000000"/>
          <w:highlight w:val="none"/>
        </w:rPr>
        <w:fldChar w:fldCharType="separate"/>
      </w:r>
      <w:r>
        <w:rPr>
          <w:rStyle w:val="16"/>
          <w:rFonts w:hint="eastAsia" w:ascii="仿宋" w:hAnsi="仿宋" w:eastAsia="仿宋"/>
          <w:color w:val="000000"/>
          <w:highlight w:val="none"/>
          <w:lang w:bidi="en-US"/>
        </w:rPr>
        <w:t>三、综合评价情况及评价结论</w:t>
      </w:r>
      <w:r>
        <w:rPr>
          <w:color w:val="000000"/>
          <w:highlight w:val="none"/>
        </w:rPr>
        <w:tab/>
      </w:r>
      <w:r>
        <w:rPr>
          <w:color w:val="000000"/>
          <w:highlight w:val="none"/>
        </w:rPr>
        <w:fldChar w:fldCharType="begin"/>
      </w:r>
      <w:r>
        <w:rPr>
          <w:color w:val="000000"/>
          <w:highlight w:val="none"/>
        </w:rPr>
        <w:instrText xml:space="preserve"> PAGEREF _Toc165277237 \h </w:instrText>
      </w:r>
      <w:r>
        <w:rPr>
          <w:color w:val="000000"/>
          <w:highlight w:val="none"/>
        </w:rPr>
        <w:fldChar w:fldCharType="separate"/>
      </w:r>
      <w:r>
        <w:rPr>
          <w:color w:val="000000"/>
          <w:highlight w:val="none"/>
        </w:rPr>
        <w:t>14</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"_Toc165277238" </w:instrText>
      </w:r>
      <w:r>
        <w:rPr>
          <w:color w:val="000000"/>
          <w:highlight w:val="none"/>
        </w:rPr>
        <w:fldChar w:fldCharType="separate"/>
      </w:r>
      <w:r>
        <w:rPr>
          <w:rStyle w:val="16"/>
          <w:rFonts w:hint="eastAsia" w:ascii="仿宋" w:hAnsi="仿宋" w:eastAsia="仿宋"/>
          <w:color w:val="000000"/>
          <w:highlight w:val="none"/>
          <w:lang w:bidi="en-US"/>
        </w:rPr>
        <w:t>（一）评价结论</w:t>
      </w:r>
      <w:r>
        <w:rPr>
          <w:color w:val="000000"/>
          <w:highlight w:val="none"/>
        </w:rPr>
        <w:tab/>
      </w:r>
      <w:r>
        <w:rPr>
          <w:color w:val="000000"/>
          <w:highlight w:val="none"/>
        </w:rPr>
        <w:fldChar w:fldCharType="begin"/>
      </w:r>
      <w:r>
        <w:rPr>
          <w:color w:val="000000"/>
          <w:highlight w:val="none"/>
        </w:rPr>
        <w:instrText xml:space="preserve"> PAGEREF _Toc165277238 \h </w:instrText>
      </w:r>
      <w:r>
        <w:rPr>
          <w:color w:val="000000"/>
          <w:highlight w:val="none"/>
        </w:rPr>
        <w:fldChar w:fldCharType="separate"/>
      </w:r>
      <w:r>
        <w:rPr>
          <w:color w:val="000000"/>
          <w:highlight w:val="none"/>
        </w:rPr>
        <w:t>14</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"_Toc165277239" </w:instrText>
      </w:r>
      <w:r>
        <w:rPr>
          <w:color w:val="000000"/>
          <w:highlight w:val="none"/>
        </w:rPr>
        <w:fldChar w:fldCharType="separate"/>
      </w:r>
      <w:r>
        <w:rPr>
          <w:rStyle w:val="16"/>
          <w:rFonts w:hint="eastAsia" w:ascii="仿宋" w:hAnsi="仿宋" w:eastAsia="仿宋"/>
          <w:color w:val="000000"/>
          <w:highlight w:val="none"/>
          <w:lang w:bidi="en-US"/>
        </w:rPr>
        <w:t>（二）主要绩效</w:t>
      </w:r>
      <w:r>
        <w:rPr>
          <w:color w:val="000000"/>
          <w:highlight w:val="none"/>
        </w:rPr>
        <w:tab/>
      </w:r>
      <w:r>
        <w:rPr>
          <w:color w:val="000000"/>
          <w:highlight w:val="none"/>
        </w:rPr>
        <w:fldChar w:fldCharType="begin"/>
      </w:r>
      <w:r>
        <w:rPr>
          <w:color w:val="000000"/>
          <w:highlight w:val="none"/>
        </w:rPr>
        <w:instrText xml:space="preserve"> PAGEREF _Toc165277239 \h </w:instrText>
      </w:r>
      <w:r>
        <w:rPr>
          <w:color w:val="000000"/>
          <w:highlight w:val="none"/>
        </w:rPr>
        <w:fldChar w:fldCharType="separate"/>
      </w:r>
      <w:r>
        <w:rPr>
          <w:color w:val="000000"/>
          <w:highlight w:val="none"/>
        </w:rPr>
        <w:t>15</w:t>
      </w:r>
      <w:r>
        <w:rPr>
          <w:color w:val="000000"/>
          <w:highlight w:val="none"/>
        </w:rPr>
        <w:fldChar w:fldCharType="end"/>
      </w:r>
      <w:r>
        <w:rPr>
          <w:color w:val="000000"/>
          <w:highlight w:val="none"/>
        </w:rPr>
        <w:fldChar w:fldCharType="end"/>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"_Toc165277240" </w:instrText>
      </w:r>
      <w:r>
        <w:rPr>
          <w:color w:val="000000"/>
          <w:highlight w:val="none"/>
        </w:rPr>
        <w:fldChar w:fldCharType="separate"/>
      </w:r>
      <w:r>
        <w:rPr>
          <w:rStyle w:val="16"/>
          <w:rFonts w:hint="eastAsia" w:ascii="仿宋" w:hAnsi="仿宋" w:eastAsia="仿宋"/>
          <w:color w:val="000000"/>
          <w:highlight w:val="none"/>
          <w:lang w:bidi="en-US"/>
        </w:rPr>
        <w:t>四、绩效评价指标分析</w:t>
      </w:r>
      <w:r>
        <w:rPr>
          <w:color w:val="000000"/>
          <w:highlight w:val="none"/>
        </w:rPr>
        <w:tab/>
      </w:r>
      <w:r>
        <w:rPr>
          <w:color w:val="000000"/>
          <w:highlight w:val="none"/>
        </w:rPr>
        <w:fldChar w:fldCharType="begin"/>
      </w:r>
      <w:r>
        <w:rPr>
          <w:color w:val="000000"/>
          <w:highlight w:val="none"/>
        </w:rPr>
        <w:instrText xml:space="preserve"> PAGEREF _Toc165277240 \h </w:instrText>
      </w:r>
      <w:r>
        <w:rPr>
          <w:color w:val="000000"/>
          <w:highlight w:val="none"/>
        </w:rPr>
        <w:fldChar w:fldCharType="separate"/>
      </w:r>
      <w:r>
        <w:rPr>
          <w:color w:val="000000"/>
          <w:highlight w:val="none"/>
        </w:rPr>
        <w:t>15</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"_Toc165277241" </w:instrText>
      </w:r>
      <w:r>
        <w:rPr>
          <w:color w:val="000000"/>
          <w:highlight w:val="none"/>
        </w:rPr>
        <w:fldChar w:fldCharType="separate"/>
      </w:r>
      <w:r>
        <w:rPr>
          <w:rStyle w:val="16"/>
          <w:rFonts w:hint="eastAsia" w:ascii="仿宋" w:hAnsi="仿宋" w:eastAsia="仿宋"/>
          <w:color w:val="000000"/>
          <w:highlight w:val="none"/>
          <w:lang w:bidi="en-US"/>
        </w:rPr>
        <w:t>（一）项目决策情况</w:t>
      </w:r>
      <w:r>
        <w:rPr>
          <w:color w:val="000000"/>
          <w:highlight w:val="none"/>
        </w:rPr>
        <w:tab/>
      </w:r>
      <w:r>
        <w:rPr>
          <w:color w:val="000000"/>
          <w:highlight w:val="none"/>
        </w:rPr>
        <w:fldChar w:fldCharType="begin"/>
      </w:r>
      <w:r>
        <w:rPr>
          <w:color w:val="000000"/>
          <w:highlight w:val="none"/>
        </w:rPr>
        <w:instrText xml:space="preserve"> PAGEREF _Toc165277241 \h </w:instrText>
      </w:r>
      <w:r>
        <w:rPr>
          <w:color w:val="000000"/>
          <w:highlight w:val="none"/>
        </w:rPr>
        <w:fldChar w:fldCharType="separate"/>
      </w:r>
      <w:r>
        <w:rPr>
          <w:color w:val="000000"/>
          <w:highlight w:val="none"/>
        </w:rPr>
        <w:t>15</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"_Toc165277242" </w:instrText>
      </w:r>
      <w:r>
        <w:rPr>
          <w:color w:val="000000"/>
          <w:highlight w:val="none"/>
        </w:rPr>
        <w:fldChar w:fldCharType="separate"/>
      </w:r>
      <w:r>
        <w:rPr>
          <w:rStyle w:val="16"/>
          <w:color w:val="000000"/>
          <w:highlight w:val="none"/>
        </w:rPr>
        <w:t>1.</w:t>
      </w:r>
      <w:r>
        <w:rPr>
          <w:rStyle w:val="16"/>
          <w:rFonts w:hint="eastAsia"/>
          <w:color w:val="000000"/>
          <w:highlight w:val="none"/>
        </w:rPr>
        <w:t>项目立项</w:t>
      </w:r>
      <w:r>
        <w:rPr>
          <w:color w:val="000000"/>
          <w:highlight w:val="none"/>
        </w:rPr>
        <w:tab/>
      </w:r>
      <w:r>
        <w:rPr>
          <w:color w:val="000000"/>
          <w:highlight w:val="none"/>
        </w:rPr>
        <w:fldChar w:fldCharType="begin"/>
      </w:r>
      <w:r>
        <w:rPr>
          <w:color w:val="000000"/>
          <w:highlight w:val="none"/>
        </w:rPr>
        <w:instrText xml:space="preserve"> PAGEREF _Toc165277242 \h </w:instrText>
      </w:r>
      <w:r>
        <w:rPr>
          <w:color w:val="000000"/>
          <w:highlight w:val="none"/>
        </w:rPr>
        <w:fldChar w:fldCharType="separate"/>
      </w:r>
      <w:r>
        <w:rPr>
          <w:color w:val="000000"/>
          <w:highlight w:val="none"/>
        </w:rPr>
        <w:t>16</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"_Toc165277243" </w:instrText>
      </w:r>
      <w:r>
        <w:rPr>
          <w:color w:val="000000"/>
          <w:highlight w:val="none"/>
        </w:rPr>
        <w:fldChar w:fldCharType="separate"/>
      </w:r>
      <w:r>
        <w:rPr>
          <w:rStyle w:val="16"/>
          <w:color w:val="000000"/>
          <w:highlight w:val="none"/>
        </w:rPr>
        <w:t>2.</w:t>
      </w:r>
      <w:r>
        <w:rPr>
          <w:rStyle w:val="16"/>
          <w:rFonts w:hint="eastAsia"/>
          <w:color w:val="000000"/>
          <w:highlight w:val="none"/>
        </w:rPr>
        <w:t>绩效目标</w:t>
      </w:r>
      <w:r>
        <w:rPr>
          <w:color w:val="000000"/>
          <w:highlight w:val="none"/>
        </w:rPr>
        <w:tab/>
      </w:r>
      <w:r>
        <w:rPr>
          <w:color w:val="000000"/>
          <w:highlight w:val="none"/>
        </w:rPr>
        <w:fldChar w:fldCharType="begin"/>
      </w:r>
      <w:r>
        <w:rPr>
          <w:color w:val="000000"/>
          <w:highlight w:val="none"/>
        </w:rPr>
        <w:instrText xml:space="preserve"> PAGEREF _Toc165277243 \h </w:instrText>
      </w:r>
      <w:r>
        <w:rPr>
          <w:color w:val="000000"/>
          <w:highlight w:val="none"/>
        </w:rPr>
        <w:fldChar w:fldCharType="separate"/>
      </w:r>
      <w:r>
        <w:rPr>
          <w:color w:val="000000"/>
          <w:highlight w:val="none"/>
        </w:rPr>
        <w:t>16</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"_Toc165277244" </w:instrText>
      </w:r>
      <w:r>
        <w:rPr>
          <w:color w:val="000000"/>
          <w:highlight w:val="none"/>
        </w:rPr>
        <w:fldChar w:fldCharType="separate"/>
      </w:r>
      <w:r>
        <w:rPr>
          <w:rStyle w:val="16"/>
          <w:color w:val="000000"/>
          <w:highlight w:val="none"/>
        </w:rPr>
        <w:t>3.</w:t>
      </w:r>
      <w:r>
        <w:rPr>
          <w:rStyle w:val="16"/>
          <w:rFonts w:hint="eastAsia"/>
          <w:color w:val="000000"/>
          <w:highlight w:val="none"/>
        </w:rPr>
        <w:t>资金投入</w:t>
      </w:r>
      <w:r>
        <w:rPr>
          <w:color w:val="000000"/>
          <w:highlight w:val="none"/>
        </w:rPr>
        <w:tab/>
      </w:r>
      <w:r>
        <w:rPr>
          <w:color w:val="000000"/>
          <w:highlight w:val="none"/>
        </w:rPr>
        <w:fldChar w:fldCharType="begin"/>
      </w:r>
      <w:r>
        <w:rPr>
          <w:color w:val="000000"/>
          <w:highlight w:val="none"/>
        </w:rPr>
        <w:instrText xml:space="preserve"> PAGEREF _Toc165277244 \h </w:instrText>
      </w:r>
      <w:r>
        <w:rPr>
          <w:color w:val="000000"/>
          <w:highlight w:val="none"/>
        </w:rPr>
        <w:fldChar w:fldCharType="separate"/>
      </w:r>
      <w:r>
        <w:rPr>
          <w:color w:val="000000"/>
          <w:highlight w:val="none"/>
        </w:rPr>
        <w:t>17</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"_Toc165277245" </w:instrText>
      </w:r>
      <w:r>
        <w:rPr>
          <w:color w:val="000000"/>
          <w:highlight w:val="none"/>
        </w:rPr>
        <w:fldChar w:fldCharType="separate"/>
      </w:r>
      <w:r>
        <w:rPr>
          <w:rStyle w:val="16"/>
          <w:rFonts w:hint="eastAsia" w:ascii="仿宋" w:hAnsi="仿宋" w:eastAsia="仿宋"/>
          <w:color w:val="000000"/>
          <w:highlight w:val="none"/>
          <w:lang w:bidi="en-US"/>
        </w:rPr>
        <w:t>（二）项目过程情况</w:t>
      </w:r>
      <w:r>
        <w:rPr>
          <w:color w:val="000000"/>
          <w:highlight w:val="none"/>
        </w:rPr>
        <w:tab/>
      </w:r>
      <w:r>
        <w:rPr>
          <w:color w:val="000000"/>
          <w:highlight w:val="none"/>
        </w:rPr>
        <w:fldChar w:fldCharType="begin"/>
      </w:r>
      <w:r>
        <w:rPr>
          <w:color w:val="000000"/>
          <w:highlight w:val="none"/>
        </w:rPr>
        <w:instrText xml:space="preserve"> PAGEREF _Toc165277245 \h </w:instrText>
      </w:r>
      <w:r>
        <w:rPr>
          <w:color w:val="000000"/>
          <w:highlight w:val="none"/>
        </w:rPr>
        <w:fldChar w:fldCharType="separate"/>
      </w:r>
      <w:r>
        <w:rPr>
          <w:color w:val="000000"/>
          <w:highlight w:val="none"/>
        </w:rPr>
        <w:t>17</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"_Toc165277246" </w:instrText>
      </w:r>
      <w:r>
        <w:rPr>
          <w:color w:val="000000"/>
          <w:highlight w:val="none"/>
        </w:rPr>
        <w:fldChar w:fldCharType="separate"/>
      </w:r>
      <w:r>
        <w:rPr>
          <w:rStyle w:val="16"/>
          <w:color w:val="000000"/>
          <w:highlight w:val="none"/>
        </w:rPr>
        <w:t>1.</w:t>
      </w:r>
      <w:r>
        <w:rPr>
          <w:rStyle w:val="16"/>
          <w:rFonts w:hint="eastAsia"/>
          <w:color w:val="000000"/>
          <w:highlight w:val="none"/>
        </w:rPr>
        <w:t>资金管理</w:t>
      </w:r>
      <w:r>
        <w:rPr>
          <w:color w:val="000000"/>
          <w:highlight w:val="none"/>
        </w:rPr>
        <w:tab/>
      </w:r>
      <w:r>
        <w:rPr>
          <w:color w:val="000000"/>
          <w:highlight w:val="none"/>
        </w:rPr>
        <w:fldChar w:fldCharType="begin"/>
      </w:r>
      <w:r>
        <w:rPr>
          <w:color w:val="000000"/>
          <w:highlight w:val="none"/>
        </w:rPr>
        <w:instrText xml:space="preserve"> PAGEREF _Toc165277246 \h </w:instrText>
      </w:r>
      <w:r>
        <w:rPr>
          <w:color w:val="000000"/>
          <w:highlight w:val="none"/>
        </w:rPr>
        <w:fldChar w:fldCharType="separate"/>
      </w:r>
      <w:r>
        <w:rPr>
          <w:color w:val="000000"/>
          <w:highlight w:val="none"/>
        </w:rPr>
        <w:t>17</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"_Toc165277247" </w:instrText>
      </w:r>
      <w:r>
        <w:rPr>
          <w:color w:val="000000"/>
          <w:highlight w:val="none"/>
        </w:rPr>
        <w:fldChar w:fldCharType="separate"/>
      </w:r>
      <w:r>
        <w:rPr>
          <w:rStyle w:val="16"/>
          <w:color w:val="000000"/>
          <w:highlight w:val="none"/>
        </w:rPr>
        <w:t>2.</w:t>
      </w:r>
      <w:r>
        <w:rPr>
          <w:rStyle w:val="16"/>
          <w:rFonts w:hint="eastAsia"/>
          <w:color w:val="000000"/>
          <w:highlight w:val="none"/>
        </w:rPr>
        <w:t>组织实施</w:t>
      </w:r>
      <w:r>
        <w:rPr>
          <w:color w:val="000000"/>
          <w:highlight w:val="none"/>
        </w:rPr>
        <w:tab/>
      </w:r>
      <w:r>
        <w:rPr>
          <w:color w:val="000000"/>
          <w:highlight w:val="none"/>
        </w:rPr>
        <w:fldChar w:fldCharType="begin"/>
      </w:r>
      <w:r>
        <w:rPr>
          <w:color w:val="000000"/>
          <w:highlight w:val="none"/>
        </w:rPr>
        <w:instrText xml:space="preserve"> PAGEREF _Toc165277247 \h </w:instrText>
      </w:r>
      <w:r>
        <w:rPr>
          <w:color w:val="000000"/>
          <w:highlight w:val="none"/>
        </w:rPr>
        <w:fldChar w:fldCharType="separate"/>
      </w:r>
      <w:r>
        <w:rPr>
          <w:color w:val="000000"/>
          <w:highlight w:val="none"/>
        </w:rPr>
        <w:t>18</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"_Toc165277248" </w:instrText>
      </w:r>
      <w:r>
        <w:rPr>
          <w:color w:val="000000"/>
          <w:highlight w:val="none"/>
        </w:rPr>
        <w:fldChar w:fldCharType="separate"/>
      </w:r>
      <w:r>
        <w:rPr>
          <w:rStyle w:val="16"/>
          <w:rFonts w:hint="eastAsia" w:ascii="仿宋" w:hAnsi="仿宋" w:eastAsia="仿宋"/>
          <w:color w:val="000000"/>
          <w:highlight w:val="none"/>
          <w:lang w:bidi="en-US"/>
        </w:rPr>
        <w:t>（三）项目产出情况</w:t>
      </w:r>
      <w:r>
        <w:rPr>
          <w:color w:val="000000"/>
          <w:highlight w:val="none"/>
        </w:rPr>
        <w:tab/>
      </w:r>
      <w:r>
        <w:rPr>
          <w:color w:val="000000"/>
          <w:highlight w:val="none"/>
        </w:rPr>
        <w:fldChar w:fldCharType="begin"/>
      </w:r>
      <w:r>
        <w:rPr>
          <w:color w:val="000000"/>
          <w:highlight w:val="none"/>
        </w:rPr>
        <w:instrText xml:space="preserve"> PAGEREF _Toc165277248 \h </w:instrText>
      </w:r>
      <w:r>
        <w:rPr>
          <w:color w:val="000000"/>
          <w:highlight w:val="none"/>
        </w:rPr>
        <w:fldChar w:fldCharType="separate"/>
      </w:r>
      <w:r>
        <w:rPr>
          <w:color w:val="000000"/>
          <w:highlight w:val="none"/>
        </w:rPr>
        <w:t>18</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"_Toc165277249" </w:instrText>
      </w:r>
      <w:r>
        <w:rPr>
          <w:color w:val="000000"/>
          <w:highlight w:val="none"/>
        </w:rPr>
        <w:fldChar w:fldCharType="separate"/>
      </w:r>
      <w:r>
        <w:rPr>
          <w:rStyle w:val="16"/>
          <w:color w:val="000000"/>
          <w:highlight w:val="none"/>
        </w:rPr>
        <w:t>1.</w:t>
      </w:r>
      <w:r>
        <w:rPr>
          <w:rStyle w:val="16"/>
          <w:rFonts w:hint="eastAsia"/>
          <w:color w:val="000000"/>
          <w:highlight w:val="none"/>
        </w:rPr>
        <w:t>产出数量</w:t>
      </w:r>
      <w:r>
        <w:rPr>
          <w:color w:val="000000"/>
          <w:highlight w:val="none"/>
        </w:rPr>
        <w:tab/>
      </w:r>
      <w:r>
        <w:rPr>
          <w:color w:val="000000"/>
          <w:highlight w:val="none"/>
        </w:rPr>
        <w:fldChar w:fldCharType="begin"/>
      </w:r>
      <w:r>
        <w:rPr>
          <w:color w:val="000000"/>
          <w:highlight w:val="none"/>
        </w:rPr>
        <w:instrText xml:space="preserve"> PAGEREF _Toc165277249 \h </w:instrText>
      </w:r>
      <w:r>
        <w:rPr>
          <w:color w:val="000000"/>
          <w:highlight w:val="none"/>
        </w:rPr>
        <w:fldChar w:fldCharType="separate"/>
      </w:r>
      <w:r>
        <w:rPr>
          <w:color w:val="000000"/>
          <w:highlight w:val="none"/>
        </w:rPr>
        <w:t>18</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"_Toc165277250" </w:instrText>
      </w:r>
      <w:r>
        <w:rPr>
          <w:color w:val="000000"/>
          <w:highlight w:val="none"/>
        </w:rPr>
        <w:fldChar w:fldCharType="separate"/>
      </w:r>
      <w:r>
        <w:rPr>
          <w:rStyle w:val="16"/>
          <w:color w:val="000000"/>
          <w:highlight w:val="none"/>
        </w:rPr>
        <w:t>2.</w:t>
      </w:r>
      <w:r>
        <w:rPr>
          <w:rStyle w:val="16"/>
          <w:rFonts w:hint="eastAsia"/>
          <w:color w:val="000000"/>
          <w:highlight w:val="none"/>
        </w:rPr>
        <w:t>产出质量</w:t>
      </w:r>
      <w:r>
        <w:rPr>
          <w:color w:val="000000"/>
          <w:highlight w:val="none"/>
        </w:rPr>
        <w:tab/>
      </w:r>
      <w:r>
        <w:rPr>
          <w:color w:val="000000"/>
          <w:highlight w:val="none"/>
        </w:rPr>
        <w:fldChar w:fldCharType="begin"/>
      </w:r>
      <w:r>
        <w:rPr>
          <w:color w:val="000000"/>
          <w:highlight w:val="none"/>
        </w:rPr>
        <w:instrText xml:space="preserve"> PAGEREF _Toc165277250 \h </w:instrText>
      </w:r>
      <w:r>
        <w:rPr>
          <w:color w:val="000000"/>
          <w:highlight w:val="none"/>
        </w:rPr>
        <w:fldChar w:fldCharType="separate"/>
      </w:r>
      <w:r>
        <w:rPr>
          <w:color w:val="000000"/>
          <w:highlight w:val="none"/>
        </w:rPr>
        <w:t>19</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"_Toc165277251" </w:instrText>
      </w:r>
      <w:r>
        <w:rPr>
          <w:color w:val="000000"/>
          <w:highlight w:val="none"/>
        </w:rPr>
        <w:fldChar w:fldCharType="separate"/>
      </w:r>
      <w:r>
        <w:rPr>
          <w:rStyle w:val="16"/>
          <w:color w:val="000000"/>
          <w:highlight w:val="none"/>
        </w:rPr>
        <w:t>3.</w:t>
      </w:r>
      <w:r>
        <w:rPr>
          <w:rStyle w:val="16"/>
          <w:rFonts w:hint="eastAsia"/>
          <w:color w:val="000000"/>
          <w:highlight w:val="none"/>
        </w:rPr>
        <w:t>产出时效</w:t>
      </w:r>
      <w:r>
        <w:rPr>
          <w:color w:val="000000"/>
          <w:highlight w:val="none"/>
        </w:rPr>
        <w:tab/>
      </w:r>
      <w:r>
        <w:rPr>
          <w:color w:val="000000"/>
          <w:highlight w:val="none"/>
        </w:rPr>
        <w:fldChar w:fldCharType="begin"/>
      </w:r>
      <w:r>
        <w:rPr>
          <w:color w:val="000000"/>
          <w:highlight w:val="none"/>
        </w:rPr>
        <w:instrText xml:space="preserve"> PAGEREF _Toc165277251 \h </w:instrText>
      </w:r>
      <w:r>
        <w:rPr>
          <w:color w:val="000000"/>
          <w:highlight w:val="none"/>
        </w:rPr>
        <w:fldChar w:fldCharType="separate"/>
      </w:r>
      <w:r>
        <w:rPr>
          <w:color w:val="000000"/>
          <w:highlight w:val="none"/>
        </w:rPr>
        <w:t>19</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"_Toc165277252" </w:instrText>
      </w:r>
      <w:r>
        <w:rPr>
          <w:color w:val="000000"/>
          <w:highlight w:val="none"/>
        </w:rPr>
        <w:fldChar w:fldCharType="separate"/>
      </w:r>
      <w:r>
        <w:rPr>
          <w:rStyle w:val="16"/>
          <w:color w:val="000000"/>
          <w:highlight w:val="none"/>
        </w:rPr>
        <w:t>4.</w:t>
      </w:r>
      <w:r>
        <w:rPr>
          <w:rStyle w:val="16"/>
          <w:rFonts w:hint="eastAsia"/>
          <w:color w:val="000000"/>
          <w:highlight w:val="none"/>
        </w:rPr>
        <w:t>产出成本</w:t>
      </w:r>
      <w:r>
        <w:rPr>
          <w:color w:val="000000"/>
          <w:highlight w:val="none"/>
        </w:rPr>
        <w:tab/>
      </w:r>
      <w:r>
        <w:rPr>
          <w:color w:val="000000"/>
          <w:highlight w:val="none"/>
        </w:rPr>
        <w:fldChar w:fldCharType="begin"/>
      </w:r>
      <w:r>
        <w:rPr>
          <w:color w:val="000000"/>
          <w:highlight w:val="none"/>
        </w:rPr>
        <w:instrText xml:space="preserve"> PAGEREF _Toc165277252 \h </w:instrText>
      </w:r>
      <w:r>
        <w:rPr>
          <w:color w:val="000000"/>
          <w:highlight w:val="none"/>
        </w:rPr>
        <w:fldChar w:fldCharType="separate"/>
      </w:r>
      <w:r>
        <w:rPr>
          <w:color w:val="000000"/>
          <w:highlight w:val="none"/>
        </w:rPr>
        <w:t>19</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"_Toc165277253" </w:instrText>
      </w:r>
      <w:r>
        <w:rPr>
          <w:color w:val="000000"/>
          <w:highlight w:val="none"/>
        </w:rPr>
        <w:fldChar w:fldCharType="separate"/>
      </w:r>
      <w:r>
        <w:rPr>
          <w:rStyle w:val="16"/>
          <w:rFonts w:hint="eastAsia" w:ascii="仿宋" w:hAnsi="仿宋" w:eastAsia="仿宋"/>
          <w:color w:val="000000"/>
          <w:highlight w:val="none"/>
          <w:lang w:bidi="en-US"/>
        </w:rPr>
        <w:t>（四）项目效益情况</w:t>
      </w:r>
      <w:r>
        <w:rPr>
          <w:color w:val="000000"/>
          <w:highlight w:val="none"/>
        </w:rPr>
        <w:tab/>
      </w:r>
      <w:r>
        <w:rPr>
          <w:color w:val="000000"/>
          <w:highlight w:val="none"/>
        </w:rPr>
        <w:fldChar w:fldCharType="begin"/>
      </w:r>
      <w:r>
        <w:rPr>
          <w:color w:val="000000"/>
          <w:highlight w:val="none"/>
        </w:rPr>
        <w:instrText xml:space="preserve"> PAGEREF _Toc165277253 \h </w:instrText>
      </w:r>
      <w:r>
        <w:rPr>
          <w:color w:val="000000"/>
          <w:highlight w:val="none"/>
        </w:rPr>
        <w:fldChar w:fldCharType="separate"/>
      </w:r>
      <w:r>
        <w:rPr>
          <w:color w:val="000000"/>
          <w:highlight w:val="none"/>
        </w:rPr>
        <w:t>19</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"_Toc165277254" </w:instrText>
      </w:r>
      <w:r>
        <w:rPr>
          <w:color w:val="000000"/>
          <w:highlight w:val="none"/>
        </w:rPr>
        <w:fldChar w:fldCharType="separate"/>
      </w:r>
      <w:r>
        <w:rPr>
          <w:rStyle w:val="16"/>
          <w:color w:val="000000"/>
          <w:highlight w:val="none"/>
        </w:rPr>
        <w:t>1.</w:t>
      </w:r>
      <w:r>
        <w:rPr>
          <w:rStyle w:val="16"/>
          <w:rFonts w:hint="eastAsia"/>
          <w:color w:val="000000"/>
          <w:highlight w:val="none"/>
        </w:rPr>
        <w:t>项目效益</w:t>
      </w:r>
      <w:r>
        <w:rPr>
          <w:color w:val="000000"/>
          <w:highlight w:val="none"/>
        </w:rPr>
        <w:tab/>
      </w:r>
      <w:r>
        <w:rPr>
          <w:color w:val="000000"/>
          <w:highlight w:val="none"/>
        </w:rPr>
        <w:fldChar w:fldCharType="begin"/>
      </w:r>
      <w:r>
        <w:rPr>
          <w:color w:val="000000"/>
          <w:highlight w:val="none"/>
        </w:rPr>
        <w:instrText xml:space="preserve"> PAGEREF _Toc165277254 \h </w:instrText>
      </w:r>
      <w:r>
        <w:rPr>
          <w:color w:val="000000"/>
          <w:highlight w:val="none"/>
        </w:rPr>
        <w:fldChar w:fldCharType="separate"/>
      </w:r>
      <w:r>
        <w:rPr>
          <w:color w:val="000000"/>
          <w:highlight w:val="none"/>
        </w:rPr>
        <w:t>19</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"_Toc165277255" </w:instrText>
      </w:r>
      <w:r>
        <w:rPr>
          <w:color w:val="000000"/>
          <w:highlight w:val="none"/>
        </w:rPr>
        <w:fldChar w:fldCharType="separate"/>
      </w:r>
      <w:r>
        <w:rPr>
          <w:rStyle w:val="16"/>
          <w:color w:val="000000"/>
          <w:highlight w:val="none"/>
        </w:rPr>
        <w:t xml:space="preserve">2. </w:t>
      </w:r>
      <w:r>
        <w:rPr>
          <w:rStyle w:val="16"/>
          <w:rFonts w:hint="eastAsia"/>
          <w:color w:val="000000"/>
          <w:highlight w:val="none"/>
        </w:rPr>
        <w:t>满意度指标完成情况分析</w:t>
      </w:r>
      <w:r>
        <w:rPr>
          <w:color w:val="000000"/>
          <w:highlight w:val="none"/>
        </w:rPr>
        <w:tab/>
      </w:r>
      <w:r>
        <w:rPr>
          <w:color w:val="000000"/>
          <w:highlight w:val="none"/>
        </w:rPr>
        <w:fldChar w:fldCharType="begin"/>
      </w:r>
      <w:r>
        <w:rPr>
          <w:color w:val="000000"/>
          <w:highlight w:val="none"/>
        </w:rPr>
        <w:instrText xml:space="preserve"> PAGEREF _Toc165277255 \h </w:instrText>
      </w:r>
      <w:r>
        <w:rPr>
          <w:color w:val="000000"/>
          <w:highlight w:val="none"/>
        </w:rPr>
        <w:fldChar w:fldCharType="separate"/>
      </w:r>
      <w:r>
        <w:rPr>
          <w:color w:val="000000"/>
          <w:highlight w:val="none"/>
        </w:rPr>
        <w:t>20</w:t>
      </w:r>
      <w:r>
        <w:rPr>
          <w:color w:val="000000"/>
          <w:highlight w:val="none"/>
        </w:rPr>
        <w:fldChar w:fldCharType="end"/>
      </w:r>
      <w:r>
        <w:rPr>
          <w:color w:val="000000"/>
          <w:highlight w:val="none"/>
        </w:rPr>
        <w:fldChar w:fldCharType="end"/>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"_Toc165277256" </w:instrText>
      </w:r>
      <w:r>
        <w:rPr>
          <w:color w:val="000000"/>
          <w:highlight w:val="none"/>
        </w:rPr>
        <w:fldChar w:fldCharType="separate"/>
      </w:r>
      <w:r>
        <w:rPr>
          <w:rStyle w:val="16"/>
          <w:rFonts w:hint="eastAsia" w:ascii="仿宋" w:hAnsi="仿宋" w:eastAsia="仿宋"/>
          <w:color w:val="000000"/>
          <w:highlight w:val="none"/>
          <w:lang w:bidi="en-US"/>
        </w:rPr>
        <w:t>五、主要经验及做法、存在的问题及原因分析</w:t>
      </w:r>
      <w:r>
        <w:rPr>
          <w:color w:val="000000"/>
          <w:highlight w:val="none"/>
        </w:rPr>
        <w:tab/>
      </w:r>
      <w:r>
        <w:rPr>
          <w:color w:val="000000"/>
          <w:highlight w:val="none"/>
        </w:rPr>
        <w:fldChar w:fldCharType="begin"/>
      </w:r>
      <w:r>
        <w:rPr>
          <w:color w:val="000000"/>
          <w:highlight w:val="none"/>
        </w:rPr>
        <w:instrText xml:space="preserve"> PAGEREF _Toc165277256 \h </w:instrText>
      </w:r>
      <w:r>
        <w:rPr>
          <w:color w:val="000000"/>
          <w:highlight w:val="none"/>
        </w:rPr>
        <w:fldChar w:fldCharType="separate"/>
      </w:r>
      <w:r>
        <w:rPr>
          <w:color w:val="000000"/>
          <w:highlight w:val="none"/>
        </w:rPr>
        <w:t>20</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"_Toc165277257" </w:instrText>
      </w:r>
      <w:r>
        <w:rPr>
          <w:color w:val="000000"/>
          <w:highlight w:val="none"/>
        </w:rPr>
        <w:fldChar w:fldCharType="separate"/>
      </w:r>
      <w:r>
        <w:rPr>
          <w:rStyle w:val="16"/>
          <w:rFonts w:hint="eastAsia" w:ascii="仿宋" w:hAnsi="仿宋" w:eastAsia="仿宋"/>
          <w:color w:val="000000"/>
          <w:highlight w:val="none"/>
          <w:lang w:bidi="en-US"/>
        </w:rPr>
        <w:t>（一）主要经验及做法</w:t>
      </w:r>
      <w:r>
        <w:rPr>
          <w:color w:val="000000"/>
          <w:highlight w:val="none"/>
        </w:rPr>
        <w:tab/>
      </w:r>
      <w:r>
        <w:rPr>
          <w:color w:val="000000"/>
          <w:highlight w:val="none"/>
        </w:rPr>
        <w:fldChar w:fldCharType="begin"/>
      </w:r>
      <w:r>
        <w:rPr>
          <w:color w:val="000000"/>
          <w:highlight w:val="none"/>
        </w:rPr>
        <w:instrText xml:space="preserve"> PAGEREF _Toc165277257 \h </w:instrText>
      </w:r>
      <w:r>
        <w:rPr>
          <w:color w:val="000000"/>
          <w:highlight w:val="none"/>
        </w:rPr>
        <w:fldChar w:fldCharType="separate"/>
      </w:r>
      <w:r>
        <w:rPr>
          <w:color w:val="000000"/>
          <w:highlight w:val="none"/>
        </w:rPr>
        <w:t>20</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"_Toc165277258" </w:instrText>
      </w:r>
      <w:r>
        <w:rPr>
          <w:color w:val="000000"/>
          <w:highlight w:val="none"/>
        </w:rPr>
        <w:fldChar w:fldCharType="separate"/>
      </w:r>
      <w:r>
        <w:rPr>
          <w:rStyle w:val="16"/>
          <w:rFonts w:hint="eastAsia" w:ascii="仿宋" w:hAnsi="仿宋" w:eastAsia="仿宋"/>
          <w:color w:val="000000"/>
          <w:highlight w:val="none"/>
          <w:lang w:bidi="en-US"/>
        </w:rPr>
        <w:t>（二）存在的问题及原因分析</w:t>
      </w:r>
      <w:r>
        <w:rPr>
          <w:color w:val="000000"/>
          <w:highlight w:val="none"/>
        </w:rPr>
        <w:tab/>
      </w:r>
      <w:r>
        <w:rPr>
          <w:color w:val="000000"/>
          <w:highlight w:val="none"/>
        </w:rPr>
        <w:fldChar w:fldCharType="begin"/>
      </w:r>
      <w:r>
        <w:rPr>
          <w:color w:val="000000"/>
          <w:highlight w:val="none"/>
        </w:rPr>
        <w:instrText xml:space="preserve"> PAGEREF _Toc165277258 \h </w:instrText>
      </w:r>
      <w:r>
        <w:rPr>
          <w:color w:val="000000"/>
          <w:highlight w:val="none"/>
        </w:rPr>
        <w:fldChar w:fldCharType="separate"/>
      </w:r>
      <w:r>
        <w:rPr>
          <w:color w:val="000000"/>
          <w:highlight w:val="none"/>
        </w:rPr>
        <w:t>20</w:t>
      </w:r>
      <w:r>
        <w:rPr>
          <w:color w:val="000000"/>
          <w:highlight w:val="none"/>
        </w:rPr>
        <w:fldChar w:fldCharType="end"/>
      </w:r>
      <w:r>
        <w:rPr>
          <w:color w:val="000000"/>
          <w:highlight w:val="none"/>
        </w:rPr>
        <w:fldChar w:fldCharType="end"/>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"_Toc165277259" </w:instrText>
      </w:r>
      <w:r>
        <w:rPr>
          <w:color w:val="000000"/>
          <w:highlight w:val="none"/>
        </w:rPr>
        <w:fldChar w:fldCharType="separate"/>
      </w:r>
      <w:r>
        <w:rPr>
          <w:rStyle w:val="16"/>
          <w:rFonts w:hint="eastAsia" w:ascii="仿宋" w:hAnsi="仿宋" w:eastAsia="仿宋"/>
          <w:color w:val="000000"/>
          <w:highlight w:val="none"/>
          <w:lang w:bidi="en-US"/>
        </w:rPr>
        <w:t>六、有关建议</w:t>
      </w:r>
      <w:r>
        <w:rPr>
          <w:color w:val="000000"/>
          <w:highlight w:val="none"/>
        </w:rPr>
        <w:tab/>
      </w:r>
      <w:r>
        <w:rPr>
          <w:color w:val="000000"/>
          <w:highlight w:val="none"/>
        </w:rPr>
        <w:fldChar w:fldCharType="begin"/>
      </w:r>
      <w:r>
        <w:rPr>
          <w:color w:val="000000"/>
          <w:highlight w:val="none"/>
        </w:rPr>
        <w:instrText xml:space="preserve"> PAGEREF _Toc165277259 \h </w:instrText>
      </w:r>
      <w:r>
        <w:rPr>
          <w:color w:val="000000"/>
          <w:highlight w:val="none"/>
        </w:rPr>
        <w:fldChar w:fldCharType="separate"/>
      </w:r>
      <w:r>
        <w:rPr>
          <w:color w:val="000000"/>
          <w:highlight w:val="none"/>
        </w:rPr>
        <w:t>21</w:t>
      </w:r>
      <w:r>
        <w:rPr>
          <w:color w:val="000000"/>
          <w:highlight w:val="none"/>
        </w:rPr>
        <w:fldChar w:fldCharType="end"/>
      </w:r>
      <w:r>
        <w:rPr>
          <w:color w:val="000000"/>
          <w:highlight w:val="none"/>
        </w:rPr>
        <w:fldChar w:fldCharType="end"/>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"_Toc165277260" </w:instrText>
      </w:r>
      <w:r>
        <w:rPr>
          <w:color w:val="000000"/>
          <w:highlight w:val="none"/>
        </w:rPr>
        <w:fldChar w:fldCharType="separate"/>
      </w:r>
      <w:r>
        <w:rPr>
          <w:rStyle w:val="16"/>
          <w:rFonts w:hint="eastAsia" w:ascii="仿宋" w:hAnsi="仿宋" w:eastAsia="仿宋"/>
          <w:color w:val="000000"/>
          <w:highlight w:val="none"/>
          <w:lang w:bidi="en-US"/>
        </w:rPr>
        <w:t>七、其他需要说明的问题</w:t>
      </w:r>
      <w:r>
        <w:rPr>
          <w:color w:val="000000"/>
          <w:highlight w:val="none"/>
        </w:rPr>
        <w:tab/>
      </w:r>
      <w:r>
        <w:rPr>
          <w:color w:val="000000"/>
          <w:highlight w:val="none"/>
        </w:rPr>
        <w:fldChar w:fldCharType="begin"/>
      </w:r>
      <w:r>
        <w:rPr>
          <w:color w:val="000000"/>
          <w:highlight w:val="none"/>
        </w:rPr>
        <w:instrText xml:space="preserve"> PAGEREF _Toc165277260 \h </w:instrText>
      </w:r>
      <w:r>
        <w:rPr>
          <w:color w:val="000000"/>
          <w:highlight w:val="none"/>
        </w:rPr>
        <w:fldChar w:fldCharType="separate"/>
      </w:r>
      <w:r>
        <w:rPr>
          <w:color w:val="000000"/>
          <w:highlight w:val="none"/>
        </w:rPr>
        <w:t>21</w:t>
      </w:r>
      <w:r>
        <w:rPr>
          <w:color w:val="000000"/>
          <w:highlight w:val="none"/>
        </w:rPr>
        <w:fldChar w:fldCharType="end"/>
      </w:r>
      <w:r>
        <w:rPr>
          <w:color w:val="000000"/>
          <w:highlight w:val="none"/>
        </w:rPr>
        <w:fldChar w:fldCharType="end"/>
      </w:r>
    </w:p>
    <w:p>
      <w:pPr>
        <w:ind w:firstLine="562"/>
        <w:rPr>
          <w:color w:val="000000"/>
          <w:highlight w:val="none"/>
        </w:rPr>
      </w:pPr>
      <w:r>
        <w:rPr>
          <w:b/>
          <w:bCs/>
          <w:color w:val="000000"/>
          <w:highlight w:val="none"/>
          <w:lang w:val="zh-CN"/>
        </w:rPr>
        <w:fldChar w:fldCharType="end"/>
      </w:r>
    </w:p>
    <w:p>
      <w:pPr>
        <w:ind w:firstLine="598" w:firstLineChars="187"/>
        <w:rPr>
          <w:rFonts w:ascii="仿宋_GB2312" w:hAnsi="Times New Roman" w:cs="Times New Roman"/>
          <w:color w:val="000000"/>
          <w:sz w:val="32"/>
          <w:szCs w:val="32"/>
          <w:highlight w:val="none"/>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720" w:num="1"/>
          <w:docGrid w:type="lines" w:linePitch="312"/>
        </w:sectPr>
      </w:pPr>
    </w:p>
    <w:p>
      <w:pPr>
        <w:pStyle w:val="2"/>
        <w:ind w:firstLine="0" w:firstLineChars="0"/>
        <w:jc w:val="left"/>
        <w:rPr>
          <w:rFonts w:ascii="仿宋" w:hAnsi="仿宋" w:eastAsia="仿宋"/>
          <w:color w:val="000000"/>
          <w:sz w:val="36"/>
          <w:szCs w:val="36"/>
          <w:highlight w:val="none"/>
          <w:lang w:bidi="en-US"/>
        </w:rPr>
      </w:pPr>
      <w:bookmarkStart w:id="0" w:name="_Toc165277220"/>
      <w:bookmarkStart w:id="1" w:name="_Toc67911601"/>
      <w:r>
        <w:rPr>
          <w:rFonts w:hint="eastAsia" w:ascii="仿宋" w:hAnsi="仿宋" w:eastAsia="仿宋"/>
          <w:color w:val="000000"/>
          <w:sz w:val="36"/>
          <w:szCs w:val="36"/>
          <w:highlight w:val="none"/>
          <w:lang w:bidi="en-US"/>
        </w:rPr>
        <w:t>一、基本情况</w:t>
      </w:r>
      <w:bookmarkEnd w:id="0"/>
      <w:bookmarkEnd w:id="1"/>
    </w:p>
    <w:p>
      <w:pPr>
        <w:pStyle w:val="3"/>
        <w:ind w:firstLine="643"/>
        <w:rPr>
          <w:rFonts w:ascii="仿宋" w:hAnsi="仿宋" w:eastAsia="仿宋"/>
          <w:color w:val="000000"/>
          <w:highlight w:val="none"/>
          <w:lang w:bidi="en-US"/>
        </w:rPr>
      </w:pPr>
      <w:bookmarkStart w:id="2" w:name="_Toc67911602"/>
      <w:bookmarkStart w:id="3" w:name="_Toc165277221"/>
      <w:r>
        <w:rPr>
          <w:rFonts w:hint="eastAsia" w:ascii="仿宋" w:hAnsi="仿宋" w:eastAsia="仿宋"/>
          <w:color w:val="000000"/>
          <w:highlight w:val="none"/>
          <w:lang w:bidi="en-US"/>
        </w:rPr>
        <w:t>（一）项目概况：</w:t>
      </w:r>
      <w:bookmarkEnd w:id="2"/>
      <w:bookmarkEnd w:id="3"/>
    </w:p>
    <w:p>
      <w:pPr>
        <w:pStyle w:val="4"/>
        <w:ind w:firstLine="643"/>
        <w:rPr>
          <w:color w:val="000000"/>
          <w:highlight w:val="none"/>
        </w:rPr>
      </w:pPr>
      <w:bookmarkStart w:id="4" w:name="_Toc165277222"/>
      <w:r>
        <w:rPr>
          <w:rFonts w:hint="eastAsia"/>
          <w:color w:val="000000"/>
          <w:highlight w:val="none"/>
          <w:lang w:eastAsia="zh-CN"/>
        </w:rPr>
        <w:t>1.</w:t>
      </w:r>
      <w:r>
        <w:rPr>
          <w:rFonts w:hint="eastAsia"/>
          <w:color w:val="000000"/>
          <w:highlight w:val="none"/>
        </w:rPr>
        <w:t>项目背景、主要内容及实施情况</w:t>
      </w:r>
      <w:bookmarkEnd w:id="4"/>
    </w:p>
    <w:p>
      <w:pPr>
        <w:spacing w:line="360" w:lineRule="auto"/>
        <w:ind w:firstLine="560"/>
        <w:rPr>
          <w:rFonts w:ascii="仿宋_GB2312"/>
          <w:color w:val="000000"/>
          <w:highlight w:val="none"/>
        </w:rPr>
      </w:pPr>
      <w:r>
        <w:rPr>
          <w:rFonts w:hint="eastAsia" w:ascii="仿宋_GB2312"/>
          <w:color w:val="000000"/>
          <w:highlight w:val="none"/>
        </w:rPr>
        <w:t>该项目实施背景：随着《“健康中国2030”规划纲要》《中医药发展战略规划纲要（2016—2030年）》的深入实施，中医药传承创新发展已成为国家战略重要组成部分。根据《乌鲁木齐市中医药传承创新发展示范试点项目实施方案》及《2024年市人民政府研究财政事项第6次专题会议纪要》启动乌鲁木齐市中医药师承教育基地建设、学术流派挖掘传承和名老中医工作室建设项目，培养中医类别全科医师及中西医结合人才，2024年依托《乌鲁木齐市中医药发展“十四五”规划》，市级财政设立专项经费，支持中医药传承创新发展示范试点项目，旨在构建“传承有根基、创新有动力、产业有活力”的中医药发展新格局。</w:t>
      </w:r>
    </w:p>
    <w:p>
      <w:pPr>
        <w:spacing w:line="360" w:lineRule="auto"/>
        <w:ind w:firstLine="560"/>
        <w:rPr>
          <w:rFonts w:ascii="仿宋_GB2312"/>
          <w:color w:val="000000"/>
          <w:highlight w:val="none"/>
        </w:rPr>
      </w:pPr>
      <w:r>
        <w:rPr>
          <w:rFonts w:ascii="仿宋_GB2312"/>
          <w:color w:val="000000"/>
          <w:highlight w:val="none"/>
        </w:rPr>
        <w:t>项目</w:t>
      </w:r>
      <w:r>
        <w:rPr>
          <w:rFonts w:hint="eastAsia" w:ascii="仿宋_GB2312"/>
          <w:color w:val="000000"/>
          <w:highlight w:val="none"/>
        </w:rPr>
        <w:t>2024</w:t>
      </w:r>
      <w:r>
        <w:rPr>
          <w:rFonts w:ascii="仿宋_GB2312"/>
          <w:color w:val="000000"/>
          <w:highlight w:val="none"/>
        </w:rPr>
        <w:t>年的主要实施内容：①</w:t>
      </w:r>
      <w:r>
        <w:rPr>
          <w:rFonts w:hint="eastAsia" w:ascii="仿宋_GB2312"/>
          <w:color w:val="000000"/>
          <w:highlight w:val="none"/>
        </w:rPr>
        <w:t>启动乌鲁木齐市中医药师承教育基地建设、学术流派挖掘传承和名老中医工作室建设项目，培养中医类别全科医师及中西医结合人才目标，提升专科医疗服务能力及急危重症救治能力。</w:t>
      </w:r>
      <w:r>
        <w:rPr>
          <w:rFonts w:cs="Calibri"/>
          <w:color w:val="000000"/>
          <w:highlight w:val="none"/>
        </w:rPr>
        <w:t>②</w:t>
      </w:r>
      <w:r>
        <w:rPr>
          <w:rFonts w:hint="eastAsia" w:ascii="仿宋_GB2312"/>
          <w:color w:val="000000"/>
          <w:highlight w:val="none"/>
        </w:rPr>
        <w:t>开展中医药文化传播工作，建设共享中药房，启动智慧中医院建设，完成后续项目规划设计。</w:t>
      </w:r>
      <w:r>
        <w:rPr>
          <w:rFonts w:cs="Calibri"/>
          <w:color w:val="000000"/>
          <w:highlight w:val="none"/>
        </w:rPr>
        <w:t>③</w:t>
      </w:r>
      <w:r>
        <w:rPr>
          <w:rFonts w:hint="eastAsia" w:ascii="仿宋_GB2312"/>
          <w:color w:val="000000"/>
          <w:highlight w:val="none"/>
        </w:rPr>
        <w:t>总结“西域内科学术流派”“熊氏肛肠外科流派”学术传承谱。</w:t>
      </w:r>
    </w:p>
    <w:p>
      <w:pPr>
        <w:spacing w:line="360" w:lineRule="auto"/>
        <w:ind w:firstLine="560"/>
        <w:rPr>
          <w:rFonts w:ascii="仿宋_GB2312"/>
          <w:color w:val="000000"/>
          <w:highlight w:val="none"/>
        </w:rPr>
      </w:pPr>
      <w:r>
        <w:rPr>
          <w:rFonts w:ascii="仿宋_GB2312"/>
          <w:color w:val="000000"/>
          <w:highlight w:val="none"/>
        </w:rPr>
        <w:t>实际完成情况为：</w:t>
      </w:r>
      <w:r>
        <w:rPr>
          <w:rFonts w:hint="eastAsia" w:ascii="仿宋_GB2312"/>
          <w:color w:val="000000"/>
          <w:highlight w:val="none"/>
        </w:rPr>
        <w:t>项目拨付资金共3056万元，用于启动乌鲁木齐市中医药师承教育基地建设、学术流派挖掘传承和名老中医工作室建设项目，开展中医药文化传播工作，建设共享中药房，启动智慧中医院建设，进行后续项目规划设计，总结“西域内科学术流派”“熊氏肛肠外科流派”学术传承谱。2024年实际完成情况为：</w:t>
      </w:r>
      <w:r>
        <w:rPr>
          <w:rFonts w:cs="Calibri"/>
          <w:color w:val="000000"/>
          <w:highlight w:val="none"/>
        </w:rPr>
        <w:t>①</w:t>
      </w:r>
      <w:r>
        <w:rPr>
          <w:rFonts w:hint="eastAsia" w:ascii="仿宋_GB2312"/>
          <w:color w:val="000000"/>
          <w:highlight w:val="none"/>
        </w:rPr>
        <w:t>完成相关第一批医疗设备采购工作，设备购置费用共计1350.57万元；</w:t>
      </w:r>
      <w:r>
        <w:rPr>
          <w:rFonts w:cs="Calibri"/>
          <w:color w:val="000000"/>
          <w:highlight w:val="none"/>
        </w:rPr>
        <w:t>②</w:t>
      </w:r>
      <w:r>
        <w:rPr>
          <w:rFonts w:hint="eastAsia" w:ascii="仿宋_GB2312"/>
          <w:color w:val="000000"/>
          <w:highlight w:val="none"/>
        </w:rPr>
        <w:t>培养中医类别全科医师及中西医结合人才共计55人，支付培训及其他费用80.02万元，提升了专科医疗服务能力及急危重症救治能力。</w:t>
      </w:r>
    </w:p>
    <w:p>
      <w:pPr>
        <w:pStyle w:val="4"/>
        <w:ind w:firstLine="643"/>
        <w:rPr>
          <w:color w:val="000000"/>
          <w:highlight w:val="none"/>
        </w:rPr>
      </w:pPr>
      <w:bookmarkStart w:id="5" w:name="_Toc165277223"/>
      <w:r>
        <w:rPr>
          <w:rFonts w:hint="eastAsia"/>
          <w:color w:val="000000"/>
          <w:highlight w:val="none"/>
        </w:rPr>
        <w:t>2</w:t>
      </w:r>
      <w:r>
        <w:rPr>
          <w:color w:val="000000"/>
          <w:highlight w:val="none"/>
        </w:rPr>
        <w:t>.资金投入和使用情况</w:t>
      </w:r>
      <w:bookmarkEnd w:id="5"/>
    </w:p>
    <w:p>
      <w:pPr>
        <w:widowControl w:val="0"/>
        <w:wordWrap/>
        <w:adjustRightInd/>
        <w:snapToGrid/>
        <w:spacing w:line="360" w:lineRule="auto"/>
        <w:jc w:val="left"/>
        <w:textAlignment w:val="auto"/>
        <w:rPr>
          <w:rFonts w:ascii="仿宋_GB2312"/>
          <w:color w:val="000000"/>
          <w:highlight w:val="none"/>
        </w:rPr>
      </w:pPr>
      <w:r>
        <w:rPr>
          <w:rFonts w:hint="eastAsia" w:ascii="仿宋_GB2312"/>
          <w:color w:val="000000"/>
          <w:highlight w:val="none"/>
        </w:rPr>
        <w:t>该项目资金投入情况：经《乌鲁木齐市中医药传承创新发展示范试点项目市级财政经费的通知》乌财社</w:t>
      </w:r>
      <w:r>
        <w:rPr>
          <w:rFonts w:hint="eastAsia" w:ascii="仿宋_GB2312"/>
          <w:color w:val="000000"/>
          <w:highlight w:val="none"/>
          <w:lang w:eastAsia="zh-CN"/>
        </w:rPr>
        <w:t>〔2024〕74号</w:t>
      </w:r>
      <w:r>
        <w:rPr>
          <w:rFonts w:hint="eastAsia" w:ascii="仿宋_GB2312"/>
          <w:color w:val="000000"/>
          <w:highlight w:val="none"/>
        </w:rPr>
        <w:t>文件批准，项目系2024年市级财政资金，共安排预算3056万元，于2024年年中追加部分预算批复项目，年中资金调整预算为1430.59万元。</w:t>
      </w:r>
    </w:p>
    <w:p>
      <w:pPr>
        <w:spacing w:line="360" w:lineRule="auto"/>
        <w:ind w:firstLine="560"/>
        <w:rPr>
          <w:rFonts w:ascii="仿宋_GB2312"/>
          <w:color w:val="000000"/>
          <w:highlight w:val="none"/>
        </w:rPr>
      </w:pPr>
      <w:r>
        <w:rPr>
          <w:rFonts w:hint="eastAsia" w:ascii="仿宋_GB2312"/>
          <w:color w:val="000000"/>
          <w:highlight w:val="none"/>
        </w:rPr>
        <w:t>该项目资金使用情况：总预算3056</w:t>
      </w:r>
      <w:r>
        <w:rPr>
          <w:rFonts w:hint="eastAsia" w:ascii="仿宋_GB2312"/>
          <w:color w:val="000000"/>
          <w:highlight w:val="none"/>
          <w:lang w:eastAsia="zh-CN"/>
        </w:rPr>
        <w:t>万元</w:t>
      </w:r>
      <w:r>
        <w:rPr>
          <w:rFonts w:hint="eastAsia" w:ascii="仿宋_GB2312"/>
          <w:color w:val="000000"/>
          <w:highlight w:val="none"/>
        </w:rPr>
        <w:t>，年中预算数调整为1430.59万元，实际执行资金1430.59</w:t>
      </w:r>
      <w:r>
        <w:rPr>
          <w:rFonts w:ascii="仿宋_GB2312"/>
          <w:color w:val="000000"/>
          <w:highlight w:val="none"/>
        </w:rPr>
        <w:t>万元，</w:t>
      </w:r>
      <w:r>
        <w:rPr>
          <w:rFonts w:hint="eastAsia" w:ascii="仿宋_GB2312"/>
          <w:color w:val="000000"/>
          <w:highlight w:val="none"/>
        </w:rPr>
        <w:t>预算执行率100%。</w:t>
      </w:r>
    </w:p>
    <w:p>
      <w:pPr>
        <w:spacing w:line="360" w:lineRule="auto"/>
        <w:ind w:firstLine="0" w:firstLineChars="0"/>
        <w:rPr>
          <w:rFonts w:hint="eastAsia" w:ascii="仿宋_GB2312" w:eastAsia="仿宋_GB2312"/>
          <w:color w:val="000000"/>
          <w:highlight w:val="none"/>
          <w:lang w:eastAsia="zh-CN"/>
        </w:rPr>
      </w:pPr>
      <w:r>
        <w:rPr>
          <w:rFonts w:hint="eastAsia" w:ascii="仿宋_GB2312"/>
          <w:color w:val="000000"/>
          <w:highlight w:val="none"/>
        </w:rPr>
        <w:t>项目</w:t>
      </w:r>
      <w:r>
        <w:rPr>
          <w:rFonts w:ascii="仿宋_GB2312"/>
          <w:color w:val="000000"/>
          <w:highlight w:val="none"/>
        </w:rPr>
        <w:t>资金用于</w:t>
      </w:r>
      <w:r>
        <w:rPr>
          <w:rFonts w:hint="eastAsia" w:ascii="仿宋_GB2312"/>
          <w:color w:val="000000"/>
          <w:highlight w:val="none"/>
        </w:rPr>
        <w:t>完成启动乌鲁木齐市中医药师承教育基地建设、学术流派挖掘传承和名老中医工作室建设项目，培养中医类别全科医师及中西医结合人才；基本完成提升专科医疗服务能力及急危重症救治能力；基本完成开展中医药文化传播工作，建设共享中药房，启动智慧中医院建设，进行后续项目规划设计；总结“西域内科学术流派”“熊氏肛肠外科流派”学术传承谱。</w:t>
      </w:r>
      <w:r>
        <w:rPr>
          <w:rFonts w:hint="eastAsia" w:ascii="仿宋_GB2312"/>
          <w:color w:val="000000"/>
          <w:highlight w:val="none"/>
          <w:lang w:val="en-US" w:eastAsia="zh-CN"/>
        </w:rPr>
        <w:t>资金投入用于</w:t>
      </w:r>
      <w:r>
        <w:rPr>
          <w:rFonts w:hint="eastAsia" w:ascii="仿宋_GB2312"/>
          <w:color w:val="000000"/>
          <w:highlight w:val="none"/>
        </w:rPr>
        <w:t>第一批医疗设备采购工作，设备购置费用共计1350.57万元；培养中医类别全科医师及中西医结合人才共计55人，支付培训及其他费用80.02万元</w:t>
      </w:r>
      <w:r>
        <w:rPr>
          <w:rFonts w:hint="eastAsia" w:ascii="仿宋_GB2312"/>
          <w:color w:val="000000"/>
          <w:highlight w:val="none"/>
          <w:lang w:eastAsia="zh-CN"/>
        </w:rPr>
        <w:t>。</w:t>
      </w:r>
    </w:p>
    <w:p>
      <w:pPr>
        <w:pStyle w:val="3"/>
        <w:ind w:firstLine="643"/>
        <w:rPr>
          <w:rFonts w:ascii="仿宋" w:hAnsi="仿宋" w:eastAsia="仿宋"/>
          <w:color w:val="000000"/>
          <w:highlight w:val="none"/>
          <w:lang w:bidi="en-US"/>
        </w:rPr>
      </w:pPr>
      <w:bookmarkStart w:id="6" w:name="_Toc165277224"/>
      <w:bookmarkStart w:id="7" w:name="_Toc67911603"/>
      <w:r>
        <w:rPr>
          <w:rFonts w:hint="eastAsia" w:ascii="仿宋" w:hAnsi="仿宋" w:eastAsia="仿宋"/>
          <w:color w:val="000000"/>
          <w:highlight w:val="none"/>
          <w:lang w:bidi="en-US"/>
        </w:rPr>
        <w:t>（二）项目绩效目标：</w:t>
      </w:r>
      <w:bookmarkEnd w:id="6"/>
      <w:bookmarkEnd w:id="7"/>
    </w:p>
    <w:p>
      <w:pPr>
        <w:spacing w:line="360" w:lineRule="auto"/>
        <w:ind w:firstLine="560"/>
        <w:rPr>
          <w:rFonts w:ascii="仿宋_GB2312" w:hAnsi="仿宋"/>
          <w:color w:val="000000"/>
          <w:szCs w:val="28"/>
          <w:highlight w:val="none"/>
        </w:rPr>
      </w:pPr>
      <w:r>
        <w:rPr>
          <w:rFonts w:hint="eastAsia" w:ascii="仿宋_GB2312" w:hAnsi="仿宋"/>
          <w:color w:val="000000"/>
          <w:szCs w:val="28"/>
          <w:highlight w:val="none"/>
        </w:rPr>
        <w:t>本项目依据《中共中央 国务院关于全面实施预算绩效管理的意见》（中发〔2018〕</w:t>
      </w:r>
      <w:r>
        <w:rPr>
          <w:rFonts w:ascii="仿宋_GB2312" w:hAnsi="仿宋"/>
          <w:color w:val="000000"/>
          <w:szCs w:val="28"/>
          <w:highlight w:val="none"/>
        </w:rPr>
        <w:t>34</w:t>
      </w:r>
      <w:r>
        <w:rPr>
          <w:rFonts w:hint="eastAsia" w:ascii="仿宋_GB2312" w:hAnsi="仿宋"/>
          <w:color w:val="000000"/>
          <w:szCs w:val="28"/>
          <w:highlight w:val="none"/>
        </w:rPr>
        <w:t>号）、《关于印发</w:t>
      </w:r>
      <w:r>
        <w:rPr>
          <w:rFonts w:hint="eastAsia" w:ascii="仿宋_GB2312" w:hAnsi="仿宋"/>
          <w:color w:val="000000"/>
          <w:szCs w:val="28"/>
          <w:highlight w:val="none"/>
          <w:lang w:eastAsia="zh-CN"/>
        </w:rPr>
        <w:t>〈</w:t>
      </w:r>
      <w:r>
        <w:rPr>
          <w:rFonts w:hint="eastAsia" w:ascii="仿宋_GB2312" w:hAnsi="仿宋"/>
          <w:color w:val="000000"/>
          <w:szCs w:val="28"/>
          <w:highlight w:val="none"/>
        </w:rPr>
        <w:t>乌鲁木齐市本级部门预算绩效目标管理暂行办法</w:t>
      </w:r>
      <w:r>
        <w:rPr>
          <w:rFonts w:hint="eastAsia" w:ascii="仿宋_GB2312" w:hAnsi="仿宋"/>
          <w:color w:val="000000"/>
          <w:szCs w:val="28"/>
          <w:highlight w:val="none"/>
          <w:lang w:eastAsia="zh-CN"/>
        </w:rPr>
        <w:t>〉的通知》</w:t>
      </w:r>
      <w:r>
        <w:rPr>
          <w:rFonts w:hint="eastAsia" w:ascii="仿宋_GB2312" w:hAnsi="仿宋"/>
          <w:color w:val="000000"/>
          <w:szCs w:val="28"/>
          <w:highlight w:val="none"/>
        </w:rPr>
        <w:t>（乌财预</w:t>
      </w:r>
      <w:bookmarkStart w:id="8" w:name="_Hlk67566397"/>
      <w:r>
        <w:rPr>
          <w:rFonts w:hint="eastAsia" w:ascii="仿宋_GB2312" w:hAnsi="仿宋"/>
          <w:color w:val="000000"/>
          <w:szCs w:val="28"/>
          <w:highlight w:val="none"/>
        </w:rPr>
        <w:t>〔2018〕</w:t>
      </w:r>
      <w:r>
        <w:rPr>
          <w:rFonts w:ascii="仿宋_GB2312" w:hAnsi="仿宋"/>
          <w:color w:val="000000"/>
          <w:szCs w:val="28"/>
          <w:highlight w:val="none"/>
        </w:rPr>
        <w:t>5</w:t>
      </w:r>
      <w:r>
        <w:rPr>
          <w:rFonts w:hint="eastAsia" w:ascii="仿宋_GB2312" w:hAnsi="仿宋"/>
          <w:color w:val="000000"/>
          <w:szCs w:val="28"/>
          <w:highlight w:val="none"/>
        </w:rPr>
        <w:t>6号</w:t>
      </w:r>
      <w:bookmarkEnd w:id="8"/>
      <w:r>
        <w:rPr>
          <w:rFonts w:hint="eastAsia" w:ascii="仿宋_GB2312" w:hAnsi="仿宋"/>
          <w:color w:val="000000"/>
          <w:szCs w:val="28"/>
          <w:highlight w:val="none"/>
        </w:rPr>
        <w:t>）、《关于做好2</w:t>
      </w:r>
      <w:r>
        <w:rPr>
          <w:rFonts w:ascii="仿宋_GB2312" w:hAnsi="仿宋"/>
          <w:color w:val="000000"/>
          <w:szCs w:val="28"/>
          <w:highlight w:val="none"/>
        </w:rPr>
        <w:t>019</w:t>
      </w:r>
      <w:r>
        <w:rPr>
          <w:rFonts w:hint="eastAsia" w:ascii="仿宋_GB2312" w:hAnsi="仿宋"/>
          <w:color w:val="000000"/>
          <w:szCs w:val="28"/>
          <w:highlight w:val="none"/>
        </w:rPr>
        <w:t>年部门预算项目支出绩效目标管理有关事宜的通知》（乌财预〔20</w:t>
      </w:r>
      <w:r>
        <w:rPr>
          <w:rFonts w:ascii="仿宋_GB2312" w:hAnsi="仿宋"/>
          <w:color w:val="000000"/>
          <w:szCs w:val="28"/>
          <w:highlight w:val="none"/>
        </w:rPr>
        <w:t>18</w:t>
      </w:r>
      <w:r>
        <w:rPr>
          <w:rFonts w:hint="eastAsia" w:ascii="仿宋_GB2312" w:hAnsi="仿宋"/>
          <w:color w:val="000000"/>
          <w:szCs w:val="28"/>
          <w:highlight w:val="none"/>
        </w:rPr>
        <w:t>〕</w:t>
      </w:r>
      <w:r>
        <w:rPr>
          <w:rFonts w:ascii="仿宋_GB2312" w:hAnsi="仿宋"/>
          <w:color w:val="000000"/>
          <w:szCs w:val="28"/>
          <w:highlight w:val="none"/>
        </w:rPr>
        <w:t>76</w:t>
      </w:r>
      <w:r>
        <w:rPr>
          <w:rFonts w:hint="eastAsia" w:ascii="仿宋_GB2312" w:hAnsi="仿宋"/>
          <w:color w:val="000000"/>
          <w:szCs w:val="28"/>
          <w:highlight w:val="none"/>
        </w:rPr>
        <w:t>号）和《项目支出绩效评价管理办法》（财预〔20</w:t>
      </w:r>
      <w:r>
        <w:rPr>
          <w:rFonts w:ascii="仿宋_GB2312" w:hAnsi="仿宋"/>
          <w:color w:val="000000"/>
          <w:szCs w:val="28"/>
          <w:highlight w:val="none"/>
        </w:rPr>
        <w:t>20</w:t>
      </w:r>
      <w:r>
        <w:rPr>
          <w:rFonts w:hint="eastAsia" w:ascii="仿宋_GB2312" w:hAnsi="仿宋"/>
          <w:color w:val="000000"/>
          <w:szCs w:val="28"/>
          <w:highlight w:val="none"/>
        </w:rPr>
        <w:t>〕</w:t>
      </w:r>
      <w:r>
        <w:rPr>
          <w:rFonts w:ascii="仿宋_GB2312" w:hAnsi="仿宋"/>
          <w:color w:val="000000"/>
          <w:szCs w:val="28"/>
          <w:highlight w:val="none"/>
        </w:rPr>
        <w:t>10</w:t>
      </w:r>
      <w:r>
        <w:rPr>
          <w:rFonts w:hint="eastAsia" w:ascii="仿宋_GB2312" w:hAnsi="仿宋"/>
          <w:color w:val="000000"/>
          <w:szCs w:val="28"/>
          <w:highlight w:val="none"/>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成本指标、效益指标），以准确、清晰地反映财政资金在使用期所能达到的预期产出和效果。</w:t>
      </w:r>
    </w:p>
    <w:p>
      <w:pPr>
        <w:spacing w:line="360" w:lineRule="auto"/>
        <w:ind w:firstLine="560"/>
        <w:rPr>
          <w:rFonts w:ascii="仿宋_GB2312" w:hAnsi="仿宋"/>
          <w:color w:val="000000"/>
          <w:szCs w:val="28"/>
          <w:highlight w:val="none"/>
        </w:rPr>
      </w:pPr>
      <w:r>
        <w:rPr>
          <w:rFonts w:hint="eastAsia" w:ascii="仿宋_GB2312" w:hAnsi="仿宋"/>
          <w:color w:val="000000"/>
          <w:szCs w:val="28"/>
          <w:highlight w:val="none"/>
        </w:rPr>
        <w:t>该项目为</w:t>
      </w:r>
      <w:r>
        <w:rPr>
          <w:rFonts w:ascii="仿宋_GB2312" w:hAnsi="仿宋"/>
          <w:color w:val="000000"/>
          <w:szCs w:val="28"/>
          <w:highlight w:val="none"/>
        </w:rPr>
        <w:t>当年一次性项目。</w:t>
      </w:r>
    </w:p>
    <w:p>
      <w:pPr>
        <w:spacing w:line="360" w:lineRule="auto"/>
        <w:ind w:firstLine="560"/>
        <w:rPr>
          <w:rFonts w:ascii="仿宋_GB2312" w:hAnsi="仿宋"/>
          <w:color w:val="000000"/>
          <w:szCs w:val="28"/>
          <w:highlight w:val="none"/>
        </w:rPr>
      </w:pPr>
      <w:r>
        <w:rPr>
          <w:rFonts w:hint="eastAsia" w:ascii="仿宋_GB2312" w:hAnsi="仿宋"/>
          <w:color w:val="000000"/>
          <w:szCs w:val="28"/>
          <w:highlight w:val="none"/>
        </w:rPr>
        <w:t>该项目</w:t>
      </w:r>
      <w:r>
        <w:rPr>
          <w:rFonts w:hint="eastAsia" w:ascii="仿宋_GB2312" w:hAnsi="仿宋"/>
          <w:color w:val="000000"/>
          <w:szCs w:val="28"/>
          <w:highlight w:val="none"/>
          <w:lang w:val="en-US" w:eastAsia="zh-CN"/>
        </w:rPr>
        <w:t>年度</w:t>
      </w:r>
      <w:r>
        <w:rPr>
          <w:rFonts w:hint="eastAsia" w:ascii="仿宋_GB2312" w:hAnsi="仿宋"/>
          <w:color w:val="000000"/>
          <w:szCs w:val="28"/>
          <w:highlight w:val="none"/>
        </w:rPr>
        <w:t>绩效目标：</w:t>
      </w:r>
      <w:r>
        <w:rPr>
          <w:rFonts w:ascii="仿宋_GB2312"/>
          <w:color w:val="000000"/>
          <w:highlight w:val="none"/>
        </w:rPr>
        <w:t>①</w:t>
      </w:r>
      <w:r>
        <w:rPr>
          <w:rFonts w:hint="eastAsia" w:ascii="仿宋_GB2312"/>
          <w:color w:val="000000"/>
          <w:highlight w:val="none"/>
        </w:rPr>
        <w:t>启动乌鲁木齐市中医药师承教育基地建设、学术流派挖掘传承和名老中医工作室建设项目，培养中医类别全科医师及中西医结合人才目标，提升专科医疗服务能力及急危重症救治能力。</w:t>
      </w:r>
      <w:r>
        <w:rPr>
          <w:rFonts w:cs="Calibri"/>
          <w:color w:val="000000"/>
          <w:highlight w:val="none"/>
        </w:rPr>
        <w:t>②</w:t>
      </w:r>
      <w:r>
        <w:rPr>
          <w:rFonts w:hint="eastAsia" w:ascii="仿宋_GB2312"/>
          <w:color w:val="000000"/>
          <w:highlight w:val="none"/>
        </w:rPr>
        <w:t>开展中医药文化传播工作，建设共享中药房，启动智慧中医院建设，完成后续项目规划设计。</w:t>
      </w:r>
      <w:r>
        <w:rPr>
          <w:rFonts w:cs="Calibri"/>
          <w:color w:val="000000"/>
          <w:highlight w:val="none"/>
        </w:rPr>
        <w:t>③</w:t>
      </w:r>
      <w:r>
        <w:rPr>
          <w:rFonts w:hint="eastAsia" w:ascii="仿宋_GB2312"/>
          <w:color w:val="000000"/>
          <w:highlight w:val="none"/>
        </w:rPr>
        <w:t>总结“西域内科学术流派”“熊氏肛肠外科流派”学术传承谱。2024年</w:t>
      </w:r>
      <w:r>
        <w:rPr>
          <w:rFonts w:hint="eastAsia" w:ascii="仿宋_GB2312"/>
          <w:color w:val="000000"/>
          <w:highlight w:val="none"/>
          <w:lang w:val="en-US" w:eastAsia="zh-CN"/>
        </w:rPr>
        <w:t>计划</w:t>
      </w:r>
      <w:r>
        <w:rPr>
          <w:rFonts w:hint="eastAsia" w:ascii="仿宋_GB2312"/>
          <w:color w:val="000000"/>
          <w:highlight w:val="none"/>
        </w:rPr>
        <w:t>完成：</w:t>
      </w:r>
      <w:r>
        <w:rPr>
          <w:rFonts w:cs="Calibri"/>
          <w:color w:val="000000"/>
          <w:highlight w:val="none"/>
        </w:rPr>
        <w:t>①</w:t>
      </w:r>
      <w:r>
        <w:rPr>
          <w:rFonts w:hint="eastAsia" w:ascii="仿宋_GB2312"/>
          <w:color w:val="000000"/>
          <w:highlight w:val="none"/>
        </w:rPr>
        <w:t>完成相关第一批医疗设备采购工作，</w:t>
      </w:r>
      <w:r>
        <w:rPr>
          <w:rFonts w:hint="eastAsia" w:ascii="仿宋_GB2312"/>
          <w:color w:val="000000"/>
          <w:highlight w:val="none"/>
          <w:lang w:val="en-US" w:eastAsia="zh-CN"/>
        </w:rPr>
        <w:t>支付</w:t>
      </w:r>
      <w:r>
        <w:rPr>
          <w:rFonts w:hint="eastAsia" w:ascii="仿宋_GB2312"/>
          <w:color w:val="000000"/>
          <w:highlight w:val="none"/>
        </w:rPr>
        <w:t>设备购置费用共计1350.57万元；</w:t>
      </w:r>
      <w:r>
        <w:rPr>
          <w:rFonts w:cs="Calibri"/>
          <w:color w:val="000000"/>
          <w:highlight w:val="none"/>
        </w:rPr>
        <w:t>②</w:t>
      </w:r>
      <w:r>
        <w:rPr>
          <w:rFonts w:hint="eastAsia" w:ascii="仿宋_GB2312"/>
          <w:color w:val="000000"/>
          <w:highlight w:val="none"/>
        </w:rPr>
        <w:t>培养中医类别全科医师及中西医结合人才共计</w:t>
      </w:r>
      <w:r>
        <w:rPr>
          <w:rFonts w:hint="eastAsia" w:ascii="仿宋_GB2312"/>
          <w:color w:val="000000"/>
          <w:highlight w:val="none"/>
          <w:lang w:val="en-US" w:eastAsia="zh-CN"/>
        </w:rPr>
        <w:t>50</w:t>
      </w:r>
      <w:r>
        <w:rPr>
          <w:rFonts w:hint="eastAsia" w:ascii="仿宋_GB2312"/>
          <w:color w:val="000000"/>
          <w:highlight w:val="none"/>
        </w:rPr>
        <w:t>人，支付培训费及其</w:t>
      </w:r>
      <w:r>
        <w:rPr>
          <w:rFonts w:hint="eastAsia" w:ascii="仿宋_GB2312"/>
          <w:color w:val="000000"/>
          <w:highlight w:val="none"/>
          <w:lang w:eastAsia="zh-CN"/>
        </w:rPr>
        <w:t>他费</w:t>
      </w:r>
      <w:r>
        <w:rPr>
          <w:rFonts w:hint="eastAsia" w:ascii="仿宋_GB2312"/>
          <w:color w:val="000000"/>
          <w:highlight w:val="none"/>
        </w:rPr>
        <w:t>用80.02万元，提升专科医疗服务能力及急危重症救治能力。</w:t>
      </w:r>
    </w:p>
    <w:p>
      <w:pPr>
        <w:spacing w:line="360" w:lineRule="auto"/>
        <w:ind w:firstLine="420"/>
        <w:rPr>
          <w:rFonts w:ascii="仿宋_GB2312" w:hAnsi="仿宋"/>
          <w:color w:val="000000"/>
          <w:szCs w:val="28"/>
          <w:highlight w:val="none"/>
        </w:rPr>
      </w:pPr>
    </w:p>
    <w:p>
      <w:pPr>
        <w:pStyle w:val="2"/>
        <w:ind w:firstLine="0" w:firstLineChars="0"/>
        <w:jc w:val="left"/>
        <w:rPr>
          <w:rFonts w:ascii="仿宋" w:hAnsi="仿宋" w:eastAsia="仿宋"/>
          <w:color w:val="000000"/>
          <w:sz w:val="36"/>
          <w:szCs w:val="36"/>
          <w:highlight w:val="none"/>
          <w:lang w:bidi="en-US"/>
        </w:rPr>
      </w:pPr>
      <w:bookmarkStart w:id="9" w:name="_Toc165277225"/>
      <w:bookmarkStart w:id="10" w:name="_Toc67911604"/>
      <w:r>
        <w:rPr>
          <w:rFonts w:hint="eastAsia" w:ascii="仿宋" w:hAnsi="仿宋" w:eastAsia="仿宋"/>
          <w:color w:val="000000"/>
          <w:sz w:val="36"/>
          <w:szCs w:val="36"/>
          <w:highlight w:val="none"/>
          <w:lang w:bidi="en-US"/>
        </w:rPr>
        <w:t>二、绩效评价工作开展情况</w:t>
      </w:r>
      <w:bookmarkEnd w:id="9"/>
      <w:bookmarkEnd w:id="10"/>
    </w:p>
    <w:p>
      <w:pPr>
        <w:pStyle w:val="3"/>
        <w:ind w:firstLine="643"/>
        <w:rPr>
          <w:rFonts w:ascii="仿宋" w:hAnsi="仿宋" w:eastAsia="仿宋"/>
          <w:color w:val="000000"/>
          <w:highlight w:val="none"/>
          <w:lang w:bidi="en-US"/>
        </w:rPr>
      </w:pPr>
      <w:bookmarkStart w:id="11" w:name="_Toc67911605"/>
      <w:bookmarkStart w:id="12" w:name="_Toc165277226"/>
      <w:r>
        <w:rPr>
          <w:rFonts w:hint="eastAsia" w:ascii="仿宋" w:hAnsi="仿宋" w:eastAsia="仿宋"/>
          <w:color w:val="000000"/>
          <w:highlight w:val="none"/>
          <w:lang w:bidi="en-US"/>
        </w:rPr>
        <w:t>（一）绩效评价目的、对象和范围</w:t>
      </w:r>
      <w:bookmarkEnd w:id="11"/>
      <w:bookmarkEnd w:id="12"/>
    </w:p>
    <w:p>
      <w:pPr>
        <w:pStyle w:val="4"/>
        <w:ind w:firstLine="643"/>
        <w:rPr>
          <w:color w:val="000000"/>
          <w:highlight w:val="none"/>
        </w:rPr>
      </w:pPr>
      <w:bookmarkStart w:id="13" w:name="_Toc165277227"/>
      <w:r>
        <w:rPr>
          <w:rFonts w:hint="eastAsia"/>
          <w:color w:val="000000"/>
          <w:highlight w:val="none"/>
        </w:rPr>
        <w:t>1</w:t>
      </w:r>
      <w:r>
        <w:rPr>
          <w:color w:val="000000"/>
          <w:highlight w:val="none"/>
        </w:rPr>
        <w:t>.绩效评价完整性</w:t>
      </w:r>
      <w:bookmarkEnd w:id="13"/>
    </w:p>
    <w:p>
      <w:pPr>
        <w:spacing w:line="360" w:lineRule="auto"/>
        <w:ind w:firstLine="560"/>
        <w:rPr>
          <w:rFonts w:ascii="仿宋_GB2312" w:hAnsi="仿宋"/>
          <w:color w:val="000000"/>
          <w:szCs w:val="28"/>
          <w:highlight w:val="none"/>
        </w:rPr>
      </w:pPr>
      <w:r>
        <w:rPr>
          <w:rFonts w:hint="eastAsia" w:ascii="仿宋_GB2312" w:hAnsi="仿宋"/>
          <w:color w:val="000000"/>
          <w:szCs w:val="28"/>
          <w:highlight w:val="none"/>
        </w:rPr>
        <w:t>绩效评价指标全面覆盖中医药传承创新发展示范试点项目的各个方面，包括中医药师承教育基地建设、学术流派挖掘传承和名老中医工作室建设项目相关医疗设备购置、中医类别全科医师及中西医结合人才培养、带来的社会效益等，设置“医疗设备购置数及设备验收合格率”指标来反映服务体系的建设情况，设置“中医药人才培养人数及人才培训达标率”指标来衡量人才培养成果，评价指标体系围绕这些目标设置，能全面体现项目的目标、范围和要求。通过对项目申报、评审、资金拨付、实施过程及成果产出等计划和执行过程的分析，可清</w:t>
      </w:r>
      <w:r>
        <w:rPr>
          <w:rFonts w:hint="eastAsia" w:ascii="仿宋_GB2312" w:hAnsi="仿宋"/>
          <w:color w:val="000000"/>
          <w:szCs w:val="28"/>
          <w:highlight w:val="none"/>
          <w:lang w:eastAsia="zh-CN"/>
        </w:rPr>
        <w:t>晰地</w:t>
      </w:r>
      <w:r>
        <w:rPr>
          <w:rFonts w:hint="eastAsia" w:ascii="仿宋_GB2312" w:hAnsi="仿宋"/>
          <w:color w:val="000000"/>
          <w:szCs w:val="28"/>
          <w:highlight w:val="none"/>
        </w:rPr>
        <w:t>展现项目进展和完成度。评价数据来源于项目申报材料、财务账目、培训记录等，采集过程严格遵循相关规定，确保数据准确、完整。</w:t>
      </w:r>
    </w:p>
    <w:p>
      <w:pPr>
        <w:pStyle w:val="4"/>
        <w:ind w:firstLine="643"/>
        <w:rPr>
          <w:color w:val="000000"/>
          <w:highlight w:val="none"/>
        </w:rPr>
      </w:pPr>
      <w:bookmarkStart w:id="14" w:name="_Toc165277228"/>
      <w:r>
        <w:rPr>
          <w:color w:val="000000"/>
          <w:highlight w:val="none"/>
        </w:rPr>
        <w:t>2</w:t>
      </w:r>
      <w:r>
        <w:rPr>
          <w:rFonts w:hint="eastAsia"/>
          <w:color w:val="000000"/>
          <w:highlight w:val="none"/>
        </w:rPr>
        <w:t>.评价目的</w:t>
      </w:r>
      <w:bookmarkEnd w:id="14"/>
    </w:p>
    <w:p>
      <w:pPr>
        <w:spacing w:line="360" w:lineRule="auto"/>
        <w:ind w:firstLine="560"/>
        <w:rPr>
          <w:rFonts w:ascii="仿宋_GB2312"/>
          <w:color w:val="000000"/>
          <w:highlight w:val="none"/>
        </w:rPr>
      </w:pPr>
      <w:r>
        <w:rPr>
          <w:rFonts w:hint="eastAsia" w:ascii="仿宋_GB2312"/>
          <w:color w:val="000000"/>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乌鲁木齐市中医药传承创新发展示范试点项目市级财政经费</w:t>
      </w:r>
      <w:r>
        <w:rPr>
          <w:rFonts w:ascii="仿宋_GB2312"/>
          <w:color w:val="000000"/>
          <w:highlight w:val="none"/>
        </w:rPr>
        <w:t>项目的</w:t>
      </w:r>
      <w:r>
        <w:rPr>
          <w:rFonts w:hint="eastAsia" w:ascii="仿宋_GB2312"/>
          <w:color w:val="000000"/>
          <w:highlight w:val="none"/>
        </w:rPr>
        <w:t>实施情况，并考察项目实施过程和效果。</w:t>
      </w:r>
    </w:p>
    <w:p>
      <w:pPr>
        <w:spacing w:line="360" w:lineRule="auto"/>
        <w:ind w:firstLine="560"/>
        <w:rPr>
          <w:rFonts w:ascii="仿宋_GB2312"/>
          <w:b/>
          <w:bCs/>
          <w:color w:val="000000"/>
          <w:highlight w:val="none"/>
        </w:rPr>
      </w:pPr>
      <w:r>
        <w:rPr>
          <w:rFonts w:hint="eastAsia" w:ascii="仿宋_GB2312"/>
          <w:color w:val="000000"/>
          <w:highlight w:val="none"/>
        </w:rPr>
        <w:t>（2）通过评价，客观公正反映项目立项科学性、项目管理规范性、项目实施有效性和项目效果，总结项目实施的经验，发现项目实施过程中存在的问题，提高财政资金使用效益。</w:t>
      </w:r>
    </w:p>
    <w:p>
      <w:pPr>
        <w:pStyle w:val="4"/>
        <w:ind w:firstLine="643"/>
        <w:rPr>
          <w:color w:val="000000"/>
          <w:highlight w:val="none"/>
        </w:rPr>
      </w:pPr>
      <w:bookmarkStart w:id="15" w:name="_Toc165277229"/>
      <w:r>
        <w:rPr>
          <w:color w:val="000000"/>
          <w:highlight w:val="none"/>
        </w:rPr>
        <w:t>3</w:t>
      </w:r>
      <w:r>
        <w:rPr>
          <w:rFonts w:hint="eastAsia"/>
          <w:color w:val="000000"/>
          <w:highlight w:val="none"/>
        </w:rPr>
        <w:t>.评价对象</w:t>
      </w:r>
      <w:bookmarkEnd w:id="15"/>
    </w:p>
    <w:p>
      <w:pPr>
        <w:spacing w:line="360" w:lineRule="auto"/>
        <w:ind w:firstLine="560"/>
        <w:rPr>
          <w:rFonts w:ascii="仿宋_GB2312"/>
          <w:color w:val="000000"/>
          <w:highlight w:val="none"/>
        </w:rPr>
      </w:pPr>
      <w:r>
        <w:rPr>
          <w:rFonts w:hint="eastAsia" w:ascii="仿宋_GB2312"/>
          <w:color w:val="000000"/>
          <w:highlight w:val="none"/>
        </w:rPr>
        <w:t>（1）绩效评价的对象：乌鲁木齐市中医药传承创新发展示范试点项目市级财政经费项目</w:t>
      </w:r>
    </w:p>
    <w:p>
      <w:pPr>
        <w:pStyle w:val="4"/>
        <w:ind w:firstLine="643"/>
        <w:rPr>
          <w:color w:val="000000"/>
          <w:highlight w:val="none"/>
        </w:rPr>
      </w:pPr>
      <w:bookmarkStart w:id="16" w:name="_Toc165277230"/>
      <w:r>
        <w:rPr>
          <w:rFonts w:hint="eastAsia"/>
          <w:color w:val="000000"/>
          <w:highlight w:val="none"/>
        </w:rPr>
        <w:t>4</w:t>
      </w:r>
      <w:r>
        <w:rPr>
          <w:color w:val="000000"/>
          <w:highlight w:val="none"/>
        </w:rPr>
        <w:t>.</w:t>
      </w:r>
      <w:r>
        <w:rPr>
          <w:rFonts w:hint="eastAsia"/>
          <w:color w:val="000000"/>
          <w:highlight w:val="none"/>
        </w:rPr>
        <w:t>绩效评价范围</w:t>
      </w:r>
      <w:bookmarkEnd w:id="16"/>
    </w:p>
    <w:p>
      <w:pPr>
        <w:spacing w:line="360" w:lineRule="auto"/>
        <w:ind w:firstLine="560"/>
        <w:rPr>
          <w:rFonts w:ascii="仿宋_GB2312"/>
          <w:color w:val="000000"/>
          <w:highlight w:val="none"/>
        </w:rPr>
      </w:pPr>
      <w:r>
        <w:rPr>
          <w:rFonts w:ascii="仿宋_GB2312"/>
          <w:color w:val="000000"/>
          <w:highlight w:val="none"/>
        </w:rPr>
        <w:t>1.</w:t>
      </w:r>
      <w:r>
        <w:rPr>
          <w:rFonts w:hint="eastAsia" w:ascii="仿宋_GB2312"/>
          <w:color w:val="000000"/>
          <w:highlight w:val="none"/>
        </w:rPr>
        <w:t>时间范围：2024年1月1日至2024年1</w:t>
      </w:r>
      <w:r>
        <w:rPr>
          <w:rFonts w:ascii="仿宋_GB2312"/>
          <w:color w:val="000000"/>
          <w:highlight w:val="none"/>
        </w:rPr>
        <w:t>2</w:t>
      </w:r>
      <w:r>
        <w:rPr>
          <w:rFonts w:hint="eastAsia" w:ascii="仿宋_GB2312"/>
          <w:color w:val="000000"/>
          <w:highlight w:val="none"/>
        </w:rPr>
        <w:t>月3</w:t>
      </w:r>
      <w:r>
        <w:rPr>
          <w:rFonts w:ascii="仿宋_GB2312"/>
          <w:color w:val="000000"/>
          <w:highlight w:val="none"/>
        </w:rPr>
        <w:t>1</w:t>
      </w:r>
      <w:r>
        <w:rPr>
          <w:rFonts w:hint="eastAsia" w:ascii="仿宋_GB2312"/>
          <w:color w:val="000000"/>
          <w:highlight w:val="none"/>
        </w:rPr>
        <w:t>日。</w:t>
      </w:r>
    </w:p>
    <w:p>
      <w:pPr>
        <w:spacing w:line="360" w:lineRule="auto"/>
        <w:ind w:firstLine="560"/>
        <w:rPr>
          <w:rFonts w:ascii="仿宋_GB2312"/>
          <w:color w:val="000000"/>
          <w:highlight w:val="none"/>
        </w:rPr>
      </w:pPr>
      <w:r>
        <w:rPr>
          <w:rFonts w:ascii="仿宋_GB2312"/>
          <w:color w:val="000000"/>
          <w:highlight w:val="none"/>
        </w:rPr>
        <w:t>2.</w:t>
      </w:r>
      <w:r>
        <w:rPr>
          <w:rFonts w:hint="eastAsia" w:ascii="仿宋_GB2312"/>
          <w:color w:val="000000"/>
          <w:highlight w:val="none"/>
        </w:rPr>
        <w:t>项目范围：乌鲁木齐市中医药传承创新发展示范试点项目市级财政经费项目，用于启动乌鲁木齐市中医药师承教育基地建设、学术流派挖掘传承和名老中医工作室建设项目，培养中医类别全科医师及中西医结合人才目标，提升专科医疗服务能力及急危重症救治能力；开展中医药文化传播工作，建设共享中药房，启动智慧中医院建设，完成后续项目规划设计；总结“西域内科学术流派”“熊氏肛肠外科流派”学术传承谱，以打造区域中医药诊疗与研究高地为目标，助力乌鲁木齐市中医药事业高质量发展。医院成立专项领导小组，结合自身优势与区域需求，制定详细项目实施方案，明确各阶段目标、任务与责任分工，确保项目有序推进。同时，建立动态调整机制，根据实施情况及时优化项目内容与资金分配，构建“师承+院校+继续教育”三位一体人才培养体系，为不同层次人才制定培养方案。项目整体取得了显著成效，中医药服务能力、人才培养、科研创新及文化传播等方面均实现较大突破，为推动区域中医药发展发挥了示范引领作用。然而，项目在资金使用率、科研成果转化及文化传播等方面仍存在不足。医院需进一步优化项目管理，加强</w:t>
      </w:r>
      <w:r>
        <w:rPr>
          <w:rFonts w:hint="eastAsia" w:ascii="仿宋_GB2312"/>
          <w:color w:val="000000"/>
          <w:highlight w:val="none"/>
          <w:lang w:eastAsia="zh-CN"/>
        </w:rPr>
        <w:t>资金</w:t>
      </w:r>
      <w:r>
        <w:rPr>
          <w:rFonts w:hint="eastAsia" w:ascii="仿宋_GB2312"/>
          <w:color w:val="000000"/>
          <w:highlight w:val="none"/>
        </w:rPr>
        <w:t>统筹与项目执行监督；深化产学研合作，完善科研成果转化机制；创新文化传播模式，提升中医药文化影响力，持续推动中医药传承创新发展，为保障群众健康和弘扬中医药文化做出更大贡献。</w:t>
      </w:r>
    </w:p>
    <w:p>
      <w:pPr>
        <w:pStyle w:val="3"/>
        <w:ind w:firstLine="643"/>
        <w:rPr>
          <w:rFonts w:ascii="仿宋" w:hAnsi="仿宋" w:eastAsia="仿宋"/>
          <w:color w:val="000000"/>
          <w:highlight w:val="none"/>
          <w:lang w:bidi="en-US"/>
        </w:rPr>
      </w:pPr>
      <w:bookmarkStart w:id="17" w:name="_Toc67911606"/>
      <w:bookmarkStart w:id="18" w:name="_Toc165277231"/>
      <w:bookmarkStart w:id="19" w:name="_Hlk67586765"/>
      <w:r>
        <w:rPr>
          <w:rFonts w:hint="eastAsia" w:ascii="仿宋" w:hAnsi="仿宋" w:eastAsia="仿宋"/>
          <w:color w:val="000000"/>
          <w:highlight w:val="none"/>
          <w:lang w:bidi="en-US"/>
        </w:rPr>
        <w:t>（二）绩效评价原则、指标体系、方法及标准</w:t>
      </w:r>
      <w:bookmarkEnd w:id="17"/>
      <w:bookmarkEnd w:id="18"/>
    </w:p>
    <w:bookmarkEnd w:id="19"/>
    <w:p>
      <w:pPr>
        <w:pStyle w:val="4"/>
        <w:ind w:firstLine="643"/>
        <w:rPr>
          <w:color w:val="000000"/>
          <w:highlight w:val="none"/>
        </w:rPr>
      </w:pPr>
      <w:bookmarkStart w:id="20" w:name="_Toc165277232"/>
      <w:r>
        <w:rPr>
          <w:rFonts w:hint="eastAsia"/>
          <w:color w:val="000000"/>
          <w:highlight w:val="none"/>
        </w:rPr>
        <w:t>1</w:t>
      </w:r>
      <w:r>
        <w:rPr>
          <w:color w:val="000000"/>
          <w:highlight w:val="none"/>
        </w:rPr>
        <w:t>.</w:t>
      </w:r>
      <w:r>
        <w:rPr>
          <w:rFonts w:hint="eastAsia"/>
          <w:color w:val="000000"/>
          <w:highlight w:val="none"/>
        </w:rPr>
        <w:t>评价原则</w:t>
      </w:r>
      <w:bookmarkEnd w:id="20"/>
    </w:p>
    <w:p>
      <w:pPr>
        <w:spacing w:line="600" w:lineRule="exact"/>
        <w:ind w:firstLine="640"/>
        <w:rPr>
          <w:rFonts w:ascii="仿宋_GB2312"/>
          <w:bCs/>
          <w:color w:val="000000"/>
          <w:sz w:val="28"/>
          <w:szCs w:val="28"/>
          <w:highlight w:val="none"/>
        </w:rPr>
      </w:pPr>
      <w:r>
        <w:rPr>
          <w:rFonts w:hint="eastAsia" w:ascii="仿宋_GB2312"/>
          <w:bCs/>
          <w:color w:val="000000"/>
          <w:sz w:val="28"/>
          <w:szCs w:val="28"/>
          <w:highlight w:val="none"/>
        </w:rPr>
        <w:t>（一）科学公正。绩效评价应当运用科学合理的方法，按照规范的程序，对项目绩效进行客观、公正</w:t>
      </w:r>
      <w:r>
        <w:rPr>
          <w:rFonts w:hint="eastAsia" w:ascii="仿宋_GB2312"/>
          <w:bCs/>
          <w:color w:val="000000"/>
          <w:sz w:val="28"/>
          <w:szCs w:val="28"/>
          <w:highlight w:val="none"/>
          <w:lang w:eastAsia="zh-CN"/>
        </w:rPr>
        <w:t>地</w:t>
      </w:r>
      <w:r>
        <w:rPr>
          <w:rFonts w:hint="eastAsia" w:ascii="仿宋_GB2312"/>
          <w:bCs/>
          <w:color w:val="000000"/>
          <w:sz w:val="28"/>
          <w:szCs w:val="28"/>
          <w:highlight w:val="none"/>
        </w:rPr>
        <w:t>反映。</w:t>
      </w:r>
    </w:p>
    <w:p>
      <w:pPr>
        <w:spacing w:line="600" w:lineRule="exact"/>
        <w:ind w:firstLine="640"/>
        <w:rPr>
          <w:rFonts w:ascii="仿宋_GB2312"/>
          <w:bCs/>
          <w:color w:val="000000"/>
          <w:sz w:val="28"/>
          <w:szCs w:val="28"/>
          <w:highlight w:val="none"/>
        </w:rPr>
      </w:pPr>
      <w:r>
        <w:rPr>
          <w:rFonts w:hint="eastAsia" w:ascii="仿宋_GB2312"/>
          <w:bCs/>
          <w:color w:val="000000"/>
          <w:sz w:val="28"/>
          <w:szCs w:val="28"/>
          <w:highlight w:val="none"/>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640"/>
        <w:rPr>
          <w:rFonts w:ascii="仿宋_GB2312"/>
          <w:bCs/>
          <w:color w:val="000000"/>
          <w:sz w:val="28"/>
          <w:szCs w:val="28"/>
          <w:highlight w:val="none"/>
        </w:rPr>
      </w:pPr>
      <w:r>
        <w:rPr>
          <w:rFonts w:hint="eastAsia" w:ascii="仿宋_GB2312"/>
          <w:bCs/>
          <w:color w:val="000000"/>
          <w:sz w:val="28"/>
          <w:szCs w:val="28"/>
          <w:highlight w:val="none"/>
        </w:rPr>
        <w:t>（三）激励约束。绩效评价结果应与预算安排、政策调整、改进管理实质性挂钩，体现奖优罚劣和激励相容导向，有效要安排、低效要压减、无效要问责。</w:t>
      </w:r>
    </w:p>
    <w:p>
      <w:pPr>
        <w:spacing w:line="600" w:lineRule="exact"/>
        <w:ind w:firstLine="640"/>
        <w:rPr>
          <w:rFonts w:ascii="仿宋_GB2312"/>
          <w:bCs/>
          <w:color w:val="000000"/>
          <w:sz w:val="28"/>
          <w:szCs w:val="28"/>
          <w:highlight w:val="none"/>
        </w:rPr>
      </w:pPr>
      <w:r>
        <w:rPr>
          <w:rFonts w:hint="eastAsia" w:ascii="仿宋_GB2312"/>
          <w:bCs/>
          <w:color w:val="000000"/>
          <w:sz w:val="28"/>
          <w:szCs w:val="28"/>
          <w:highlight w:val="none"/>
        </w:rPr>
        <w:t>（四）公开透明。绩效评价结果应依法依规公开，并自觉接受社会监督。</w:t>
      </w:r>
    </w:p>
    <w:p>
      <w:pPr>
        <w:pStyle w:val="4"/>
        <w:ind w:firstLine="643"/>
        <w:rPr>
          <w:color w:val="000000"/>
          <w:highlight w:val="none"/>
        </w:rPr>
      </w:pPr>
      <w:bookmarkStart w:id="21" w:name="_Toc165277233"/>
      <w:r>
        <w:rPr>
          <w:color w:val="000000"/>
          <w:highlight w:val="none"/>
        </w:rPr>
        <w:t>2.</w:t>
      </w:r>
      <w:r>
        <w:rPr>
          <w:rFonts w:hint="eastAsia"/>
          <w:color w:val="000000"/>
          <w:highlight w:val="none"/>
        </w:rPr>
        <w:t>评价指标体系</w:t>
      </w:r>
      <w:bookmarkEnd w:id="21"/>
    </w:p>
    <w:p>
      <w:pPr>
        <w:spacing w:line="360" w:lineRule="auto"/>
        <w:ind w:firstLine="560"/>
        <w:rPr>
          <w:rFonts w:ascii="仿宋_GB2312"/>
          <w:color w:val="000000"/>
          <w:highlight w:val="none"/>
        </w:rPr>
      </w:pPr>
      <w:r>
        <w:rPr>
          <w:rFonts w:hint="eastAsia" w:ascii="仿宋_GB2312"/>
          <w:color w:val="000000"/>
          <w:highlight w:val="none"/>
        </w:rPr>
        <w:t>绩效评价指标体系作为衡量绩效目标实现程度的考核工具，一般遵循以下原则：</w:t>
      </w:r>
    </w:p>
    <w:p>
      <w:pPr>
        <w:spacing w:line="360" w:lineRule="auto"/>
        <w:ind w:firstLine="560"/>
        <w:rPr>
          <w:rFonts w:ascii="仿宋_GB2312"/>
          <w:color w:val="000000"/>
          <w:highlight w:val="none"/>
        </w:rPr>
      </w:pPr>
      <w:r>
        <w:rPr>
          <w:rFonts w:hint="eastAsia" w:ascii="仿宋_GB2312"/>
          <w:color w:val="000000"/>
          <w:highlight w:val="none"/>
        </w:rPr>
        <w:t>（1）相关性原则：绩效评价指标应当与绩效目标有直接的联系，能够恰当反映目标的实现程度。</w:t>
      </w:r>
    </w:p>
    <w:p>
      <w:pPr>
        <w:spacing w:line="360" w:lineRule="auto"/>
        <w:ind w:firstLine="560"/>
        <w:rPr>
          <w:rFonts w:ascii="仿宋_GB2312"/>
          <w:color w:val="000000"/>
          <w:highlight w:val="none"/>
        </w:rPr>
      </w:pPr>
      <w:r>
        <w:rPr>
          <w:rFonts w:hint="eastAsia" w:ascii="仿宋_GB2312"/>
          <w:color w:val="000000"/>
          <w:highlight w:val="none"/>
        </w:rPr>
        <w:t>（2）重要性原则：应当优先使用最具评价对象代表性、最能反映评价要求的核心指标。</w:t>
      </w:r>
    </w:p>
    <w:p>
      <w:pPr>
        <w:spacing w:line="360" w:lineRule="auto"/>
        <w:ind w:firstLine="560"/>
        <w:rPr>
          <w:rFonts w:ascii="仿宋_GB2312"/>
          <w:color w:val="000000"/>
          <w:highlight w:val="none"/>
        </w:rPr>
      </w:pPr>
      <w:r>
        <w:rPr>
          <w:rFonts w:hint="eastAsia" w:ascii="仿宋_GB2312"/>
          <w:color w:val="000000"/>
          <w:highlight w:val="none"/>
        </w:rPr>
        <w:t>（3）可比性原则：对同类评价对象要设定共性的绩效评价指标，以便于评价结果可以相互比较。</w:t>
      </w:r>
    </w:p>
    <w:p>
      <w:pPr>
        <w:spacing w:line="360" w:lineRule="auto"/>
        <w:ind w:firstLine="560"/>
        <w:rPr>
          <w:rFonts w:ascii="仿宋_GB2312"/>
          <w:color w:val="000000"/>
          <w:highlight w:val="none"/>
        </w:rPr>
      </w:pPr>
      <w:r>
        <w:rPr>
          <w:rFonts w:hint="eastAsia" w:ascii="仿宋_GB2312"/>
          <w:color w:val="000000"/>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ascii="仿宋_GB2312"/>
          <w:color w:val="000000"/>
          <w:highlight w:val="none"/>
        </w:rPr>
      </w:pPr>
      <w:r>
        <w:rPr>
          <w:rFonts w:hint="eastAsia" w:ascii="仿宋_GB2312"/>
          <w:color w:val="000000"/>
          <w:highlight w:val="none"/>
        </w:rPr>
        <w:t>（5）经济性原则：绩效评价指标设计应当通俗易懂、简便易行，数据的获得应当考虑现实条件和可操作性，符合成本效益原则。</w:t>
      </w:r>
    </w:p>
    <w:p>
      <w:pPr>
        <w:spacing w:line="360" w:lineRule="auto"/>
        <w:ind w:firstLine="560"/>
        <w:rPr>
          <w:rFonts w:ascii="仿宋_GB2312"/>
          <w:color w:val="000000"/>
          <w:highlight w:val="none"/>
        </w:rPr>
      </w:pPr>
      <w:r>
        <w:rPr>
          <w:rFonts w:hint="eastAsia" w:ascii="仿宋_GB2312"/>
          <w:color w:val="000000"/>
          <w:highlight w:val="none"/>
        </w:rPr>
        <w:t>本项目的评价指标体系建立如下表所示。</w:t>
      </w:r>
    </w:p>
    <w:p>
      <w:pPr>
        <w:spacing w:line="360" w:lineRule="auto"/>
        <w:ind w:firstLine="560"/>
        <w:rPr>
          <w:rFonts w:ascii="仿宋_GB2312"/>
          <w:color w:val="000000"/>
          <w:highlight w:val="none"/>
        </w:rPr>
      </w:pPr>
    </w:p>
    <w:p>
      <w:pPr>
        <w:spacing w:line="360" w:lineRule="auto"/>
        <w:ind w:firstLine="560"/>
        <w:rPr>
          <w:rFonts w:ascii="仿宋_GB2312"/>
          <w:color w:val="000000"/>
          <w:highlight w:val="none"/>
        </w:rPr>
      </w:pPr>
    </w:p>
    <w:p>
      <w:pPr>
        <w:spacing w:line="360" w:lineRule="auto"/>
        <w:ind w:firstLine="560"/>
        <w:rPr>
          <w:rFonts w:ascii="仿宋_GB2312"/>
          <w:color w:val="000000"/>
          <w:highlight w:val="none"/>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720" w:num="1"/>
          <w:docGrid w:type="lines" w:linePitch="381"/>
        </w:sectPr>
      </w:pPr>
    </w:p>
    <w:p>
      <w:pPr>
        <w:spacing w:line="360" w:lineRule="auto"/>
        <w:ind w:firstLine="0" w:firstLineChars="0"/>
        <w:jc w:val="center"/>
        <w:rPr>
          <w:rFonts w:ascii="仿宋_GB2312"/>
          <w:b/>
          <w:bCs/>
          <w:color w:val="000000"/>
          <w:highlight w:val="none"/>
        </w:rPr>
      </w:pPr>
      <w:r>
        <w:rPr>
          <w:rFonts w:ascii="仿宋_GB2312"/>
          <w:b/>
          <w:bCs/>
          <w:color w:val="000000"/>
          <w:highlight w:val="none"/>
        </w:rPr>
        <w:t xml:space="preserve">  </w:t>
      </w:r>
      <w:r>
        <w:rPr>
          <w:rFonts w:hint="eastAsia" w:ascii="仿宋_GB2312"/>
          <w:b/>
          <w:bCs/>
          <w:color w:val="000000"/>
          <w:highlight w:val="none"/>
        </w:rPr>
        <w:t>项目支出绩效评价指标体系</w:t>
      </w:r>
    </w:p>
    <w:tbl>
      <w:tblPr>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rPr>
          <w:trHeight w:val="692" w:hRule="atLeast"/>
          <w:tblHeader/>
          <w:jc w:val="center"/>
        </w:trPr>
        <w:tc>
          <w:tcPr>
            <w:tcW w:w="1155" w:type="dxa"/>
            <w:tcBorders>
              <w:tl2br w:val="nil"/>
              <w:tr2bl w:val="nil"/>
            </w:tcBorders>
            <w:shd w:val="clear" w:color="auto" w:fill="D0CECE"/>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一级指标</w:t>
            </w:r>
          </w:p>
        </w:tc>
        <w:tc>
          <w:tcPr>
            <w:tcW w:w="1199" w:type="dxa"/>
            <w:tcBorders>
              <w:tl2br w:val="nil"/>
              <w:tr2bl w:val="nil"/>
            </w:tcBorders>
            <w:shd w:val="clear" w:color="auto" w:fill="D0CECE"/>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二级指标</w:t>
            </w:r>
          </w:p>
        </w:tc>
        <w:tc>
          <w:tcPr>
            <w:tcW w:w="1411" w:type="dxa"/>
            <w:tcBorders>
              <w:tl2br w:val="nil"/>
              <w:tr2bl w:val="nil"/>
            </w:tcBorders>
            <w:shd w:val="clear" w:color="auto" w:fill="D0CECE"/>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三级指标</w:t>
            </w:r>
          </w:p>
        </w:tc>
        <w:tc>
          <w:tcPr>
            <w:tcW w:w="2789" w:type="dxa"/>
            <w:tcBorders>
              <w:tl2br w:val="nil"/>
              <w:tr2bl w:val="nil"/>
            </w:tcBorders>
            <w:shd w:val="clear" w:color="auto" w:fill="D0CECE"/>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指标解释</w:t>
            </w:r>
          </w:p>
        </w:tc>
        <w:tc>
          <w:tcPr>
            <w:tcW w:w="7341" w:type="dxa"/>
            <w:tcBorders>
              <w:tl2br w:val="nil"/>
              <w:tr2bl w:val="nil"/>
            </w:tcBorders>
            <w:shd w:val="clear" w:color="auto" w:fill="D0CECE"/>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指标说明</w:t>
            </w:r>
          </w:p>
        </w:tc>
      </w:tr>
      <w:tr>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立项依据</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①项目立项是否符合国家法律法规、国民经济发展规划和相关政策；</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②项目立项是否符合行业发展规划和政策要求；</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③项目立项是否与部门职责范围相符，属于部门履职所需；</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④项目是否属于公共财政支持范围，是否符合中央、地方事权支出责任划分原则；</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⑤项目是否与相关部门同类项目或部门内部相关项目重复。</w:t>
            </w:r>
          </w:p>
        </w:tc>
      </w:tr>
      <w:tr>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立项程序</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①项目是否按照规定的程序申请设立；</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②审批文件、材料是否符合相关要求；</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③事前是否已经过必要的可行性研究、专家论证、风险评估、绩效评估、集体决策。</w:t>
            </w:r>
          </w:p>
        </w:tc>
      </w:tr>
      <w:tr>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绩效目标</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（如未设定预算绩效目标，也可考核其他工作任务目标）</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①项目是否有绩效目标；</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②项目绩效目标与实际工作内容是否具有相关性；</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③项目预期产出效益和效果是否符合正常的业绩水平；</w:t>
            </w:r>
          </w:p>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④是否与预算确定的项目投资额或资金量相匹配。</w:t>
            </w:r>
          </w:p>
        </w:tc>
      </w:tr>
      <w:tr>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绩效指标</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①是否将项目绩效目标细化分解为具体的绩效指标；</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②是否通过清晰、可衡量的指标值予以体现；</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③是否与项目目标任务数或计划数相对应。</w:t>
            </w:r>
            <w:r>
              <w:rPr>
                <w:rFonts w:hint="eastAsia" w:ascii="宋体" w:hAnsi="宋体" w:eastAsia="宋体" w:cs="宋体"/>
                <w:color w:val="000000"/>
                <w:kern w:val="0"/>
                <w:sz w:val="22"/>
                <w:highlight w:val="none"/>
              </w:rPr>
              <w:br/>
            </w:r>
          </w:p>
        </w:tc>
      </w:tr>
      <w:tr>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预算编制</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①预算编制是否经过科学论证；</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②预算内容与项目内容是否匹配；</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③预算额度测算依据是否充分，是否按照标准编制；</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④预算确定的项目投资额或资金量是否与工作任务相匹配。</w:t>
            </w:r>
          </w:p>
        </w:tc>
      </w:tr>
      <w:tr>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资金分配</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①预算资金分配依据是否充分；</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②资金分配额度是否合理，与项目单位或地方实际是否相适应。</w:t>
            </w:r>
          </w:p>
        </w:tc>
      </w:tr>
      <w:tr>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资金到位率=（实际到位资金/预算资金）×100%。</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实际到位资金：一定时期（本年度或项目期）内落实到具体项目的资金。</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预算资金：一定时期（本年度或项目期）内预算安排到具体项目的资金。</w:t>
            </w:r>
          </w:p>
        </w:tc>
      </w:tr>
      <w:tr>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预算执行率=（实际支出资金/实际到位资金）×100%。</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实际支出资金：一定时期（本年度或项目期）内项目实际拨付的资金。</w:t>
            </w:r>
          </w:p>
        </w:tc>
      </w:tr>
      <w:tr>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资金使用</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①是否符合国家财经法规和财务管理制度以及有关专项资金管理办法的规定；</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②资金的拨付是否有完整的审批程序和手续；</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③是否符合项目预算批复或合同规定的用途；</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④是否存在截留、挤占、挪用、虚列支出等情况。</w:t>
            </w:r>
          </w:p>
        </w:tc>
      </w:tr>
      <w:tr>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管理制度</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①是否已制定或具有相应的财务和业务管理制度；</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②财务和业务管理制度是否合法、合规、完整。</w:t>
            </w:r>
          </w:p>
        </w:tc>
      </w:tr>
      <w:tr>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制度执行</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①是否遵守相关法律法规和相关管理规定；</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②项目调整及支出调整手续是否完备；</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③项目合同书、验收报告、技术鉴定等资料是否齐全并及时归档；</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④项目实施的人员条件、场地设备、信息支撑等是否落实到位。</w:t>
            </w:r>
          </w:p>
        </w:tc>
      </w:tr>
      <w:tr>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产出数量</w:t>
            </w:r>
          </w:p>
        </w:tc>
        <w:tc>
          <w:tcPr>
            <w:tcW w:w="1411" w:type="dxa"/>
            <w:tcBorders>
              <w:tl2br w:val="nil"/>
              <w:tr2bl w:val="nil"/>
            </w:tcBorders>
            <w:shd w:val="clear" w:color="auto" w:fill="FFFFFF"/>
            <w:vAlign w:val="top"/>
          </w:tcPr>
          <w:p>
            <w:pPr>
              <w:widowControl/>
              <w:ind w:firstLine="0" w:firstLineChars="0"/>
              <w:jc w:val="center"/>
              <w:rPr>
                <w:rFonts w:hint="eastAsia"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rPr>
              <w:t>医疗设备购置</w:t>
            </w:r>
            <w:r>
              <w:rPr>
                <w:rFonts w:hint="eastAsia" w:ascii="宋体" w:hAnsi="宋体" w:eastAsia="宋体" w:cs="宋体"/>
                <w:color w:val="000000"/>
                <w:kern w:val="0"/>
                <w:sz w:val="22"/>
                <w:highlight w:val="none"/>
                <w:lang w:val="en-US" w:eastAsia="zh-CN"/>
              </w:rPr>
              <w:t>数</w:t>
            </w:r>
          </w:p>
        </w:tc>
        <w:tc>
          <w:tcPr>
            <w:tcW w:w="2789"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实际完成率=（实际产出数/计划产出数）×100%。</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实际产出数：一定时期（本年度或项目期）内项目实际产出的产品或提供的服务数量。</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计划产出数：项目绩效目标确定的在一定时期（本年度或项目期）内计划产出的产品或提供的服务数量。</w:t>
            </w:r>
          </w:p>
        </w:tc>
      </w:tr>
      <w:tr>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top"/>
          </w:tcPr>
          <w:p>
            <w:pPr>
              <w:widowControl/>
              <w:ind w:firstLine="0" w:firstLineChars="0"/>
              <w:jc w:val="center"/>
              <w:rPr>
                <w:rFonts w:hint="default"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rPr>
              <w:t>人</w:t>
            </w:r>
            <w:r>
              <w:rPr>
                <w:rFonts w:hint="eastAsia" w:ascii="宋体" w:hAnsi="宋体" w:eastAsia="宋体" w:cs="宋体"/>
                <w:color w:val="000000"/>
                <w:kern w:val="0"/>
                <w:sz w:val="22"/>
                <w:highlight w:val="none"/>
                <w:lang w:val="en-US" w:eastAsia="zh-CN"/>
              </w:rPr>
              <w:t>次培养</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p>
        </w:tc>
      </w:tr>
      <w:tr>
        <w:trPr>
          <w:trHeight w:val="84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医疗设备验收合格率</w:t>
            </w:r>
          </w:p>
        </w:tc>
        <w:tc>
          <w:tcPr>
            <w:tcW w:w="2789"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质量达标率=（质量达标产出数/实际产出数）×100%。</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rPr>
          <w:trHeight w:val="84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color w:val="000000"/>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color w:val="000000"/>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人才培训达标率</w:t>
            </w:r>
          </w:p>
        </w:tc>
        <w:tc>
          <w:tcPr>
            <w:tcW w:w="2789" w:type="dxa"/>
            <w:vMerge w:val="continue"/>
            <w:tcBorders>
              <w:tl2br w:val="nil"/>
              <w:tr2bl w:val="nil"/>
            </w:tcBorders>
            <w:shd w:val="clear" w:color="000000" w:fill="FFFFFF"/>
            <w:vAlign w:val="center"/>
          </w:tcPr>
          <w:p>
            <w:pPr>
              <w:widowControl/>
              <w:ind w:firstLine="0" w:firstLineChars="0"/>
              <w:jc w:val="center"/>
              <w:rPr>
                <w:rFonts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jc w:val="center"/>
              <w:rPr>
                <w:rFonts w:ascii="宋体" w:hAnsi="宋体" w:eastAsia="宋体" w:cs="宋体"/>
                <w:color w:val="000000"/>
                <w:kern w:val="0"/>
                <w:sz w:val="22"/>
                <w:highlight w:val="none"/>
              </w:rPr>
            </w:pPr>
          </w:p>
        </w:tc>
      </w:tr>
      <w:tr>
        <w:trPr>
          <w:trHeight w:val="1133"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项目完成及时率</w:t>
            </w:r>
          </w:p>
        </w:tc>
        <w:tc>
          <w:tcPr>
            <w:tcW w:w="2789" w:type="dxa"/>
            <w:tcBorders>
              <w:tl2br w:val="nil"/>
              <w:tr2bl w:val="nil"/>
            </w:tcBorders>
            <w:shd w:val="clear" w:color="000000" w:fill="FFFFFF"/>
            <w:vAlign w:val="center"/>
          </w:tcPr>
          <w:p>
            <w:pPr>
              <w:widowControl/>
              <w:ind w:firstLine="0" w:firstLineChars="0"/>
              <w:rPr>
                <w:rFonts w:hint="eastAsia"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实际完成时间：项目实施单位完成该项目实际所耗用的时间。</w:t>
            </w:r>
          </w:p>
          <w:p>
            <w:pPr>
              <w:widowControl/>
              <w:ind w:firstLine="0" w:firstLineChars="0"/>
              <w:rPr>
                <w:rFonts w:hint="eastAsia" w:ascii="宋体" w:hAnsi="宋体" w:eastAsia="宋体" w:cs="宋体"/>
                <w:color w:val="000000"/>
                <w:kern w:val="0"/>
                <w:sz w:val="22"/>
                <w:highlight w:val="none"/>
              </w:rPr>
            </w:pPr>
            <w:r>
              <w:rPr>
                <w:rFonts w:hint="eastAsia" w:ascii="宋体" w:hAnsi="宋体" w:eastAsia="宋体" w:cs="宋体"/>
                <w:color w:val="000000"/>
                <w:kern w:val="0"/>
                <w:sz w:val="22"/>
                <w:highlight w:val="none"/>
              </w:rPr>
              <w:t>计划完成时间：按照项目实施计划或相关规定完成该项目所需的时间。</w:t>
            </w:r>
          </w:p>
        </w:tc>
      </w:tr>
      <w:tr>
        <w:trPr>
          <w:trHeight w:val="1133"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专用设备购置成本</w:t>
            </w:r>
          </w:p>
        </w:tc>
        <w:tc>
          <w:tcPr>
            <w:tcW w:w="2789"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成本节约率=[（计划成本-实际成本）/计划成本]×100%。</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实际成本：项目实施单位如期、保质、保量完成既定工作目标实际所耗费的支出。</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计划成本：项目实施单位为完成工作目标计划安排的支出，一般以项目预算为参考。</w:t>
            </w:r>
          </w:p>
        </w:tc>
      </w:tr>
      <w:tr>
        <w:trPr>
          <w:trHeight w:val="1133"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color w:val="000000"/>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color w:val="000000"/>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培训费及其他费用</w:t>
            </w:r>
          </w:p>
        </w:tc>
        <w:tc>
          <w:tcPr>
            <w:tcW w:w="2789" w:type="dxa"/>
            <w:vMerge w:val="continue"/>
            <w:tcBorders>
              <w:tl2br w:val="nil"/>
              <w:tr2bl w:val="nil"/>
            </w:tcBorders>
            <w:shd w:val="clear" w:color="000000" w:fill="FFFFFF"/>
            <w:vAlign w:val="center"/>
          </w:tcPr>
          <w:p>
            <w:pPr>
              <w:widowControl/>
              <w:ind w:firstLine="0" w:firstLineChars="0"/>
              <w:jc w:val="center"/>
              <w:rPr>
                <w:rFonts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jc w:val="center"/>
              <w:rPr>
                <w:rFonts w:ascii="宋体" w:hAnsi="宋体" w:eastAsia="宋体" w:cs="宋体"/>
                <w:color w:val="000000"/>
                <w:kern w:val="0"/>
                <w:sz w:val="22"/>
                <w:highlight w:val="none"/>
              </w:rPr>
            </w:pPr>
          </w:p>
        </w:tc>
      </w:tr>
      <w:tr>
        <w:trPr>
          <w:trHeight w:val="889" w:hRule="atLeast"/>
          <w:jc w:val="center"/>
        </w:trPr>
        <w:tc>
          <w:tcPr>
            <w:tcW w:w="115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提高中医药医疗及服务能力</w:t>
            </w:r>
          </w:p>
        </w:tc>
        <w:tc>
          <w:tcPr>
            <w:tcW w:w="2789"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项目实施所产生的社会效益、经济效益、生态效益、可持续影响等。可根据项目实际情况有选择地设置和细化。</w:t>
            </w:r>
          </w:p>
        </w:tc>
      </w:tr>
      <w:tr>
        <w:trPr>
          <w:trHeight w:val="889" w:hRule="atLeast"/>
          <w:jc w:val="center"/>
        </w:trPr>
        <w:tc>
          <w:tcPr>
            <w:tcW w:w="1155"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rPr>
            </w:pPr>
            <w:r>
              <w:rPr>
                <w:rFonts w:hint="eastAsia" w:ascii="宋体" w:hAnsi="宋体" w:eastAsia="宋体" w:cs="宋体"/>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rPr>
            </w:pPr>
            <w:r>
              <w:rPr>
                <w:rFonts w:hint="eastAsia" w:ascii="宋体" w:hAnsi="宋体" w:eastAsia="宋体" w:cs="宋体"/>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lang w:val="en-US" w:eastAsia="zh-CN"/>
              </w:rPr>
              <w:t>患者满意度</w:t>
            </w:r>
          </w:p>
        </w:tc>
        <w:tc>
          <w:tcPr>
            <w:tcW w:w="2789" w:type="dxa"/>
            <w:tcBorders>
              <w:tl2br w:val="nil"/>
              <w:tr2bl w:val="nil"/>
            </w:tcBorders>
            <w:shd w:val="clear" w:color="auto" w:fill="FFFFFF"/>
            <w:vAlign w:val="center"/>
          </w:tcPr>
          <w:p>
            <w:pPr>
              <w:widowControl/>
              <w:ind w:firstLine="0" w:firstLineChars="0"/>
              <w:jc w:val="left"/>
              <w:rPr>
                <w:rFonts w:hint="eastAsia"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社会公众或服务对象对项目实施效果的满意程度。</w:t>
            </w:r>
          </w:p>
        </w:tc>
        <w:tc>
          <w:tcPr>
            <w:tcW w:w="7341" w:type="dxa"/>
            <w:tcBorders>
              <w:tl2br w:val="nil"/>
              <w:tr2bl w:val="nil"/>
            </w:tcBorders>
            <w:shd w:val="clear" w:color="auto" w:fill="FFFFFF"/>
            <w:vAlign w:val="center"/>
          </w:tcPr>
          <w:p>
            <w:pPr>
              <w:widowControl/>
              <w:ind w:firstLine="0" w:firstLineChars="0"/>
              <w:rPr>
                <w:rFonts w:hint="eastAsia"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社会公众或服务对象是指因该项目实施而受到影响的部门（单位）、群体或个人。一般采取社会调查的方式。</w:t>
            </w:r>
          </w:p>
        </w:tc>
      </w:tr>
    </w:tbl>
    <w:p>
      <w:pPr>
        <w:ind w:firstLine="0" w:firstLineChars="0"/>
        <w:jc w:val="both"/>
        <w:rPr>
          <w:rFonts w:ascii="仿宋_GB2312"/>
          <w:color w:val="000000"/>
          <w:highlight w:val="none"/>
        </w:rPr>
      </w:pPr>
    </w:p>
    <w:p>
      <w:pPr>
        <w:ind w:firstLine="0" w:firstLineChars="0"/>
        <w:jc w:val="center"/>
        <w:rPr>
          <w:rFonts w:ascii="仿宋_GB2312"/>
          <w:color w:val="000000"/>
          <w:highlight w:val="none"/>
        </w:rPr>
      </w:pPr>
    </w:p>
    <w:p>
      <w:pPr>
        <w:ind w:firstLine="0" w:firstLineChars="0"/>
        <w:jc w:val="center"/>
        <w:rPr>
          <w:rFonts w:ascii="仿宋_GB2312"/>
          <w:color w:val="000000"/>
          <w:highlight w:val="none"/>
        </w:rPr>
        <w:sectPr>
          <w:footnotePr>
            <w:numFmt w:val="decimalEnclosedCircleChinese"/>
          </w:footnotePr>
          <w:pgSz w:w="16838" w:h="11906" w:orient="landscape"/>
          <w:pgMar w:top="1800" w:right="1440" w:bottom="1800" w:left="1440" w:header="1276" w:footer="992" w:gutter="0"/>
          <w:cols w:space="720" w:num="1"/>
          <w:docGrid w:type="lines" w:linePitch="381"/>
        </w:sectPr>
      </w:pPr>
    </w:p>
    <w:p>
      <w:pPr>
        <w:pStyle w:val="4"/>
        <w:ind w:firstLine="643"/>
        <w:rPr>
          <w:color w:val="000000"/>
          <w:highlight w:val="none"/>
        </w:rPr>
      </w:pPr>
      <w:bookmarkStart w:id="22" w:name="_Toc165277234"/>
      <w:bookmarkStart w:id="23" w:name="_Hlk67586038"/>
      <w:r>
        <w:rPr>
          <w:color w:val="000000"/>
          <w:highlight w:val="none"/>
        </w:rPr>
        <w:t>3.</w:t>
      </w:r>
      <w:r>
        <w:rPr>
          <w:rFonts w:hint="eastAsia"/>
          <w:color w:val="000000"/>
          <w:highlight w:val="none"/>
        </w:rPr>
        <w:t>评价方法</w:t>
      </w:r>
      <w:bookmarkEnd w:id="22"/>
    </w:p>
    <w:bookmarkEnd w:id="23"/>
    <w:p>
      <w:pPr>
        <w:spacing w:line="360" w:lineRule="auto"/>
        <w:ind w:firstLine="560"/>
        <w:rPr>
          <w:rFonts w:ascii="仿宋_GB2312"/>
          <w:color w:val="000000"/>
          <w:highlight w:val="none"/>
        </w:rPr>
      </w:pPr>
      <w:r>
        <w:rPr>
          <w:rFonts w:hint="eastAsia" w:ascii="仿宋_GB2312"/>
          <w:color w:val="000000"/>
          <w:highlight w:val="none"/>
        </w:rPr>
        <w:t>《关于印发</w:t>
      </w:r>
      <w:r>
        <w:rPr>
          <w:rFonts w:hint="eastAsia" w:ascii="仿宋_GB2312"/>
          <w:color w:val="000000"/>
          <w:highlight w:val="none"/>
          <w:lang w:eastAsia="zh-CN"/>
        </w:rPr>
        <w:t>〈</w:t>
      </w:r>
      <w:r>
        <w:rPr>
          <w:rFonts w:hint="eastAsia" w:ascii="仿宋_GB2312"/>
          <w:color w:val="000000"/>
          <w:highlight w:val="none"/>
        </w:rPr>
        <w:t>项目支出绩效评价管理办法</w:t>
      </w:r>
      <w:r>
        <w:rPr>
          <w:rFonts w:hint="eastAsia" w:ascii="仿宋_GB2312"/>
          <w:color w:val="000000"/>
          <w:highlight w:val="none"/>
          <w:lang w:eastAsia="zh-CN"/>
        </w:rPr>
        <w:t>〉的通知》</w:t>
      </w:r>
      <w:r>
        <w:rPr>
          <w:rFonts w:hint="eastAsia" w:ascii="仿宋_GB2312"/>
          <w:color w:val="000000"/>
          <w:highlight w:val="none"/>
        </w:rPr>
        <w:t>（财预〔2020〕10号）文件指出部门评价的方法主要包括成本效益分析法、比较法、因素分析法、最低成本法、公众评判法、标杆管理法等。</w:t>
      </w:r>
    </w:p>
    <w:p>
      <w:pPr>
        <w:spacing w:line="360" w:lineRule="auto"/>
        <w:ind w:firstLine="560"/>
        <w:rPr>
          <w:rFonts w:ascii="仿宋_GB2312"/>
          <w:color w:val="000000"/>
          <w:highlight w:val="none"/>
        </w:rPr>
      </w:pPr>
      <w:r>
        <w:rPr>
          <w:rFonts w:hint="eastAsia" w:ascii="仿宋_GB2312"/>
          <w:color w:val="000000"/>
          <w:highlight w:val="none"/>
        </w:rPr>
        <w:t>（1）成本效益分析法。是指将投入与产出、效益进行关联性分析的方法。</w:t>
      </w:r>
    </w:p>
    <w:p>
      <w:pPr>
        <w:spacing w:line="360" w:lineRule="auto"/>
        <w:ind w:firstLine="560"/>
        <w:rPr>
          <w:rFonts w:ascii="仿宋_GB2312"/>
          <w:color w:val="000000"/>
          <w:highlight w:val="none"/>
        </w:rPr>
      </w:pPr>
      <w:r>
        <w:rPr>
          <w:rFonts w:hint="eastAsia" w:ascii="仿宋_GB2312"/>
          <w:color w:val="000000"/>
          <w:highlight w:val="none"/>
        </w:rPr>
        <w:t>（2）比较法。是指将实施情况与绩效目标、历史情况、不同部门和地区同类支出情况进行比较的方法。</w:t>
      </w:r>
    </w:p>
    <w:p>
      <w:pPr>
        <w:spacing w:line="360" w:lineRule="auto"/>
        <w:ind w:firstLine="560"/>
        <w:rPr>
          <w:rFonts w:ascii="仿宋_GB2312"/>
          <w:color w:val="000000"/>
          <w:highlight w:val="none"/>
        </w:rPr>
      </w:pPr>
      <w:r>
        <w:rPr>
          <w:rFonts w:hint="eastAsia" w:ascii="仿宋_GB2312"/>
          <w:color w:val="000000"/>
          <w:highlight w:val="none"/>
        </w:rPr>
        <w:t>（3）因素分析法。是指综合分析影响绩效目标实现、实施效果的内外部因素的方法。</w:t>
      </w:r>
    </w:p>
    <w:p>
      <w:pPr>
        <w:spacing w:line="360" w:lineRule="auto"/>
        <w:ind w:firstLine="560"/>
        <w:rPr>
          <w:rFonts w:ascii="仿宋_GB2312"/>
          <w:color w:val="000000"/>
          <w:highlight w:val="none"/>
        </w:rPr>
      </w:pPr>
      <w:r>
        <w:rPr>
          <w:rFonts w:hint="eastAsia" w:ascii="仿宋_GB2312"/>
          <w:color w:val="000000"/>
          <w:highlight w:val="none"/>
        </w:rPr>
        <w:t>（4）最低成本法。是指在绩效目标确定的前提下，成本最小者为优的方法。</w:t>
      </w:r>
    </w:p>
    <w:p>
      <w:pPr>
        <w:spacing w:line="360" w:lineRule="auto"/>
        <w:ind w:firstLine="560"/>
        <w:rPr>
          <w:rFonts w:ascii="仿宋_GB2312"/>
          <w:color w:val="000000"/>
          <w:highlight w:val="none"/>
        </w:rPr>
      </w:pPr>
      <w:r>
        <w:rPr>
          <w:rFonts w:hint="eastAsia" w:ascii="仿宋_GB2312"/>
          <w:color w:val="000000"/>
          <w:highlight w:val="none"/>
        </w:rPr>
        <w:t>（5）公众评判法。是指通过专家评估、公众问卷及抽样调查等方式进行评判的方法。</w:t>
      </w:r>
    </w:p>
    <w:p>
      <w:pPr>
        <w:spacing w:line="360" w:lineRule="auto"/>
        <w:ind w:firstLine="560"/>
        <w:rPr>
          <w:rFonts w:ascii="仿宋_GB2312"/>
          <w:color w:val="000000"/>
          <w:highlight w:val="none"/>
        </w:rPr>
      </w:pPr>
      <w:r>
        <w:rPr>
          <w:rFonts w:hint="eastAsia" w:ascii="仿宋_GB2312"/>
          <w:color w:val="000000"/>
          <w:highlight w:val="none"/>
        </w:rPr>
        <w:t>（6）标杆管理法。是指以国内外同行业中较高的绩效水平为标杆进行评判的方法。</w:t>
      </w:r>
    </w:p>
    <w:p>
      <w:pPr>
        <w:spacing w:line="360" w:lineRule="auto"/>
        <w:ind w:firstLine="560"/>
        <w:rPr>
          <w:rFonts w:ascii="仿宋_GB2312"/>
          <w:color w:val="000000"/>
          <w:highlight w:val="none"/>
        </w:rPr>
      </w:pPr>
      <w:r>
        <w:rPr>
          <w:rFonts w:hint="eastAsia" w:ascii="仿宋_GB2312"/>
          <w:color w:val="000000"/>
          <w:highlight w:val="none"/>
        </w:rPr>
        <w:t>（7）其他评价方法。</w:t>
      </w:r>
    </w:p>
    <w:p>
      <w:pPr>
        <w:spacing w:line="360" w:lineRule="auto"/>
        <w:ind w:firstLine="560"/>
        <w:rPr>
          <w:rFonts w:ascii="仿宋_GB2312"/>
          <w:color w:val="000000"/>
          <w:highlight w:val="none"/>
        </w:rPr>
      </w:pPr>
      <w:r>
        <w:rPr>
          <w:rFonts w:hint="eastAsia" w:ascii="仿宋_GB2312"/>
          <w:color w:val="000000"/>
          <w:highlight w:val="none"/>
        </w:rPr>
        <w:t>根据本项目</w:t>
      </w:r>
      <w:r>
        <w:rPr>
          <w:rFonts w:hint="eastAsia" w:ascii="仿宋_GB2312"/>
          <w:color w:val="000000"/>
          <w:highlight w:val="none"/>
          <w:lang w:eastAsia="zh-CN"/>
        </w:rPr>
        <w:t>《</w:t>
      </w:r>
      <w:r>
        <w:rPr>
          <w:rFonts w:hint="eastAsia" w:ascii="仿宋_GB2312"/>
          <w:color w:val="000000"/>
          <w:highlight w:val="none"/>
        </w:rPr>
        <w:t>乌鲁木齐市中医药传承创新发展示范试点项目市级财政经费项目</w:t>
      </w:r>
      <w:r>
        <w:rPr>
          <w:rFonts w:hint="eastAsia" w:ascii="仿宋_GB2312"/>
          <w:color w:val="000000"/>
          <w:highlight w:val="none"/>
          <w:lang w:eastAsia="zh-CN"/>
        </w:rPr>
        <w:t>》</w:t>
      </w:r>
      <w:r>
        <w:rPr>
          <w:rFonts w:hint="eastAsia" w:ascii="仿宋_GB2312"/>
          <w:color w:val="000000"/>
          <w:highlight w:val="none"/>
        </w:rPr>
        <w:t>的特点，本次评价主要采用比较法</w:t>
      </w:r>
      <w:r>
        <w:rPr>
          <w:rFonts w:ascii="仿宋_GB2312"/>
          <w:color w:val="000000"/>
          <w:highlight w:val="none"/>
        </w:rPr>
        <w:t>和</w:t>
      </w:r>
      <w:r>
        <w:rPr>
          <w:rFonts w:hint="eastAsia" w:ascii="仿宋_GB2312"/>
          <w:color w:val="000000"/>
          <w:highlight w:val="none"/>
        </w:rPr>
        <w:t>公众评判法，对项目总预算和明细预算的内容、标准、计划是否经济合理进行深入分析，以考察实际产出和效益是否达到预期。</w:t>
      </w:r>
    </w:p>
    <w:p>
      <w:pPr>
        <w:pStyle w:val="4"/>
        <w:ind w:firstLine="643"/>
        <w:rPr>
          <w:color w:val="000000"/>
          <w:highlight w:val="none"/>
        </w:rPr>
      </w:pPr>
      <w:bookmarkStart w:id="24" w:name="_Toc165277235"/>
      <w:r>
        <w:rPr>
          <w:color w:val="000000"/>
          <w:highlight w:val="none"/>
        </w:rPr>
        <w:t>4.</w:t>
      </w:r>
      <w:r>
        <w:rPr>
          <w:rFonts w:hint="eastAsia"/>
          <w:color w:val="000000"/>
          <w:highlight w:val="none"/>
        </w:rPr>
        <w:t>评价标准</w:t>
      </w:r>
      <w:bookmarkEnd w:id="24"/>
    </w:p>
    <w:p>
      <w:pPr>
        <w:spacing w:line="360" w:lineRule="auto"/>
        <w:ind w:firstLine="560"/>
        <w:rPr>
          <w:rFonts w:ascii="仿宋_GB2312"/>
          <w:color w:val="000000"/>
          <w:highlight w:val="none"/>
        </w:rPr>
      </w:pPr>
      <w:r>
        <w:rPr>
          <w:rFonts w:hint="eastAsia" w:ascii="仿宋_GB2312"/>
          <w:color w:val="000000"/>
          <w:highlight w:val="none"/>
        </w:rPr>
        <w:t>绩效评价标准主要包括计划标准、行业标准、历史标准等，用于对绩效指标完成情况进行比较。</w:t>
      </w:r>
    </w:p>
    <w:p>
      <w:pPr>
        <w:spacing w:line="360" w:lineRule="auto"/>
        <w:ind w:firstLine="560"/>
        <w:rPr>
          <w:rFonts w:ascii="仿宋_GB2312"/>
          <w:color w:val="000000"/>
          <w:highlight w:val="none"/>
        </w:rPr>
      </w:pPr>
      <w:r>
        <w:rPr>
          <w:rFonts w:hint="eastAsia" w:ascii="仿宋_GB2312"/>
          <w:color w:val="000000"/>
          <w:highlight w:val="none"/>
        </w:rPr>
        <w:t>（1）计划标准。指以预先制定的目标、计划、预算、定额等作为评价标准。</w:t>
      </w:r>
    </w:p>
    <w:p>
      <w:pPr>
        <w:spacing w:line="360" w:lineRule="auto"/>
        <w:ind w:firstLine="560"/>
        <w:rPr>
          <w:rFonts w:ascii="仿宋_GB2312"/>
          <w:color w:val="000000"/>
          <w:highlight w:val="none"/>
        </w:rPr>
      </w:pPr>
      <w:r>
        <w:rPr>
          <w:rFonts w:hint="eastAsia" w:ascii="仿宋_GB2312"/>
          <w:color w:val="000000"/>
          <w:highlight w:val="none"/>
        </w:rPr>
        <w:t>（2）行业标准。指参照国家公布的行业指标数据制定的评价标准。</w:t>
      </w:r>
    </w:p>
    <w:p>
      <w:pPr>
        <w:spacing w:line="360" w:lineRule="auto"/>
        <w:ind w:firstLine="560"/>
        <w:rPr>
          <w:rFonts w:ascii="仿宋_GB2312"/>
          <w:color w:val="000000"/>
          <w:highlight w:val="none"/>
        </w:rPr>
      </w:pPr>
      <w:r>
        <w:rPr>
          <w:rFonts w:hint="eastAsia" w:ascii="仿宋_GB2312"/>
          <w:color w:val="000000"/>
          <w:highlight w:val="none"/>
        </w:rPr>
        <w:t>（3）历史标准。指参照历史数据制定的评价标准，为体现绩效改进的原则，在可实现的条件下应当确定相对较高的评价标准。</w:t>
      </w:r>
    </w:p>
    <w:p>
      <w:pPr>
        <w:spacing w:line="360" w:lineRule="auto"/>
        <w:ind w:firstLine="560"/>
        <w:rPr>
          <w:rFonts w:ascii="仿宋_GB2312"/>
          <w:color w:val="000000"/>
          <w:highlight w:val="none"/>
        </w:rPr>
      </w:pPr>
      <w:r>
        <w:rPr>
          <w:rFonts w:hint="eastAsia" w:ascii="仿宋_GB2312"/>
          <w:color w:val="000000"/>
          <w:highlight w:val="none"/>
        </w:rPr>
        <w:t>在上述评价标准的基础上，本次评价依据以下文件为重要指导和准绳：</w:t>
      </w:r>
    </w:p>
    <w:p>
      <w:pPr>
        <w:spacing w:line="360" w:lineRule="auto"/>
        <w:ind w:firstLine="560"/>
        <w:rPr>
          <w:rFonts w:ascii="仿宋_GB2312"/>
          <w:color w:val="000000"/>
          <w:highlight w:val="none"/>
        </w:rPr>
      </w:pPr>
      <w:r>
        <w:rPr>
          <w:rFonts w:hint="eastAsia" w:ascii="黑体" w:hAnsi="黑体" w:eastAsia="黑体" w:cs="Times New Roman"/>
          <w:color w:val="000000"/>
          <w:szCs w:val="28"/>
          <w:highlight w:val="none"/>
        </w:rPr>
        <w:t>·</w:t>
      </w:r>
      <w:r>
        <w:rPr>
          <w:rFonts w:hint="eastAsia" w:ascii="仿宋_GB2312"/>
          <w:color w:val="000000"/>
          <w:highlight w:val="none"/>
        </w:rPr>
        <w:t>《中共中央</w:t>
      </w:r>
      <w:r>
        <w:rPr>
          <w:rFonts w:hint="eastAsia" w:ascii="仿宋_GB2312"/>
          <w:color w:val="000000"/>
          <w:highlight w:val="none"/>
          <w:lang w:val="en-US" w:eastAsia="zh-CN"/>
        </w:rPr>
        <w:t xml:space="preserve"> </w:t>
      </w:r>
      <w:r>
        <w:rPr>
          <w:rFonts w:hint="eastAsia" w:ascii="仿宋_GB2312"/>
          <w:color w:val="000000"/>
          <w:highlight w:val="none"/>
        </w:rPr>
        <w:t>国务院关于全面实施预算绩效管理的意见》（中发〔2018〕34号）</w:t>
      </w:r>
    </w:p>
    <w:p>
      <w:pPr>
        <w:spacing w:line="360" w:lineRule="auto"/>
        <w:ind w:firstLine="560"/>
        <w:rPr>
          <w:rFonts w:ascii="仿宋_GB2312"/>
          <w:color w:val="000000"/>
          <w:highlight w:val="none"/>
        </w:rPr>
      </w:pPr>
      <w:r>
        <w:rPr>
          <w:rFonts w:hint="eastAsia" w:ascii="黑体" w:hAnsi="黑体" w:eastAsia="黑体" w:cs="Times New Roman"/>
          <w:color w:val="000000"/>
          <w:szCs w:val="28"/>
          <w:highlight w:val="none"/>
        </w:rPr>
        <w:t>·</w:t>
      </w:r>
      <w:r>
        <w:rPr>
          <w:rFonts w:hint="eastAsia" w:ascii="仿宋_GB2312"/>
          <w:color w:val="000000"/>
          <w:highlight w:val="none"/>
        </w:rPr>
        <w:t>《关于印发</w:t>
      </w:r>
      <w:r>
        <w:rPr>
          <w:rFonts w:hint="eastAsia" w:ascii="仿宋_GB2312"/>
          <w:color w:val="000000"/>
          <w:highlight w:val="none"/>
          <w:lang w:eastAsia="zh-CN"/>
        </w:rPr>
        <w:t>〈</w:t>
      </w:r>
      <w:r>
        <w:rPr>
          <w:rFonts w:hint="eastAsia" w:ascii="仿宋_GB2312"/>
          <w:color w:val="000000"/>
          <w:highlight w:val="none"/>
        </w:rPr>
        <w:t>乌鲁木齐市本级部门预算绩效目标管理暂行办法</w:t>
      </w:r>
      <w:r>
        <w:rPr>
          <w:rFonts w:hint="eastAsia" w:ascii="仿宋_GB2312"/>
          <w:color w:val="000000"/>
          <w:highlight w:val="none"/>
          <w:lang w:eastAsia="zh-CN"/>
        </w:rPr>
        <w:t>〉的通知》</w:t>
      </w:r>
      <w:r>
        <w:rPr>
          <w:rFonts w:hint="eastAsia" w:ascii="仿宋_GB2312"/>
          <w:color w:val="000000"/>
          <w:highlight w:val="none"/>
        </w:rPr>
        <w:t>（乌财预〔2018〕56号）</w:t>
      </w:r>
    </w:p>
    <w:p>
      <w:pPr>
        <w:spacing w:line="360" w:lineRule="auto"/>
        <w:ind w:firstLine="560" w:firstLineChars="0"/>
        <w:rPr>
          <w:rFonts w:ascii="仿宋_GB2312"/>
          <w:color w:val="000000"/>
          <w:highlight w:val="none"/>
        </w:rPr>
      </w:pPr>
      <w:r>
        <w:rPr>
          <w:rFonts w:hint="eastAsia" w:ascii="黑体" w:hAnsi="黑体" w:eastAsia="黑体" w:cs="Times New Roman"/>
          <w:color w:val="000000"/>
          <w:szCs w:val="28"/>
          <w:highlight w:val="none"/>
        </w:rPr>
        <w:t>·</w:t>
      </w:r>
      <w:r>
        <w:rPr>
          <w:rFonts w:hint="eastAsia" w:ascii="仿宋_GB2312"/>
          <w:color w:val="000000"/>
          <w:highlight w:val="none"/>
        </w:rPr>
        <w:t>《关于做好2019年部门预算项目支出绩效目标管理有关事宜的通知》（乌财预〔2018〕76号）</w:t>
      </w:r>
    </w:p>
    <w:p>
      <w:pPr>
        <w:spacing w:line="360" w:lineRule="auto"/>
        <w:ind w:firstLine="560"/>
        <w:rPr>
          <w:rFonts w:ascii="仿宋_GB2312"/>
          <w:color w:val="000000"/>
          <w:highlight w:val="none"/>
        </w:rPr>
      </w:pPr>
      <w:r>
        <w:rPr>
          <w:rFonts w:hint="eastAsia" w:ascii="黑体" w:hAnsi="黑体" w:eastAsia="黑体" w:cs="Times New Roman"/>
          <w:color w:val="000000"/>
          <w:szCs w:val="28"/>
          <w:highlight w:val="none"/>
        </w:rPr>
        <w:t>·</w:t>
      </w:r>
      <w:r>
        <w:rPr>
          <w:rFonts w:hint="eastAsia" w:ascii="仿宋_GB2312"/>
          <w:color w:val="000000"/>
          <w:highlight w:val="none"/>
        </w:rPr>
        <w:t>《项目支出绩效评价管理办法》（财预〔2020〕10号）</w:t>
      </w:r>
    </w:p>
    <w:p>
      <w:pPr>
        <w:spacing w:line="360" w:lineRule="auto"/>
        <w:ind w:firstLine="560"/>
        <w:rPr>
          <w:rFonts w:ascii="仿宋_GB2312"/>
          <w:color w:val="000000"/>
          <w:highlight w:val="none"/>
        </w:rPr>
      </w:pPr>
      <w:r>
        <w:rPr>
          <w:rFonts w:ascii="黑体" w:hAnsi="黑体" w:eastAsia="黑体" w:cs="Times New Roman"/>
          <w:color w:val="000000"/>
          <w:szCs w:val="28"/>
          <w:highlight w:val="none"/>
        </w:rPr>
        <w:t>·《</w:t>
      </w:r>
      <w:r>
        <w:rPr>
          <w:rFonts w:hint="eastAsia" w:ascii="仿宋_GB2312"/>
          <w:color w:val="000000"/>
          <w:highlight w:val="none"/>
        </w:rPr>
        <w:t>政府采购需求管理办法</w:t>
      </w:r>
      <w:r>
        <w:rPr>
          <w:rFonts w:ascii="仿宋_GB2312"/>
          <w:color w:val="000000"/>
          <w:highlight w:val="none"/>
        </w:rPr>
        <w:t>》（财</w:t>
      </w:r>
      <w:r>
        <w:rPr>
          <w:rFonts w:hint="eastAsia" w:ascii="仿宋_GB2312"/>
          <w:color w:val="000000"/>
          <w:highlight w:val="none"/>
        </w:rPr>
        <w:t>库</w:t>
      </w:r>
      <w:r>
        <w:rPr>
          <w:rFonts w:ascii="仿宋_GB2312"/>
          <w:color w:val="000000"/>
          <w:highlight w:val="none"/>
        </w:rPr>
        <w:t>〔</w:t>
      </w:r>
      <w:r>
        <w:rPr>
          <w:rFonts w:hint="eastAsia" w:ascii="仿宋_GB2312"/>
          <w:color w:val="000000"/>
          <w:highlight w:val="none"/>
        </w:rPr>
        <w:t>2021</w:t>
      </w:r>
      <w:r>
        <w:rPr>
          <w:rFonts w:ascii="仿宋_GB2312"/>
          <w:color w:val="000000"/>
          <w:highlight w:val="none"/>
        </w:rPr>
        <w:t>〕</w:t>
      </w:r>
      <w:r>
        <w:rPr>
          <w:rFonts w:hint="eastAsia" w:ascii="仿宋_GB2312"/>
          <w:color w:val="000000"/>
          <w:highlight w:val="none"/>
        </w:rPr>
        <w:t>22</w:t>
      </w:r>
      <w:r>
        <w:rPr>
          <w:rFonts w:ascii="仿宋_GB2312"/>
          <w:color w:val="000000"/>
          <w:highlight w:val="none"/>
        </w:rPr>
        <w:t>号）</w:t>
      </w:r>
    </w:p>
    <w:p>
      <w:pPr>
        <w:spacing w:line="360" w:lineRule="auto"/>
        <w:ind w:firstLine="560"/>
        <w:rPr>
          <w:rFonts w:ascii="仿宋_GB2312"/>
          <w:color w:val="000000"/>
          <w:highlight w:val="none"/>
        </w:rPr>
      </w:pPr>
      <w:r>
        <w:rPr>
          <w:rFonts w:hint="eastAsia" w:ascii="黑体" w:hAnsi="黑体" w:eastAsia="黑体" w:cs="Times New Roman"/>
          <w:color w:val="000000"/>
          <w:szCs w:val="28"/>
          <w:highlight w:val="none"/>
        </w:rPr>
        <w:t>·</w:t>
      </w:r>
      <w:r>
        <w:rPr>
          <w:rFonts w:hint="eastAsia" w:ascii="仿宋_GB2312"/>
          <w:color w:val="000000"/>
          <w:highlight w:val="none"/>
        </w:rPr>
        <w:t>关于印发《乌鲁木齐市卫生健康委员会政府采购暂行规定》的通知（乌卫规</w:t>
      </w:r>
      <w:r>
        <w:rPr>
          <w:rFonts w:hint="eastAsia" w:ascii="仿宋_GB2312"/>
          <w:color w:val="000000"/>
          <w:highlight w:val="none"/>
          <w:lang w:eastAsia="zh-CN"/>
        </w:rPr>
        <w:t>〔2023〕2号</w:t>
      </w:r>
      <w:r>
        <w:rPr>
          <w:rFonts w:hint="eastAsia" w:ascii="仿宋_GB2312"/>
          <w:color w:val="000000"/>
          <w:highlight w:val="none"/>
        </w:rPr>
        <w:t>）</w:t>
      </w:r>
    </w:p>
    <w:p>
      <w:pPr>
        <w:spacing w:line="360" w:lineRule="auto"/>
        <w:ind w:firstLine="560"/>
        <w:rPr>
          <w:rFonts w:ascii="仿宋_GB2312"/>
          <w:color w:val="000000"/>
          <w:highlight w:val="none"/>
        </w:rPr>
      </w:pPr>
      <w:r>
        <w:rPr>
          <w:rFonts w:hint="eastAsia" w:ascii="黑体" w:hAnsi="黑体" w:eastAsia="黑体" w:cs="Times New Roman"/>
          <w:color w:val="000000"/>
          <w:szCs w:val="28"/>
          <w:highlight w:val="none"/>
        </w:rPr>
        <w:t>·</w:t>
      </w:r>
      <w:r>
        <w:rPr>
          <w:rFonts w:hint="eastAsia" w:ascii="仿宋_GB2312"/>
          <w:color w:val="000000"/>
          <w:highlight w:val="none"/>
        </w:rPr>
        <w:t>《乌鲁木齐市中医医院财政专项资金管理制度》</w:t>
      </w:r>
    </w:p>
    <w:p>
      <w:pPr>
        <w:spacing w:line="360" w:lineRule="auto"/>
        <w:ind w:firstLine="560"/>
        <w:rPr>
          <w:rFonts w:ascii="仿宋_GB2312"/>
          <w:color w:val="000000"/>
          <w:highlight w:val="none"/>
        </w:rPr>
      </w:pPr>
      <w:r>
        <w:rPr>
          <w:rFonts w:hint="eastAsia" w:ascii="黑体" w:hAnsi="黑体" w:eastAsia="黑体" w:cs="Times New Roman"/>
          <w:color w:val="000000"/>
          <w:szCs w:val="28"/>
          <w:highlight w:val="none"/>
        </w:rPr>
        <w:t>·</w:t>
      </w:r>
      <w:r>
        <w:rPr>
          <w:rFonts w:hint="eastAsia" w:ascii="仿宋_GB2312"/>
          <w:color w:val="000000"/>
          <w:highlight w:val="none"/>
        </w:rPr>
        <w:t>《乌鲁木齐市中医医院固定资产管理制度》</w:t>
      </w:r>
    </w:p>
    <w:p>
      <w:pPr>
        <w:pStyle w:val="3"/>
        <w:ind w:firstLine="643"/>
        <w:rPr>
          <w:rFonts w:ascii="仿宋" w:hAnsi="仿宋" w:eastAsia="仿宋"/>
          <w:color w:val="000000"/>
          <w:highlight w:val="none"/>
          <w:lang w:bidi="en-US"/>
        </w:rPr>
      </w:pPr>
      <w:bookmarkStart w:id="25" w:name="_Toc165277236"/>
      <w:bookmarkStart w:id="26" w:name="_Toc67911607"/>
      <w:r>
        <w:rPr>
          <w:rFonts w:hint="eastAsia" w:ascii="仿宋" w:hAnsi="仿宋" w:eastAsia="仿宋"/>
          <w:color w:val="000000"/>
          <w:highlight w:val="none"/>
          <w:lang w:bidi="en-US"/>
        </w:rPr>
        <w:t>（三）绩效评价工作过程</w:t>
      </w:r>
      <w:bookmarkEnd w:id="25"/>
      <w:bookmarkEnd w:id="26"/>
    </w:p>
    <w:p>
      <w:pPr>
        <w:spacing w:line="360" w:lineRule="auto"/>
        <w:ind w:firstLine="560"/>
        <w:rPr>
          <w:rFonts w:ascii="仿宋_GB2312"/>
          <w:color w:val="000000"/>
          <w:highlight w:val="none"/>
        </w:rPr>
      </w:pPr>
      <w:r>
        <w:rPr>
          <w:rFonts w:hint="eastAsia" w:ascii="仿宋_GB2312"/>
          <w:color w:val="000000"/>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18"/>
          <w:rFonts w:ascii="仿宋_GB2312"/>
          <w:color w:val="000000"/>
          <w:highlight w:val="none"/>
        </w:rPr>
        <w:footnoteReference w:id="0"/>
      </w:r>
      <w:r>
        <w:rPr>
          <w:rFonts w:hint="eastAsia" w:ascii="仿宋_GB2312"/>
          <w:color w:val="000000"/>
          <w:highlight w:val="none"/>
        </w:rPr>
        <w:t>、材料审核分析、现场核查评价、综合分析评价及报告撰写，评价项目实施情况，展现资金使用效益。</w:t>
      </w:r>
    </w:p>
    <w:p>
      <w:pPr>
        <w:pStyle w:val="2"/>
        <w:ind w:firstLine="0" w:firstLineChars="0"/>
        <w:jc w:val="left"/>
        <w:rPr>
          <w:rFonts w:ascii="仿宋" w:hAnsi="仿宋" w:eastAsia="仿宋"/>
          <w:color w:val="000000"/>
          <w:sz w:val="36"/>
          <w:szCs w:val="36"/>
          <w:highlight w:val="none"/>
          <w:lang w:bidi="en-US"/>
        </w:rPr>
      </w:pPr>
      <w:bookmarkStart w:id="27" w:name="_Toc165277237"/>
      <w:bookmarkStart w:id="28" w:name="_Toc67911608"/>
      <w:r>
        <w:rPr>
          <w:rFonts w:hint="eastAsia" w:ascii="仿宋" w:hAnsi="仿宋" w:eastAsia="仿宋"/>
          <w:color w:val="000000"/>
          <w:sz w:val="36"/>
          <w:szCs w:val="36"/>
          <w:highlight w:val="none"/>
          <w:lang w:bidi="en-US"/>
        </w:rPr>
        <w:t>三、综合评价情况及评价结论</w:t>
      </w:r>
      <w:bookmarkEnd w:id="27"/>
      <w:bookmarkEnd w:id="28"/>
    </w:p>
    <w:p>
      <w:pPr>
        <w:pStyle w:val="3"/>
        <w:ind w:firstLine="643"/>
        <w:rPr>
          <w:rFonts w:ascii="仿宋" w:hAnsi="仿宋" w:eastAsia="仿宋"/>
          <w:color w:val="000000"/>
          <w:highlight w:val="none"/>
          <w:lang w:bidi="en-US"/>
        </w:rPr>
      </w:pPr>
      <w:bookmarkStart w:id="29" w:name="_Toc67911609"/>
      <w:bookmarkStart w:id="30" w:name="_Toc165277238"/>
      <w:r>
        <w:rPr>
          <w:rFonts w:hint="eastAsia" w:ascii="仿宋" w:hAnsi="仿宋" w:eastAsia="仿宋"/>
          <w:color w:val="000000"/>
          <w:highlight w:val="none"/>
          <w:lang w:bidi="en-US"/>
        </w:rPr>
        <w:t>（一）评价结论</w:t>
      </w:r>
      <w:bookmarkEnd w:id="29"/>
      <w:bookmarkEnd w:id="30"/>
    </w:p>
    <w:p>
      <w:pPr>
        <w:spacing w:line="360" w:lineRule="auto"/>
        <w:ind w:firstLine="560"/>
        <w:rPr>
          <w:rFonts w:ascii="仿宋_GB2312"/>
          <w:color w:val="000000"/>
          <w:szCs w:val="28"/>
          <w:highlight w:val="none"/>
        </w:rPr>
      </w:pPr>
      <w:r>
        <w:rPr>
          <w:rFonts w:hint="eastAsia" w:ascii="仿宋_GB2312"/>
          <w:color w:val="000000"/>
          <w:szCs w:val="28"/>
          <w:highlight w:val="none"/>
        </w:rPr>
        <w:t>结合项目特点，制定符合项目实际的绩效评价指标体系及评分标准，通过数据采集、问卷调查及访谈等形式，对2024年</w:t>
      </w:r>
      <w:r>
        <w:rPr>
          <w:rFonts w:hint="eastAsia" w:ascii="仿宋_GB2312"/>
          <w:color w:val="000000"/>
          <w:highlight w:val="none"/>
        </w:rPr>
        <w:t>乌鲁木齐市中医药传承创新发展示范试点项目市级财政经费项目</w:t>
      </w:r>
      <w:r>
        <w:rPr>
          <w:rFonts w:hint="eastAsia" w:ascii="仿宋_GB2312"/>
          <w:color w:val="000000"/>
          <w:szCs w:val="28"/>
          <w:highlight w:val="none"/>
        </w:rPr>
        <w:t>进行客观评价，最终评分结果为：</w:t>
      </w:r>
      <w:r>
        <w:rPr>
          <w:rFonts w:hint="eastAsia" w:ascii="仿宋_GB2312"/>
          <w:color w:val="000000"/>
          <w:szCs w:val="28"/>
          <w:highlight w:val="none"/>
        </w:rPr>
        <w:t>总分为</w:t>
      </w:r>
      <w:r>
        <w:rPr>
          <w:rFonts w:ascii="仿宋_GB2312"/>
          <w:color w:val="000000"/>
          <w:szCs w:val="28"/>
          <w:highlight w:val="none"/>
        </w:rPr>
        <w:t>97.34</w:t>
      </w:r>
      <w:r>
        <w:rPr>
          <w:rFonts w:hint="eastAsia" w:ascii="仿宋_GB2312"/>
          <w:color w:val="000000"/>
          <w:szCs w:val="28"/>
          <w:highlight w:val="none"/>
        </w:rPr>
        <w:t>分，</w:t>
      </w:r>
      <w:r>
        <w:rPr>
          <w:rFonts w:hint="eastAsia" w:ascii="仿宋_GB2312"/>
          <w:color w:val="000000"/>
          <w:szCs w:val="28"/>
          <w:highlight w:val="none"/>
        </w:rPr>
        <w:t>绩效评级为“优”</w:t>
      </w:r>
      <w:r>
        <w:rPr>
          <w:rStyle w:val="18"/>
          <w:rFonts w:ascii="仿宋_GB2312"/>
          <w:color w:val="000000"/>
          <w:szCs w:val="28"/>
          <w:highlight w:val="none"/>
        </w:rPr>
        <w:footnoteReference w:id="1"/>
      </w:r>
      <w:r>
        <w:rPr>
          <w:rFonts w:hint="eastAsia" w:ascii="仿宋_GB2312"/>
          <w:color w:val="000000"/>
          <w:szCs w:val="28"/>
          <w:highlight w:val="none"/>
        </w:rPr>
        <w:t>。</w:t>
      </w:r>
    </w:p>
    <w:p>
      <w:pPr>
        <w:spacing w:line="360" w:lineRule="auto"/>
        <w:ind w:firstLine="560"/>
        <w:rPr>
          <w:rFonts w:ascii="仿宋_GB2312"/>
          <w:color w:val="000000"/>
          <w:szCs w:val="28"/>
          <w:highlight w:val="none"/>
        </w:rPr>
      </w:pPr>
      <w:r>
        <w:rPr>
          <w:rFonts w:hint="eastAsia" w:ascii="仿宋_GB2312"/>
          <w:color w:val="000000"/>
          <w:szCs w:val="28"/>
          <w:highlight w:val="none"/>
        </w:rPr>
        <w:t>项目各部分权重和绩效分值如附表所示：</w:t>
      </w:r>
    </w:p>
    <w:p>
      <w:pPr>
        <w:spacing w:line="360" w:lineRule="auto"/>
        <w:ind w:firstLine="0" w:firstLineChars="0"/>
        <w:jc w:val="center"/>
        <w:rPr>
          <w:rFonts w:ascii="仿宋_GB2312"/>
          <w:b/>
          <w:bCs/>
          <w:color w:val="000000"/>
          <w:szCs w:val="28"/>
          <w:highlight w:val="none"/>
        </w:rPr>
      </w:pPr>
      <w:r>
        <w:rPr>
          <w:rFonts w:hint="eastAsia" w:ascii="仿宋_GB2312"/>
          <w:b/>
          <w:bCs/>
          <w:color w:val="000000"/>
          <w:szCs w:val="28"/>
          <w:highlight w:val="none"/>
        </w:rPr>
        <w:t>项目各部分权重和绩效分值</w:t>
      </w:r>
    </w:p>
    <w:tbl>
      <w:tblPr>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984"/>
        <w:gridCol w:w="2693"/>
        <w:gridCol w:w="898"/>
        <w:gridCol w:w="898"/>
        <w:gridCol w:w="1039"/>
      </w:tblGrid>
      <w:tr>
        <w:trPr>
          <w:trHeight w:val="442" w:hRule="atLeast"/>
          <w:tblHeader/>
          <w:jc w:val="center"/>
        </w:trPr>
        <w:tc>
          <w:tcPr>
            <w:tcW w:w="1550" w:type="dxa"/>
            <w:tcBorders>
              <w:tl2br w:val="nil"/>
              <w:tr2bl w:val="nil"/>
            </w:tcBorders>
            <w:shd w:val="clear" w:color="auto" w:fill="D0CECE"/>
            <w:vAlign w:val="center"/>
          </w:tcPr>
          <w:p>
            <w:pPr>
              <w:widowControl/>
              <w:ind w:firstLine="0" w:firstLineChars="0"/>
              <w:jc w:val="center"/>
              <w:rPr>
                <w:rFonts w:ascii="仿宋_GB2312" w:hAnsi="宋体" w:cs="宋体"/>
                <w:b/>
                <w:bCs/>
                <w:color w:val="000000"/>
                <w:kern w:val="0"/>
                <w:sz w:val="24"/>
                <w:szCs w:val="24"/>
                <w:highlight w:val="none"/>
              </w:rPr>
            </w:pPr>
            <w:r>
              <w:rPr>
                <w:rFonts w:hint="eastAsia" w:ascii="仿宋_GB2312" w:hAnsi="宋体" w:cs="宋体"/>
                <w:b/>
                <w:bCs/>
                <w:color w:val="000000"/>
                <w:kern w:val="0"/>
                <w:sz w:val="24"/>
                <w:szCs w:val="24"/>
                <w:highlight w:val="none"/>
              </w:rPr>
              <w:t>一级指标</w:t>
            </w:r>
          </w:p>
        </w:tc>
        <w:tc>
          <w:tcPr>
            <w:tcW w:w="1984" w:type="dxa"/>
            <w:tcBorders>
              <w:tl2br w:val="nil"/>
              <w:tr2bl w:val="nil"/>
            </w:tcBorders>
            <w:shd w:val="clear" w:color="auto" w:fill="D0CECE"/>
            <w:vAlign w:val="center"/>
          </w:tcPr>
          <w:p>
            <w:pPr>
              <w:widowControl/>
              <w:ind w:firstLine="0" w:firstLineChars="0"/>
              <w:jc w:val="center"/>
              <w:rPr>
                <w:rFonts w:ascii="仿宋_GB2312" w:hAnsi="宋体" w:cs="宋体"/>
                <w:b/>
                <w:bCs/>
                <w:color w:val="000000"/>
                <w:kern w:val="0"/>
                <w:sz w:val="24"/>
                <w:szCs w:val="24"/>
                <w:highlight w:val="none"/>
              </w:rPr>
            </w:pPr>
            <w:r>
              <w:rPr>
                <w:rFonts w:hint="eastAsia" w:ascii="仿宋_GB2312" w:hAnsi="宋体" w:cs="宋体"/>
                <w:b/>
                <w:bCs/>
                <w:color w:val="000000"/>
                <w:kern w:val="0"/>
                <w:sz w:val="24"/>
                <w:szCs w:val="24"/>
                <w:highlight w:val="none"/>
              </w:rPr>
              <w:t>二级指标</w:t>
            </w:r>
          </w:p>
        </w:tc>
        <w:tc>
          <w:tcPr>
            <w:tcW w:w="2693" w:type="dxa"/>
            <w:tcBorders>
              <w:tl2br w:val="nil"/>
              <w:tr2bl w:val="nil"/>
            </w:tcBorders>
            <w:shd w:val="clear" w:color="auto" w:fill="D0CECE"/>
            <w:vAlign w:val="center"/>
          </w:tcPr>
          <w:p>
            <w:pPr>
              <w:widowControl/>
              <w:ind w:firstLine="0" w:firstLineChars="0"/>
              <w:jc w:val="center"/>
              <w:rPr>
                <w:rFonts w:ascii="仿宋_GB2312" w:hAnsi="宋体" w:cs="宋体"/>
                <w:b/>
                <w:bCs/>
                <w:color w:val="000000"/>
                <w:kern w:val="0"/>
                <w:sz w:val="24"/>
                <w:szCs w:val="24"/>
                <w:highlight w:val="none"/>
              </w:rPr>
            </w:pPr>
            <w:r>
              <w:rPr>
                <w:rFonts w:hint="eastAsia" w:ascii="仿宋_GB2312" w:hAnsi="宋体" w:cs="宋体"/>
                <w:b/>
                <w:bCs/>
                <w:color w:val="000000"/>
                <w:kern w:val="0"/>
                <w:sz w:val="24"/>
                <w:szCs w:val="24"/>
                <w:highlight w:val="none"/>
              </w:rPr>
              <w:t>三级指标</w:t>
            </w:r>
          </w:p>
        </w:tc>
        <w:tc>
          <w:tcPr>
            <w:tcW w:w="898" w:type="dxa"/>
            <w:tcBorders>
              <w:tl2br w:val="nil"/>
              <w:tr2bl w:val="nil"/>
            </w:tcBorders>
            <w:shd w:val="clear" w:color="auto" w:fill="D0CECE"/>
            <w:vAlign w:val="center"/>
          </w:tcPr>
          <w:p>
            <w:pPr>
              <w:widowControl/>
              <w:ind w:firstLine="0" w:firstLineChars="0"/>
              <w:jc w:val="center"/>
              <w:rPr>
                <w:rFonts w:ascii="仿宋_GB2312" w:hAnsi="宋体" w:cs="宋体"/>
                <w:b/>
                <w:bCs/>
                <w:color w:val="000000"/>
                <w:kern w:val="0"/>
                <w:sz w:val="24"/>
                <w:szCs w:val="24"/>
                <w:highlight w:val="none"/>
              </w:rPr>
            </w:pPr>
            <w:r>
              <w:rPr>
                <w:rFonts w:hint="eastAsia" w:ascii="仿宋_GB2312" w:hAnsi="宋体" w:cs="宋体"/>
                <w:b/>
                <w:bCs/>
                <w:color w:val="000000"/>
                <w:kern w:val="0"/>
                <w:sz w:val="24"/>
                <w:szCs w:val="24"/>
                <w:highlight w:val="none"/>
              </w:rPr>
              <w:t>分值</w:t>
            </w:r>
          </w:p>
        </w:tc>
        <w:tc>
          <w:tcPr>
            <w:tcW w:w="898" w:type="dxa"/>
            <w:tcBorders>
              <w:tl2br w:val="nil"/>
              <w:tr2bl w:val="nil"/>
            </w:tcBorders>
            <w:shd w:val="clear" w:color="auto" w:fill="D0CECE"/>
            <w:vAlign w:val="center"/>
          </w:tcPr>
          <w:p>
            <w:pPr>
              <w:widowControl/>
              <w:ind w:firstLine="0" w:firstLineChars="0"/>
              <w:jc w:val="center"/>
              <w:rPr>
                <w:rFonts w:ascii="仿宋_GB2312" w:hAnsi="宋体" w:cs="宋体"/>
                <w:b/>
                <w:bCs/>
                <w:color w:val="000000"/>
                <w:kern w:val="0"/>
                <w:sz w:val="24"/>
                <w:szCs w:val="24"/>
                <w:highlight w:val="none"/>
              </w:rPr>
            </w:pPr>
            <w:r>
              <w:rPr>
                <w:rFonts w:hint="eastAsia" w:ascii="仿宋_GB2312" w:hAnsi="宋体" w:cs="宋体"/>
                <w:b/>
                <w:bCs/>
                <w:color w:val="000000"/>
                <w:kern w:val="0"/>
                <w:sz w:val="24"/>
                <w:szCs w:val="24"/>
                <w:highlight w:val="none"/>
              </w:rPr>
              <w:t>得分</w:t>
            </w:r>
          </w:p>
        </w:tc>
        <w:tc>
          <w:tcPr>
            <w:tcW w:w="1039" w:type="dxa"/>
            <w:tcBorders>
              <w:tl2br w:val="nil"/>
              <w:tr2bl w:val="nil"/>
            </w:tcBorders>
            <w:shd w:val="clear" w:color="auto" w:fill="D0CECE"/>
            <w:vAlign w:val="center"/>
          </w:tcPr>
          <w:p>
            <w:pPr>
              <w:widowControl/>
              <w:ind w:firstLine="0" w:firstLineChars="0"/>
              <w:jc w:val="center"/>
              <w:rPr>
                <w:rFonts w:ascii="仿宋_GB2312" w:hAnsi="Gungsuh" w:cs="宋体"/>
                <w:b/>
                <w:bCs/>
                <w:color w:val="000000"/>
                <w:kern w:val="0"/>
                <w:sz w:val="24"/>
                <w:szCs w:val="24"/>
                <w:highlight w:val="none"/>
              </w:rPr>
            </w:pPr>
            <w:r>
              <w:rPr>
                <w:rFonts w:hint="eastAsia" w:ascii="仿宋_GB2312" w:hAnsi="Gungsuh" w:cs="宋体"/>
                <w:b/>
                <w:bCs/>
                <w:color w:val="000000"/>
                <w:kern w:val="0"/>
                <w:sz w:val="24"/>
                <w:szCs w:val="24"/>
                <w:highlight w:val="none"/>
              </w:rPr>
              <w:t>得分率</w:t>
            </w:r>
          </w:p>
        </w:tc>
      </w:tr>
      <w:tr>
        <w:trPr>
          <w:trHeight w:val="44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决策</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color w:val="000000"/>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color w:val="000000"/>
                <w:kern w:val="0"/>
                <w:sz w:val="24"/>
                <w:szCs w:val="24"/>
                <w:highlight w:val="none"/>
              </w:rPr>
            </w:pP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restart"/>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过程</w:t>
            </w: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ascii="仿宋_GB2312" w:hAnsi="宋体" w:cs="宋体"/>
                <w:color w:val="000000"/>
                <w:kern w:val="0"/>
                <w:sz w:val="24"/>
                <w:szCs w:val="24"/>
                <w:highlight w:val="none"/>
              </w:rPr>
              <w:t>2.34</w:t>
            </w:r>
          </w:p>
        </w:tc>
        <w:tc>
          <w:tcPr>
            <w:tcW w:w="1039" w:type="dxa"/>
            <w:tcBorders>
              <w:tl2br w:val="nil"/>
              <w:tr2bl w:val="nil"/>
            </w:tcBorders>
            <w:shd w:val="clear" w:color="000000" w:fill="FFFFFF"/>
            <w:vAlign w:val="center"/>
          </w:tcPr>
          <w:p>
            <w:pPr>
              <w:widowControl/>
              <w:ind w:firstLine="0" w:firstLineChars="0"/>
              <w:rPr>
                <w:rFonts w:ascii="仿宋_GB2312" w:hAnsi="宋体" w:cs="宋体"/>
                <w:color w:val="000000"/>
                <w:kern w:val="0"/>
                <w:sz w:val="24"/>
                <w:szCs w:val="24"/>
                <w:highlight w:val="none"/>
              </w:rPr>
            </w:pPr>
            <w:r>
              <w:rPr>
                <w:rFonts w:ascii="仿宋_GB2312" w:hAnsi="宋体" w:cs="宋体"/>
                <w:color w:val="000000"/>
                <w:kern w:val="0"/>
                <w:sz w:val="24"/>
                <w:szCs w:val="24"/>
                <w:highlight w:val="none"/>
              </w:rPr>
              <w:t>46.81%</w:t>
            </w:r>
          </w:p>
        </w:tc>
      </w:tr>
      <w:tr>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color w:val="000000"/>
                <w:kern w:val="0"/>
                <w:sz w:val="24"/>
                <w:szCs w:val="24"/>
                <w:highlight w:val="none"/>
              </w:rPr>
            </w:pPr>
          </w:p>
        </w:tc>
        <w:tc>
          <w:tcPr>
            <w:tcW w:w="1984" w:type="dxa"/>
            <w:vMerge w:val="continue"/>
            <w:tcBorders>
              <w:tl2br w:val="nil"/>
              <w:tr2bl w:val="nil"/>
            </w:tcBorders>
            <w:shd w:val="clear" w:color="auto" w:fill="FFFFFF"/>
            <w:vAlign w:val="center"/>
          </w:tcPr>
          <w:p>
            <w:pPr>
              <w:ind w:firstLine="480"/>
              <w:jc w:val="center"/>
              <w:rPr>
                <w:rFonts w:ascii="仿宋_GB2312" w:hAnsi="宋体" w:cs="宋体"/>
                <w:color w:val="000000"/>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4</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50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产出</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产出数量</w:t>
            </w:r>
          </w:p>
        </w:tc>
        <w:tc>
          <w:tcPr>
            <w:tcW w:w="2693" w:type="dxa"/>
            <w:tcBorders>
              <w:tl2br w:val="nil"/>
              <w:tr2bl w:val="nil"/>
            </w:tcBorders>
            <w:shd w:val="clear" w:color="auto" w:fill="FFFFFF"/>
            <w:vAlign w:val="top"/>
          </w:tcPr>
          <w:p>
            <w:pPr>
              <w:widowControl/>
              <w:ind w:firstLine="0" w:firstLineChars="0"/>
              <w:jc w:val="center"/>
              <w:rPr>
                <w:rFonts w:ascii="仿宋_GB2312" w:hAnsi="宋体" w:eastAsia="宋体" w:cs="宋体"/>
                <w:color w:val="000000"/>
                <w:kern w:val="0"/>
                <w:sz w:val="24"/>
                <w:szCs w:val="24"/>
                <w:highlight w:val="none"/>
              </w:rPr>
            </w:pPr>
            <w:r>
              <w:rPr>
                <w:rFonts w:hint="eastAsia" w:ascii="宋体" w:hAnsi="宋体" w:eastAsia="宋体" w:cs="宋体"/>
                <w:color w:val="000000"/>
                <w:kern w:val="0"/>
                <w:sz w:val="22"/>
                <w:highlight w:val="none"/>
              </w:rPr>
              <w:t>医疗设备购置数</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1039" w:type="dxa"/>
            <w:vMerge w:val="restart"/>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607"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2693" w:type="dxa"/>
            <w:tcBorders>
              <w:tl2br w:val="nil"/>
              <w:tr2bl w:val="nil"/>
            </w:tcBorders>
            <w:shd w:val="clear" w:color="auto" w:fill="FFFFFF"/>
            <w:vAlign w:val="top"/>
          </w:tcPr>
          <w:p>
            <w:pPr>
              <w:widowControl/>
              <w:ind w:firstLine="0" w:firstLineChars="0"/>
              <w:jc w:val="center"/>
              <w:rPr>
                <w:rFonts w:ascii="仿宋_GB2312" w:hAnsi="宋体" w:eastAsia="宋体" w:cs="宋体"/>
                <w:color w:val="000000"/>
                <w:kern w:val="0"/>
                <w:sz w:val="24"/>
                <w:szCs w:val="24"/>
                <w:highlight w:val="none"/>
              </w:rPr>
            </w:pPr>
            <w:r>
              <w:rPr>
                <w:rFonts w:hint="eastAsia" w:ascii="宋体" w:hAnsi="宋体" w:eastAsia="宋体" w:cs="宋体"/>
                <w:color w:val="000000"/>
                <w:kern w:val="0"/>
                <w:sz w:val="22"/>
                <w:highlight w:val="none"/>
              </w:rPr>
              <w:t>人次培养</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1039" w:type="dxa"/>
            <w:vMerge w:val="continue"/>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p>
        </w:tc>
      </w:tr>
      <w:tr>
        <w:trPr>
          <w:trHeight w:val="90"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宋体" w:hAnsi="宋体" w:eastAsia="宋体" w:cs="宋体"/>
                <w:color w:val="000000"/>
                <w:kern w:val="0"/>
                <w:sz w:val="22"/>
                <w:highlight w:val="none"/>
              </w:rPr>
              <w:t>医疗设备验收合格率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1039" w:type="dxa"/>
            <w:vMerge w:val="restart"/>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661"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color w:val="000000"/>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color w:val="000000"/>
                <w:highlight w:val="none"/>
              </w:rPr>
            </w:pP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人才培训达标率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1039" w:type="dxa"/>
            <w:vMerge w:val="continue"/>
            <w:tcBorders>
              <w:tl2br w:val="nil"/>
              <w:tr2bl w:val="nil"/>
            </w:tcBorders>
            <w:shd w:val="clear" w:color="000000" w:fill="FFFFFF"/>
            <w:vAlign w:val="center"/>
          </w:tcPr>
          <w:p>
            <w:pPr>
              <w:widowControl/>
              <w:ind w:firstLine="0" w:firstLineChars="0"/>
              <w:jc w:val="center"/>
              <w:rPr>
                <w:rFonts w:ascii="宋体" w:hAnsi="宋体" w:eastAsia="宋体" w:cs="宋体"/>
                <w:color w:val="000000"/>
                <w:kern w:val="0"/>
                <w:sz w:val="22"/>
                <w:highlight w:val="none"/>
              </w:rPr>
            </w:pPr>
          </w:p>
        </w:tc>
      </w:tr>
      <w:tr>
        <w:trPr>
          <w:trHeight w:val="571"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1984"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color w:val="000000"/>
                <w:kern w:val="0"/>
                <w:sz w:val="24"/>
                <w:szCs w:val="24"/>
                <w:highlight w:val="none"/>
                <w:lang w:val="en-US" w:eastAsia="zh-CN" w:bidi="ar-SA"/>
              </w:rPr>
            </w:pPr>
            <w:r>
              <w:rPr>
                <w:rFonts w:hint="eastAsia" w:ascii="仿宋_GB2312" w:hAnsi="宋体" w:cs="宋体"/>
                <w:color w:val="000000"/>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highlight w:val="none"/>
              </w:rPr>
              <w:t>项目完成及时率</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100%</w:t>
            </w:r>
          </w:p>
        </w:tc>
      </w:tr>
      <w:tr>
        <w:trPr>
          <w:trHeight w:val="571"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宋体" w:hAnsi="宋体" w:eastAsia="宋体" w:cs="宋体"/>
                <w:color w:val="000000"/>
                <w:kern w:val="0"/>
                <w:sz w:val="22"/>
                <w:highlight w:val="none"/>
              </w:rPr>
              <w:t>专用设备购置成本</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000000"/>
                <w:kern w:val="0"/>
                <w:sz w:val="24"/>
                <w:szCs w:val="24"/>
                <w:highlight w:val="none"/>
                <w:lang w:eastAsia="zh-CN"/>
              </w:rPr>
            </w:pPr>
            <w:r>
              <w:rPr>
                <w:rFonts w:hint="eastAsia" w:ascii="仿宋_GB2312" w:hAnsi="宋体" w:cs="宋体"/>
                <w:color w:val="000000"/>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000000"/>
                <w:kern w:val="0"/>
                <w:sz w:val="24"/>
                <w:szCs w:val="24"/>
                <w:highlight w:val="none"/>
                <w:lang w:eastAsia="zh-CN"/>
              </w:rPr>
            </w:pPr>
            <w:r>
              <w:rPr>
                <w:rFonts w:hint="eastAsia" w:ascii="仿宋_GB2312" w:hAnsi="宋体" w:cs="宋体"/>
                <w:color w:val="000000"/>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776"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color w:val="000000"/>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color w:val="000000"/>
                <w:highlight w:val="none"/>
              </w:rPr>
            </w:pP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培训费及其他费用</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000000"/>
                <w:kern w:val="0"/>
                <w:sz w:val="24"/>
                <w:szCs w:val="24"/>
                <w:highlight w:val="none"/>
                <w:lang w:eastAsia="zh-CN"/>
              </w:rPr>
            </w:pPr>
            <w:r>
              <w:rPr>
                <w:rFonts w:hint="eastAsia" w:ascii="仿宋_GB2312" w:hAnsi="宋体" w:cs="宋体"/>
                <w:color w:val="000000"/>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000000"/>
                <w:kern w:val="0"/>
                <w:sz w:val="24"/>
                <w:szCs w:val="24"/>
                <w:highlight w:val="none"/>
                <w:lang w:eastAsia="zh-CN"/>
              </w:rPr>
            </w:pPr>
            <w:r>
              <w:rPr>
                <w:rFonts w:hint="eastAsia" w:ascii="仿宋_GB2312" w:hAnsi="宋体" w:cs="宋体"/>
                <w:color w:val="000000"/>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效益</w:t>
            </w: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宋体" w:hAnsi="宋体" w:eastAsia="宋体" w:cs="宋体"/>
                <w:color w:val="000000"/>
                <w:kern w:val="0"/>
                <w:sz w:val="22"/>
                <w:highlight w:val="none"/>
              </w:rPr>
              <w:t>提高中医药医疗及服务能力</w:t>
            </w:r>
          </w:p>
        </w:tc>
        <w:tc>
          <w:tcPr>
            <w:tcW w:w="898" w:type="dxa"/>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10</w:t>
            </w:r>
          </w:p>
        </w:tc>
        <w:tc>
          <w:tcPr>
            <w:tcW w:w="898" w:type="dxa"/>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1059" w:hRule="atLeast"/>
          <w:jc w:val="center"/>
        </w:trPr>
        <w:tc>
          <w:tcPr>
            <w:tcW w:w="1550"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color w:val="000000"/>
                <w:kern w:val="0"/>
                <w:sz w:val="24"/>
                <w:szCs w:val="24"/>
                <w:highlight w:val="none"/>
                <w:lang w:eastAsia="zh-CN"/>
              </w:rPr>
            </w:pPr>
            <w:bookmarkStart w:id="31" w:name="_Toc67911610"/>
            <w:bookmarkStart w:id="32" w:name="_Toc165277239"/>
            <w:r>
              <w:rPr>
                <w:rFonts w:hint="eastAsia" w:ascii="仿宋_GB2312" w:hAnsi="宋体" w:cs="宋体"/>
                <w:color w:val="000000"/>
                <w:kern w:val="0"/>
                <w:sz w:val="24"/>
                <w:szCs w:val="24"/>
                <w:highlight w:val="none"/>
              </w:rPr>
              <w:t>满意度完成情况分析</w:t>
            </w:r>
          </w:p>
        </w:tc>
        <w:tc>
          <w:tcPr>
            <w:tcW w:w="1984"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color w:val="000000"/>
                <w:kern w:val="0"/>
                <w:sz w:val="24"/>
                <w:szCs w:val="24"/>
                <w:highlight w:val="none"/>
                <w:lang w:val="en-US" w:eastAsia="zh-CN" w:bidi="ar-SA"/>
              </w:rPr>
            </w:pPr>
            <w:r>
              <w:rPr>
                <w:rFonts w:hint="eastAsia" w:ascii="仿宋_GB2312" w:hAnsi="宋体" w:cs="宋体"/>
                <w:color w:val="000000"/>
                <w:kern w:val="0"/>
                <w:sz w:val="24"/>
                <w:szCs w:val="24"/>
                <w:highlight w:val="none"/>
              </w:rPr>
              <w:t>满意度指标</w:t>
            </w:r>
          </w:p>
        </w:tc>
        <w:tc>
          <w:tcPr>
            <w:tcW w:w="2693"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highlight w:val="none"/>
                <w:lang w:eastAsia="zh-CN"/>
              </w:rPr>
              <w:t>患者</w:t>
            </w:r>
            <w:r>
              <w:rPr>
                <w:rFonts w:hint="eastAsia" w:ascii="宋体" w:hAnsi="宋体" w:eastAsia="宋体" w:cs="宋体"/>
                <w:color w:val="000000"/>
                <w:kern w:val="0"/>
                <w:sz w:val="22"/>
                <w:highlight w:val="none"/>
              </w:rPr>
              <w:t>满意度</w:t>
            </w:r>
          </w:p>
        </w:tc>
        <w:tc>
          <w:tcPr>
            <w:tcW w:w="898" w:type="dxa"/>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10</w:t>
            </w:r>
          </w:p>
        </w:tc>
        <w:tc>
          <w:tcPr>
            <w:tcW w:w="898" w:type="dxa"/>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100%</w:t>
            </w:r>
          </w:p>
        </w:tc>
      </w:tr>
    </w:tbl>
    <w:p>
      <w:pPr>
        <w:pStyle w:val="3"/>
        <w:ind w:firstLine="643"/>
        <w:rPr>
          <w:rFonts w:ascii="仿宋" w:hAnsi="仿宋" w:eastAsia="仿宋"/>
          <w:color w:val="000000"/>
          <w:highlight w:val="none"/>
          <w:lang w:bidi="en-US"/>
        </w:rPr>
      </w:pPr>
      <w:r>
        <w:rPr>
          <w:rFonts w:hint="eastAsia" w:ascii="仿宋" w:hAnsi="仿宋" w:eastAsia="仿宋"/>
          <w:color w:val="000000"/>
          <w:highlight w:val="none"/>
          <w:lang w:bidi="en-US"/>
        </w:rPr>
        <w:t>（二）主要绩效</w:t>
      </w:r>
      <w:bookmarkEnd w:id="31"/>
      <w:bookmarkEnd w:id="32"/>
    </w:p>
    <w:p>
      <w:pPr>
        <w:spacing w:line="360" w:lineRule="auto"/>
        <w:ind w:firstLine="548" w:firstLineChars="196"/>
        <w:rPr>
          <w:rFonts w:hint="eastAsia" w:ascii="仿宋_GB2312" w:eastAsia="仿宋_GB2312"/>
          <w:bCs/>
          <w:color w:val="000000"/>
          <w:szCs w:val="28"/>
          <w:highlight w:val="none"/>
          <w:lang w:eastAsia="zh-CN"/>
        </w:rPr>
      </w:pPr>
      <w:r>
        <w:rPr>
          <w:rFonts w:hint="eastAsia" w:ascii="仿宋_GB2312"/>
          <w:bCs/>
          <w:color w:val="000000"/>
          <w:szCs w:val="28"/>
          <w:highlight w:val="none"/>
        </w:rPr>
        <w:t>该项目资金区财政及时拨付，单位在此次评价期间内，有序完成设定目标的部分工作任务，</w:t>
      </w:r>
      <w:r>
        <w:rPr>
          <w:rFonts w:hint="eastAsia" w:ascii="仿宋_GB2312"/>
          <w:bCs/>
          <w:color w:val="000000"/>
          <w:szCs w:val="28"/>
          <w:highlight w:val="none"/>
          <w:lang w:val="en-US" w:eastAsia="zh-CN"/>
        </w:rPr>
        <w:t>2024年我院</w:t>
      </w:r>
      <w:r>
        <w:rPr>
          <w:rFonts w:hint="eastAsia" w:ascii="仿宋_GB2312"/>
          <w:bCs/>
          <w:color w:val="000000"/>
          <w:szCs w:val="28"/>
          <w:highlight w:val="none"/>
        </w:rPr>
        <w:t>逐步创建西域内科流派、熊氏肛肠外科流派的传承体系，并建立长安米氏内科流派工作室新疆分站，以加强中医药技术传承创新，提高中医诊疗水平，确保中医药技术持续传承</w:t>
      </w:r>
      <w:r>
        <w:rPr>
          <w:rFonts w:hint="eastAsia" w:ascii="仿宋_GB2312"/>
          <w:bCs/>
          <w:color w:val="000000"/>
          <w:szCs w:val="28"/>
          <w:highlight w:val="none"/>
          <w:lang w:eastAsia="zh-CN"/>
        </w:rPr>
        <w:t>，</w:t>
      </w:r>
      <w:r>
        <w:rPr>
          <w:rFonts w:hint="eastAsia" w:ascii="仿宋_GB2312"/>
          <w:bCs/>
          <w:color w:val="000000"/>
          <w:szCs w:val="28"/>
          <w:highlight w:val="none"/>
        </w:rPr>
        <w:t>在传承过程中，学术流派不断进行理论创新</w:t>
      </w:r>
      <w:r>
        <w:rPr>
          <w:rFonts w:hint="eastAsia" w:ascii="仿宋_GB2312"/>
          <w:bCs/>
          <w:color w:val="000000"/>
          <w:szCs w:val="28"/>
          <w:highlight w:val="none"/>
          <w:lang w:eastAsia="zh-CN"/>
        </w:rPr>
        <w:t>，</w:t>
      </w:r>
      <w:r>
        <w:rPr>
          <w:rFonts w:hint="eastAsia" w:ascii="仿宋_GB2312"/>
          <w:bCs/>
          <w:color w:val="000000"/>
          <w:szCs w:val="28"/>
          <w:highlight w:val="none"/>
        </w:rPr>
        <w:t>随着现代医学的发展以及对疾病认识的不断深入，流派中的继承者们结合现代科学技术和医学理论，对传统医学理论进行重新审视和解读，提出新的理论观点和治疗思路，从而使流派的学术体系不断得到完善和发展</w:t>
      </w:r>
      <w:r>
        <w:rPr>
          <w:rFonts w:hint="eastAsia" w:ascii="仿宋_GB2312"/>
          <w:bCs/>
          <w:color w:val="000000"/>
          <w:szCs w:val="28"/>
          <w:highlight w:val="none"/>
          <w:lang w:eastAsia="zh-CN"/>
        </w:rPr>
        <w:t>；</w:t>
      </w:r>
    </w:p>
    <w:p>
      <w:pPr>
        <w:spacing w:line="360" w:lineRule="auto"/>
        <w:ind w:left="0" w:leftChars="0" w:firstLine="0" w:firstLineChars="0"/>
        <w:rPr>
          <w:rFonts w:hint="eastAsia" w:ascii="仿宋_GB2312"/>
          <w:bCs/>
          <w:color w:val="000000"/>
          <w:szCs w:val="28"/>
          <w:highlight w:val="none"/>
        </w:rPr>
      </w:pPr>
      <w:r>
        <w:rPr>
          <w:rFonts w:hint="eastAsia" w:ascii="仿宋_GB2312"/>
          <w:bCs/>
          <w:color w:val="000000"/>
          <w:szCs w:val="28"/>
          <w:highlight w:val="none"/>
          <w:lang w:val="en-US" w:eastAsia="zh-CN"/>
        </w:rPr>
        <w:t>同时，</w:t>
      </w:r>
      <w:r>
        <w:rPr>
          <w:rFonts w:hint="eastAsia" w:ascii="仿宋_GB2312"/>
          <w:bCs/>
          <w:color w:val="000000"/>
          <w:szCs w:val="28"/>
          <w:highlight w:val="none"/>
        </w:rPr>
        <w:t>2024年获批5个市级名医工作室，工作室领衔人帕力旦·吾布尔、陈战斌、李涛、刘宏旭、肖艳、赵晓华、张黎。各工作室已与市卫健委签订工作室建设任务书，根据任务书完成分站建设、人才培养、论著出版等工作</w:t>
      </w:r>
      <w:r>
        <w:rPr>
          <w:rFonts w:hint="eastAsia" w:ascii="仿宋_GB2312"/>
          <w:bCs/>
          <w:color w:val="000000"/>
          <w:szCs w:val="28"/>
          <w:highlight w:val="none"/>
          <w:lang w:eastAsia="zh-CN"/>
        </w:rPr>
        <w:t>；</w:t>
      </w:r>
      <w:r>
        <w:rPr>
          <w:rFonts w:hint="eastAsia" w:ascii="仿宋_GB2312"/>
          <w:bCs/>
          <w:color w:val="000000"/>
          <w:szCs w:val="28"/>
          <w:highlight w:val="none"/>
          <w:lang w:val="en-US" w:eastAsia="zh-CN"/>
        </w:rPr>
        <w:t>完成</w:t>
      </w:r>
      <w:r>
        <w:rPr>
          <w:rFonts w:hint="eastAsia" w:ascii="仿宋_GB2312"/>
          <w:bCs/>
          <w:color w:val="000000"/>
          <w:szCs w:val="28"/>
          <w:highlight w:val="none"/>
        </w:rPr>
        <w:t>培养中医类别全科医师及中西医结合人才</w:t>
      </w:r>
      <w:r>
        <w:rPr>
          <w:rFonts w:hint="eastAsia" w:ascii="仿宋_GB2312"/>
          <w:bCs/>
          <w:color w:val="000000"/>
          <w:szCs w:val="28"/>
          <w:highlight w:val="none"/>
          <w:lang w:val="en-US" w:eastAsia="zh-CN"/>
        </w:rPr>
        <w:t>培养55人</w:t>
      </w:r>
      <w:r>
        <w:rPr>
          <w:rFonts w:hint="eastAsia" w:ascii="仿宋_GB2312"/>
          <w:bCs/>
          <w:color w:val="000000"/>
          <w:szCs w:val="28"/>
          <w:highlight w:val="none"/>
        </w:rPr>
        <w:t>，</w:t>
      </w:r>
      <w:r>
        <w:rPr>
          <w:rFonts w:hint="eastAsia" w:ascii="仿宋_GB2312"/>
          <w:bCs/>
          <w:color w:val="000000"/>
          <w:szCs w:val="28"/>
          <w:highlight w:val="none"/>
          <w:lang w:val="en-US" w:eastAsia="zh-CN"/>
        </w:rPr>
        <w:t>通过</w:t>
      </w:r>
      <w:r>
        <w:rPr>
          <w:rFonts w:hint="eastAsia" w:ascii="仿宋_GB2312"/>
          <w:bCs/>
          <w:color w:val="000000"/>
          <w:szCs w:val="28"/>
          <w:highlight w:val="none"/>
        </w:rPr>
        <w:t>借鉴西医的现代科学技术和研究方法，对中医的理论、方剂、治疗手段等进行深入研究和创新，为中医药的发展注入新的活力，推动中医药在现代医学领域中的应用和发展</w:t>
      </w:r>
      <w:r>
        <w:rPr>
          <w:rFonts w:hint="eastAsia" w:ascii="仿宋_GB2312"/>
          <w:bCs/>
          <w:color w:val="000000"/>
          <w:szCs w:val="28"/>
          <w:highlight w:val="none"/>
          <w:lang w:eastAsia="zh-CN"/>
        </w:rPr>
        <w:t>，</w:t>
      </w:r>
      <w:r>
        <w:rPr>
          <w:rFonts w:hint="eastAsia" w:ascii="仿宋_GB2312"/>
          <w:bCs/>
          <w:color w:val="000000"/>
          <w:szCs w:val="28"/>
          <w:highlight w:val="none"/>
        </w:rPr>
        <w:t>提升</w:t>
      </w:r>
      <w:r>
        <w:rPr>
          <w:rFonts w:hint="eastAsia" w:ascii="仿宋_GB2312"/>
          <w:bCs/>
          <w:color w:val="000000"/>
          <w:szCs w:val="28"/>
          <w:highlight w:val="none"/>
          <w:lang w:val="en-US" w:eastAsia="zh-CN"/>
        </w:rPr>
        <w:t>了我院</w:t>
      </w:r>
      <w:r>
        <w:rPr>
          <w:rFonts w:hint="eastAsia" w:ascii="仿宋_GB2312"/>
          <w:bCs/>
          <w:color w:val="000000"/>
          <w:szCs w:val="28"/>
          <w:highlight w:val="none"/>
        </w:rPr>
        <w:t>专科医疗服务能力及急危重症救治能力</w:t>
      </w:r>
      <w:r>
        <w:rPr>
          <w:rFonts w:hint="eastAsia" w:ascii="仿宋_GB2312"/>
          <w:bCs/>
          <w:color w:val="000000"/>
          <w:szCs w:val="28"/>
          <w:highlight w:val="none"/>
          <w:lang w:eastAsia="zh-CN"/>
        </w:rPr>
        <w:t>。</w:t>
      </w:r>
      <w:r>
        <w:rPr>
          <w:rFonts w:hint="eastAsia" w:ascii="仿宋_GB2312"/>
          <w:bCs/>
          <w:color w:val="000000"/>
          <w:szCs w:val="28"/>
          <w:highlight w:val="none"/>
          <w:lang w:val="en-US" w:eastAsia="zh-CN"/>
        </w:rPr>
        <w:t>使</w:t>
      </w:r>
      <w:r>
        <w:rPr>
          <w:rFonts w:hint="eastAsia" w:ascii="仿宋_GB2312"/>
          <w:bCs/>
          <w:color w:val="000000"/>
          <w:szCs w:val="28"/>
          <w:highlight w:val="none"/>
        </w:rPr>
        <w:t>我院</w:t>
      </w:r>
      <w:r>
        <w:rPr>
          <w:rFonts w:ascii="仿宋_GB2312"/>
          <w:bCs/>
          <w:color w:val="000000"/>
          <w:szCs w:val="28"/>
          <w:highlight w:val="none"/>
        </w:rPr>
        <w:t>在</w:t>
      </w:r>
      <w:r>
        <w:rPr>
          <w:rFonts w:hint="eastAsia" w:ascii="仿宋_GB2312"/>
          <w:bCs/>
          <w:color w:val="000000"/>
          <w:szCs w:val="28"/>
          <w:highlight w:val="none"/>
        </w:rPr>
        <w:t>中医药服务能力、人才培养、科研创新及文化传播等方面均实现较大突破，为推动区域中医药发展发挥了示范引领作用。</w:t>
      </w:r>
    </w:p>
    <w:p>
      <w:pPr>
        <w:pStyle w:val="2"/>
        <w:ind w:firstLine="0" w:firstLineChars="0"/>
        <w:jc w:val="left"/>
        <w:rPr>
          <w:rFonts w:ascii="仿宋" w:hAnsi="仿宋" w:eastAsia="仿宋"/>
          <w:color w:val="000000"/>
          <w:sz w:val="36"/>
          <w:szCs w:val="36"/>
          <w:highlight w:val="none"/>
          <w:lang w:bidi="en-US"/>
        </w:rPr>
      </w:pPr>
      <w:bookmarkStart w:id="33" w:name="_Toc165277240"/>
      <w:bookmarkStart w:id="34" w:name="_Toc67911611"/>
      <w:r>
        <w:rPr>
          <w:rFonts w:hint="eastAsia" w:ascii="仿宋" w:hAnsi="仿宋" w:eastAsia="仿宋"/>
          <w:color w:val="000000"/>
          <w:sz w:val="36"/>
          <w:szCs w:val="36"/>
          <w:highlight w:val="none"/>
          <w:lang w:bidi="en-US"/>
        </w:rPr>
        <w:t>四、绩效评价指标分析</w:t>
      </w:r>
      <w:bookmarkEnd w:id="33"/>
      <w:bookmarkEnd w:id="34"/>
    </w:p>
    <w:p>
      <w:pPr>
        <w:pStyle w:val="3"/>
        <w:ind w:firstLine="643"/>
        <w:rPr>
          <w:rFonts w:ascii="仿宋" w:hAnsi="仿宋" w:eastAsia="仿宋"/>
          <w:color w:val="000000"/>
          <w:highlight w:val="none"/>
          <w:lang w:bidi="en-US"/>
        </w:rPr>
      </w:pPr>
      <w:bookmarkStart w:id="35" w:name="_Toc67911612"/>
      <w:bookmarkStart w:id="36" w:name="_Toc165277241"/>
      <w:r>
        <w:rPr>
          <w:rFonts w:hint="eastAsia" w:ascii="仿宋" w:hAnsi="仿宋" w:eastAsia="仿宋"/>
          <w:color w:val="000000"/>
          <w:highlight w:val="none"/>
          <w:lang w:bidi="en-US"/>
        </w:rPr>
        <w:t>（一）项目决策情况</w:t>
      </w:r>
      <w:bookmarkEnd w:id="35"/>
      <w:bookmarkEnd w:id="36"/>
    </w:p>
    <w:p>
      <w:pPr>
        <w:spacing w:line="360" w:lineRule="auto"/>
        <w:ind w:firstLine="560"/>
        <w:rPr>
          <w:rFonts w:ascii="仿宋_GB2312"/>
          <w:color w:val="000000"/>
          <w:szCs w:val="28"/>
          <w:highlight w:val="none"/>
        </w:rPr>
      </w:pPr>
      <w:r>
        <w:rPr>
          <w:rFonts w:hint="eastAsia" w:ascii="仿宋_GB2312"/>
          <w:color w:val="000000"/>
          <w:szCs w:val="28"/>
          <w:highlight w:val="none"/>
        </w:rPr>
        <w:t>项目决</w:t>
      </w:r>
      <w:r>
        <w:rPr>
          <w:rFonts w:hint="eastAsia" w:ascii="仿宋_GB2312"/>
          <w:color w:val="000000"/>
          <w:szCs w:val="28"/>
          <w:highlight w:val="none"/>
          <w:lang w:eastAsia="zh-CN"/>
        </w:rPr>
        <w:t>策</w:t>
      </w:r>
      <w:r>
        <w:rPr>
          <w:rFonts w:hint="eastAsia" w:ascii="仿宋_GB2312"/>
          <w:color w:val="000000"/>
          <w:szCs w:val="28"/>
          <w:highlight w:val="none"/>
        </w:rPr>
        <w:t>指标由3个二级指标和6个三级指标构成，权重为</w:t>
      </w:r>
      <w:r>
        <w:rPr>
          <w:rFonts w:ascii="仿宋_GB2312"/>
          <w:color w:val="000000"/>
          <w:szCs w:val="28"/>
          <w:highlight w:val="none"/>
        </w:rPr>
        <w:t>20</w:t>
      </w:r>
      <w:r>
        <w:rPr>
          <w:rFonts w:hint="eastAsia" w:ascii="仿宋_GB2312"/>
          <w:color w:val="000000"/>
          <w:szCs w:val="28"/>
          <w:highlight w:val="none"/>
        </w:rPr>
        <w:t>分，实际得分20分。</w:t>
      </w:r>
    </w:p>
    <w:p>
      <w:pPr>
        <w:pStyle w:val="4"/>
        <w:ind w:firstLine="643"/>
        <w:rPr>
          <w:color w:val="000000"/>
          <w:highlight w:val="none"/>
        </w:rPr>
      </w:pPr>
      <w:bookmarkStart w:id="37" w:name="_Toc165277242"/>
      <w:r>
        <w:rPr>
          <w:color w:val="000000"/>
          <w:highlight w:val="none"/>
        </w:rPr>
        <w:t>1.</w:t>
      </w:r>
      <w:r>
        <w:rPr>
          <w:rFonts w:hint="eastAsia"/>
          <w:color w:val="000000"/>
          <w:highlight w:val="none"/>
        </w:rPr>
        <w:t>项目立项</w:t>
      </w:r>
      <w:bookmarkEnd w:id="37"/>
    </w:p>
    <w:p>
      <w:pPr>
        <w:spacing w:line="360" w:lineRule="auto"/>
        <w:ind w:firstLine="562"/>
        <w:rPr>
          <w:rFonts w:ascii="仿宋_GB2312"/>
          <w:color w:val="000000"/>
          <w:szCs w:val="28"/>
          <w:highlight w:val="none"/>
        </w:rPr>
      </w:pPr>
      <w:r>
        <w:rPr>
          <w:rFonts w:hint="eastAsia" w:ascii="仿宋_GB2312"/>
          <w:b/>
          <w:bCs/>
          <w:color w:val="000000"/>
          <w:szCs w:val="28"/>
          <w:highlight w:val="none"/>
        </w:rPr>
        <w:t>立项依据充分性：</w:t>
      </w:r>
      <w:r>
        <w:rPr>
          <w:rFonts w:hint="eastAsia" w:ascii="仿宋_GB2312"/>
          <w:color w:val="000000"/>
          <w:szCs w:val="28"/>
          <w:highlight w:val="none"/>
        </w:rPr>
        <w:t>项目立项符合</w:t>
      </w:r>
      <w:r>
        <w:rPr>
          <w:rFonts w:ascii="黑体" w:hAnsi="黑体" w:eastAsia="黑体" w:cs="Times New Roman"/>
          <w:color w:val="000000"/>
          <w:szCs w:val="28"/>
          <w:highlight w:val="none"/>
        </w:rPr>
        <w:t>《</w:t>
      </w:r>
      <w:r>
        <w:rPr>
          <w:rFonts w:hint="eastAsia" w:ascii="仿宋_GB2312"/>
          <w:color w:val="000000"/>
          <w:highlight w:val="none"/>
        </w:rPr>
        <w:t>政府采购需求管理办法</w:t>
      </w:r>
      <w:r>
        <w:rPr>
          <w:rFonts w:ascii="仿宋_GB2312"/>
          <w:color w:val="000000"/>
          <w:highlight w:val="none"/>
        </w:rPr>
        <w:t>》（财</w:t>
      </w:r>
      <w:r>
        <w:rPr>
          <w:rFonts w:hint="eastAsia" w:ascii="仿宋_GB2312"/>
          <w:color w:val="000000"/>
          <w:highlight w:val="none"/>
        </w:rPr>
        <w:t>库</w:t>
      </w:r>
      <w:r>
        <w:rPr>
          <w:rFonts w:ascii="仿宋_GB2312"/>
          <w:color w:val="000000"/>
          <w:highlight w:val="none"/>
        </w:rPr>
        <w:t>〔</w:t>
      </w:r>
      <w:r>
        <w:rPr>
          <w:rFonts w:hint="eastAsia" w:ascii="仿宋_GB2312"/>
          <w:color w:val="000000"/>
          <w:highlight w:val="none"/>
        </w:rPr>
        <w:t>2021</w:t>
      </w:r>
      <w:r>
        <w:rPr>
          <w:rFonts w:ascii="仿宋_GB2312"/>
          <w:color w:val="000000"/>
          <w:highlight w:val="none"/>
        </w:rPr>
        <w:t>〕</w:t>
      </w:r>
      <w:r>
        <w:rPr>
          <w:rFonts w:hint="eastAsia" w:ascii="仿宋_GB2312"/>
          <w:color w:val="000000"/>
          <w:highlight w:val="none"/>
        </w:rPr>
        <w:t>22</w:t>
      </w:r>
      <w:r>
        <w:rPr>
          <w:rFonts w:ascii="仿宋_GB2312"/>
          <w:color w:val="000000"/>
          <w:highlight w:val="none"/>
        </w:rPr>
        <w:t>号）</w:t>
      </w:r>
      <w:r>
        <w:rPr>
          <w:rFonts w:hint="eastAsia" w:ascii="仿宋_GB2312"/>
          <w:color w:val="000000"/>
          <w:highlight w:val="none"/>
        </w:rPr>
        <w:t>、关于印发《乌鲁木齐市卫生健康委员会政府采购暂行规定》的通知（乌卫规</w:t>
      </w:r>
      <w:r>
        <w:rPr>
          <w:rFonts w:hint="eastAsia" w:ascii="仿宋_GB2312"/>
          <w:color w:val="000000"/>
          <w:highlight w:val="none"/>
          <w:lang w:eastAsia="zh-CN"/>
        </w:rPr>
        <w:t>〔2023〕2号</w:t>
      </w:r>
      <w:r>
        <w:rPr>
          <w:rFonts w:hint="eastAsia" w:ascii="仿宋_GB2312"/>
          <w:color w:val="000000"/>
          <w:highlight w:val="none"/>
        </w:rPr>
        <w:t>）、《乌鲁木齐市中医医院财政专项资金管理制度</w:t>
      </w:r>
      <w:r>
        <w:rPr>
          <w:rFonts w:hint="eastAsia" w:ascii="仿宋_GB2312"/>
          <w:color w:val="000000"/>
          <w:highlight w:val="none"/>
          <w:lang w:eastAsia="zh-CN"/>
        </w:rPr>
        <w:t>》《</w:t>
      </w:r>
      <w:r>
        <w:rPr>
          <w:rFonts w:hint="eastAsia" w:ascii="仿宋_GB2312"/>
          <w:color w:val="000000"/>
          <w:highlight w:val="none"/>
        </w:rPr>
        <w:t>乌鲁木齐市中医医院固定资产管理制度</w:t>
      </w:r>
      <w:r>
        <w:rPr>
          <w:rFonts w:hint="eastAsia" w:ascii="仿宋_GB2312"/>
          <w:color w:val="000000"/>
          <w:highlight w:val="none"/>
          <w:lang w:eastAsia="zh-CN"/>
        </w:rPr>
        <w:t>》等</w:t>
      </w:r>
      <w:r>
        <w:rPr>
          <w:rFonts w:hint="eastAsia" w:ascii="仿宋_GB2312"/>
          <w:color w:val="000000"/>
          <w:szCs w:val="28"/>
          <w:highlight w:val="none"/>
        </w:rPr>
        <w:t>文件要求。同时，项目与我院作为医疗、教学、科研、预防、保健、康复于一体的医疗单位，推动中医事业发展、培养中医人才、开展科研创新的整体定位和发展目标相契合，有助于医院更好地履行这些职能，提升综合实力，为地区医疗卫生事业做出更大贡献，项目与部门职责范围相符。此外，本项目属于公共财政支持范围，符合中央、地方事权支出责任划分原则。因此，立项依据充分，得4分因此，立项依据充分，得4分。</w:t>
      </w:r>
    </w:p>
    <w:p>
      <w:pPr>
        <w:spacing w:line="360" w:lineRule="auto"/>
        <w:ind w:firstLine="562"/>
        <w:rPr>
          <w:rFonts w:ascii="仿宋_GB2312"/>
          <w:color w:val="000000"/>
          <w:szCs w:val="28"/>
          <w:highlight w:val="none"/>
        </w:rPr>
      </w:pPr>
      <w:r>
        <w:rPr>
          <w:rFonts w:hint="eastAsia" w:ascii="仿宋_GB2312"/>
          <w:b/>
          <w:bCs/>
          <w:color w:val="000000"/>
          <w:szCs w:val="28"/>
          <w:highlight w:val="none"/>
        </w:rPr>
        <w:t>立项程序规范性</w:t>
      </w:r>
      <w:r>
        <w:rPr>
          <w:rFonts w:hint="eastAsia" w:ascii="仿宋_GB2312"/>
          <w:b/>
          <w:bCs/>
          <w:color w:val="000000"/>
          <w:szCs w:val="28"/>
          <w:highlight w:val="none"/>
          <w:lang w:eastAsia="zh-CN"/>
        </w:rPr>
        <w:t>：</w:t>
      </w:r>
      <w:r>
        <w:rPr>
          <w:rFonts w:hint="eastAsia" w:ascii="仿宋_GB2312"/>
          <w:b w:val="0"/>
          <w:bCs w:val="0"/>
          <w:color w:val="000000"/>
          <w:szCs w:val="28"/>
          <w:highlight w:val="none"/>
          <w:lang w:val="en-US" w:eastAsia="zh-CN"/>
        </w:rPr>
        <w:t>在项目申报阶段，医院严格遵循国家及地方财政部门关于财政项目申报的相关规定与要求，按照《项目支出绩效评价管理办法》（财预〔2020〕10号）、《政府采购需求管理办法》（财库〔2021〕22号）、《关于印发〈乌鲁木齐市卫生健康委员会政府采购暂行规定〉的通知》（乌卫规〔2023〕2号）、《乌鲁木齐市中医医院财政专项资金管理制度》以及《乌鲁木齐市中医医院固定资产管理制度》等相关文件，并依据医院的整体发展战略以及医疗服务实际需求，结合中医药事业发展趋势，深入调研分析，确定项目申报方向与内容。申报方案完成后，先由科室内部进行初步审核，确保内容真实、准确、完整，符合申报要求。接着提交至医院财务科，财务科联合医务科、科教科、药剂科、设备科等相关业务科室，从财务可行性、业务合理性、设备适配性等多维度进行综合审核，对申报方案中的预算编制、项目实施计划等内容进行细致审查与修正，为确保立项项目的科学性与可行性，我院建立了完善的项目评估论证机制。针对申报项目，组织院内中医药领域专家、财务专家、管理专家等组成评估小组，对项目进行全面评估。评估过程中，专家小组采用资料审查、现场答辩、实地考察等多种方式，对项目的必要性、技术可行性、经济效益、社会效益等方面进行深入分析与论证。审核通过后，按照规定程序报送至上级主管部门审批，整个申报流程严格遵循时间节点要求，资料提交完整、规范，无违规操作现象。审批文件、材料均符合相关要求，故立项程序规范，得4分。</w:t>
      </w:r>
    </w:p>
    <w:p>
      <w:pPr>
        <w:autoSpaceDE w:val="0"/>
        <w:spacing w:line="600" w:lineRule="exact"/>
        <w:ind w:firstLine="562"/>
        <w:rPr>
          <w:rFonts w:ascii="仿宋_GB2312" w:hAnsi="仿宋" w:cs="宋体"/>
          <w:b/>
          <w:color w:val="000000"/>
          <w:kern w:val="0"/>
          <w:szCs w:val="28"/>
          <w:highlight w:val="none"/>
        </w:rPr>
      </w:pPr>
      <w:r>
        <w:rPr>
          <w:rFonts w:hint="eastAsia" w:ascii="仿宋_GB2312" w:hAnsi="仿宋" w:cs="宋体"/>
          <w:b/>
          <w:color w:val="000000"/>
          <w:kern w:val="0"/>
          <w:szCs w:val="28"/>
          <w:highlight w:val="none"/>
        </w:rPr>
        <w:t>综上，该指标满分</w:t>
      </w:r>
      <w:r>
        <w:rPr>
          <w:rFonts w:ascii="仿宋_GB2312" w:hAnsi="仿宋" w:cs="宋体"/>
          <w:b/>
          <w:color w:val="000000"/>
          <w:kern w:val="0"/>
          <w:szCs w:val="28"/>
          <w:highlight w:val="none"/>
        </w:rPr>
        <w:t>8</w:t>
      </w:r>
      <w:r>
        <w:rPr>
          <w:rFonts w:hint="eastAsia" w:ascii="仿宋_GB2312" w:hAnsi="仿宋" w:cs="宋体"/>
          <w:b/>
          <w:color w:val="000000"/>
          <w:kern w:val="0"/>
          <w:szCs w:val="28"/>
          <w:highlight w:val="none"/>
        </w:rPr>
        <w:t>分，得分8分。</w:t>
      </w:r>
    </w:p>
    <w:p>
      <w:pPr>
        <w:pStyle w:val="4"/>
        <w:ind w:firstLine="643"/>
        <w:rPr>
          <w:color w:val="000000"/>
          <w:highlight w:val="none"/>
        </w:rPr>
      </w:pPr>
      <w:bookmarkStart w:id="38" w:name="_Toc165277243"/>
      <w:r>
        <w:rPr>
          <w:rFonts w:hint="eastAsia"/>
          <w:color w:val="000000"/>
          <w:highlight w:val="none"/>
        </w:rPr>
        <w:t>2</w:t>
      </w:r>
      <w:r>
        <w:rPr>
          <w:color w:val="000000"/>
          <w:highlight w:val="none"/>
        </w:rPr>
        <w:t>.</w:t>
      </w:r>
      <w:r>
        <w:rPr>
          <w:rFonts w:hint="eastAsia"/>
          <w:color w:val="000000"/>
          <w:highlight w:val="none"/>
        </w:rPr>
        <w:t>绩效目标</w:t>
      </w:r>
      <w:bookmarkEnd w:id="38"/>
    </w:p>
    <w:p>
      <w:pPr>
        <w:spacing w:line="360" w:lineRule="auto"/>
        <w:ind w:firstLine="562"/>
        <w:rPr>
          <w:rFonts w:ascii="仿宋_GB2312"/>
          <w:color w:val="000000"/>
          <w:szCs w:val="28"/>
          <w:highlight w:val="none"/>
        </w:rPr>
      </w:pPr>
      <w:r>
        <w:rPr>
          <w:rFonts w:hint="eastAsia" w:ascii="仿宋_GB2312"/>
          <w:b/>
          <w:bCs/>
          <w:color w:val="000000"/>
          <w:szCs w:val="28"/>
          <w:highlight w:val="none"/>
        </w:rPr>
        <w:t>绩效目标合理性：</w:t>
      </w:r>
      <w:r>
        <w:rPr>
          <w:rFonts w:hint="eastAsia" w:ascii="仿宋_GB2312"/>
          <w:bCs/>
          <w:color w:val="000000"/>
          <w:szCs w:val="28"/>
          <w:highlight w:val="none"/>
        </w:rPr>
        <w:t>本</w:t>
      </w:r>
      <w:r>
        <w:rPr>
          <w:rFonts w:hint="eastAsia" w:ascii="仿宋_GB2312"/>
          <w:bCs/>
          <w:color w:val="000000"/>
          <w:szCs w:val="28"/>
          <w:highlight w:val="none"/>
        </w:rPr>
        <w:t>项目的绩效目标按照产出、效益和</w:t>
      </w:r>
      <w:r>
        <w:rPr>
          <w:rFonts w:hint="eastAsia" w:ascii="仿宋_GB2312"/>
          <w:bCs/>
          <w:color w:val="000000"/>
          <w:szCs w:val="28"/>
          <w:highlight w:val="none"/>
          <w:lang w:val="en-US" w:eastAsia="zh-CN"/>
        </w:rPr>
        <w:t>成本</w:t>
      </w:r>
      <w:r>
        <w:rPr>
          <w:rFonts w:hint="eastAsia" w:ascii="仿宋_GB2312"/>
          <w:bCs/>
          <w:color w:val="000000"/>
          <w:szCs w:val="28"/>
          <w:highlight w:val="none"/>
        </w:rPr>
        <w:t>构建绩效评价指标，且具有明确性、可衡量性、可实现性、相关性和时限性等特点，能较为全面地反映本项目的产出和效益，故绩效目标合理性指标得分3分。</w:t>
      </w:r>
    </w:p>
    <w:p>
      <w:pPr>
        <w:autoSpaceDE w:val="0"/>
        <w:spacing w:line="600" w:lineRule="exact"/>
        <w:ind w:firstLine="602"/>
        <w:rPr>
          <w:rFonts w:ascii="仿宋_GB2312" w:hAnsi="仿宋" w:cs="宋体"/>
          <w:color w:val="000000"/>
          <w:kern w:val="0"/>
          <w:szCs w:val="28"/>
          <w:highlight w:val="none"/>
        </w:rPr>
      </w:pPr>
      <w:r>
        <w:rPr>
          <w:rFonts w:hint="eastAsia" w:ascii="仿宋_GB2312" w:hAnsi="仿宋" w:cs="宋体"/>
          <w:b/>
          <w:color w:val="000000"/>
          <w:kern w:val="0"/>
          <w:sz w:val="30"/>
          <w:szCs w:val="30"/>
          <w:highlight w:val="none"/>
        </w:rPr>
        <w:t>绩效目标明确性</w:t>
      </w:r>
      <w:r>
        <w:rPr>
          <w:rFonts w:hint="eastAsia" w:ascii="仿宋_GB2312" w:hAnsi="仿宋" w:cs="宋体"/>
          <w:b/>
          <w:color w:val="000000"/>
          <w:kern w:val="0"/>
          <w:szCs w:val="28"/>
          <w:highlight w:val="none"/>
        </w:rPr>
        <w:t>：</w:t>
      </w:r>
      <w:r>
        <w:rPr>
          <w:rFonts w:hint="eastAsia" w:ascii="仿宋_GB2312" w:hAnsi="仿宋" w:cs="宋体"/>
          <w:color w:val="000000"/>
          <w:kern w:val="0"/>
          <w:szCs w:val="28"/>
          <w:highlight w:val="none"/>
        </w:rPr>
        <w:t>其中，目标已细化为具体的绩效指标，一级指标4个，二级指标9个，三级指标18个，可通过数量指标、质量指标、效益指标和成本指标予以量化，并具有确切的评价标准，且指标设定均与目标相关。各项指标均能在现实条件下收集到相关数据进行佐证（为每个绩效目标设定可量化的指标和衡量标准，在人才培养方面，通过考试合格率、获得相关资格证书人数来评估培训效果，在提升中医药医疗服务能力方面，通过提供情况说明加以佐证，医疗设备购置数及验收合格率通过提供中标单位的设备入库单及验收报告作为佐证材料，项目的投入标准提供财务明细账），并与当年项目年度计划相对应，故绩效目标明确性指标得分</w:t>
      </w:r>
      <w:r>
        <w:rPr>
          <w:rFonts w:ascii="仿宋_GB2312" w:hAnsi="仿宋" w:cs="宋体"/>
          <w:color w:val="000000"/>
          <w:kern w:val="0"/>
          <w:szCs w:val="28"/>
          <w:highlight w:val="none"/>
        </w:rPr>
        <w:t>3</w:t>
      </w:r>
      <w:r>
        <w:rPr>
          <w:rFonts w:hint="eastAsia" w:ascii="仿宋_GB2312" w:hAnsi="仿宋" w:cs="宋体"/>
          <w:color w:val="000000"/>
          <w:kern w:val="0"/>
          <w:szCs w:val="28"/>
          <w:highlight w:val="none"/>
        </w:rPr>
        <w:t>分。</w:t>
      </w:r>
    </w:p>
    <w:p>
      <w:pPr>
        <w:autoSpaceDE w:val="0"/>
        <w:spacing w:line="600" w:lineRule="exact"/>
        <w:ind w:firstLine="562"/>
        <w:rPr>
          <w:rFonts w:ascii="仿宋_GB2312" w:hAnsi="仿宋" w:cs="宋体"/>
          <w:b/>
          <w:color w:val="000000"/>
          <w:kern w:val="0"/>
          <w:szCs w:val="28"/>
          <w:highlight w:val="none"/>
        </w:rPr>
      </w:pPr>
      <w:r>
        <w:rPr>
          <w:rFonts w:hint="eastAsia" w:ascii="仿宋_GB2312" w:hAnsi="仿宋" w:cs="宋体"/>
          <w:b/>
          <w:color w:val="000000"/>
          <w:kern w:val="0"/>
          <w:szCs w:val="28"/>
          <w:highlight w:val="none"/>
        </w:rPr>
        <w:t>综上，该指标满分</w:t>
      </w:r>
      <w:r>
        <w:rPr>
          <w:rFonts w:ascii="仿宋_GB2312" w:hAnsi="仿宋" w:cs="宋体"/>
          <w:b/>
          <w:color w:val="000000"/>
          <w:kern w:val="0"/>
          <w:szCs w:val="28"/>
          <w:highlight w:val="none"/>
        </w:rPr>
        <w:t>6</w:t>
      </w:r>
      <w:r>
        <w:rPr>
          <w:rFonts w:hint="eastAsia" w:ascii="仿宋_GB2312" w:hAnsi="仿宋" w:cs="宋体"/>
          <w:b/>
          <w:color w:val="000000"/>
          <w:kern w:val="0"/>
          <w:szCs w:val="28"/>
          <w:highlight w:val="none"/>
        </w:rPr>
        <w:t>分，得分6分。</w:t>
      </w:r>
    </w:p>
    <w:p>
      <w:pPr>
        <w:pStyle w:val="4"/>
        <w:ind w:firstLine="643"/>
        <w:rPr>
          <w:color w:val="000000"/>
          <w:highlight w:val="none"/>
        </w:rPr>
      </w:pPr>
      <w:bookmarkStart w:id="39" w:name="_Toc165277244"/>
      <w:r>
        <w:rPr>
          <w:rFonts w:hint="eastAsia"/>
          <w:color w:val="000000"/>
          <w:highlight w:val="none"/>
        </w:rPr>
        <w:t>3.资金投入</w:t>
      </w:r>
      <w:bookmarkEnd w:id="39"/>
    </w:p>
    <w:p>
      <w:pPr>
        <w:autoSpaceDE w:val="0"/>
        <w:spacing w:line="600" w:lineRule="exact"/>
        <w:ind w:firstLine="562"/>
        <w:rPr>
          <w:rFonts w:ascii="仿宋_GB2312" w:hAnsi="仿宋" w:cs="宋体"/>
          <w:bCs/>
          <w:color w:val="000000"/>
          <w:kern w:val="0"/>
          <w:szCs w:val="28"/>
          <w:highlight w:val="none"/>
        </w:rPr>
      </w:pPr>
      <w:r>
        <w:rPr>
          <w:rFonts w:hint="eastAsia" w:ascii="仿宋_GB2312" w:hAnsi="仿宋" w:cs="宋体"/>
          <w:b/>
          <w:color w:val="000000"/>
          <w:kern w:val="0"/>
          <w:szCs w:val="28"/>
          <w:highlight w:val="none"/>
        </w:rPr>
        <w:t>预算编制科学性：</w:t>
      </w:r>
      <w:r>
        <w:rPr>
          <w:rFonts w:hint="eastAsia" w:ascii="仿宋_GB2312" w:hAnsi="仿宋" w:cs="宋体"/>
          <w:bCs/>
          <w:color w:val="000000"/>
          <w:kern w:val="0"/>
          <w:szCs w:val="28"/>
          <w:highlight w:val="none"/>
        </w:rPr>
        <w:t>该项</w:t>
      </w:r>
      <w:r>
        <w:rPr>
          <w:rFonts w:hint="eastAsia" w:ascii="仿宋_GB2312" w:hAnsi="仿宋" w:cs="宋体"/>
          <w:bCs/>
          <w:color w:val="000000"/>
          <w:kern w:val="0"/>
          <w:szCs w:val="28"/>
          <w:highlight w:val="none"/>
        </w:rPr>
        <w:t>目为市级财政资金，专款专用，</w:t>
      </w:r>
      <w:r>
        <w:rPr>
          <w:rFonts w:hint="eastAsia" w:ascii="仿宋_GB2312" w:hAnsi="仿宋" w:cs="宋体"/>
          <w:bCs/>
          <w:color w:val="000000"/>
          <w:kern w:val="0"/>
          <w:szCs w:val="28"/>
          <w:highlight w:val="none"/>
          <w:lang w:val="en-US" w:eastAsia="zh-CN"/>
        </w:rPr>
        <w:t>我院</w:t>
      </w:r>
      <w:r>
        <w:rPr>
          <w:rFonts w:hint="eastAsia" w:ascii="仿宋_GB2312" w:hAnsi="仿宋" w:cs="宋体"/>
          <w:bCs/>
          <w:color w:val="000000"/>
          <w:kern w:val="0"/>
          <w:szCs w:val="28"/>
          <w:highlight w:val="none"/>
        </w:rPr>
        <w:t>在预算编制过程中，严格遵循国家及地方财政部门关于中医药项目资金管理的相关政策法规，以《乌鲁木齐市中医药传承创新发展示范试点项目市级财政经费的通知》乌财社</w:t>
      </w:r>
      <w:r>
        <w:rPr>
          <w:rFonts w:hint="eastAsia" w:ascii="仿宋_GB2312" w:hAnsi="仿宋" w:cs="宋体"/>
          <w:bCs/>
          <w:color w:val="000000"/>
          <w:kern w:val="0"/>
          <w:szCs w:val="28"/>
          <w:highlight w:val="none"/>
          <w:lang w:eastAsia="zh-CN"/>
        </w:rPr>
        <w:t>〔2024〕74号</w:t>
      </w:r>
      <w:r>
        <w:rPr>
          <w:rFonts w:hint="eastAsia" w:ascii="仿宋_GB2312" w:hAnsi="仿宋" w:cs="宋体"/>
          <w:bCs/>
          <w:color w:val="000000"/>
          <w:kern w:val="0"/>
          <w:szCs w:val="28"/>
          <w:highlight w:val="none"/>
        </w:rPr>
        <w:t>文件为核心指引，确保预算编制的合规性。医院组织财务人员与项目负责人深入研读文件中关于资金使用范围、支出标准、绩效目标等要求，结合医院实际业务需求，将政策要求精准转化为具体的预算项目，避免资金使用与政策脱节。与各业务科室沟通协作，严格按照具体的工作任务和经济支出分类科目，明确每一笔资金的用途和流向，对不合理的预算进行调整和优化，成立预算审核小组，对预算</w:t>
      </w:r>
      <w:r>
        <w:rPr>
          <w:rFonts w:hint="eastAsia" w:ascii="仿宋_GB2312" w:hAnsi="仿宋" w:cs="宋体"/>
          <w:bCs/>
          <w:color w:val="000000"/>
          <w:kern w:val="0"/>
          <w:szCs w:val="28"/>
          <w:highlight w:val="none"/>
          <w:lang w:val="en-US" w:eastAsia="zh-CN"/>
        </w:rPr>
        <w:t>方</w:t>
      </w:r>
      <w:r>
        <w:rPr>
          <w:rFonts w:hint="eastAsia" w:ascii="仿宋_GB2312" w:hAnsi="仿宋" w:cs="宋体"/>
          <w:bCs/>
          <w:color w:val="000000"/>
          <w:kern w:val="0"/>
          <w:szCs w:val="28"/>
          <w:highlight w:val="none"/>
        </w:rPr>
        <w:t>案进行审核，审核通过后根据项目的重点和关键环节，合理分配资金</w:t>
      </w:r>
      <w:r>
        <w:rPr>
          <w:rFonts w:hint="eastAsia" w:ascii="仿宋_GB2312" w:hAnsi="仿宋" w:cs="宋体"/>
          <w:bCs/>
          <w:color w:val="000000"/>
          <w:kern w:val="0"/>
          <w:szCs w:val="28"/>
          <w:highlight w:val="none"/>
          <w:lang w:eastAsia="zh-CN"/>
        </w:rPr>
        <w:t>，</w:t>
      </w:r>
      <w:r>
        <w:rPr>
          <w:rFonts w:hint="eastAsia" w:ascii="仿宋_GB2312" w:hAnsi="仿宋" w:cs="宋体"/>
          <w:bCs/>
          <w:color w:val="000000"/>
          <w:kern w:val="0"/>
          <w:szCs w:val="28"/>
          <w:highlight w:val="none"/>
        </w:rPr>
        <w:t>确保每一笔资金投向均服务于中医药传承创新发展的关键领域，从专用医疗设备购置、人次培养等方面合理规划预算，确保预算与项目目标高度契合</w:t>
      </w:r>
      <w:r>
        <w:rPr>
          <w:rFonts w:hint="eastAsia" w:ascii="仿宋_GB2312" w:hAnsi="仿宋" w:cs="宋体"/>
          <w:bCs/>
          <w:color w:val="000000"/>
          <w:kern w:val="0"/>
          <w:szCs w:val="28"/>
          <w:highlight w:val="none"/>
          <w:lang w:eastAsia="zh-CN"/>
        </w:rPr>
        <w:t>。</w:t>
      </w:r>
      <w:r>
        <w:rPr>
          <w:rFonts w:hint="eastAsia" w:ascii="仿宋_GB2312" w:hAnsi="仿宋" w:cs="宋体"/>
          <w:bCs/>
          <w:color w:val="000000"/>
          <w:kern w:val="0"/>
          <w:szCs w:val="28"/>
          <w:highlight w:val="none"/>
        </w:rPr>
        <w:t>故预算编制科学性指标得分</w:t>
      </w:r>
      <w:r>
        <w:rPr>
          <w:rFonts w:ascii="仿宋_GB2312" w:hAnsi="仿宋" w:cs="宋体"/>
          <w:bCs/>
          <w:color w:val="000000"/>
          <w:kern w:val="0"/>
          <w:szCs w:val="28"/>
          <w:highlight w:val="none"/>
        </w:rPr>
        <w:t>3</w:t>
      </w:r>
      <w:r>
        <w:rPr>
          <w:rFonts w:hint="eastAsia" w:ascii="仿宋_GB2312" w:hAnsi="仿宋" w:cs="宋体"/>
          <w:bCs/>
          <w:color w:val="000000"/>
          <w:kern w:val="0"/>
          <w:szCs w:val="28"/>
          <w:highlight w:val="none"/>
        </w:rPr>
        <w:t>分。</w:t>
      </w:r>
    </w:p>
    <w:p>
      <w:pPr>
        <w:autoSpaceDE w:val="0"/>
        <w:spacing w:line="600" w:lineRule="exact"/>
        <w:ind w:firstLine="0" w:firstLineChars="0"/>
        <w:rPr>
          <w:rFonts w:ascii="仿宋_GB2312" w:hAnsi="仿宋" w:cs="宋体"/>
          <w:bCs/>
          <w:color w:val="000000"/>
          <w:kern w:val="0"/>
          <w:szCs w:val="28"/>
          <w:highlight w:val="none"/>
        </w:rPr>
      </w:pPr>
    </w:p>
    <w:p>
      <w:pPr>
        <w:spacing w:line="360" w:lineRule="auto"/>
        <w:ind w:firstLine="562"/>
        <w:rPr>
          <w:color w:val="000000"/>
          <w:highlight w:val="none"/>
        </w:rPr>
      </w:pPr>
      <w:r>
        <w:rPr>
          <w:rFonts w:hint="eastAsia"/>
          <w:b/>
          <w:bCs/>
          <w:color w:val="000000"/>
          <w:highlight w:val="none"/>
        </w:rPr>
        <w:t>资金分配合理性</w:t>
      </w:r>
      <w:r>
        <w:rPr>
          <w:rFonts w:hint="eastAsia"/>
          <w:color w:val="000000"/>
          <w:highlight w:val="none"/>
        </w:rPr>
        <w:t>：根据</w:t>
      </w:r>
      <w:r>
        <w:rPr>
          <w:rFonts w:ascii="黑体" w:hAnsi="黑体" w:eastAsia="黑体" w:cs="Times New Roman"/>
          <w:color w:val="000000"/>
          <w:szCs w:val="28"/>
          <w:highlight w:val="none"/>
        </w:rPr>
        <w:t>《</w:t>
      </w:r>
      <w:r>
        <w:rPr>
          <w:rFonts w:hint="eastAsia" w:ascii="仿宋_GB2312"/>
          <w:color w:val="000000"/>
          <w:highlight w:val="none"/>
        </w:rPr>
        <w:t>政府采购需求管理办法</w:t>
      </w:r>
      <w:r>
        <w:rPr>
          <w:rFonts w:ascii="仿宋_GB2312"/>
          <w:color w:val="000000"/>
          <w:highlight w:val="none"/>
        </w:rPr>
        <w:t>》（财</w:t>
      </w:r>
      <w:r>
        <w:rPr>
          <w:rFonts w:hint="eastAsia" w:ascii="仿宋_GB2312"/>
          <w:color w:val="000000"/>
          <w:highlight w:val="none"/>
        </w:rPr>
        <w:t>库</w:t>
      </w:r>
      <w:r>
        <w:rPr>
          <w:rFonts w:ascii="仿宋_GB2312"/>
          <w:color w:val="000000"/>
          <w:highlight w:val="none"/>
        </w:rPr>
        <w:t>〔</w:t>
      </w:r>
      <w:r>
        <w:rPr>
          <w:rFonts w:hint="eastAsia" w:ascii="仿宋_GB2312"/>
          <w:color w:val="000000"/>
          <w:highlight w:val="none"/>
        </w:rPr>
        <w:t>2021</w:t>
      </w:r>
      <w:r>
        <w:rPr>
          <w:rFonts w:ascii="仿宋_GB2312"/>
          <w:color w:val="000000"/>
          <w:highlight w:val="none"/>
        </w:rPr>
        <w:t>〕</w:t>
      </w:r>
      <w:r>
        <w:rPr>
          <w:rFonts w:hint="eastAsia" w:ascii="仿宋_GB2312"/>
          <w:color w:val="000000"/>
          <w:highlight w:val="none"/>
        </w:rPr>
        <w:t>22</w:t>
      </w:r>
      <w:r>
        <w:rPr>
          <w:rFonts w:ascii="仿宋_GB2312"/>
          <w:color w:val="000000"/>
          <w:highlight w:val="none"/>
        </w:rPr>
        <w:t>号）</w:t>
      </w:r>
      <w:r>
        <w:rPr>
          <w:rFonts w:hint="eastAsia" w:ascii="仿宋_GB2312"/>
          <w:color w:val="000000"/>
          <w:highlight w:val="none"/>
        </w:rPr>
        <w:t>、关于印发《乌鲁木齐市卫生健康委员会政府采购暂行规定》的通知（乌卫规</w:t>
      </w:r>
      <w:r>
        <w:rPr>
          <w:rFonts w:hint="eastAsia" w:ascii="仿宋_GB2312"/>
          <w:color w:val="000000"/>
          <w:highlight w:val="none"/>
          <w:lang w:eastAsia="zh-CN"/>
        </w:rPr>
        <w:t>〔2023〕2号</w:t>
      </w:r>
      <w:r>
        <w:rPr>
          <w:rFonts w:hint="eastAsia" w:ascii="仿宋_GB2312"/>
          <w:color w:val="000000"/>
          <w:highlight w:val="none"/>
        </w:rPr>
        <w:t>）、《乌鲁木齐市中医医院财政专项资金管理制度</w:t>
      </w:r>
      <w:r>
        <w:rPr>
          <w:rFonts w:hint="eastAsia" w:ascii="仿宋_GB2312"/>
          <w:color w:val="000000"/>
          <w:highlight w:val="none"/>
          <w:lang w:eastAsia="zh-CN"/>
        </w:rPr>
        <w:t>》《</w:t>
      </w:r>
      <w:r>
        <w:rPr>
          <w:rFonts w:hint="eastAsia" w:ascii="仿宋_GB2312"/>
          <w:color w:val="000000"/>
          <w:highlight w:val="none"/>
        </w:rPr>
        <w:t>乌鲁木齐市中医医院固定资产管理制度</w:t>
      </w:r>
      <w:r>
        <w:rPr>
          <w:rFonts w:hint="eastAsia" w:ascii="仿宋_GB2312"/>
          <w:color w:val="000000"/>
          <w:highlight w:val="none"/>
          <w:lang w:eastAsia="zh-CN"/>
        </w:rPr>
        <w:t>》等</w:t>
      </w:r>
      <w:r>
        <w:rPr>
          <w:rFonts w:hint="eastAsia"/>
          <w:color w:val="000000"/>
          <w:highlight w:val="none"/>
        </w:rPr>
        <w:t>文件精神</w:t>
      </w:r>
      <w:r>
        <w:rPr>
          <w:rFonts w:hint="eastAsia" w:ascii="仿宋_GB2312" w:hAnsi="仿宋" w:cs="宋体"/>
          <w:b/>
          <w:color w:val="000000"/>
          <w:kern w:val="0"/>
          <w:szCs w:val="28"/>
          <w:highlight w:val="none"/>
        </w:rPr>
        <w:t>。</w:t>
      </w:r>
      <w:r>
        <w:rPr>
          <w:rFonts w:hint="eastAsia" w:ascii="仿宋_GB2312" w:hAnsi="仿宋" w:cs="宋体"/>
          <w:bCs/>
          <w:color w:val="000000"/>
          <w:kern w:val="0"/>
          <w:szCs w:val="28"/>
          <w:highlight w:val="none"/>
        </w:rPr>
        <w:t>项目资金用于启动乌鲁木齐市中医药师承教育基地建设、学术流派挖掘传承和名老中医工作室建设项目，培养中医类别全科医师及中西医结合人才目标，提升专科医疗服务能力及急危重症救治能力；开展中医药文化传播工作，建设共享中药房，启动智慧中医院建设，完成后续项目规划设计；总结“西域内科学术流派”“熊氏肛肠外科流派”学术传承谱。故侧重于在建设项目所需的专用设备购置与</w:t>
      </w:r>
      <w:r>
        <w:rPr>
          <w:rFonts w:ascii="仿宋_GB2312" w:hAnsi="仿宋" w:cs="宋体"/>
          <w:bCs/>
          <w:color w:val="000000"/>
          <w:kern w:val="0"/>
          <w:szCs w:val="28"/>
          <w:highlight w:val="none"/>
        </w:rPr>
        <w:t>人才培养方面</w:t>
      </w:r>
      <w:r>
        <w:rPr>
          <w:rFonts w:hint="eastAsia" w:ascii="仿宋_GB2312" w:hAnsi="仿宋" w:cs="宋体"/>
          <w:bCs/>
          <w:color w:val="000000"/>
          <w:kern w:val="0"/>
          <w:szCs w:val="28"/>
          <w:highlight w:val="none"/>
        </w:rPr>
        <w:t>投入</w:t>
      </w:r>
      <w:r>
        <w:rPr>
          <w:rFonts w:ascii="仿宋_GB2312" w:hAnsi="仿宋" w:cs="宋体"/>
          <w:bCs/>
          <w:color w:val="000000"/>
          <w:kern w:val="0"/>
          <w:szCs w:val="28"/>
          <w:highlight w:val="none"/>
        </w:rPr>
        <w:t>项目资金</w:t>
      </w:r>
      <w:r>
        <w:rPr>
          <w:rFonts w:hint="eastAsia" w:ascii="仿宋_GB2312" w:hAnsi="仿宋" w:cs="宋体"/>
          <w:bCs/>
          <w:color w:val="000000"/>
          <w:kern w:val="0"/>
          <w:szCs w:val="28"/>
          <w:highlight w:val="none"/>
        </w:rPr>
        <w:t>，完成相关第一批医疗设备采购工作，支付设备购置费用共计1350.57万元；培养中医类别全科医师及中西医结合人才共计55人，支付培训及其他费用80.02万元，提升了专科医疗服务能力及急危重症救治能力。</w:t>
      </w:r>
      <w:r>
        <w:rPr>
          <w:rFonts w:hint="eastAsia" w:ascii="仿宋_GB2312" w:hAnsi="仿宋" w:cs="宋体"/>
          <w:color w:val="000000"/>
          <w:kern w:val="0"/>
          <w:szCs w:val="28"/>
          <w:highlight w:val="none"/>
        </w:rPr>
        <w:t>故资金分配合理性指标得分</w:t>
      </w:r>
      <w:r>
        <w:rPr>
          <w:rFonts w:ascii="仿宋_GB2312" w:hAnsi="仿宋" w:cs="宋体"/>
          <w:color w:val="000000"/>
          <w:kern w:val="0"/>
          <w:szCs w:val="28"/>
          <w:highlight w:val="none"/>
        </w:rPr>
        <w:t>3</w:t>
      </w:r>
      <w:r>
        <w:rPr>
          <w:rFonts w:hint="eastAsia" w:ascii="仿宋_GB2312" w:hAnsi="仿宋" w:cs="宋体"/>
          <w:color w:val="000000"/>
          <w:kern w:val="0"/>
          <w:szCs w:val="28"/>
          <w:highlight w:val="none"/>
        </w:rPr>
        <w:t>分。</w:t>
      </w:r>
    </w:p>
    <w:p>
      <w:pPr>
        <w:autoSpaceDE w:val="0"/>
        <w:spacing w:line="600" w:lineRule="exact"/>
        <w:ind w:firstLine="562"/>
        <w:rPr>
          <w:rFonts w:ascii="仿宋_GB2312" w:hAnsi="仿宋" w:cs="宋体"/>
          <w:b/>
          <w:color w:val="000000"/>
          <w:kern w:val="0"/>
          <w:szCs w:val="28"/>
          <w:highlight w:val="none"/>
        </w:rPr>
      </w:pPr>
      <w:r>
        <w:rPr>
          <w:rFonts w:hint="eastAsia" w:ascii="仿宋_GB2312" w:hAnsi="仿宋" w:cs="宋体"/>
          <w:b/>
          <w:color w:val="000000"/>
          <w:kern w:val="0"/>
          <w:szCs w:val="28"/>
          <w:highlight w:val="none"/>
        </w:rPr>
        <w:t>综上，该指标满分</w:t>
      </w:r>
      <w:r>
        <w:rPr>
          <w:rFonts w:ascii="仿宋_GB2312" w:hAnsi="仿宋" w:cs="宋体"/>
          <w:b/>
          <w:color w:val="000000"/>
          <w:kern w:val="0"/>
          <w:szCs w:val="28"/>
          <w:highlight w:val="none"/>
        </w:rPr>
        <w:t>6</w:t>
      </w:r>
      <w:r>
        <w:rPr>
          <w:rFonts w:hint="eastAsia" w:ascii="仿宋_GB2312" w:hAnsi="仿宋" w:cs="宋体"/>
          <w:b/>
          <w:color w:val="000000"/>
          <w:kern w:val="0"/>
          <w:szCs w:val="28"/>
          <w:highlight w:val="none"/>
        </w:rPr>
        <w:t>分，得分6分。</w:t>
      </w:r>
    </w:p>
    <w:p>
      <w:pPr>
        <w:pStyle w:val="3"/>
        <w:ind w:firstLine="643"/>
        <w:rPr>
          <w:rFonts w:ascii="仿宋" w:hAnsi="仿宋" w:eastAsia="仿宋"/>
          <w:color w:val="000000"/>
          <w:highlight w:val="none"/>
          <w:lang w:bidi="en-US"/>
        </w:rPr>
      </w:pPr>
      <w:bookmarkStart w:id="40" w:name="_Toc67911613"/>
      <w:bookmarkStart w:id="41" w:name="_Toc165277245"/>
      <w:r>
        <w:rPr>
          <w:rFonts w:hint="eastAsia" w:ascii="仿宋" w:hAnsi="仿宋" w:eastAsia="仿宋"/>
          <w:color w:val="000000"/>
          <w:highlight w:val="none"/>
          <w:lang w:bidi="en-US"/>
        </w:rPr>
        <w:t>（二）项目过程情况</w:t>
      </w:r>
      <w:bookmarkEnd w:id="40"/>
      <w:bookmarkEnd w:id="41"/>
    </w:p>
    <w:p>
      <w:pPr>
        <w:spacing w:line="360" w:lineRule="auto"/>
        <w:ind w:firstLine="560"/>
        <w:rPr>
          <w:rFonts w:ascii="仿宋_GB2312"/>
          <w:color w:val="000000"/>
          <w:szCs w:val="28"/>
          <w:highlight w:val="none"/>
        </w:rPr>
      </w:pPr>
      <w:r>
        <w:rPr>
          <w:rFonts w:hint="eastAsia" w:ascii="仿宋_GB2312"/>
          <w:color w:val="000000"/>
          <w:szCs w:val="28"/>
          <w:highlight w:val="none"/>
        </w:rPr>
        <w:t>项目过程指标由2个二级指标和</w:t>
      </w:r>
      <w:r>
        <w:rPr>
          <w:rFonts w:ascii="仿宋_GB2312"/>
          <w:color w:val="000000"/>
          <w:szCs w:val="28"/>
          <w:highlight w:val="none"/>
        </w:rPr>
        <w:t>5</w:t>
      </w:r>
      <w:r>
        <w:rPr>
          <w:rFonts w:hint="eastAsia" w:ascii="仿宋_GB2312"/>
          <w:color w:val="000000"/>
          <w:szCs w:val="28"/>
          <w:highlight w:val="none"/>
        </w:rPr>
        <w:t>个三级指标构成，权重为</w:t>
      </w:r>
      <w:r>
        <w:rPr>
          <w:rFonts w:ascii="仿宋_GB2312"/>
          <w:color w:val="000000"/>
          <w:szCs w:val="28"/>
          <w:highlight w:val="none"/>
        </w:rPr>
        <w:t>20</w:t>
      </w:r>
      <w:r>
        <w:rPr>
          <w:rFonts w:hint="eastAsia" w:ascii="仿宋_GB2312"/>
          <w:color w:val="000000"/>
          <w:szCs w:val="28"/>
          <w:highlight w:val="none"/>
        </w:rPr>
        <w:t>分，实际得分20分。</w:t>
      </w:r>
    </w:p>
    <w:p>
      <w:pPr>
        <w:pStyle w:val="4"/>
        <w:ind w:firstLine="643"/>
        <w:rPr>
          <w:color w:val="000000"/>
          <w:highlight w:val="none"/>
        </w:rPr>
      </w:pPr>
      <w:bookmarkStart w:id="42" w:name="_Toc165277246"/>
      <w:r>
        <w:rPr>
          <w:color w:val="000000"/>
          <w:highlight w:val="none"/>
        </w:rPr>
        <w:t>1.</w:t>
      </w:r>
      <w:r>
        <w:rPr>
          <w:rFonts w:hint="eastAsia"/>
          <w:color w:val="000000"/>
          <w:highlight w:val="none"/>
        </w:rPr>
        <w:t>资金管理</w:t>
      </w:r>
      <w:bookmarkEnd w:id="42"/>
    </w:p>
    <w:p>
      <w:pPr>
        <w:spacing w:line="360" w:lineRule="auto"/>
        <w:ind w:firstLine="562"/>
        <w:rPr>
          <w:rFonts w:ascii="仿宋_GB2312"/>
          <w:color w:val="000000"/>
          <w:szCs w:val="28"/>
          <w:highlight w:val="none"/>
        </w:rPr>
      </w:pPr>
      <w:r>
        <w:rPr>
          <w:rFonts w:hint="eastAsia" w:ascii="仿宋_GB2312"/>
          <w:b/>
          <w:bCs/>
          <w:color w:val="000000"/>
          <w:szCs w:val="28"/>
          <w:highlight w:val="none"/>
        </w:rPr>
        <w:t>资金到位率：</w:t>
      </w:r>
      <w:r>
        <w:rPr>
          <w:rFonts w:hint="eastAsia" w:ascii="仿宋_GB2312" w:hAnsi="仿宋" w:cs="宋体"/>
          <w:bCs/>
          <w:color w:val="000000"/>
          <w:kern w:val="0"/>
          <w:szCs w:val="28"/>
          <w:highlight w:val="none"/>
        </w:rPr>
        <w:t>该项目资金由财政拨付，预算批复3056万元，在2024年7月9日通过《关于拨付乌鲁木齐市中医药传承创新发展示范试点项目市级财政经费的通知》（乌财社〔2024〕74号）拨付资金</w:t>
      </w:r>
      <w:r>
        <w:rPr>
          <w:rFonts w:hint="eastAsia" w:ascii="仿宋_GB2312" w:hAnsi="仿宋" w:cs="宋体"/>
          <w:bCs/>
          <w:color w:val="000000"/>
          <w:kern w:val="0"/>
          <w:szCs w:val="28"/>
          <w:highlight w:val="none"/>
        </w:rPr>
        <w:t>3056</w:t>
      </w:r>
      <w:r>
        <w:rPr>
          <w:rFonts w:hint="eastAsia" w:ascii="仿宋_GB2312" w:hAnsi="仿宋" w:cs="宋体"/>
          <w:bCs/>
          <w:color w:val="000000"/>
          <w:kern w:val="0"/>
          <w:szCs w:val="28"/>
          <w:highlight w:val="none"/>
        </w:rPr>
        <w:t>万元，</w:t>
      </w:r>
      <w:r>
        <w:rPr>
          <w:rFonts w:hint="eastAsia" w:ascii="仿宋_GB2312" w:hAnsi="仿宋" w:cs="宋体"/>
          <w:bCs/>
          <w:color w:val="000000"/>
          <w:kern w:val="0"/>
          <w:szCs w:val="28"/>
          <w:highlight w:val="none"/>
          <w:lang w:val="en-US" w:eastAsia="zh-CN"/>
        </w:rPr>
        <w:t>年中资金调整为</w:t>
      </w:r>
      <w:r>
        <w:rPr>
          <w:rFonts w:hint="eastAsia" w:ascii="仿宋_GB2312" w:hAnsi="仿宋" w:cs="宋体"/>
          <w:bCs/>
          <w:color w:val="000000"/>
          <w:kern w:val="0"/>
          <w:szCs w:val="28"/>
          <w:highlight w:val="none"/>
        </w:rPr>
        <w:t>1430.59万元</w:t>
      </w:r>
      <w:r>
        <w:rPr>
          <w:rFonts w:ascii="仿宋_GB2312" w:hAnsi="仿宋" w:cs="宋体"/>
          <w:bCs/>
          <w:color w:val="000000"/>
          <w:kern w:val="0"/>
          <w:szCs w:val="28"/>
          <w:highlight w:val="none"/>
        </w:rPr>
        <w:t>，</w:t>
      </w:r>
      <w:r>
        <w:rPr>
          <w:rFonts w:hint="eastAsia" w:ascii="仿宋_GB2312" w:hAnsi="仿宋" w:cs="宋体"/>
          <w:bCs/>
          <w:color w:val="000000"/>
          <w:kern w:val="0"/>
          <w:szCs w:val="28"/>
          <w:highlight w:val="none"/>
        </w:rPr>
        <w:t>资金到位率</w:t>
      </w:r>
      <w:r>
        <w:rPr>
          <w:rFonts w:ascii="仿宋_GB2312" w:hAnsi="仿宋" w:cs="宋体"/>
          <w:bCs/>
          <w:color w:val="000000"/>
          <w:kern w:val="0"/>
          <w:szCs w:val="28"/>
          <w:highlight w:val="none"/>
        </w:rPr>
        <w:t>46.82%</w:t>
      </w:r>
      <w:r>
        <w:rPr>
          <w:rFonts w:hint="eastAsia" w:ascii="仿宋_GB2312" w:hAnsi="仿宋" w:cs="宋体"/>
          <w:bCs/>
          <w:color w:val="000000"/>
          <w:kern w:val="0"/>
          <w:szCs w:val="28"/>
          <w:highlight w:val="none"/>
        </w:rPr>
        <w:t>%，</w:t>
      </w:r>
      <w:r>
        <w:rPr>
          <w:rFonts w:hint="eastAsia" w:ascii="仿宋_GB2312" w:hAnsi="仿宋" w:cs="宋体"/>
          <w:color w:val="000000"/>
          <w:kern w:val="0"/>
          <w:szCs w:val="28"/>
          <w:highlight w:val="none"/>
        </w:rPr>
        <w:t>故资金到位率指标得分</w:t>
      </w:r>
      <w:r>
        <w:rPr>
          <w:rFonts w:ascii="仿宋_GB2312" w:hAnsi="仿宋" w:cs="宋体"/>
          <w:color w:val="000000"/>
          <w:kern w:val="0"/>
          <w:szCs w:val="28"/>
          <w:highlight w:val="none"/>
        </w:rPr>
        <w:t>2.34</w:t>
      </w:r>
      <w:r>
        <w:rPr>
          <w:rFonts w:hint="eastAsia" w:ascii="仿宋_GB2312" w:hAnsi="仿宋" w:cs="宋体"/>
          <w:color w:val="000000"/>
          <w:kern w:val="0"/>
          <w:szCs w:val="28"/>
          <w:highlight w:val="none"/>
        </w:rPr>
        <w:t>分。</w:t>
      </w:r>
    </w:p>
    <w:p>
      <w:pPr>
        <w:spacing w:line="360" w:lineRule="auto"/>
        <w:ind w:firstLine="560"/>
        <w:rPr>
          <w:rFonts w:ascii="仿宋_GB2312"/>
          <w:color w:val="000000"/>
          <w:szCs w:val="28"/>
          <w:highlight w:val="none"/>
        </w:rPr>
      </w:pPr>
    </w:p>
    <w:p>
      <w:pPr>
        <w:spacing w:line="360" w:lineRule="auto"/>
        <w:ind w:firstLine="562"/>
        <w:rPr>
          <w:rFonts w:ascii="仿宋_GB2312"/>
          <w:color w:val="000000"/>
          <w:szCs w:val="28"/>
          <w:highlight w:val="none"/>
        </w:rPr>
      </w:pPr>
      <w:r>
        <w:rPr>
          <w:rFonts w:hint="eastAsia" w:ascii="仿宋_GB2312"/>
          <w:b/>
          <w:bCs/>
          <w:color w:val="000000"/>
          <w:szCs w:val="28"/>
          <w:highlight w:val="none"/>
        </w:rPr>
        <w:t>预算执行率：</w:t>
      </w:r>
      <w:r>
        <w:rPr>
          <w:rFonts w:hint="eastAsia" w:ascii="仿宋_GB2312"/>
          <w:color w:val="000000"/>
          <w:szCs w:val="28"/>
          <w:highlight w:val="none"/>
        </w:rPr>
        <w:t>该项目资金用于启动乌鲁木齐市中医药师承教育基地建设、学术流派挖掘传承和名老中医工作室建设项目，培养中医类别全科医师及中西医结合人才目标，提升专科医疗服务能力及急危重症救治能力；开展中医药文化传播工作，建设共享中药房，启动智慧中医院建设，完成后续项目规划设计；总结“西域内科学术流派”“熊氏肛肠外科流派”学术传承谱。10月支付赵飞、刘晖、马燕等人培训费15.91万元；11月支付任静、邱枫、马燕等人培训费8.63万元，国药控股新疆新特参茸药业有限公司专用设备购置费132.59万元，国药控股新疆新特西部药业有限公司专用设备购置费476.54万元，国药控股新疆化玻医疗器械有限公司专用设备购置费232.36万元，乌鲁木齐东阳高峰医疗设备有限公司专用设备购置费100万元，新疆诺和众商贸有限公司专用设备购置费72.38万元，中外运医疗科技（成都）有限公司专用设备购置费336.7万元，成都欣科因子医学检验实验室有限公司委托业务费16.66万元，乌鲁木齐格林金诺生物科技有限公司委托业务费1.99万元、专用材料费1.69万元，新疆华申青研生物科技有限公司委托业务费25.99万元；12月支付刘蕊、贾红娥、王芳等人培训费9.15万元。共执行资金1430.59万元，1430.59/1430.59*5=5故预算执行率得分为5分。</w:t>
      </w:r>
    </w:p>
    <w:p>
      <w:pPr>
        <w:spacing w:line="360" w:lineRule="auto"/>
        <w:ind w:firstLine="560"/>
        <w:rPr>
          <w:rFonts w:ascii="仿宋_GB2312"/>
          <w:color w:val="000000"/>
          <w:szCs w:val="28"/>
          <w:highlight w:val="none"/>
        </w:rPr>
      </w:pPr>
    </w:p>
    <w:p>
      <w:pPr>
        <w:spacing w:line="360" w:lineRule="auto"/>
        <w:ind w:firstLine="562"/>
        <w:rPr>
          <w:rFonts w:ascii="仿宋_GB2312"/>
          <w:color w:val="000000"/>
          <w:szCs w:val="28"/>
          <w:highlight w:val="none"/>
        </w:rPr>
      </w:pPr>
      <w:r>
        <w:rPr>
          <w:rFonts w:hint="eastAsia" w:ascii="仿宋_GB2312"/>
          <w:b/>
          <w:bCs/>
          <w:color w:val="000000"/>
          <w:szCs w:val="28"/>
          <w:highlight w:val="none"/>
        </w:rPr>
        <w:t>资金使用合规性：</w:t>
      </w:r>
      <w:r>
        <w:rPr>
          <w:rFonts w:hint="eastAsia" w:ascii="仿宋_GB2312"/>
          <w:color w:val="000000"/>
          <w:szCs w:val="28"/>
          <w:highlight w:val="none"/>
        </w:rPr>
        <w:t>本项目资金使用严格遵循本单位的《财政专项资金使用制度》的规定</w:t>
      </w:r>
      <w:r>
        <w:rPr>
          <w:rFonts w:hint="eastAsia" w:ascii="仿宋_GB2312"/>
          <w:color w:val="000000"/>
          <w:szCs w:val="28"/>
          <w:highlight w:val="none"/>
          <w:lang w:eastAsia="zh-CN"/>
        </w:rPr>
        <w:t>，坚持“统一领导、科学设立、分类管理、规范使用、绩效优先、公开透明、跟踪监督”的原则，严格按照事前申请、事中控制、事后监督的流程，确保专款专用。</w:t>
      </w:r>
      <w:r>
        <w:rPr>
          <w:rFonts w:hint="eastAsia" w:ascii="仿宋_GB2312"/>
          <w:color w:val="000000"/>
          <w:szCs w:val="28"/>
          <w:highlight w:val="none"/>
        </w:rPr>
        <w:t>同时，资金的拨付有使用计划的申请和资金支付的审批程序，需要项目负责人、项目管理科室、分管院领导、财务科长和分管财务的院领导签批手续，符合项目预算批复或合同规定的用途，不存在截留、挤占、挪用、虚列支出等情况。故资金使用合规性得分为3分。</w:t>
      </w:r>
    </w:p>
    <w:p>
      <w:pPr>
        <w:autoSpaceDE w:val="0"/>
        <w:spacing w:line="600" w:lineRule="exact"/>
        <w:ind w:firstLine="562"/>
        <w:rPr>
          <w:rFonts w:ascii="仿宋_GB2312" w:hAnsi="仿宋" w:cs="宋体"/>
          <w:b/>
          <w:color w:val="000000"/>
          <w:kern w:val="0"/>
          <w:szCs w:val="28"/>
          <w:highlight w:val="none"/>
        </w:rPr>
      </w:pPr>
      <w:r>
        <w:rPr>
          <w:rFonts w:hint="eastAsia" w:ascii="仿宋_GB2312" w:hAnsi="仿宋" w:cs="宋体"/>
          <w:b/>
          <w:color w:val="000000"/>
          <w:kern w:val="0"/>
          <w:szCs w:val="28"/>
          <w:highlight w:val="none"/>
        </w:rPr>
        <w:t>综上，该指标满分</w:t>
      </w:r>
      <w:r>
        <w:rPr>
          <w:rFonts w:ascii="仿宋_GB2312" w:hAnsi="仿宋" w:cs="宋体"/>
          <w:b/>
          <w:color w:val="000000"/>
          <w:kern w:val="0"/>
          <w:szCs w:val="28"/>
          <w:highlight w:val="none"/>
        </w:rPr>
        <w:t>13</w:t>
      </w:r>
      <w:r>
        <w:rPr>
          <w:rFonts w:hint="eastAsia" w:ascii="仿宋_GB2312" w:hAnsi="仿宋" w:cs="宋体"/>
          <w:b/>
          <w:color w:val="000000"/>
          <w:kern w:val="0"/>
          <w:szCs w:val="28"/>
          <w:highlight w:val="none"/>
        </w:rPr>
        <w:t>分，得分13分。</w:t>
      </w:r>
    </w:p>
    <w:p>
      <w:pPr>
        <w:pStyle w:val="4"/>
        <w:ind w:firstLine="643"/>
        <w:rPr>
          <w:color w:val="000000"/>
          <w:highlight w:val="none"/>
        </w:rPr>
      </w:pPr>
      <w:bookmarkStart w:id="43" w:name="_Toc165277247"/>
      <w:r>
        <w:rPr>
          <w:color w:val="000000"/>
          <w:highlight w:val="none"/>
        </w:rPr>
        <w:t>2.</w:t>
      </w:r>
      <w:r>
        <w:rPr>
          <w:rFonts w:hint="eastAsia"/>
          <w:color w:val="000000"/>
          <w:highlight w:val="none"/>
        </w:rPr>
        <w:t>组织实施</w:t>
      </w:r>
      <w:bookmarkEnd w:id="43"/>
    </w:p>
    <w:p>
      <w:pPr>
        <w:spacing w:line="360" w:lineRule="auto"/>
        <w:ind w:firstLine="562"/>
        <w:rPr>
          <w:rFonts w:ascii="仿宋_GB2312"/>
          <w:color w:val="000000"/>
          <w:szCs w:val="28"/>
          <w:highlight w:val="none"/>
        </w:rPr>
      </w:pPr>
      <w:r>
        <w:rPr>
          <w:rFonts w:hint="eastAsia" w:ascii="仿宋_GB2312"/>
          <w:b/>
          <w:bCs/>
          <w:color w:val="000000"/>
          <w:szCs w:val="28"/>
          <w:highlight w:val="none"/>
        </w:rPr>
        <w:t>管理制度健全性</w:t>
      </w:r>
      <w:r>
        <w:rPr>
          <w:rFonts w:hint="eastAsia" w:ascii="仿宋_GB2312"/>
          <w:color w:val="000000"/>
          <w:szCs w:val="28"/>
          <w:highlight w:val="none"/>
        </w:rPr>
        <w:t>：</w:t>
      </w:r>
      <w:r>
        <w:rPr>
          <w:rFonts w:hint="eastAsia" w:ascii="仿宋_GB2312"/>
          <w:color w:val="000000"/>
          <w:szCs w:val="28"/>
          <w:highlight w:val="none"/>
          <w:lang w:val="en-US" w:eastAsia="zh-CN"/>
        </w:rPr>
        <w:t>我院</w:t>
      </w:r>
      <w:r>
        <w:rPr>
          <w:rFonts w:hint="eastAsia" w:ascii="仿宋_GB2312"/>
          <w:color w:val="000000"/>
          <w:szCs w:val="28"/>
          <w:highlight w:val="none"/>
        </w:rPr>
        <w:t>高度重视财政项目管理制度建设，依据国家财政法规、中医药行业政策以及医院实际情况，制定了一套全面、系统的财政项目管理制度体系</w:t>
      </w:r>
      <w:r>
        <w:rPr>
          <w:rFonts w:hint="eastAsia" w:ascii="仿宋_GB2312"/>
          <w:color w:val="000000"/>
          <w:szCs w:val="28"/>
          <w:highlight w:val="none"/>
          <w:lang w:eastAsia="zh-CN"/>
        </w:rPr>
        <w:t>，</w:t>
      </w:r>
      <w:r>
        <w:rPr>
          <w:rFonts w:hint="eastAsia" w:ascii="仿宋_GB2312"/>
          <w:color w:val="000000"/>
          <w:szCs w:val="28"/>
          <w:highlight w:val="none"/>
        </w:rPr>
        <w:t>涵盖项目立项管理、资金管理、实施过程管理、</w:t>
      </w:r>
      <w:r>
        <w:rPr>
          <w:rFonts w:hint="eastAsia" w:ascii="仿宋_GB2312"/>
          <w:color w:val="000000"/>
          <w:szCs w:val="28"/>
          <w:highlight w:val="none"/>
          <w:lang w:val="en-US" w:eastAsia="zh-CN"/>
        </w:rPr>
        <w:t>评价</w:t>
      </w:r>
      <w:r>
        <w:rPr>
          <w:rFonts w:hint="eastAsia" w:ascii="仿宋_GB2312"/>
          <w:color w:val="000000"/>
          <w:szCs w:val="28"/>
          <w:highlight w:val="none"/>
        </w:rPr>
        <w:t>管理等项目全生命周期的各个环节。在资金管理方面，制定了《</w:t>
      </w:r>
      <w:r>
        <w:rPr>
          <w:rFonts w:hint="eastAsia" w:ascii="仿宋_GB2312"/>
          <w:color w:val="000000"/>
          <w:szCs w:val="28"/>
          <w:highlight w:val="none"/>
          <w:lang w:val="en-US" w:eastAsia="zh-CN"/>
        </w:rPr>
        <w:t>乌鲁木齐市中医医院</w:t>
      </w:r>
      <w:r>
        <w:rPr>
          <w:rFonts w:hint="eastAsia" w:ascii="仿宋_GB2312"/>
          <w:color w:val="000000"/>
          <w:szCs w:val="28"/>
          <w:highlight w:val="none"/>
        </w:rPr>
        <w:t>财政专项资金使用制度》，明确规定资金的预算编制、拨付使用、核算监督等流程与要求，</w:t>
      </w:r>
      <w:r>
        <w:rPr>
          <w:rFonts w:hint="eastAsia" w:ascii="仿宋_GB2312"/>
          <w:color w:val="000000"/>
          <w:szCs w:val="28"/>
          <w:highlight w:val="none"/>
          <w:lang w:eastAsia="zh-CN"/>
        </w:rPr>
        <w:t>划分专项资金管理权责，</w:t>
      </w:r>
      <w:r>
        <w:rPr>
          <w:rFonts w:hint="eastAsia" w:ascii="仿宋_GB2312"/>
          <w:color w:val="000000"/>
          <w:szCs w:val="28"/>
          <w:highlight w:val="none"/>
        </w:rPr>
        <w:t>确保资金专款专用、规范使用；在项目实施过程管理</w:t>
      </w:r>
      <w:r>
        <w:rPr>
          <w:rFonts w:hint="eastAsia" w:ascii="仿宋_GB2312"/>
          <w:color w:val="000000"/>
          <w:szCs w:val="28"/>
          <w:highlight w:val="none"/>
          <w:lang w:val="en-US" w:eastAsia="zh-CN"/>
        </w:rPr>
        <w:t>和评价</w:t>
      </w:r>
      <w:r>
        <w:rPr>
          <w:rFonts w:hint="eastAsia" w:ascii="仿宋_GB2312"/>
          <w:color w:val="000000"/>
          <w:szCs w:val="28"/>
          <w:highlight w:val="none"/>
          <w:lang w:eastAsia="zh-CN"/>
        </w:rPr>
        <w:t>管理方面，制定《</w:t>
      </w:r>
      <w:r>
        <w:rPr>
          <w:rFonts w:hint="eastAsia" w:ascii="仿宋_GB2312"/>
          <w:color w:val="000000"/>
          <w:szCs w:val="28"/>
          <w:highlight w:val="none"/>
          <w:lang w:val="en-US" w:eastAsia="zh-CN"/>
        </w:rPr>
        <w:t>财政转移资金项目绩效评价管理制度</w:t>
      </w:r>
      <w:r>
        <w:rPr>
          <w:rFonts w:hint="eastAsia" w:ascii="仿宋_GB2312"/>
          <w:color w:val="000000"/>
          <w:szCs w:val="28"/>
          <w:highlight w:val="none"/>
          <w:lang w:eastAsia="zh-CN"/>
        </w:rPr>
        <w:t>》，</w:t>
      </w:r>
      <w:r>
        <w:rPr>
          <w:rFonts w:hint="eastAsia" w:ascii="仿宋_GB2312"/>
          <w:color w:val="000000"/>
          <w:szCs w:val="28"/>
          <w:highlight w:val="none"/>
        </w:rPr>
        <w:t>对项目进度、质量、安全等方面进行严格把控，要求项目实施科室定期汇报项目进展情况，及时解决项目实施过程中出现的问题；</w:t>
      </w:r>
      <w:r>
        <w:rPr>
          <w:rFonts w:hint="eastAsia" w:ascii="仿宋_GB2312"/>
          <w:color w:val="000000"/>
          <w:szCs w:val="28"/>
          <w:highlight w:val="none"/>
          <w:lang w:val="en-US" w:eastAsia="zh-CN"/>
        </w:rPr>
        <w:t>根据评价结果的反馈，作为明年项目资金用途分配和调整的重要依据，吸取经验教训，合理分配项目资金的使用。并以评价结果为导向，将责任分解落实到项目负责人，对绩效优秀的部门和个人进行奖励，对绩效不佳的部门和个人进行问责，</w:t>
      </w:r>
      <w:r>
        <w:rPr>
          <w:rFonts w:hint="eastAsia" w:ascii="仿宋_GB2312"/>
          <w:color w:val="000000"/>
          <w:szCs w:val="28"/>
          <w:highlight w:val="none"/>
          <w:lang w:eastAsia="zh-CN"/>
        </w:rPr>
        <w:t>确保资金使用合理、规范</w:t>
      </w:r>
      <w:r>
        <w:rPr>
          <w:rFonts w:hint="eastAsia" w:ascii="仿宋_GB2312"/>
          <w:color w:val="000000"/>
          <w:szCs w:val="28"/>
          <w:highlight w:val="none"/>
        </w:rPr>
        <w:t>。故管理制度健全性得分为3分。</w:t>
      </w:r>
    </w:p>
    <w:p>
      <w:pPr>
        <w:spacing w:line="360" w:lineRule="auto"/>
        <w:ind w:firstLine="562"/>
        <w:rPr>
          <w:rFonts w:ascii="仿宋_GB2312"/>
          <w:color w:val="000000"/>
          <w:szCs w:val="28"/>
          <w:highlight w:val="none"/>
        </w:rPr>
      </w:pPr>
      <w:r>
        <w:rPr>
          <w:rFonts w:hint="eastAsia" w:ascii="仿宋_GB2312"/>
          <w:b/>
          <w:bCs/>
          <w:color w:val="000000"/>
          <w:szCs w:val="28"/>
          <w:highlight w:val="none"/>
        </w:rPr>
        <w:t>制度执行有效性：</w:t>
      </w:r>
      <w:r>
        <w:rPr>
          <w:rFonts w:hint="eastAsia" w:ascii="仿宋_GB2312"/>
          <w:color w:val="000000"/>
          <w:szCs w:val="28"/>
          <w:highlight w:val="none"/>
        </w:rPr>
        <w:t>根据评价小组核查情况，乌鲁木齐市中医医院严格遵守相关法律法规和相关管理规定，项目调整及支出调整手续完备，整体管理合理有序，项目完成后，及时将会计凭证、固定资产入库单等相关资料分类归档，制度执行有效。故制度执行有效性指标得分</w:t>
      </w:r>
      <w:r>
        <w:rPr>
          <w:rFonts w:ascii="仿宋_GB2312"/>
          <w:color w:val="000000"/>
          <w:szCs w:val="28"/>
          <w:highlight w:val="none"/>
        </w:rPr>
        <w:t>4</w:t>
      </w:r>
      <w:r>
        <w:rPr>
          <w:rFonts w:hint="eastAsia" w:ascii="仿宋_GB2312"/>
          <w:color w:val="000000"/>
          <w:szCs w:val="28"/>
          <w:highlight w:val="none"/>
        </w:rPr>
        <w:t>分。</w:t>
      </w:r>
    </w:p>
    <w:p>
      <w:pPr>
        <w:autoSpaceDE w:val="0"/>
        <w:spacing w:line="600" w:lineRule="exact"/>
        <w:ind w:firstLine="562"/>
        <w:rPr>
          <w:rFonts w:ascii="仿宋_GB2312" w:hAnsi="仿宋" w:cs="宋体"/>
          <w:b/>
          <w:color w:val="000000"/>
          <w:kern w:val="0"/>
          <w:szCs w:val="28"/>
          <w:highlight w:val="none"/>
        </w:rPr>
      </w:pPr>
      <w:bookmarkStart w:id="44" w:name="_Hlk67670213"/>
      <w:r>
        <w:rPr>
          <w:rFonts w:hint="eastAsia" w:ascii="仿宋_GB2312" w:hAnsi="仿宋" w:cs="宋体"/>
          <w:b/>
          <w:color w:val="000000"/>
          <w:kern w:val="0"/>
          <w:szCs w:val="28"/>
          <w:highlight w:val="none"/>
        </w:rPr>
        <w:t>综上，该指标满分</w:t>
      </w:r>
      <w:r>
        <w:rPr>
          <w:rFonts w:ascii="仿宋_GB2312" w:hAnsi="仿宋" w:cs="宋体"/>
          <w:b/>
          <w:color w:val="000000"/>
          <w:kern w:val="0"/>
          <w:szCs w:val="28"/>
          <w:highlight w:val="none"/>
        </w:rPr>
        <w:t>7</w:t>
      </w:r>
      <w:r>
        <w:rPr>
          <w:rFonts w:hint="eastAsia" w:ascii="仿宋_GB2312" w:hAnsi="仿宋" w:cs="宋体"/>
          <w:b/>
          <w:color w:val="000000"/>
          <w:kern w:val="0"/>
          <w:szCs w:val="28"/>
          <w:highlight w:val="none"/>
        </w:rPr>
        <w:t>分，得分</w:t>
      </w:r>
      <w:r>
        <w:rPr>
          <w:rFonts w:ascii="仿宋_GB2312" w:hAnsi="仿宋" w:cs="宋体"/>
          <w:b/>
          <w:color w:val="000000"/>
          <w:kern w:val="0"/>
          <w:szCs w:val="28"/>
          <w:highlight w:val="none"/>
        </w:rPr>
        <w:t>7</w:t>
      </w:r>
      <w:r>
        <w:rPr>
          <w:rFonts w:hint="eastAsia" w:ascii="仿宋_GB2312" w:hAnsi="仿宋" w:cs="宋体"/>
          <w:b/>
          <w:color w:val="000000"/>
          <w:kern w:val="0"/>
          <w:szCs w:val="28"/>
          <w:highlight w:val="none"/>
        </w:rPr>
        <w:t>分。</w:t>
      </w:r>
    </w:p>
    <w:bookmarkEnd w:id="44"/>
    <w:p>
      <w:pPr>
        <w:pStyle w:val="3"/>
        <w:ind w:firstLine="643"/>
        <w:rPr>
          <w:rFonts w:ascii="仿宋" w:hAnsi="仿宋" w:eastAsia="仿宋"/>
          <w:color w:val="000000"/>
          <w:highlight w:val="none"/>
          <w:lang w:bidi="en-US"/>
        </w:rPr>
      </w:pPr>
      <w:bookmarkStart w:id="45" w:name="_Toc165277248"/>
      <w:bookmarkStart w:id="46" w:name="_Toc67911614"/>
      <w:r>
        <w:rPr>
          <w:rFonts w:hint="eastAsia" w:ascii="仿宋" w:hAnsi="仿宋" w:eastAsia="仿宋"/>
          <w:color w:val="000000"/>
          <w:highlight w:val="none"/>
          <w:lang w:bidi="en-US"/>
        </w:rPr>
        <w:t>（三）项目产出情况</w:t>
      </w:r>
      <w:bookmarkEnd w:id="45"/>
      <w:bookmarkEnd w:id="46"/>
    </w:p>
    <w:p>
      <w:pPr>
        <w:spacing w:line="360" w:lineRule="auto"/>
        <w:ind w:firstLine="560"/>
        <w:rPr>
          <w:rFonts w:ascii="仿宋_GB2312"/>
          <w:color w:val="000000"/>
          <w:szCs w:val="28"/>
          <w:highlight w:val="none"/>
        </w:rPr>
      </w:pPr>
      <w:r>
        <w:rPr>
          <w:rFonts w:hint="eastAsia" w:ascii="仿宋_GB2312"/>
          <w:color w:val="000000"/>
          <w:szCs w:val="28"/>
          <w:highlight w:val="none"/>
        </w:rPr>
        <w:t>项目产出指标由</w:t>
      </w:r>
      <w:r>
        <w:rPr>
          <w:rFonts w:hint="eastAsia" w:ascii="仿宋_GB2312"/>
          <w:color w:val="000000"/>
          <w:szCs w:val="28"/>
          <w:highlight w:val="none"/>
          <w:lang w:val="en-US" w:eastAsia="zh-CN"/>
        </w:rPr>
        <w:t>4</w:t>
      </w:r>
      <w:r>
        <w:rPr>
          <w:rFonts w:hint="eastAsia" w:ascii="仿宋_GB2312"/>
          <w:color w:val="000000"/>
          <w:szCs w:val="28"/>
          <w:highlight w:val="none"/>
        </w:rPr>
        <w:t>个二级指标和</w:t>
      </w:r>
      <w:r>
        <w:rPr>
          <w:rFonts w:hint="eastAsia" w:ascii="仿宋_GB2312"/>
          <w:color w:val="000000"/>
          <w:szCs w:val="28"/>
          <w:highlight w:val="none"/>
          <w:lang w:val="en-US" w:eastAsia="zh-CN"/>
        </w:rPr>
        <w:t>7</w:t>
      </w:r>
      <w:r>
        <w:rPr>
          <w:rFonts w:hint="eastAsia" w:ascii="仿宋_GB2312"/>
          <w:color w:val="000000"/>
          <w:szCs w:val="28"/>
          <w:highlight w:val="none"/>
        </w:rPr>
        <w:t>个三级指标构成，权重为40分，实际得分40分。</w:t>
      </w:r>
    </w:p>
    <w:p>
      <w:pPr>
        <w:pStyle w:val="4"/>
        <w:ind w:firstLine="643"/>
        <w:rPr>
          <w:color w:val="000000"/>
          <w:highlight w:val="none"/>
        </w:rPr>
      </w:pPr>
      <w:bookmarkStart w:id="47" w:name="_Toc165277249"/>
      <w:r>
        <w:rPr>
          <w:rFonts w:hint="eastAsia"/>
          <w:color w:val="000000"/>
          <w:highlight w:val="none"/>
        </w:rPr>
        <w:t>1</w:t>
      </w:r>
      <w:r>
        <w:rPr>
          <w:color w:val="000000"/>
          <w:highlight w:val="none"/>
        </w:rPr>
        <w:t>.</w:t>
      </w:r>
      <w:r>
        <w:rPr>
          <w:rFonts w:hint="eastAsia"/>
          <w:color w:val="000000"/>
          <w:highlight w:val="none"/>
        </w:rPr>
        <w:t>产出数量</w:t>
      </w:r>
      <w:bookmarkEnd w:id="47"/>
    </w:p>
    <w:p>
      <w:pPr>
        <w:spacing w:line="360" w:lineRule="auto"/>
        <w:ind w:firstLine="560"/>
        <w:rPr>
          <w:rFonts w:ascii="仿宋_GB2312"/>
          <w:color w:val="000000"/>
          <w:szCs w:val="28"/>
          <w:highlight w:val="none"/>
        </w:rPr>
      </w:pPr>
      <w:r>
        <w:rPr>
          <w:rFonts w:hint="eastAsia" w:ascii="仿宋_GB2312"/>
          <w:bCs/>
          <w:color w:val="000000"/>
          <w:szCs w:val="28"/>
          <w:highlight w:val="none"/>
        </w:rPr>
        <w:t>数量指标 “</w:t>
      </w:r>
      <w:r>
        <w:rPr>
          <w:rFonts w:hint="eastAsia" w:ascii="仿宋_GB2312"/>
          <w:bCs/>
          <w:color w:val="000000"/>
          <w:szCs w:val="28"/>
          <w:highlight w:val="none"/>
        </w:rPr>
        <w:t>医疗设备购置数”</w:t>
      </w:r>
      <w:r>
        <w:rPr>
          <w:rFonts w:hint="eastAsia" w:ascii="仿宋_GB2312"/>
          <w:bCs/>
          <w:color w:val="000000"/>
          <w:szCs w:val="28"/>
          <w:highlight w:val="none"/>
        </w:rPr>
        <w:t>完成100%，“</w:t>
      </w:r>
      <w:r>
        <w:rPr>
          <w:rFonts w:hint="eastAsia" w:ascii="仿宋_GB2312"/>
          <w:bCs/>
          <w:color w:val="000000"/>
          <w:szCs w:val="28"/>
          <w:highlight w:val="none"/>
        </w:rPr>
        <w:t>医疗设备购置数”</w:t>
      </w:r>
      <w:r>
        <w:rPr>
          <w:rFonts w:hint="eastAsia" w:ascii="仿宋_GB2312"/>
          <w:bCs/>
          <w:color w:val="000000"/>
          <w:szCs w:val="28"/>
          <w:highlight w:val="none"/>
        </w:rPr>
        <w:t>目标值</w:t>
      </w:r>
      <w:r>
        <w:rPr>
          <w:rFonts w:hint="eastAsia" w:ascii="仿宋_GB2312"/>
          <w:bCs/>
          <w:color w:val="000000"/>
          <w:szCs w:val="28"/>
          <w:highlight w:val="none"/>
          <w:lang w:val="en-US" w:eastAsia="zh-CN"/>
        </w:rPr>
        <w:t>≥</w:t>
      </w:r>
      <w:r>
        <w:rPr>
          <w:rFonts w:hint="eastAsia" w:ascii="仿宋_GB2312"/>
          <w:bCs/>
          <w:color w:val="000000"/>
          <w:szCs w:val="28"/>
          <w:highlight w:val="none"/>
        </w:rPr>
        <w:t>一批，2024</w:t>
      </w:r>
      <w:r>
        <w:rPr>
          <w:rFonts w:ascii="仿宋_GB2312"/>
          <w:bCs/>
          <w:color w:val="000000"/>
          <w:szCs w:val="28"/>
          <w:highlight w:val="none"/>
        </w:rPr>
        <w:t>年度我单位实际完成</w:t>
      </w:r>
      <w:r>
        <w:rPr>
          <w:rFonts w:hint="eastAsia" w:ascii="仿宋_GB2312"/>
          <w:bCs/>
          <w:color w:val="000000"/>
          <w:szCs w:val="28"/>
          <w:highlight w:val="none"/>
        </w:rPr>
        <w:t>所需一批医疗设备购置，</w:t>
      </w:r>
      <w:r>
        <w:rPr>
          <w:rFonts w:hint="eastAsia" w:ascii="仿宋_GB2312"/>
          <w:bCs/>
          <w:color w:val="000000"/>
          <w:szCs w:val="28"/>
          <w:highlight w:val="none"/>
          <w:lang w:eastAsia="zh-CN"/>
        </w:rPr>
        <w:t>包括干眼检测仪、医用超声雾化器、冷空气治疗仪、湿热敷装置、空气压力波治疗仪、艾灸仪、无线多参数监测仪、转运床、医用控温毯、五脏相音分析仪、子午流注低频治疗仪、治疗车、抢救车等一批医疗设备。</w:t>
      </w:r>
      <w:r>
        <w:rPr>
          <w:rFonts w:hint="eastAsia" w:ascii="仿宋_GB2312"/>
          <w:color w:val="000000"/>
          <w:szCs w:val="28"/>
          <w:highlight w:val="none"/>
        </w:rPr>
        <w:t>实际完成率：100%，故实际完成率得分为5分。</w:t>
      </w:r>
    </w:p>
    <w:p>
      <w:pPr>
        <w:spacing w:line="360" w:lineRule="auto"/>
        <w:ind w:firstLine="560"/>
        <w:rPr>
          <w:rFonts w:ascii="仿宋_GB2312"/>
          <w:bCs/>
          <w:color w:val="000000"/>
          <w:szCs w:val="28"/>
          <w:highlight w:val="none"/>
        </w:rPr>
      </w:pPr>
      <w:r>
        <w:rPr>
          <w:rFonts w:hint="eastAsia" w:ascii="仿宋_GB2312"/>
          <w:bCs/>
          <w:color w:val="000000"/>
          <w:szCs w:val="28"/>
          <w:highlight w:val="none"/>
        </w:rPr>
        <w:t>数量指标“人次培养”完成100%，</w:t>
      </w:r>
      <w:r>
        <w:rPr>
          <w:rFonts w:hint="eastAsia" w:ascii="仿宋_GB2312"/>
          <w:bCs/>
          <w:color w:val="000000"/>
          <w:szCs w:val="28"/>
          <w:highlight w:val="none"/>
          <w:lang w:eastAsia="zh-CN"/>
        </w:rPr>
        <w:t>“</w:t>
      </w:r>
      <w:r>
        <w:rPr>
          <w:rFonts w:hint="eastAsia" w:ascii="仿宋_GB2312"/>
          <w:bCs/>
          <w:color w:val="000000"/>
          <w:szCs w:val="28"/>
          <w:highlight w:val="none"/>
        </w:rPr>
        <w:t>人才培养数</w:t>
      </w:r>
      <w:r>
        <w:rPr>
          <w:rFonts w:hint="eastAsia" w:ascii="仿宋_GB2312"/>
          <w:bCs/>
          <w:color w:val="000000"/>
          <w:szCs w:val="28"/>
          <w:highlight w:val="none"/>
          <w:lang w:eastAsia="zh-CN"/>
        </w:rPr>
        <w:t>”</w:t>
      </w:r>
      <w:r>
        <w:rPr>
          <w:rFonts w:hint="eastAsia" w:ascii="仿宋_GB2312"/>
          <w:bCs/>
          <w:color w:val="000000"/>
          <w:szCs w:val="28"/>
          <w:highlight w:val="none"/>
        </w:rPr>
        <w:t>目标值</w:t>
      </w:r>
      <w:r>
        <w:rPr>
          <w:rFonts w:hint="eastAsia" w:ascii="仿宋_GB2312"/>
          <w:bCs/>
          <w:color w:val="000000"/>
          <w:szCs w:val="28"/>
          <w:highlight w:val="none"/>
          <w:lang w:val="en-US" w:eastAsia="zh-CN"/>
        </w:rPr>
        <w:t>≥</w:t>
      </w:r>
      <w:r>
        <w:rPr>
          <w:rFonts w:hint="eastAsia" w:ascii="仿宋_GB2312"/>
          <w:bCs/>
          <w:color w:val="000000"/>
          <w:szCs w:val="28"/>
          <w:highlight w:val="none"/>
        </w:rPr>
        <w:t>50人，</w:t>
      </w:r>
      <w:r>
        <w:rPr>
          <w:rFonts w:ascii="仿宋_GB2312"/>
          <w:bCs/>
          <w:color w:val="000000"/>
          <w:szCs w:val="28"/>
          <w:highlight w:val="none"/>
        </w:rPr>
        <w:t>2024年度我单位</w:t>
      </w:r>
      <w:r>
        <w:rPr>
          <w:rFonts w:hint="eastAsia" w:ascii="仿宋_GB2312"/>
          <w:bCs/>
          <w:color w:val="000000"/>
          <w:szCs w:val="28"/>
          <w:highlight w:val="none"/>
        </w:rPr>
        <w:t>实际完成55人，</w:t>
      </w:r>
      <w:r>
        <w:rPr>
          <w:rFonts w:hint="eastAsia" w:ascii="仿宋_GB2312"/>
          <w:bCs/>
          <w:color w:val="000000"/>
          <w:szCs w:val="28"/>
          <w:highlight w:val="none"/>
          <w:lang w:eastAsia="zh-CN"/>
        </w:rPr>
        <w:t>包括赵飞、刘晖、于小月、孙泉、张庆、韩莉、赵春等</w:t>
      </w:r>
      <w:r>
        <w:rPr>
          <w:rFonts w:hint="eastAsia" w:ascii="仿宋_GB2312"/>
          <w:bCs/>
          <w:color w:val="000000"/>
          <w:szCs w:val="28"/>
          <w:highlight w:val="none"/>
          <w:lang w:val="en-US" w:eastAsia="zh-CN"/>
        </w:rPr>
        <w:t>55人，</w:t>
      </w:r>
      <w:r>
        <w:rPr>
          <w:rFonts w:hint="eastAsia" w:ascii="仿宋_GB2312"/>
          <w:bCs/>
          <w:color w:val="000000"/>
          <w:szCs w:val="28"/>
          <w:highlight w:val="none"/>
        </w:rPr>
        <w:t>原因是医院坚持“强中医、重疗效，传承创新；强专科、育名医，服务全疆”的发展战略，深刻认识到人才是实现这一战略的关键因素，因此将人才培养置于医院发展的重要位置，从顶层设计上保障人才培养工作的有序推进，</w:t>
      </w:r>
      <w:r>
        <w:rPr>
          <w:rFonts w:hint="eastAsia" w:ascii="仿宋_GB2312"/>
          <w:color w:val="000000"/>
          <w:szCs w:val="28"/>
          <w:highlight w:val="none"/>
        </w:rPr>
        <w:t>实际完成率：100%，故实际完成率得分为5分。</w:t>
      </w:r>
    </w:p>
    <w:p>
      <w:pPr>
        <w:spacing w:line="360" w:lineRule="auto"/>
        <w:ind w:firstLine="560"/>
        <w:rPr>
          <w:rFonts w:ascii="仿宋_GB2312"/>
          <w:bCs/>
          <w:color w:val="000000"/>
          <w:szCs w:val="28"/>
          <w:highlight w:val="none"/>
        </w:rPr>
      </w:pPr>
      <w:r>
        <w:rPr>
          <w:rFonts w:ascii="仿宋_GB2312"/>
          <w:color w:val="000000"/>
          <w:szCs w:val="28"/>
          <w:highlight w:val="none"/>
        </w:rPr>
        <w:t>综上，数量指标得分为</w:t>
      </w:r>
      <w:r>
        <w:rPr>
          <w:rFonts w:hint="eastAsia" w:ascii="仿宋_GB2312"/>
          <w:color w:val="000000"/>
          <w:szCs w:val="28"/>
          <w:highlight w:val="none"/>
        </w:rPr>
        <w:t>10</w:t>
      </w:r>
      <w:r>
        <w:rPr>
          <w:rFonts w:ascii="仿宋_GB2312"/>
          <w:color w:val="000000"/>
          <w:szCs w:val="28"/>
          <w:highlight w:val="none"/>
        </w:rPr>
        <w:t>分。</w:t>
      </w:r>
    </w:p>
    <w:p>
      <w:pPr>
        <w:pStyle w:val="4"/>
        <w:ind w:firstLine="643"/>
        <w:rPr>
          <w:color w:val="000000"/>
          <w:highlight w:val="none"/>
        </w:rPr>
      </w:pPr>
      <w:bookmarkStart w:id="48" w:name="_Toc165277250"/>
      <w:r>
        <w:rPr>
          <w:rFonts w:hint="eastAsia"/>
          <w:color w:val="000000"/>
          <w:highlight w:val="none"/>
        </w:rPr>
        <w:t>2</w:t>
      </w:r>
      <w:r>
        <w:rPr>
          <w:color w:val="000000"/>
          <w:highlight w:val="none"/>
        </w:rPr>
        <w:t>.</w:t>
      </w:r>
      <w:r>
        <w:rPr>
          <w:rFonts w:hint="eastAsia"/>
          <w:color w:val="000000"/>
          <w:highlight w:val="none"/>
        </w:rPr>
        <w:t>产出质量</w:t>
      </w:r>
      <w:bookmarkEnd w:id="48"/>
    </w:p>
    <w:p>
      <w:pPr>
        <w:spacing w:line="360" w:lineRule="auto"/>
        <w:ind w:firstLine="560"/>
        <w:rPr>
          <w:rFonts w:ascii="仿宋_GB2312"/>
          <w:bCs/>
          <w:color w:val="000000"/>
          <w:szCs w:val="28"/>
          <w:highlight w:val="none"/>
        </w:rPr>
      </w:pPr>
      <w:r>
        <w:rPr>
          <w:rFonts w:hint="eastAsia" w:ascii="仿宋_GB2312"/>
          <w:bCs/>
          <w:color w:val="000000"/>
          <w:szCs w:val="28"/>
          <w:highlight w:val="none"/>
        </w:rPr>
        <w:t>质量指标“医疗设备验收合格率”的目标值</w:t>
      </w:r>
      <w:r>
        <w:rPr>
          <w:rFonts w:hint="eastAsia" w:ascii="仿宋_GB2312"/>
          <w:bCs/>
          <w:color w:val="000000"/>
          <w:szCs w:val="28"/>
          <w:highlight w:val="none"/>
          <w:lang w:val="en-US" w:eastAsia="zh-CN"/>
        </w:rPr>
        <w:t>≥</w:t>
      </w:r>
      <w:r>
        <w:rPr>
          <w:rFonts w:hint="eastAsia" w:ascii="仿宋_GB2312"/>
          <w:bCs/>
          <w:color w:val="000000"/>
          <w:szCs w:val="28"/>
          <w:highlight w:val="none"/>
        </w:rPr>
        <w:t>100%，实际完成100%，</w:t>
      </w:r>
      <w:r>
        <w:rPr>
          <w:rFonts w:hint="eastAsia" w:ascii="仿宋_GB2312"/>
          <w:bCs/>
          <w:color w:val="000000"/>
          <w:szCs w:val="28"/>
          <w:highlight w:val="none"/>
          <w:lang w:val="en-US" w:eastAsia="zh-CN"/>
        </w:rPr>
        <w:t>2024年我单位实际验收合格购置的一批医疗设备，</w:t>
      </w:r>
      <w:r>
        <w:rPr>
          <w:rFonts w:hint="eastAsia" w:ascii="仿宋_GB2312"/>
          <w:bCs/>
          <w:color w:val="000000"/>
          <w:szCs w:val="28"/>
          <w:highlight w:val="none"/>
          <w:lang w:eastAsia="zh-CN"/>
        </w:rPr>
        <w:t>包括</w:t>
      </w:r>
      <w:r>
        <w:rPr>
          <w:rFonts w:hint="eastAsia" w:ascii="仿宋_GB2312"/>
          <w:bCs/>
          <w:color w:val="000000"/>
          <w:szCs w:val="28"/>
          <w:highlight w:val="none"/>
        </w:rPr>
        <w:t>干眼检测仪、医用超声雾化器、冷空气治疗仪、湿热敷装置、空气压力波治疗仪、艾灸仪、无线多参数监测仪、转运床、医用控温毯、五脏相音分析仪、子午流注低频治疗仪、治疗车、抢救车等</w:t>
      </w:r>
      <w:r>
        <w:rPr>
          <w:rFonts w:hint="eastAsia" w:ascii="仿宋_GB2312"/>
          <w:bCs/>
          <w:color w:val="000000"/>
          <w:szCs w:val="28"/>
          <w:highlight w:val="none"/>
          <w:lang w:eastAsia="zh-CN"/>
        </w:rPr>
        <w:t>，并投入使用。</w:t>
      </w:r>
      <w:r>
        <w:rPr>
          <w:rFonts w:hint="eastAsia" w:ascii="仿宋_GB2312"/>
          <w:bCs/>
          <w:color w:val="000000"/>
          <w:szCs w:val="28"/>
          <w:highlight w:val="none"/>
        </w:rPr>
        <w:t>故实际完成率为100%。</w:t>
      </w:r>
    </w:p>
    <w:p>
      <w:pPr>
        <w:spacing w:line="360" w:lineRule="auto"/>
        <w:ind w:firstLine="560"/>
        <w:rPr>
          <w:rFonts w:ascii="仿宋_GB2312"/>
          <w:bCs/>
          <w:color w:val="000000"/>
          <w:szCs w:val="28"/>
          <w:highlight w:val="none"/>
        </w:rPr>
      </w:pPr>
      <w:r>
        <w:rPr>
          <w:rFonts w:hint="eastAsia" w:ascii="仿宋_GB2312"/>
          <w:bCs/>
          <w:color w:val="000000"/>
          <w:szCs w:val="28"/>
          <w:highlight w:val="none"/>
        </w:rPr>
        <w:t>质量指标“人才培训达标率”的目标值</w:t>
      </w:r>
      <w:r>
        <w:rPr>
          <w:rFonts w:hint="eastAsia" w:ascii="仿宋_GB2312"/>
          <w:bCs/>
          <w:color w:val="000000"/>
          <w:szCs w:val="28"/>
          <w:highlight w:val="none"/>
          <w:lang w:val="en-US" w:eastAsia="zh-CN"/>
        </w:rPr>
        <w:t>≥</w:t>
      </w:r>
      <w:r>
        <w:rPr>
          <w:rFonts w:hint="eastAsia" w:ascii="仿宋_GB2312"/>
          <w:bCs/>
          <w:color w:val="000000"/>
          <w:szCs w:val="28"/>
          <w:highlight w:val="none"/>
        </w:rPr>
        <w:t>80%，2024年度我单位总体实际完成100%，原因是医院坚持“强中医、重疗效，传承创新；强专科、育名医，服务全疆”的发展战略，深刻认识到人才是实现这一战略的关键因素，因此将人才培养置于医院发展的重要位置，从顶层设计上保障人才培养工作的有序推进。</w:t>
      </w:r>
    </w:p>
    <w:p>
      <w:pPr>
        <w:spacing w:line="360" w:lineRule="auto"/>
        <w:ind w:firstLine="560"/>
        <w:rPr>
          <w:rFonts w:hint="eastAsia" w:ascii="仿宋_GB2312"/>
          <w:color w:val="000000"/>
          <w:szCs w:val="28"/>
          <w:highlight w:val="none"/>
        </w:rPr>
      </w:pPr>
      <w:r>
        <w:rPr>
          <w:rFonts w:hint="eastAsia" w:ascii="仿宋_GB2312"/>
          <w:color w:val="000000"/>
          <w:szCs w:val="28"/>
          <w:highlight w:val="none"/>
        </w:rPr>
        <w:t>综上，质量达标率得分为10分。</w:t>
      </w:r>
    </w:p>
    <w:p>
      <w:pPr>
        <w:pStyle w:val="4"/>
        <w:ind w:firstLine="643"/>
        <w:rPr>
          <w:rFonts w:hint="eastAsia"/>
          <w:color w:val="000000"/>
          <w:highlight w:val="none"/>
        </w:rPr>
      </w:pPr>
      <w:bookmarkStart w:id="49" w:name="_Toc67911615"/>
      <w:bookmarkStart w:id="50" w:name="_Toc165277253"/>
      <w:r>
        <w:rPr>
          <w:rFonts w:hint="eastAsia"/>
          <w:color w:val="000000"/>
          <w:highlight w:val="none"/>
        </w:rPr>
        <w:t>3.产出时效</w:t>
      </w:r>
    </w:p>
    <w:p>
      <w:pPr>
        <w:pStyle w:val="4"/>
        <w:ind w:firstLine="643"/>
        <w:rPr>
          <w:rFonts w:hint="eastAsia"/>
          <w:color w:val="000000"/>
          <w:highlight w:val="none"/>
        </w:rPr>
      </w:pPr>
      <w:r>
        <w:rPr>
          <w:rFonts w:hint="eastAsia" w:ascii="仿宋_GB2312"/>
          <w:b w:val="0"/>
          <w:bCs w:val="0"/>
          <w:color w:val="000000"/>
          <w:sz w:val="28"/>
          <w:szCs w:val="28"/>
          <w:highlight w:val="none"/>
        </w:rPr>
        <w:t>时效指标“项目完成及时率”完成100%，</w:t>
      </w:r>
      <w:r>
        <w:rPr>
          <w:rFonts w:hint="eastAsia" w:ascii="仿宋_GB2312"/>
          <w:b w:val="0"/>
          <w:bCs w:val="0"/>
          <w:color w:val="000000"/>
          <w:sz w:val="28"/>
          <w:szCs w:val="28"/>
          <w:highlight w:val="none"/>
          <w:lang w:eastAsia="zh-CN"/>
        </w:rPr>
        <w:t>项目资金</w:t>
      </w:r>
      <w:r>
        <w:rPr>
          <w:rFonts w:hint="eastAsia" w:ascii="仿宋_GB2312"/>
          <w:b w:val="0"/>
          <w:bCs w:val="0"/>
          <w:color w:val="000000"/>
          <w:sz w:val="28"/>
          <w:szCs w:val="28"/>
          <w:highlight w:val="none"/>
        </w:rPr>
        <w:t>用于启动乌鲁木齐市中医药师承教育基地建设、学术流派挖掘传承和名老中医工作室建设项目，开展中医药文化传播工作，建设共享中药房，启动智慧中医院建设，进行后续项目规划设计，总结“西域内科学术流派”“熊氏肛肠外科流派”学术传承谱。2024年</w:t>
      </w:r>
      <w:r>
        <w:rPr>
          <w:rFonts w:hint="eastAsia" w:ascii="仿宋_GB2312"/>
          <w:b w:val="0"/>
          <w:bCs w:val="0"/>
          <w:color w:val="000000"/>
          <w:sz w:val="28"/>
          <w:szCs w:val="28"/>
          <w:highlight w:val="none"/>
          <w:lang w:eastAsia="zh-CN"/>
        </w:rPr>
        <w:t>我单位</w:t>
      </w:r>
      <w:r>
        <w:rPr>
          <w:rFonts w:hint="eastAsia" w:ascii="仿宋_GB2312"/>
          <w:b w:val="0"/>
          <w:bCs w:val="0"/>
          <w:color w:val="000000"/>
          <w:sz w:val="28"/>
          <w:szCs w:val="28"/>
          <w:highlight w:val="none"/>
        </w:rPr>
        <w:t>实际</w:t>
      </w:r>
      <w:r>
        <w:rPr>
          <w:rFonts w:hint="eastAsia" w:ascii="仿宋_GB2312"/>
          <w:b w:val="0"/>
          <w:bCs w:val="0"/>
          <w:color w:val="000000"/>
          <w:sz w:val="28"/>
          <w:szCs w:val="28"/>
          <w:highlight w:val="none"/>
          <w:lang w:eastAsia="zh-CN"/>
        </w:rPr>
        <w:t>按时</w:t>
      </w:r>
      <w:r>
        <w:rPr>
          <w:rFonts w:hint="eastAsia" w:ascii="仿宋_GB2312"/>
          <w:b w:val="0"/>
          <w:bCs w:val="0"/>
          <w:color w:val="000000"/>
          <w:sz w:val="28"/>
          <w:szCs w:val="28"/>
          <w:highlight w:val="none"/>
        </w:rPr>
        <w:t>完成</w:t>
      </w:r>
      <w:r>
        <w:rPr>
          <w:rFonts w:hint="eastAsia" w:ascii="仿宋_GB2312"/>
          <w:b w:val="0"/>
          <w:bCs w:val="0"/>
          <w:color w:val="000000"/>
          <w:sz w:val="28"/>
          <w:szCs w:val="28"/>
          <w:highlight w:val="none"/>
          <w:lang w:eastAsia="zh-CN"/>
        </w:rPr>
        <w:t>了年初设定目标</w:t>
      </w:r>
      <w:r>
        <w:rPr>
          <w:rFonts w:hint="eastAsia" w:ascii="仿宋_GB2312"/>
          <w:b w:val="0"/>
          <w:bCs w:val="0"/>
          <w:color w:val="000000"/>
          <w:sz w:val="28"/>
          <w:szCs w:val="28"/>
          <w:highlight w:val="none"/>
        </w:rPr>
        <w:t>：①完成相关第一批医疗设备采购工作，设备购置费用共计1350.57万元；②培养中医类别全科医师及中西医结合人才共计55人，支付培训及其他费用80.02万元</w:t>
      </w:r>
      <w:r>
        <w:rPr>
          <w:rFonts w:hint="eastAsia" w:ascii="仿宋_GB2312"/>
          <w:b w:val="0"/>
          <w:bCs w:val="0"/>
          <w:color w:val="000000"/>
          <w:sz w:val="28"/>
          <w:szCs w:val="28"/>
          <w:highlight w:val="none"/>
          <w:lang w:eastAsia="zh-CN"/>
        </w:rPr>
        <w:t>，故项目完成及时率为100%。故时效指标得分为</w:t>
      </w:r>
      <w:r>
        <w:rPr>
          <w:rFonts w:hint="eastAsia" w:ascii="仿宋_GB2312"/>
          <w:b w:val="0"/>
          <w:bCs w:val="0"/>
          <w:color w:val="000000"/>
          <w:sz w:val="28"/>
          <w:szCs w:val="28"/>
          <w:highlight w:val="none"/>
          <w:lang w:val="en-US" w:eastAsia="zh-CN"/>
        </w:rPr>
        <w:t>10</w:t>
      </w:r>
      <w:r>
        <w:rPr>
          <w:rFonts w:hint="eastAsia" w:ascii="仿宋_GB2312"/>
          <w:b w:val="0"/>
          <w:bCs w:val="0"/>
          <w:color w:val="000000"/>
          <w:sz w:val="28"/>
          <w:szCs w:val="28"/>
          <w:highlight w:val="none"/>
          <w:lang w:eastAsia="zh-CN"/>
        </w:rPr>
        <w:t>分。</w:t>
      </w:r>
    </w:p>
    <w:p>
      <w:pPr>
        <w:pStyle w:val="4"/>
        <w:ind w:firstLine="643"/>
        <w:rPr>
          <w:color w:val="000000"/>
          <w:highlight w:val="none"/>
        </w:rPr>
      </w:pPr>
      <w:r>
        <w:rPr>
          <w:rFonts w:hint="eastAsia"/>
          <w:color w:val="000000"/>
          <w:highlight w:val="none"/>
          <w:lang w:val="en-US" w:eastAsia="zh-CN"/>
        </w:rPr>
        <w:t>4</w:t>
      </w:r>
      <w:r>
        <w:rPr>
          <w:color w:val="000000"/>
          <w:highlight w:val="none"/>
        </w:rPr>
        <w:t>.</w:t>
      </w:r>
      <w:r>
        <w:rPr>
          <w:rFonts w:hint="eastAsia"/>
          <w:color w:val="000000"/>
          <w:highlight w:val="none"/>
        </w:rPr>
        <w:t>产出成本</w:t>
      </w:r>
      <w:bookmarkEnd w:id="49"/>
      <w:bookmarkEnd w:id="50"/>
    </w:p>
    <w:p>
      <w:pPr>
        <w:pStyle w:val="4"/>
        <w:ind w:firstLine="560"/>
        <w:rPr>
          <w:rFonts w:hint="default" w:ascii="仿宋_GB2312"/>
          <w:b w:val="0"/>
          <w:bCs w:val="0"/>
          <w:color w:val="000000"/>
          <w:sz w:val="28"/>
          <w:szCs w:val="28"/>
          <w:highlight w:val="none"/>
          <w:lang w:val="en-US" w:eastAsia="zh-CN"/>
        </w:rPr>
      </w:pPr>
      <w:r>
        <w:rPr>
          <w:rFonts w:hint="eastAsia" w:ascii="仿宋_GB2312"/>
          <w:b w:val="0"/>
          <w:bCs w:val="0"/>
          <w:color w:val="000000"/>
          <w:sz w:val="28"/>
          <w:szCs w:val="28"/>
          <w:highlight w:val="none"/>
        </w:rPr>
        <w:t>成本指标</w:t>
      </w:r>
      <w:r>
        <w:rPr>
          <w:rFonts w:hint="eastAsia" w:ascii="仿宋_GB2312"/>
          <w:b w:val="0"/>
          <w:bCs w:val="0"/>
          <w:color w:val="000000"/>
          <w:sz w:val="28"/>
          <w:szCs w:val="28"/>
          <w:highlight w:val="none"/>
        </w:rPr>
        <w:t>“专用设备购置成本”完成100%，“专用设备购置成本”的目标值</w:t>
      </w:r>
      <w:r>
        <w:rPr>
          <w:rFonts w:hint="eastAsia" w:ascii="仿宋_GB2312"/>
          <w:b w:val="0"/>
          <w:bCs w:val="0"/>
          <w:color w:val="000000"/>
          <w:sz w:val="28"/>
          <w:szCs w:val="28"/>
          <w:highlight w:val="none"/>
          <w:lang w:val="en-US" w:eastAsia="zh-CN"/>
        </w:rPr>
        <w:t>≤</w:t>
      </w:r>
      <w:r>
        <w:rPr>
          <w:rFonts w:hint="eastAsia" w:ascii="仿宋_GB2312"/>
          <w:b w:val="0"/>
          <w:bCs w:val="0"/>
          <w:color w:val="000000"/>
          <w:sz w:val="28"/>
          <w:szCs w:val="28"/>
          <w:highlight w:val="none"/>
        </w:rPr>
        <w:t>1350.57万元，2024年度我单位实际完成值1350.57万元；成本指标“培训费及其他费用”</w:t>
      </w:r>
      <w:r>
        <w:rPr>
          <w:rFonts w:hint="eastAsia" w:ascii="仿宋_GB2312"/>
          <w:b w:val="0"/>
          <w:bCs w:val="0"/>
          <w:color w:val="000000"/>
          <w:sz w:val="28"/>
          <w:szCs w:val="28"/>
          <w:highlight w:val="none"/>
        </w:rPr>
        <w:t>完成100%，“培训费及其他费用”的目标值</w:t>
      </w:r>
      <w:r>
        <w:rPr>
          <w:rFonts w:hint="eastAsia" w:ascii="仿宋_GB2312"/>
          <w:b w:val="0"/>
          <w:bCs w:val="0"/>
          <w:color w:val="000000"/>
          <w:sz w:val="28"/>
          <w:szCs w:val="28"/>
          <w:highlight w:val="none"/>
          <w:lang w:val="en-US" w:eastAsia="zh-CN"/>
        </w:rPr>
        <w:t>≤</w:t>
      </w:r>
      <w:r>
        <w:rPr>
          <w:rFonts w:hint="eastAsia" w:ascii="仿宋_GB2312"/>
          <w:b w:val="0"/>
          <w:bCs w:val="0"/>
          <w:color w:val="000000"/>
          <w:sz w:val="28"/>
          <w:szCs w:val="28"/>
          <w:highlight w:val="none"/>
        </w:rPr>
        <w:t>80.02万元，2024年度我单位实际完成值80.02万元。所有支出均按</w:t>
      </w:r>
      <w:r>
        <w:rPr>
          <w:rFonts w:hint="eastAsia" w:ascii="仿宋_GB2312"/>
          <w:b w:val="0"/>
          <w:bCs w:val="0"/>
          <w:color w:val="000000"/>
          <w:sz w:val="28"/>
          <w:szCs w:val="28"/>
          <w:highlight w:val="none"/>
          <w:lang w:eastAsia="zh-CN"/>
        </w:rPr>
        <w:t>规定</w:t>
      </w:r>
      <w:r>
        <w:rPr>
          <w:rFonts w:hint="eastAsia" w:ascii="仿宋_GB2312"/>
          <w:b w:val="0"/>
          <w:bCs w:val="0"/>
          <w:color w:val="000000"/>
          <w:sz w:val="28"/>
          <w:szCs w:val="28"/>
          <w:highlight w:val="none"/>
        </w:rPr>
        <w:t>支付，未超支，得满分。故成本指标得分为</w:t>
      </w:r>
      <w:r>
        <w:rPr>
          <w:rFonts w:hint="eastAsia" w:ascii="仿宋_GB2312"/>
          <w:b w:val="0"/>
          <w:bCs w:val="0"/>
          <w:color w:val="000000"/>
          <w:sz w:val="28"/>
          <w:szCs w:val="28"/>
          <w:highlight w:val="none"/>
          <w:lang w:val="en-US" w:eastAsia="zh-CN"/>
        </w:rPr>
        <w:t>10</w:t>
      </w:r>
      <w:r>
        <w:rPr>
          <w:rFonts w:hint="eastAsia" w:ascii="仿宋_GB2312"/>
          <w:b w:val="0"/>
          <w:bCs w:val="0"/>
          <w:color w:val="000000"/>
          <w:sz w:val="28"/>
          <w:szCs w:val="28"/>
          <w:highlight w:val="none"/>
        </w:rPr>
        <w:t>分。</w:t>
      </w:r>
    </w:p>
    <w:p>
      <w:pPr>
        <w:pStyle w:val="3"/>
        <w:ind w:firstLine="643"/>
        <w:rPr>
          <w:rFonts w:ascii="仿宋" w:hAnsi="仿宋" w:eastAsia="仿宋"/>
          <w:color w:val="000000"/>
          <w:highlight w:val="none"/>
          <w:lang w:bidi="en-US"/>
        </w:rPr>
      </w:pPr>
      <w:r>
        <w:rPr>
          <w:rFonts w:ascii="仿宋" w:hAnsi="仿宋" w:eastAsia="仿宋"/>
          <w:color w:val="000000"/>
          <w:highlight w:val="none"/>
          <w:lang w:bidi="en-US"/>
        </w:rPr>
        <w:t>（四）项目效益</w:t>
      </w:r>
    </w:p>
    <w:p>
      <w:pPr>
        <w:spacing w:line="360" w:lineRule="auto"/>
        <w:ind w:firstLine="560"/>
        <w:rPr>
          <w:rFonts w:ascii="仿宋_GB2312"/>
          <w:color w:val="000000"/>
          <w:szCs w:val="28"/>
          <w:highlight w:val="none"/>
        </w:rPr>
      </w:pPr>
      <w:r>
        <w:rPr>
          <w:rFonts w:hint="eastAsia" w:ascii="仿宋_GB2312"/>
          <w:color w:val="000000"/>
          <w:szCs w:val="28"/>
          <w:highlight w:val="none"/>
        </w:rPr>
        <w:t>项目效益指标由</w:t>
      </w:r>
      <w:r>
        <w:rPr>
          <w:rFonts w:ascii="仿宋_GB2312"/>
          <w:color w:val="000000"/>
          <w:szCs w:val="28"/>
          <w:highlight w:val="none"/>
        </w:rPr>
        <w:t>1</w:t>
      </w:r>
      <w:r>
        <w:rPr>
          <w:rFonts w:hint="eastAsia" w:ascii="仿宋_GB2312"/>
          <w:color w:val="000000"/>
          <w:szCs w:val="28"/>
          <w:highlight w:val="none"/>
        </w:rPr>
        <w:t>个二级指标和1个三级指标构成，权重为</w:t>
      </w:r>
      <w:r>
        <w:rPr>
          <w:rFonts w:hint="eastAsia" w:ascii="仿宋_GB2312"/>
          <w:color w:val="000000"/>
          <w:szCs w:val="28"/>
          <w:highlight w:val="none"/>
          <w:lang w:val="en-US" w:eastAsia="zh-CN"/>
        </w:rPr>
        <w:t>10</w:t>
      </w:r>
      <w:r>
        <w:rPr>
          <w:rFonts w:hint="eastAsia" w:ascii="仿宋_GB2312"/>
          <w:color w:val="000000"/>
          <w:szCs w:val="28"/>
          <w:highlight w:val="none"/>
        </w:rPr>
        <w:t>分，实际得分</w:t>
      </w:r>
      <w:r>
        <w:rPr>
          <w:rFonts w:hint="eastAsia" w:ascii="仿宋_GB2312"/>
          <w:color w:val="000000"/>
          <w:szCs w:val="28"/>
          <w:highlight w:val="none"/>
          <w:lang w:val="en-US" w:eastAsia="zh-CN"/>
        </w:rPr>
        <w:t>10</w:t>
      </w:r>
      <w:r>
        <w:rPr>
          <w:rFonts w:hint="eastAsia" w:ascii="仿宋_GB2312"/>
          <w:color w:val="000000"/>
          <w:szCs w:val="28"/>
          <w:highlight w:val="none"/>
        </w:rPr>
        <w:t>分。</w:t>
      </w:r>
    </w:p>
    <w:p>
      <w:pPr>
        <w:spacing w:line="360" w:lineRule="auto"/>
        <w:ind w:firstLine="562"/>
        <w:rPr>
          <w:rFonts w:ascii="仿宋_GB2312"/>
          <w:b/>
          <w:bCs/>
          <w:color w:val="000000"/>
          <w:szCs w:val="28"/>
          <w:highlight w:val="none"/>
        </w:rPr>
      </w:pPr>
      <w:r>
        <w:rPr>
          <w:rFonts w:hint="eastAsia" w:ascii="仿宋_GB2312"/>
          <w:b/>
          <w:bCs/>
          <w:color w:val="000000"/>
          <w:szCs w:val="28"/>
          <w:highlight w:val="none"/>
        </w:rPr>
        <w:t>（1）实施效益</w:t>
      </w:r>
    </w:p>
    <w:p>
      <w:pPr>
        <w:spacing w:line="360" w:lineRule="auto"/>
        <w:ind w:firstLine="562"/>
        <w:rPr>
          <w:rFonts w:ascii="仿宋_GB2312"/>
          <w:color w:val="000000"/>
          <w:szCs w:val="28"/>
          <w:highlight w:val="none"/>
        </w:rPr>
      </w:pPr>
      <w:r>
        <w:rPr>
          <w:rFonts w:hint="eastAsia" w:ascii="仿宋_GB2312"/>
          <w:b/>
          <w:bCs/>
          <w:color w:val="000000"/>
          <w:szCs w:val="28"/>
          <w:highlight w:val="none"/>
        </w:rPr>
        <w:t>经济效益指标：</w:t>
      </w:r>
      <w:r>
        <w:rPr>
          <w:rFonts w:hint="eastAsia" w:ascii="仿宋_GB2312"/>
          <w:color w:val="000000"/>
          <w:szCs w:val="28"/>
          <w:highlight w:val="none"/>
        </w:rPr>
        <w:t>不适用。</w:t>
      </w:r>
    </w:p>
    <w:p>
      <w:pPr>
        <w:spacing w:line="360" w:lineRule="auto"/>
        <w:ind w:firstLine="562"/>
        <w:rPr>
          <w:rFonts w:ascii="仿宋_GB2312"/>
          <w:color w:val="000000"/>
          <w:szCs w:val="28"/>
          <w:highlight w:val="none"/>
        </w:rPr>
      </w:pPr>
      <w:r>
        <w:rPr>
          <w:rFonts w:hint="eastAsia" w:ascii="仿宋_GB2312"/>
          <w:b/>
          <w:bCs/>
          <w:color w:val="000000"/>
          <w:szCs w:val="28"/>
          <w:highlight w:val="none"/>
        </w:rPr>
        <w:t>社会效益指标</w:t>
      </w:r>
      <w:r>
        <w:rPr>
          <w:rFonts w:hint="eastAsia" w:ascii="仿宋_GB2312"/>
          <w:color w:val="000000"/>
          <w:szCs w:val="28"/>
          <w:highlight w:val="none"/>
        </w:rPr>
        <w:t>：评价指标“提高中医药医疗及服务能力”，指标值：提高，实际完成值：达成年度指标。本项目的实施用于购置先进的中医药诊疗设备，同时，对医院的中医特色科室进行改造升级，打造了更舒适、便捷的就医环境，为患者提供了更优质的硬件服务基础，通过项目实施，开展了多层次、多形式的中医药人才培养计划，包括中医师承、学术交流、外出进修等，这些人才将所学知识与技能应用到临床实践中，带动医院的整体医疗水平提升，产生了良好的社会效益。</w:t>
      </w:r>
    </w:p>
    <w:p>
      <w:pPr>
        <w:spacing w:line="360" w:lineRule="auto"/>
        <w:ind w:firstLine="562"/>
        <w:rPr>
          <w:rFonts w:ascii="仿宋_GB2312"/>
          <w:color w:val="000000"/>
          <w:szCs w:val="28"/>
          <w:highlight w:val="none"/>
        </w:rPr>
      </w:pPr>
      <w:r>
        <w:rPr>
          <w:rFonts w:hint="eastAsia" w:ascii="仿宋_GB2312"/>
          <w:b/>
          <w:bCs/>
          <w:color w:val="000000"/>
          <w:szCs w:val="28"/>
          <w:highlight w:val="none"/>
        </w:rPr>
        <w:t>生态效益指标</w:t>
      </w:r>
      <w:r>
        <w:rPr>
          <w:rFonts w:hint="eastAsia" w:ascii="仿宋_GB2312"/>
          <w:color w:val="000000"/>
          <w:szCs w:val="28"/>
          <w:highlight w:val="none"/>
        </w:rPr>
        <w:t>：不适用。</w:t>
      </w:r>
    </w:p>
    <w:p>
      <w:pPr>
        <w:autoSpaceDE w:val="0"/>
        <w:spacing w:line="600" w:lineRule="exact"/>
        <w:ind w:firstLine="562"/>
        <w:rPr>
          <w:rFonts w:hint="eastAsia" w:ascii="仿宋_GB2312" w:hAnsi="仿宋" w:cs="宋体"/>
          <w:b/>
          <w:color w:val="000000"/>
          <w:kern w:val="0"/>
          <w:szCs w:val="28"/>
          <w:highlight w:val="none"/>
        </w:rPr>
      </w:pPr>
      <w:r>
        <w:rPr>
          <w:rFonts w:hint="eastAsia" w:ascii="仿宋_GB2312" w:hAnsi="仿宋" w:cs="宋体"/>
          <w:b/>
          <w:color w:val="000000"/>
          <w:kern w:val="0"/>
          <w:szCs w:val="28"/>
          <w:highlight w:val="none"/>
        </w:rPr>
        <w:t>综上，该指标满分</w:t>
      </w:r>
      <w:r>
        <w:rPr>
          <w:rFonts w:hint="eastAsia" w:ascii="仿宋_GB2312" w:hAnsi="仿宋" w:cs="宋体"/>
          <w:b/>
          <w:color w:val="000000"/>
          <w:kern w:val="0"/>
          <w:szCs w:val="28"/>
          <w:highlight w:val="none"/>
          <w:lang w:val="en-US" w:eastAsia="zh-CN"/>
        </w:rPr>
        <w:t>10</w:t>
      </w:r>
      <w:r>
        <w:rPr>
          <w:rFonts w:hint="eastAsia" w:ascii="仿宋_GB2312" w:hAnsi="仿宋" w:cs="宋体"/>
          <w:b/>
          <w:color w:val="000000"/>
          <w:kern w:val="0"/>
          <w:szCs w:val="28"/>
          <w:highlight w:val="none"/>
        </w:rPr>
        <w:t>分，得分</w:t>
      </w:r>
      <w:r>
        <w:rPr>
          <w:rFonts w:hint="eastAsia" w:ascii="仿宋_GB2312" w:hAnsi="仿宋" w:cs="宋体"/>
          <w:b/>
          <w:color w:val="000000"/>
          <w:kern w:val="0"/>
          <w:szCs w:val="28"/>
          <w:highlight w:val="none"/>
          <w:lang w:val="en-US" w:eastAsia="zh-CN"/>
        </w:rPr>
        <w:t>10</w:t>
      </w:r>
      <w:r>
        <w:rPr>
          <w:rFonts w:hint="eastAsia" w:ascii="仿宋_GB2312" w:hAnsi="仿宋" w:cs="宋体"/>
          <w:b/>
          <w:color w:val="000000"/>
          <w:kern w:val="0"/>
          <w:szCs w:val="28"/>
          <w:highlight w:val="none"/>
        </w:rPr>
        <w:t>分。</w:t>
      </w:r>
    </w:p>
    <w:p>
      <w:pPr>
        <w:autoSpaceDE w:val="0"/>
        <w:spacing w:line="600" w:lineRule="exact"/>
        <w:ind w:firstLine="562"/>
        <w:rPr>
          <w:rFonts w:hint="eastAsia" w:ascii="仿宋_GB2312" w:hAnsi="仿宋" w:cs="宋体"/>
          <w:b/>
          <w:color w:val="000000"/>
          <w:kern w:val="0"/>
          <w:szCs w:val="28"/>
          <w:highlight w:val="none"/>
        </w:rPr>
      </w:pPr>
    </w:p>
    <w:p>
      <w:pPr>
        <w:pStyle w:val="3"/>
        <w:ind w:firstLine="643"/>
        <w:rPr>
          <w:rFonts w:hint="eastAsia" w:ascii="仿宋_GB2312" w:hAnsi="仿宋" w:cs="宋体"/>
          <w:b/>
          <w:color w:val="000000"/>
          <w:kern w:val="0"/>
          <w:szCs w:val="28"/>
          <w:highlight w:val="none"/>
        </w:rPr>
      </w:pPr>
      <w:r>
        <w:rPr>
          <w:rFonts w:hint="eastAsia" w:ascii="仿宋" w:hAnsi="仿宋" w:eastAsia="仿宋"/>
          <w:color w:val="000000"/>
          <w:highlight w:val="none"/>
          <w:lang w:bidi="en-US"/>
        </w:rPr>
        <w:t>（五）满意度指标完成情况分析</w:t>
      </w:r>
    </w:p>
    <w:p>
      <w:pPr>
        <w:widowControl w:val="0"/>
        <w:numPr>
          <w:numId w:val="0"/>
        </w:numPr>
        <w:wordWrap/>
        <w:autoSpaceDE w:val="0"/>
        <w:adjustRightInd/>
        <w:snapToGrid/>
        <w:spacing w:line="360" w:lineRule="auto"/>
        <w:ind w:firstLine="562" w:firstLineChars="200"/>
        <w:textAlignment w:val="auto"/>
        <w:rPr>
          <w:rFonts w:hint="eastAsia" w:ascii="仿宋_GB2312"/>
          <w:color w:val="000000"/>
          <w:szCs w:val="28"/>
          <w:highlight w:val="none"/>
        </w:rPr>
      </w:pPr>
      <w:r>
        <w:rPr>
          <w:rFonts w:hint="eastAsia" w:ascii="仿宋_GB2312" w:hAnsi="仿宋" w:cs="宋体"/>
          <w:b/>
          <w:color w:val="000000"/>
          <w:kern w:val="0"/>
          <w:szCs w:val="28"/>
          <w:highlight w:val="none"/>
        </w:rPr>
        <w:t>满意度指标 ：群众满意度，</w:t>
      </w:r>
      <w:r>
        <w:rPr>
          <w:rFonts w:hint="eastAsia" w:ascii="仿宋_GB2312"/>
          <w:color w:val="000000"/>
          <w:szCs w:val="28"/>
          <w:highlight w:val="none"/>
        </w:rPr>
        <w:t>评价指标“</w:t>
      </w:r>
      <w:r>
        <w:rPr>
          <w:rFonts w:hint="eastAsia" w:ascii="仿宋_GB2312"/>
          <w:color w:val="000000"/>
          <w:szCs w:val="28"/>
          <w:highlight w:val="none"/>
          <w:lang w:eastAsia="zh-CN"/>
        </w:rPr>
        <w:t>患者</w:t>
      </w:r>
      <w:r>
        <w:rPr>
          <w:rFonts w:hint="eastAsia" w:ascii="仿宋_GB2312"/>
          <w:color w:val="000000"/>
          <w:szCs w:val="28"/>
          <w:highlight w:val="none"/>
        </w:rPr>
        <w:t>满意度”目标值</w:t>
      </w:r>
      <w:r>
        <w:rPr>
          <w:rFonts w:hint="eastAsia" w:ascii="仿宋_GB2312"/>
          <w:color w:val="000000"/>
          <w:szCs w:val="28"/>
          <w:highlight w:val="none"/>
          <w:lang w:val="en-US" w:eastAsia="zh-CN"/>
        </w:rPr>
        <w:t>≥</w:t>
      </w:r>
      <w:r>
        <w:rPr>
          <w:rFonts w:hint="eastAsia" w:ascii="仿宋_GB2312"/>
          <w:color w:val="000000"/>
          <w:szCs w:val="28"/>
          <w:highlight w:val="none"/>
        </w:rPr>
        <w:t>90%</w:t>
      </w:r>
      <w:r>
        <w:rPr>
          <w:rFonts w:hint="eastAsia" w:ascii="仿宋_GB2312"/>
          <w:color w:val="000000"/>
          <w:szCs w:val="28"/>
          <w:highlight w:val="none"/>
          <w:lang w:eastAsia="zh-CN"/>
        </w:rPr>
        <w:t>，</w:t>
      </w:r>
      <w:r>
        <w:rPr>
          <w:rFonts w:hint="eastAsia" w:ascii="仿宋_GB2312"/>
          <w:color w:val="000000"/>
          <w:szCs w:val="28"/>
          <w:highlight w:val="none"/>
        </w:rPr>
        <w:t>实际完成</w:t>
      </w:r>
      <w:r>
        <w:rPr>
          <w:rFonts w:hint="eastAsia" w:ascii="仿宋_GB2312"/>
          <w:color w:val="000000"/>
          <w:szCs w:val="28"/>
          <w:highlight w:val="none"/>
          <w:lang w:val="en-US" w:eastAsia="zh-CN"/>
        </w:rPr>
        <w:t>90%以上</w:t>
      </w:r>
      <w:r>
        <w:rPr>
          <w:rFonts w:hint="eastAsia" w:ascii="仿宋_GB2312"/>
          <w:color w:val="000000"/>
          <w:szCs w:val="28"/>
          <w:highlight w:val="none"/>
        </w:rPr>
        <w:t>，通过设置问卷调查的方式进行</w:t>
      </w:r>
      <w:r>
        <w:rPr>
          <w:rFonts w:hint="eastAsia" w:ascii="仿宋_GB2312"/>
          <w:color w:val="000000"/>
          <w:szCs w:val="28"/>
          <w:highlight w:val="none"/>
          <w:lang w:eastAsia="zh-CN"/>
        </w:rPr>
        <w:t>考核</w:t>
      </w:r>
      <w:r>
        <w:rPr>
          <w:rFonts w:hint="eastAsia" w:ascii="仿宋_GB2312"/>
          <w:color w:val="000000"/>
          <w:szCs w:val="28"/>
          <w:highlight w:val="none"/>
        </w:rPr>
        <w:t>评价，共计调查样本总量为</w:t>
      </w:r>
      <w:r>
        <w:rPr>
          <w:rFonts w:hint="eastAsia" w:ascii="仿宋_GB2312"/>
          <w:color w:val="000000"/>
          <w:szCs w:val="28"/>
          <w:highlight w:val="none"/>
          <w:lang w:val="en-US" w:eastAsia="zh-CN"/>
        </w:rPr>
        <w:t>19447</w:t>
      </w:r>
      <w:r>
        <w:rPr>
          <w:rFonts w:hint="eastAsia" w:ascii="仿宋_GB2312"/>
          <w:color w:val="000000"/>
          <w:szCs w:val="28"/>
          <w:highlight w:val="none"/>
        </w:rPr>
        <w:t>个样本，有效调查问卷</w:t>
      </w:r>
      <w:r>
        <w:rPr>
          <w:rFonts w:hint="eastAsia" w:ascii="仿宋_GB2312"/>
          <w:color w:val="000000"/>
          <w:szCs w:val="28"/>
          <w:highlight w:val="none"/>
          <w:lang w:val="en-US" w:eastAsia="zh-CN"/>
        </w:rPr>
        <w:t>19447</w:t>
      </w:r>
      <w:r>
        <w:rPr>
          <w:rFonts w:hint="eastAsia" w:ascii="仿宋_GB2312"/>
          <w:color w:val="000000"/>
          <w:szCs w:val="28"/>
          <w:highlight w:val="none"/>
        </w:rPr>
        <w:t>份。指标通过设置问卷调查的方式进行考评评价，统计</w:t>
      </w:r>
      <w:r>
        <w:rPr>
          <w:rFonts w:hint="eastAsia" w:ascii="仿宋_GB2312"/>
          <w:color w:val="000000"/>
          <w:szCs w:val="28"/>
          <w:highlight w:val="none"/>
          <w:lang w:eastAsia="zh-CN"/>
        </w:rPr>
        <w:t>通过实施项目资金采购专用医疗设备及加强人才培养后来我院就医患者</w:t>
      </w:r>
      <w:r>
        <w:rPr>
          <w:rFonts w:hint="eastAsia" w:ascii="仿宋_GB2312"/>
          <w:color w:val="000000"/>
          <w:szCs w:val="28"/>
          <w:highlight w:val="none"/>
        </w:rPr>
        <w:t>对</w:t>
      </w:r>
      <w:r>
        <w:rPr>
          <w:rFonts w:hint="eastAsia" w:ascii="仿宋_GB2312"/>
          <w:color w:val="000000"/>
          <w:szCs w:val="28"/>
          <w:highlight w:val="none"/>
          <w:lang w:eastAsia="zh-CN"/>
        </w:rPr>
        <w:t>医</w:t>
      </w:r>
      <w:r>
        <w:rPr>
          <w:rFonts w:hint="eastAsia" w:ascii="仿宋_GB2312"/>
          <w:color w:val="000000"/>
          <w:szCs w:val="28"/>
          <w:highlight w:val="none"/>
        </w:rPr>
        <w:t>院</w:t>
      </w:r>
      <w:r>
        <w:rPr>
          <w:rFonts w:hint="eastAsia" w:ascii="仿宋_GB2312"/>
          <w:color w:val="000000"/>
          <w:szCs w:val="28"/>
          <w:highlight w:val="none"/>
          <w:lang w:eastAsia="zh-CN"/>
        </w:rPr>
        <w:t>整体就医体验的</w:t>
      </w:r>
      <w:r>
        <w:rPr>
          <w:rFonts w:hint="eastAsia" w:ascii="仿宋_GB2312"/>
          <w:color w:val="000000"/>
          <w:szCs w:val="28"/>
          <w:highlight w:val="none"/>
        </w:rPr>
        <w:t>满意度达到90%以上，通过精准把握</w:t>
      </w:r>
      <w:r>
        <w:rPr>
          <w:rFonts w:hint="eastAsia" w:ascii="仿宋_GB2312"/>
          <w:color w:val="000000"/>
          <w:szCs w:val="28"/>
          <w:highlight w:val="none"/>
          <w:lang w:eastAsia="zh-CN"/>
        </w:rPr>
        <w:t>患者</w:t>
      </w:r>
      <w:r>
        <w:rPr>
          <w:rFonts w:hint="eastAsia" w:ascii="仿宋_GB2312"/>
          <w:color w:val="000000"/>
          <w:szCs w:val="28"/>
          <w:highlight w:val="none"/>
        </w:rPr>
        <w:t>需求、强化服务保障及科学评价成效，取得较好的</w:t>
      </w:r>
      <w:r>
        <w:rPr>
          <w:rFonts w:hint="eastAsia" w:ascii="仿宋_GB2312"/>
          <w:color w:val="000000"/>
          <w:szCs w:val="28"/>
          <w:highlight w:val="none"/>
          <w:lang w:eastAsia="zh-CN"/>
        </w:rPr>
        <w:t>患者就医体验</w:t>
      </w:r>
      <w:r>
        <w:rPr>
          <w:rFonts w:hint="eastAsia" w:ascii="仿宋_GB2312"/>
          <w:color w:val="000000"/>
          <w:szCs w:val="28"/>
          <w:highlight w:val="none"/>
        </w:rPr>
        <w:t>，</w:t>
      </w:r>
      <w:r>
        <w:rPr>
          <w:rFonts w:hint="eastAsia" w:ascii="仿宋_GB2312"/>
          <w:color w:val="000000"/>
          <w:szCs w:val="28"/>
          <w:highlight w:val="none"/>
          <w:lang w:eastAsia="zh-CN"/>
        </w:rPr>
        <w:t>患者</w:t>
      </w:r>
      <w:r>
        <w:rPr>
          <w:rFonts w:hint="eastAsia" w:ascii="仿宋_GB2312"/>
          <w:color w:val="000000"/>
          <w:szCs w:val="28"/>
          <w:highlight w:val="none"/>
        </w:rPr>
        <w:t>反应良好。得分</w:t>
      </w:r>
      <w:r>
        <w:rPr>
          <w:rFonts w:hint="eastAsia" w:ascii="仿宋_GB2312"/>
          <w:color w:val="000000"/>
          <w:szCs w:val="28"/>
          <w:highlight w:val="none"/>
          <w:lang w:val="en-US" w:eastAsia="zh-CN"/>
        </w:rPr>
        <w:t>10</w:t>
      </w:r>
      <w:r>
        <w:rPr>
          <w:rFonts w:hint="eastAsia" w:ascii="仿宋_GB2312"/>
          <w:color w:val="000000"/>
          <w:szCs w:val="28"/>
          <w:highlight w:val="none"/>
        </w:rPr>
        <w:t>分。</w:t>
      </w:r>
    </w:p>
    <w:p>
      <w:pPr>
        <w:widowControl w:val="0"/>
        <w:numPr>
          <w:numId w:val="0"/>
        </w:numPr>
        <w:wordWrap/>
        <w:autoSpaceDE w:val="0"/>
        <w:adjustRightInd/>
        <w:snapToGrid/>
        <w:spacing w:line="360" w:lineRule="auto"/>
        <w:ind w:firstLine="560" w:firstLineChars="200"/>
        <w:textAlignment w:val="auto"/>
        <w:rPr>
          <w:rFonts w:hint="eastAsia" w:ascii="仿宋_GB2312" w:eastAsia="仿宋_GB2312"/>
          <w:color w:val="000000"/>
          <w:szCs w:val="28"/>
          <w:highlight w:val="none"/>
          <w:lang w:eastAsia="zh-CN"/>
        </w:rPr>
      </w:pPr>
      <w:r>
        <w:rPr>
          <w:rFonts w:hint="eastAsia" w:ascii="仿宋_GB2312"/>
          <w:color w:val="000000"/>
          <w:szCs w:val="28"/>
          <w:highlight w:val="none"/>
        </w:rPr>
        <w:t>综上，</w:t>
      </w:r>
      <w:r>
        <w:rPr>
          <w:rFonts w:hint="eastAsia" w:ascii="仿宋_GB2312"/>
          <w:color w:val="000000"/>
          <w:szCs w:val="28"/>
          <w:highlight w:val="none"/>
          <w:lang w:eastAsia="zh-CN"/>
        </w:rPr>
        <w:t>满意度</w:t>
      </w:r>
      <w:r>
        <w:rPr>
          <w:rFonts w:hint="eastAsia" w:ascii="仿宋_GB2312"/>
          <w:color w:val="000000"/>
          <w:szCs w:val="28"/>
          <w:highlight w:val="none"/>
        </w:rPr>
        <w:t>指标得分为</w:t>
      </w:r>
      <w:r>
        <w:rPr>
          <w:rFonts w:hint="eastAsia" w:ascii="仿宋_GB2312"/>
          <w:color w:val="000000"/>
          <w:szCs w:val="28"/>
          <w:highlight w:val="none"/>
          <w:lang w:val="en-US" w:eastAsia="zh-CN"/>
        </w:rPr>
        <w:t>10</w:t>
      </w:r>
      <w:r>
        <w:rPr>
          <w:rFonts w:hint="eastAsia" w:ascii="仿宋_GB2312"/>
          <w:color w:val="000000"/>
          <w:szCs w:val="28"/>
          <w:highlight w:val="none"/>
        </w:rPr>
        <w:t>分</w:t>
      </w:r>
      <w:r>
        <w:rPr>
          <w:rFonts w:hint="eastAsia" w:ascii="仿宋_GB2312"/>
          <w:color w:val="000000"/>
          <w:szCs w:val="28"/>
          <w:highlight w:val="none"/>
          <w:lang w:eastAsia="zh-CN"/>
        </w:rPr>
        <w:t>。</w:t>
      </w:r>
    </w:p>
    <w:p>
      <w:pPr>
        <w:pStyle w:val="2"/>
        <w:ind w:firstLine="0" w:firstLineChars="0"/>
        <w:jc w:val="left"/>
        <w:rPr>
          <w:rFonts w:ascii="仿宋" w:hAnsi="仿宋" w:eastAsia="仿宋"/>
          <w:color w:val="000000"/>
          <w:sz w:val="36"/>
          <w:szCs w:val="36"/>
          <w:highlight w:val="none"/>
          <w:lang w:bidi="en-US"/>
        </w:rPr>
      </w:pPr>
      <w:bookmarkStart w:id="51" w:name="_Toc165277256"/>
      <w:bookmarkStart w:id="52" w:name="_Toc67911617"/>
      <w:r>
        <w:rPr>
          <w:rFonts w:hint="eastAsia" w:ascii="仿宋" w:hAnsi="仿宋" w:eastAsia="仿宋"/>
          <w:color w:val="000000"/>
          <w:sz w:val="36"/>
          <w:szCs w:val="36"/>
          <w:highlight w:val="none"/>
          <w:lang w:bidi="en-US"/>
        </w:rPr>
        <w:t>五、主要经验及做法、存在的问题及原因分析</w:t>
      </w:r>
      <w:bookmarkEnd w:id="51"/>
      <w:bookmarkEnd w:id="52"/>
    </w:p>
    <w:p>
      <w:pPr>
        <w:pStyle w:val="3"/>
        <w:ind w:firstLine="643"/>
        <w:rPr>
          <w:rFonts w:ascii="仿宋" w:hAnsi="仿宋" w:eastAsia="仿宋"/>
          <w:color w:val="000000"/>
          <w:highlight w:val="none"/>
          <w:lang w:bidi="en-US"/>
        </w:rPr>
      </w:pPr>
      <w:bookmarkStart w:id="53" w:name="_Toc67911618"/>
      <w:bookmarkStart w:id="54" w:name="_Toc165277257"/>
      <w:r>
        <w:rPr>
          <w:rFonts w:hint="eastAsia" w:ascii="仿宋" w:hAnsi="仿宋" w:eastAsia="仿宋"/>
          <w:color w:val="000000"/>
          <w:highlight w:val="none"/>
          <w:lang w:bidi="en-US"/>
        </w:rPr>
        <w:t>（一）主要经验及做法</w:t>
      </w:r>
      <w:bookmarkEnd w:id="53"/>
      <w:bookmarkEnd w:id="54"/>
    </w:p>
    <w:p>
      <w:pPr>
        <w:autoSpaceDE w:val="0"/>
        <w:spacing w:line="600" w:lineRule="exact"/>
        <w:ind w:firstLine="560"/>
        <w:rPr>
          <w:rFonts w:ascii="仿宋_GB2312" w:hAnsi="仿宋" w:cs="宋体"/>
          <w:bCs/>
          <w:color w:val="000000"/>
          <w:kern w:val="0"/>
          <w:szCs w:val="28"/>
          <w:highlight w:val="none"/>
        </w:rPr>
      </w:pPr>
      <w:r>
        <w:rPr>
          <w:rFonts w:hint="eastAsia" w:ascii="仿宋_GB2312" w:hAnsi="仿宋" w:cs="宋体"/>
          <w:bCs/>
          <w:color w:val="000000"/>
          <w:kern w:val="0"/>
          <w:szCs w:val="28"/>
          <w:highlight w:val="none"/>
        </w:rPr>
        <w:t>1.构建完善中医药服务体系</w:t>
      </w:r>
    </w:p>
    <w:p>
      <w:pPr>
        <w:pStyle w:val="3"/>
        <w:ind w:firstLine="560"/>
        <w:rPr>
          <w:rFonts w:ascii="仿宋_GB2312" w:hAnsi="仿宋" w:eastAsia="仿宋_GB2312" w:cs="宋体"/>
          <w:b w:val="0"/>
          <w:color w:val="000000"/>
          <w:kern w:val="0"/>
          <w:sz w:val="28"/>
          <w:szCs w:val="28"/>
          <w:highlight w:val="none"/>
        </w:rPr>
      </w:pPr>
      <w:bookmarkStart w:id="55" w:name="_Toc165277258"/>
      <w:r>
        <w:rPr>
          <w:rFonts w:hint="eastAsia" w:ascii="仿宋_GB2312" w:hAnsi="仿宋" w:eastAsia="仿宋_GB2312" w:cs="宋体"/>
          <w:b w:val="0"/>
          <w:color w:val="000000"/>
          <w:kern w:val="0"/>
          <w:sz w:val="28"/>
          <w:szCs w:val="28"/>
          <w:highlight w:val="none"/>
        </w:rPr>
        <w:t>我院不断优化内部科室设置，增设多个特色中医专科，如中医康复专科针对各类康复需求，制定个性化中医康复方案，涵盖针灸、推拿、中药熏蒸等多种手段，中医治未病中心，依据中医体质辨识为市民提供预防保健建议与干预措施，从疾病治疗向疾病预防拓展，提升医院中医药服务的全面性。</w:t>
      </w:r>
    </w:p>
    <w:p>
      <w:pPr>
        <w:numPr>
          <w:numId w:val="0"/>
        </w:numPr>
        <w:ind w:firstLine="560" w:firstLineChars="200"/>
        <w:rPr>
          <w:rFonts w:ascii="仿宋_GB2312" w:hAnsi="仿宋" w:cs="宋体"/>
          <w:bCs/>
          <w:color w:val="000000"/>
          <w:kern w:val="0"/>
          <w:szCs w:val="28"/>
          <w:highlight w:val="none"/>
        </w:rPr>
      </w:pPr>
      <w:r>
        <w:rPr>
          <w:rFonts w:hint="eastAsia" w:ascii="仿宋_GB2312" w:hAnsi="仿宋" w:cs="宋体"/>
          <w:bCs/>
          <w:color w:val="000000"/>
          <w:kern w:val="0"/>
          <w:szCs w:val="28"/>
          <w:highlight w:val="none"/>
          <w:lang w:val="en-US" w:eastAsia="zh-CN"/>
        </w:rPr>
        <w:t>2.</w:t>
      </w:r>
      <w:r>
        <w:rPr>
          <w:rFonts w:hint="eastAsia" w:ascii="仿宋_GB2312" w:hAnsi="仿宋" w:cs="宋体"/>
          <w:bCs/>
          <w:color w:val="000000"/>
          <w:kern w:val="0"/>
          <w:szCs w:val="28"/>
          <w:highlight w:val="none"/>
        </w:rPr>
        <w:t>大力加强人才培养</w:t>
      </w:r>
    </w:p>
    <w:p>
      <w:pPr>
        <w:spacing w:line="360" w:lineRule="auto"/>
        <w:ind w:firstLine="561" w:firstLineChars="0"/>
        <w:rPr>
          <w:rFonts w:ascii="仿宋_GB2312" w:hAnsi="仿宋" w:cs="宋体"/>
          <w:bCs/>
          <w:color w:val="000000"/>
          <w:kern w:val="0"/>
          <w:szCs w:val="28"/>
          <w:highlight w:val="none"/>
        </w:rPr>
      </w:pPr>
      <w:r>
        <w:rPr>
          <w:rFonts w:hint="eastAsia" w:ascii="仿宋_GB2312" w:hAnsi="仿宋" w:cs="宋体"/>
          <w:bCs/>
          <w:color w:val="000000"/>
          <w:kern w:val="0"/>
          <w:szCs w:val="28"/>
          <w:highlight w:val="none"/>
        </w:rPr>
        <w:t>启动乌鲁木齐市“西学中”人才培训工作，通过系统课程学习，涵盖中医基础理论、中医诊断学、中药学、方剂学等内容，以及临床实践带教，让西医人员掌握中医知识与技能，促进中西医结合，提升综合诊疗能力，为患者提供更全面治疗方案；我院被授予中医药师承教育基地、市基层中医药实训基地，通过师带徒模式，名老中医将自身丰富临床经验、学术思想传授给年轻中医，传承中医精髓，培养具有中医思维与临床能力的后继人才，延续中医药学术脉络。</w:t>
      </w:r>
    </w:p>
    <w:p>
      <w:pPr>
        <w:numPr>
          <w:numId w:val="0"/>
        </w:numPr>
        <w:spacing w:line="360" w:lineRule="auto"/>
        <w:ind w:firstLine="560" w:firstLineChars="200"/>
        <w:rPr>
          <w:rFonts w:ascii="仿宋_GB2312" w:hAnsi="仿宋" w:cs="宋体"/>
          <w:bCs/>
          <w:color w:val="000000"/>
          <w:kern w:val="0"/>
          <w:szCs w:val="28"/>
          <w:highlight w:val="none"/>
        </w:rPr>
      </w:pPr>
      <w:r>
        <w:rPr>
          <w:rFonts w:hint="eastAsia" w:ascii="仿宋_GB2312" w:hAnsi="仿宋" w:cs="宋体"/>
          <w:bCs/>
          <w:color w:val="000000"/>
          <w:kern w:val="0"/>
          <w:szCs w:val="28"/>
          <w:highlight w:val="none"/>
          <w:lang w:val="en-US" w:eastAsia="zh-CN"/>
        </w:rPr>
        <w:t>3.</w:t>
      </w:r>
      <w:r>
        <w:rPr>
          <w:rFonts w:hint="eastAsia" w:ascii="仿宋_GB2312" w:hAnsi="仿宋" w:cs="宋体"/>
          <w:bCs/>
          <w:color w:val="000000"/>
          <w:kern w:val="0"/>
          <w:szCs w:val="28"/>
          <w:highlight w:val="none"/>
        </w:rPr>
        <w:t>广泛开展中医药文化传播</w:t>
      </w:r>
    </w:p>
    <w:p>
      <w:pPr>
        <w:spacing w:line="360" w:lineRule="auto"/>
        <w:ind w:firstLine="561" w:firstLineChars="0"/>
        <w:rPr>
          <w:rFonts w:ascii="仿宋_GB2312" w:hAnsi="仿宋" w:cs="宋体"/>
          <w:bCs/>
          <w:color w:val="000000"/>
          <w:kern w:val="0"/>
          <w:szCs w:val="28"/>
          <w:highlight w:val="none"/>
        </w:rPr>
      </w:pPr>
      <w:r>
        <w:rPr>
          <w:rFonts w:hint="eastAsia" w:ascii="仿宋_GB2312" w:hAnsi="仿宋" w:cs="宋体"/>
          <w:bCs/>
          <w:color w:val="000000"/>
          <w:kern w:val="0"/>
          <w:szCs w:val="28"/>
          <w:highlight w:val="none"/>
        </w:rPr>
        <w:t>举办中医药文化节暨膏方节，开展拜师仪式、名中医专家义诊、中医特色文化体验等活动，通过这些活动，展示中医药在疾病预防、治疗和康复中的独特优势，让市民亲身感受中医药魅力，增强对中医药的认知与信任；开展义诊活动，组织中医专家为市民提供正骨推拿，中医诊脉、针灸等中医诊疗和养生服务。</w:t>
      </w:r>
    </w:p>
    <w:p>
      <w:pPr>
        <w:pStyle w:val="3"/>
        <w:ind w:firstLine="643"/>
        <w:rPr>
          <w:rFonts w:ascii="仿宋" w:hAnsi="仿宋" w:eastAsia="仿宋"/>
          <w:color w:val="000000"/>
          <w:highlight w:val="none"/>
          <w:lang w:bidi="en-US"/>
        </w:rPr>
      </w:pPr>
      <w:r>
        <w:rPr>
          <w:rFonts w:hint="eastAsia" w:ascii="仿宋" w:hAnsi="仿宋" w:eastAsia="仿宋"/>
          <w:color w:val="000000"/>
          <w:highlight w:val="none"/>
          <w:lang w:bidi="en-US"/>
        </w:rPr>
        <w:t>（二）存在的问题及原因分析</w:t>
      </w:r>
      <w:bookmarkEnd w:id="55"/>
    </w:p>
    <w:p>
      <w:pPr>
        <w:spacing w:line="360" w:lineRule="auto"/>
        <w:ind w:firstLine="560"/>
        <w:rPr>
          <w:rFonts w:ascii="仿宋_GB2312"/>
          <w:color w:val="000000"/>
          <w:szCs w:val="28"/>
          <w:highlight w:val="none"/>
        </w:rPr>
      </w:pPr>
      <w:r>
        <w:rPr>
          <w:rFonts w:hint="eastAsia" w:ascii="仿宋_GB2312"/>
          <w:color w:val="000000"/>
          <w:szCs w:val="28"/>
          <w:highlight w:val="none"/>
        </w:rPr>
        <w:t>1</w:t>
      </w:r>
      <w:r>
        <w:rPr>
          <w:rFonts w:ascii="仿宋_GB2312"/>
          <w:color w:val="000000"/>
          <w:szCs w:val="28"/>
          <w:highlight w:val="none"/>
        </w:rPr>
        <w:t>.</w:t>
      </w:r>
      <w:r>
        <w:rPr>
          <w:rFonts w:hint="eastAsia" w:ascii="仿宋_GB2312"/>
          <w:color w:val="000000"/>
          <w:szCs w:val="28"/>
          <w:highlight w:val="none"/>
        </w:rPr>
        <w:t>中医药整体服务能力有待进一步提升</w:t>
      </w:r>
    </w:p>
    <w:p>
      <w:pPr>
        <w:spacing w:line="360" w:lineRule="auto"/>
        <w:ind w:firstLine="560"/>
        <w:rPr>
          <w:rFonts w:ascii="仿宋_GB2312"/>
          <w:color w:val="000000"/>
          <w:szCs w:val="28"/>
          <w:highlight w:val="none"/>
        </w:rPr>
      </w:pPr>
      <w:r>
        <w:rPr>
          <w:rFonts w:hint="eastAsia" w:ascii="仿宋_GB2312"/>
          <w:color w:val="000000"/>
          <w:szCs w:val="28"/>
          <w:highlight w:val="none"/>
        </w:rPr>
        <w:t>部分复杂疑难病症的中医诊疗方案效果仍不够理想，在急危重症领域，中医药参与度和救治能力不足，无法满足患者多样化需求；原因分析一是中医药科研创新转化效率低，从基础研究到临床应用周期长，新的诊疗技术和方法难以快速推广应用，二是中医人才结构不合理，高层次、复合型中医人才短缺，尤其缺乏既精通中医理论又掌握现代医学技术的人才，影响了复杂病症和急危重症的中医诊疗水平提升。</w:t>
      </w:r>
    </w:p>
    <w:p>
      <w:pPr>
        <w:numPr>
          <w:numId w:val="0"/>
        </w:numPr>
        <w:spacing w:line="360" w:lineRule="auto"/>
        <w:ind w:firstLine="560" w:firstLineChars="200"/>
        <w:rPr>
          <w:rFonts w:ascii="仿宋_GB2312"/>
          <w:color w:val="000000"/>
          <w:szCs w:val="28"/>
          <w:highlight w:val="none"/>
        </w:rPr>
      </w:pPr>
      <w:r>
        <w:rPr>
          <w:rFonts w:hint="eastAsia" w:ascii="仿宋_GB2312"/>
          <w:color w:val="000000"/>
          <w:szCs w:val="28"/>
          <w:highlight w:val="none"/>
          <w:lang w:val="en-US" w:eastAsia="zh-CN"/>
        </w:rPr>
        <w:t>2.</w:t>
      </w:r>
      <w:r>
        <w:rPr>
          <w:rFonts w:hint="eastAsia" w:ascii="仿宋_GB2312"/>
          <w:color w:val="000000"/>
          <w:szCs w:val="28"/>
          <w:highlight w:val="none"/>
        </w:rPr>
        <w:t>中医药传承创新发展不足</w:t>
      </w:r>
    </w:p>
    <w:p>
      <w:pPr>
        <w:spacing w:line="360" w:lineRule="auto"/>
        <w:ind w:firstLine="0" w:firstLineChars="0"/>
        <w:rPr>
          <w:rFonts w:ascii="仿宋_GB2312"/>
          <w:color w:val="000000"/>
          <w:szCs w:val="28"/>
          <w:highlight w:val="none"/>
        </w:rPr>
      </w:pPr>
      <w:r>
        <w:rPr>
          <w:rFonts w:hint="eastAsia" w:ascii="仿宋_GB2312"/>
          <w:color w:val="000000"/>
          <w:szCs w:val="28"/>
          <w:highlight w:val="none"/>
        </w:rPr>
        <w:t>传统中医药知识挖掘整理不够深入，一些民间中医药技术和经验面临失传风险，中医药创新动力不足，在新技术、新方法、新药物研发方面进展缓慢；原因分析是在传承方面，对民间中医药传承人的保护和支持力度不够，缺乏有效的传承激励机制，在创新方面，中医药科研投入相对不足，科研平台建设不完善，缺乏多科学交叉融合的创新环境，难以吸引和整合各方面创新资源。</w:t>
      </w:r>
    </w:p>
    <w:p>
      <w:pPr>
        <w:pStyle w:val="2"/>
        <w:numPr>
          <w:ilvl w:val="0"/>
          <w:numId w:val="1"/>
        </w:numPr>
        <w:ind w:firstLine="0" w:firstLineChars="0"/>
        <w:jc w:val="left"/>
        <w:rPr>
          <w:rFonts w:ascii="仿宋" w:hAnsi="仿宋" w:eastAsia="仿宋"/>
          <w:color w:val="000000"/>
          <w:sz w:val="36"/>
          <w:szCs w:val="36"/>
          <w:highlight w:val="none"/>
          <w:lang w:bidi="en-US"/>
        </w:rPr>
      </w:pPr>
      <w:bookmarkStart w:id="56" w:name="_Toc165277259"/>
      <w:bookmarkStart w:id="57" w:name="_Toc67911620"/>
      <w:bookmarkStart w:id="58" w:name="_Toc67911619"/>
      <w:r>
        <w:rPr>
          <w:rFonts w:hint="eastAsia" w:ascii="仿宋" w:hAnsi="仿宋" w:eastAsia="仿宋"/>
          <w:color w:val="000000"/>
          <w:sz w:val="36"/>
          <w:szCs w:val="36"/>
          <w:highlight w:val="none"/>
          <w:lang w:bidi="en-US"/>
        </w:rPr>
        <w:t>有关建议</w:t>
      </w:r>
      <w:bookmarkEnd w:id="56"/>
      <w:bookmarkEnd w:id="57"/>
      <w:bookmarkStart w:id="59" w:name="_Toc165277260"/>
    </w:p>
    <w:p>
      <w:pPr>
        <w:widowControl w:val="0"/>
        <w:wordWrap/>
        <w:adjustRightInd/>
        <w:snapToGrid/>
        <w:spacing w:line="360" w:lineRule="auto"/>
        <w:ind w:left="0" w:leftChars="0" w:firstLine="280" w:firstLineChars="100"/>
        <w:textAlignment w:val="auto"/>
        <w:rPr>
          <w:color w:val="000000"/>
          <w:highlight w:val="none"/>
          <w:lang w:bidi="en-US"/>
        </w:rPr>
      </w:pPr>
      <w:r>
        <w:rPr>
          <w:rFonts w:hint="eastAsia"/>
          <w:color w:val="000000"/>
          <w:highlight w:val="none"/>
          <w:lang w:eastAsia="zh-CN" w:bidi="en-US"/>
        </w:rPr>
        <w:t>（</w:t>
      </w:r>
      <w:r>
        <w:rPr>
          <w:rFonts w:hint="eastAsia"/>
          <w:color w:val="000000"/>
          <w:highlight w:val="none"/>
          <w:lang w:val="en-US" w:eastAsia="zh-CN" w:bidi="en-US"/>
        </w:rPr>
        <w:t>一</w:t>
      </w:r>
      <w:r>
        <w:rPr>
          <w:rFonts w:hint="eastAsia"/>
          <w:color w:val="000000"/>
          <w:highlight w:val="none"/>
          <w:lang w:eastAsia="zh-CN" w:bidi="en-US"/>
        </w:rPr>
        <w:t>）</w:t>
      </w:r>
      <w:r>
        <w:rPr>
          <w:rFonts w:hint="eastAsia"/>
          <w:color w:val="000000"/>
          <w:highlight w:val="none"/>
          <w:lang w:bidi="en-US"/>
        </w:rPr>
        <w:t>进一步提升中医药整体服务能力</w:t>
      </w:r>
    </w:p>
    <w:p>
      <w:pPr>
        <w:widowControl w:val="0"/>
        <w:wordWrap/>
        <w:adjustRightInd/>
        <w:snapToGrid/>
        <w:spacing w:line="360" w:lineRule="auto"/>
        <w:textAlignment w:val="auto"/>
        <w:rPr>
          <w:rFonts w:hint="eastAsia"/>
          <w:color w:val="000000"/>
          <w:highlight w:val="none"/>
          <w:lang w:bidi="en-US"/>
        </w:rPr>
      </w:pPr>
      <w:r>
        <w:rPr>
          <w:rFonts w:hint="eastAsia"/>
          <w:color w:val="000000"/>
          <w:highlight w:val="none"/>
          <w:lang w:val="en-US" w:eastAsia="zh-CN" w:bidi="en-US"/>
        </w:rPr>
        <w:t>1.</w:t>
      </w:r>
      <w:r>
        <w:rPr>
          <w:rFonts w:hint="eastAsia"/>
          <w:color w:val="000000"/>
          <w:highlight w:val="none"/>
          <w:lang w:bidi="en-US"/>
        </w:rPr>
        <w:t>强化中医药人才培养</w:t>
      </w:r>
    </w:p>
    <w:p>
      <w:pPr>
        <w:widowControl w:val="0"/>
        <w:wordWrap/>
        <w:adjustRightInd/>
        <w:snapToGrid/>
        <w:spacing w:line="360" w:lineRule="auto"/>
        <w:ind w:firstLine="560"/>
        <w:textAlignment w:val="auto"/>
        <w:rPr>
          <w:rFonts w:hint="eastAsia"/>
          <w:color w:val="000000"/>
          <w:highlight w:val="none"/>
          <w:lang w:eastAsia="zh-CN" w:bidi="en-US"/>
        </w:rPr>
      </w:pPr>
      <w:r>
        <w:rPr>
          <w:rFonts w:hint="eastAsia"/>
          <w:color w:val="000000"/>
          <w:highlight w:val="none"/>
          <w:lang w:bidi="en-US"/>
        </w:rPr>
        <w:t>中西医结合人才培养</w:t>
      </w:r>
      <w:r>
        <w:rPr>
          <w:rFonts w:hint="eastAsia"/>
          <w:color w:val="000000"/>
          <w:highlight w:val="none"/>
          <w:lang w:val="en-US" w:eastAsia="zh-CN" w:bidi="en-US"/>
        </w:rPr>
        <w:t>方面</w:t>
      </w:r>
      <w:r>
        <w:rPr>
          <w:rFonts w:hint="eastAsia"/>
          <w:color w:val="000000"/>
          <w:highlight w:val="none"/>
          <w:lang w:eastAsia="zh-CN" w:bidi="en-US"/>
        </w:rPr>
        <w:t>：积极开展西医学习中医培训工作。投入经费用于聘请资深的中医专家授课，课程涵盖中医基础理论、中医经典著作研读、中医临床技能等多个方面。</w:t>
      </w:r>
    </w:p>
    <w:p>
      <w:pPr>
        <w:widowControl w:val="0"/>
        <w:numPr>
          <w:numId w:val="0"/>
        </w:numPr>
        <w:wordWrap/>
        <w:adjustRightInd/>
        <w:snapToGrid/>
        <w:spacing w:line="360" w:lineRule="auto"/>
        <w:ind w:firstLine="560" w:firstLineChars="200"/>
        <w:textAlignment w:val="auto"/>
        <w:rPr>
          <w:rFonts w:hint="eastAsia"/>
          <w:color w:val="000000"/>
          <w:highlight w:val="none"/>
          <w:lang w:val="en-US" w:eastAsia="zh-CN" w:bidi="en-US"/>
        </w:rPr>
      </w:pPr>
      <w:r>
        <w:rPr>
          <w:rFonts w:hint="eastAsia"/>
          <w:color w:val="000000"/>
          <w:highlight w:val="none"/>
          <w:lang w:val="en-US" w:eastAsia="zh-CN" w:bidi="en-US"/>
        </w:rPr>
        <w:t>中医药青年骨干人才培养方面：培养中医药优势专科骨干、中医护理骨干、中医康复骨干、治未病骨干，利用财政经费支持他们参加各类专题培训，邀请国内外知名专家讲学，拓宽骨干人才的学术视野，组织他们开展访学交流及进修活动，学习先进地区的中医药诊疗经验与管理模式。</w:t>
      </w:r>
    </w:p>
    <w:p>
      <w:pPr>
        <w:widowControl w:val="0"/>
        <w:numPr>
          <w:ilvl w:val="0"/>
          <w:numId w:val="2"/>
        </w:numPr>
        <w:wordWrap/>
        <w:adjustRightInd/>
        <w:snapToGrid/>
        <w:spacing w:line="360" w:lineRule="auto"/>
        <w:ind w:firstLine="560" w:firstLineChars="200"/>
        <w:textAlignment w:val="auto"/>
        <w:rPr>
          <w:rFonts w:hint="eastAsia"/>
          <w:color w:val="000000"/>
          <w:highlight w:val="none"/>
          <w:lang w:val="en-US" w:eastAsia="zh-CN" w:bidi="en-US"/>
        </w:rPr>
      </w:pPr>
      <w:r>
        <w:rPr>
          <w:rFonts w:hint="eastAsia"/>
          <w:color w:val="000000"/>
          <w:highlight w:val="none"/>
          <w:lang w:val="en-US" w:eastAsia="zh-CN" w:bidi="en-US"/>
        </w:rPr>
        <w:t>推动中医药特色服务发展</w:t>
      </w:r>
    </w:p>
    <w:p>
      <w:pPr>
        <w:widowControl w:val="0"/>
        <w:numPr>
          <w:numId w:val="0"/>
        </w:numPr>
        <w:wordWrap/>
        <w:adjustRightInd/>
        <w:snapToGrid/>
        <w:spacing w:line="360" w:lineRule="auto"/>
        <w:ind w:firstLine="560" w:firstLineChars="200"/>
        <w:jc w:val="both"/>
        <w:textAlignment w:val="auto"/>
        <w:rPr>
          <w:rFonts w:hint="default"/>
          <w:color w:val="000000"/>
          <w:highlight w:val="none"/>
          <w:lang w:val="en-US" w:eastAsia="zh-CN" w:bidi="en-US"/>
        </w:rPr>
      </w:pPr>
      <w:r>
        <w:rPr>
          <w:rFonts w:hint="default"/>
          <w:color w:val="000000"/>
          <w:highlight w:val="none"/>
          <w:lang w:val="en-US" w:eastAsia="zh-CN" w:bidi="en-US"/>
        </w:rPr>
        <w:t>中医治未病服务拓展：加大在中医治未病领域的投入，设立专门的治未病中心。利用财政经费开展中医体质辨识、健康评估等服务项目，为居民建立个性化的健康档案，并根据评估结果制定相应的中医养生保健方案。</w:t>
      </w:r>
    </w:p>
    <w:p>
      <w:pPr>
        <w:widowControl w:val="0"/>
        <w:numPr>
          <w:numId w:val="0"/>
        </w:numPr>
        <w:wordWrap/>
        <w:adjustRightInd/>
        <w:snapToGrid/>
        <w:spacing w:line="360" w:lineRule="auto"/>
        <w:ind w:firstLine="560" w:firstLineChars="200"/>
        <w:jc w:val="both"/>
        <w:textAlignment w:val="auto"/>
        <w:rPr>
          <w:rFonts w:hint="default"/>
          <w:color w:val="000000"/>
          <w:highlight w:val="none"/>
          <w:lang w:val="en-US" w:eastAsia="zh-CN" w:bidi="en-US"/>
        </w:rPr>
      </w:pPr>
      <w:r>
        <w:rPr>
          <w:rFonts w:hint="default"/>
          <w:color w:val="000000"/>
          <w:highlight w:val="none"/>
          <w:lang w:val="en-US" w:eastAsia="zh-CN" w:bidi="en-US"/>
        </w:rPr>
        <w:t>中医康复服务提升：加强中医康复科室建设，购置先进的康复设备，利用财政经费培养专业的中医康复人才，开展中医康复技术培训，推广中医传统康复疗法，如针灸、推拿、艾灸、拔罐等与现代康复技术相结合的综合康复治疗模式。针对中风后遗症、骨折术后康复等患者，制定个性化的康复治疗方案，提高康复效果，帮助患者早日恢复功能，回归正常生活。</w:t>
      </w:r>
    </w:p>
    <w:p>
      <w:pPr>
        <w:widowControl w:val="0"/>
        <w:numPr>
          <w:numId w:val="0"/>
        </w:numPr>
        <w:wordWrap/>
        <w:adjustRightInd/>
        <w:snapToGrid/>
        <w:spacing w:line="360" w:lineRule="auto"/>
        <w:ind w:firstLine="280" w:firstLineChars="100"/>
        <w:textAlignment w:val="auto"/>
        <w:rPr>
          <w:rFonts w:hint="default"/>
          <w:color w:val="000000"/>
          <w:highlight w:val="none"/>
          <w:lang w:val="en-US" w:eastAsia="zh-CN" w:bidi="en-US"/>
        </w:rPr>
      </w:pPr>
      <w:r>
        <w:rPr>
          <w:rFonts w:hint="eastAsia"/>
          <w:color w:val="000000"/>
          <w:highlight w:val="none"/>
          <w:lang w:val="en-US" w:eastAsia="zh-CN" w:bidi="en-US"/>
        </w:rPr>
        <w:t>（二）提高中医药传承创新发展能力</w:t>
      </w:r>
    </w:p>
    <w:p>
      <w:pPr>
        <w:widowControl w:val="0"/>
        <w:wordWrap/>
        <w:adjustRightInd/>
        <w:snapToGrid/>
        <w:spacing w:line="360" w:lineRule="auto"/>
        <w:ind w:firstLine="560"/>
        <w:textAlignment w:val="auto"/>
        <w:rPr>
          <w:rFonts w:hint="default" w:eastAsia="仿宋_GB2312"/>
          <w:color w:val="000000"/>
          <w:highlight w:val="none"/>
          <w:lang w:val="en-US" w:eastAsia="zh-CN" w:bidi="en-US"/>
        </w:rPr>
      </w:pPr>
      <w:r>
        <w:rPr>
          <w:rFonts w:hint="eastAsia"/>
          <w:color w:val="000000"/>
          <w:highlight w:val="none"/>
          <w:lang w:val="en-US" w:eastAsia="zh-CN" w:bidi="en-US"/>
        </w:rPr>
        <w:t>1.推进中医药科研创新</w:t>
      </w:r>
    </w:p>
    <w:p>
      <w:pPr>
        <w:widowControl w:val="0"/>
        <w:wordWrap/>
        <w:adjustRightInd/>
        <w:snapToGrid/>
        <w:spacing w:line="360" w:lineRule="auto"/>
        <w:ind w:firstLine="560"/>
        <w:textAlignment w:val="auto"/>
        <w:rPr>
          <w:rFonts w:hint="eastAsia"/>
          <w:color w:val="000000"/>
          <w:highlight w:val="none"/>
          <w:lang w:eastAsia="zh-CN" w:bidi="en-US"/>
        </w:rPr>
      </w:pPr>
      <w:r>
        <w:rPr>
          <w:rFonts w:hint="eastAsia"/>
          <w:color w:val="000000"/>
          <w:highlight w:val="none"/>
          <w:lang w:bidi="en-US"/>
        </w:rPr>
        <w:t>强化科研平台建设</w:t>
      </w:r>
      <w:r>
        <w:rPr>
          <w:rFonts w:hint="eastAsia"/>
          <w:color w:val="000000"/>
          <w:highlight w:val="none"/>
          <w:lang w:val="en-US" w:eastAsia="zh-CN" w:bidi="en-US"/>
        </w:rPr>
        <w:t>：</w:t>
      </w:r>
      <w:r>
        <w:rPr>
          <w:rFonts w:hint="eastAsia"/>
          <w:color w:val="000000"/>
          <w:highlight w:val="none"/>
          <w:lang w:bidi="en-US"/>
        </w:rPr>
        <w:t>利用财政经费进一步完善中医药传承创新平台，与高校、科研机构共建联合实验室或研发中心，共享科研资源，共同开展中医药科研项目</w:t>
      </w:r>
      <w:r>
        <w:rPr>
          <w:rFonts w:hint="eastAsia"/>
          <w:color w:val="000000"/>
          <w:highlight w:val="none"/>
          <w:lang w:eastAsia="zh-CN" w:bidi="en-US"/>
        </w:rPr>
        <w:t>。</w:t>
      </w:r>
    </w:p>
    <w:p>
      <w:pPr>
        <w:widowControl w:val="0"/>
        <w:wordWrap/>
        <w:adjustRightInd/>
        <w:snapToGrid/>
        <w:spacing w:line="360" w:lineRule="auto"/>
        <w:ind w:firstLine="560"/>
        <w:textAlignment w:val="auto"/>
        <w:rPr>
          <w:rFonts w:hint="eastAsia"/>
          <w:color w:val="000000"/>
          <w:highlight w:val="none"/>
          <w:lang w:eastAsia="zh-CN" w:bidi="en-US"/>
        </w:rPr>
      </w:pPr>
      <w:r>
        <w:rPr>
          <w:rFonts w:hint="eastAsia"/>
          <w:color w:val="000000"/>
          <w:highlight w:val="none"/>
          <w:lang w:eastAsia="zh-CN" w:bidi="en-US"/>
        </w:rPr>
        <w:t>加大科研项目支持：设立院内中医药科研专项基金，鼓励医务人员积极申报科研项目，对具有创新性和应用前景的项目给予重点扶持。</w:t>
      </w:r>
    </w:p>
    <w:p>
      <w:pPr>
        <w:widowControl w:val="0"/>
        <w:numPr>
          <w:ilvl w:val="0"/>
          <w:numId w:val="3"/>
        </w:numPr>
        <w:wordWrap/>
        <w:adjustRightInd/>
        <w:snapToGrid/>
        <w:spacing w:line="360" w:lineRule="auto"/>
        <w:ind w:firstLine="560"/>
        <w:textAlignment w:val="auto"/>
        <w:rPr>
          <w:rFonts w:hint="eastAsia"/>
          <w:color w:val="000000"/>
          <w:highlight w:val="none"/>
          <w:lang w:bidi="en-US"/>
        </w:rPr>
      </w:pPr>
      <w:r>
        <w:rPr>
          <w:rFonts w:hint="eastAsia"/>
          <w:color w:val="000000"/>
          <w:highlight w:val="none"/>
          <w:lang w:bidi="en-US"/>
        </w:rPr>
        <w:t>促进中医药文化传承与传播</w:t>
      </w:r>
    </w:p>
    <w:p>
      <w:pPr>
        <w:widowControl w:val="0"/>
        <w:numPr>
          <w:numId w:val="0"/>
        </w:numPr>
        <w:wordWrap/>
        <w:adjustRightInd/>
        <w:snapToGrid/>
        <w:spacing w:line="360" w:lineRule="auto"/>
        <w:ind w:firstLine="560" w:firstLineChars="200"/>
        <w:textAlignment w:val="auto"/>
        <w:rPr>
          <w:rFonts w:hint="eastAsia"/>
          <w:color w:val="000000"/>
          <w:highlight w:val="none"/>
          <w:lang w:bidi="en-US"/>
        </w:rPr>
      </w:pPr>
      <w:r>
        <w:rPr>
          <w:rFonts w:hint="eastAsia"/>
          <w:color w:val="000000"/>
          <w:highlight w:val="none"/>
          <w:lang w:bidi="en-US"/>
        </w:rPr>
        <w:t>挖掘整理中医药文化资源：组织专业团队对医院的中医药文化历史、名老中医经验、特色诊疗技术等进行系统挖掘和整理，建立医院中医药文化数据库。</w:t>
      </w:r>
    </w:p>
    <w:p>
      <w:pPr>
        <w:widowControl w:val="0"/>
        <w:numPr>
          <w:numId w:val="0"/>
        </w:numPr>
        <w:wordWrap/>
        <w:adjustRightInd/>
        <w:snapToGrid/>
        <w:spacing w:line="360" w:lineRule="auto"/>
        <w:ind w:firstLine="560" w:firstLineChars="200"/>
        <w:textAlignment w:val="auto"/>
        <w:rPr>
          <w:rFonts w:hint="eastAsia"/>
          <w:color w:val="000000"/>
          <w:highlight w:val="none"/>
          <w:lang w:bidi="en-US"/>
        </w:rPr>
      </w:pPr>
      <w:r>
        <w:rPr>
          <w:rFonts w:hint="eastAsia"/>
          <w:color w:val="000000"/>
          <w:highlight w:val="none"/>
          <w:lang w:bidi="en-US"/>
        </w:rPr>
        <w:t>加强中医药文化宣传推广：利用多种渠道开展中医药文化宣传活动，如举办中医药文化节、健康讲座、义诊活动等，向市民普及中医药知识和文化。</w:t>
      </w:r>
    </w:p>
    <w:p>
      <w:pPr>
        <w:pStyle w:val="2"/>
        <w:ind w:firstLine="0" w:firstLineChars="0"/>
        <w:jc w:val="left"/>
        <w:rPr>
          <w:rFonts w:ascii="仿宋" w:hAnsi="仿宋" w:eastAsia="仿宋"/>
          <w:color w:val="000000"/>
          <w:sz w:val="36"/>
          <w:szCs w:val="36"/>
          <w:highlight w:val="none"/>
          <w:lang w:bidi="en-US"/>
        </w:rPr>
      </w:pPr>
      <w:r>
        <w:rPr>
          <w:rFonts w:hint="eastAsia" w:ascii="仿宋" w:hAnsi="仿宋" w:eastAsia="仿宋"/>
          <w:color w:val="000000"/>
          <w:sz w:val="36"/>
          <w:szCs w:val="36"/>
          <w:highlight w:val="none"/>
          <w:lang w:bidi="en-US"/>
        </w:rPr>
        <w:t>七、其他需要说明的问题</w:t>
      </w:r>
      <w:bookmarkEnd w:id="58"/>
      <w:bookmarkEnd w:id="59"/>
    </w:p>
    <w:p>
      <w:pPr>
        <w:spacing w:line="360" w:lineRule="auto"/>
        <w:ind w:firstLine="560"/>
        <w:rPr>
          <w:rFonts w:hint="eastAsia" w:ascii="仿宋_GB2312"/>
          <w:color w:val="000000"/>
          <w:szCs w:val="28"/>
          <w:highlight w:val="none"/>
        </w:rPr>
      </w:pPr>
      <w:r>
        <w:rPr>
          <w:rFonts w:hint="eastAsia" w:ascii="仿宋_GB2312"/>
          <w:color w:val="000000"/>
          <w:szCs w:val="28"/>
          <w:highlight w:val="none"/>
        </w:rPr>
        <w:t>绩效目标贯穿项目实施的整个周期，指导着项目的发展方向：绩效指标是绩效目标的具体化对项目实施的各个阶段起着考核、监督、引导的作用。</w:t>
      </w:r>
    </w:p>
    <w:p>
      <w:pPr>
        <w:spacing w:line="360" w:lineRule="auto"/>
        <w:ind w:firstLine="560"/>
        <w:rPr>
          <w:rFonts w:ascii="仿宋_GB2312"/>
          <w:color w:val="000000"/>
          <w:szCs w:val="28"/>
          <w:highlight w:val="none"/>
        </w:rPr>
      </w:pPr>
      <w:r>
        <w:rPr>
          <w:rFonts w:hint="eastAsia" w:ascii="仿宋_GB2312"/>
          <w:color w:val="000000"/>
          <w:szCs w:val="28"/>
          <w:highlight w:val="none"/>
        </w:rPr>
        <w:t>1</w:t>
      </w:r>
      <w:r>
        <w:rPr>
          <w:rFonts w:ascii="仿宋_GB2312"/>
          <w:color w:val="000000"/>
          <w:szCs w:val="28"/>
          <w:highlight w:val="none"/>
        </w:rPr>
        <w:t>.</w:t>
      </w:r>
      <w:r>
        <w:rPr>
          <w:rFonts w:hint="eastAsia" w:ascii="仿宋_GB2312"/>
          <w:color w:val="000000"/>
          <w:szCs w:val="28"/>
          <w:highlight w:val="none"/>
        </w:rPr>
        <w:t>项目支出政策和路径设计科学，符合实际需要</w:t>
      </w:r>
      <w:r>
        <w:rPr>
          <w:rFonts w:hint="eastAsia" w:ascii="仿宋_GB2312"/>
          <w:color w:val="000000"/>
          <w:szCs w:val="28"/>
          <w:highlight w:val="none"/>
          <w:lang w:eastAsia="zh-CN"/>
        </w:rPr>
        <w:t>，按项目性质细化分类管理，针对不同类别制定差异化管理政策，组建由医疗、财务、审计等多领域专家构成评审小组，从技术可行性、社会效益等维度进行项目支出政策和路径设计</w:t>
      </w:r>
      <w:r>
        <w:rPr>
          <w:rFonts w:hint="eastAsia" w:ascii="仿宋_GB2312"/>
          <w:color w:val="000000"/>
          <w:szCs w:val="28"/>
          <w:highlight w:val="none"/>
        </w:rPr>
        <w:t>；</w:t>
      </w:r>
    </w:p>
    <w:p>
      <w:pPr>
        <w:spacing w:line="360" w:lineRule="auto"/>
        <w:ind w:firstLine="560"/>
        <w:rPr>
          <w:rFonts w:ascii="仿宋_GB2312"/>
          <w:color w:val="000000"/>
          <w:szCs w:val="28"/>
          <w:highlight w:val="none"/>
        </w:rPr>
      </w:pPr>
      <w:r>
        <w:rPr>
          <w:rFonts w:ascii="仿宋_GB2312"/>
          <w:color w:val="000000"/>
          <w:szCs w:val="28"/>
          <w:highlight w:val="none"/>
        </w:rPr>
        <w:t>2.</w:t>
      </w:r>
      <w:r>
        <w:rPr>
          <w:rFonts w:hint="eastAsia" w:ascii="仿宋_GB2312"/>
          <w:color w:val="000000"/>
          <w:szCs w:val="28"/>
          <w:highlight w:val="none"/>
        </w:rPr>
        <w:t>项目安排准确，未发现背离项目立项初衷的情况</w:t>
      </w:r>
      <w:r>
        <w:rPr>
          <w:rFonts w:hint="eastAsia" w:ascii="仿宋_GB2312"/>
          <w:color w:val="000000"/>
          <w:szCs w:val="28"/>
          <w:highlight w:val="none"/>
          <w:lang w:eastAsia="zh-CN"/>
        </w:rPr>
        <w:t>，明确项目目标与医院发展战略的契合度，精准评估项目需求，根据医院现有资源、技术水平、人员结构等合理安排项目</w:t>
      </w:r>
      <w:r>
        <w:rPr>
          <w:rFonts w:hint="eastAsia" w:ascii="仿宋_GB2312"/>
          <w:color w:val="000000"/>
          <w:szCs w:val="28"/>
          <w:highlight w:val="none"/>
        </w:rPr>
        <w:t>；</w:t>
      </w:r>
    </w:p>
    <w:p>
      <w:pPr>
        <w:spacing w:line="360" w:lineRule="auto"/>
        <w:ind w:firstLine="560"/>
        <w:rPr>
          <w:rFonts w:ascii="仿宋_GB2312"/>
          <w:color w:val="000000"/>
          <w:szCs w:val="28"/>
          <w:highlight w:val="none"/>
        </w:rPr>
      </w:pPr>
      <w:r>
        <w:rPr>
          <w:rFonts w:ascii="仿宋_GB2312"/>
          <w:color w:val="000000"/>
          <w:szCs w:val="28"/>
          <w:highlight w:val="none"/>
        </w:rPr>
        <w:t>3.</w:t>
      </w:r>
      <w:r>
        <w:rPr>
          <w:rFonts w:hint="eastAsia" w:ascii="仿宋_GB2312"/>
          <w:color w:val="000000"/>
          <w:szCs w:val="28"/>
          <w:highlight w:val="none"/>
        </w:rPr>
        <w:t>项目的申报、审核机制完善</w:t>
      </w:r>
      <w:r>
        <w:rPr>
          <w:rFonts w:hint="eastAsia" w:ascii="仿宋_GB2312"/>
          <w:color w:val="000000"/>
          <w:szCs w:val="28"/>
          <w:highlight w:val="none"/>
          <w:lang w:eastAsia="zh-CN"/>
        </w:rPr>
        <w:t>，项目申请前由业务科室提交可行性报告，财务部门联合业务科室评估资金需求和预期效益</w:t>
      </w:r>
      <w:r>
        <w:rPr>
          <w:rFonts w:hint="eastAsia" w:ascii="仿宋_GB2312"/>
          <w:color w:val="000000"/>
          <w:szCs w:val="28"/>
          <w:highlight w:val="none"/>
        </w:rPr>
        <w:t>；</w:t>
      </w:r>
    </w:p>
    <w:p>
      <w:pPr>
        <w:spacing w:line="360" w:lineRule="auto"/>
        <w:ind w:firstLine="560"/>
        <w:rPr>
          <w:rFonts w:ascii="仿宋_GB2312"/>
          <w:color w:val="000000"/>
          <w:szCs w:val="28"/>
          <w:highlight w:val="none"/>
        </w:rPr>
      </w:pPr>
      <w:r>
        <w:rPr>
          <w:rFonts w:ascii="仿宋_GB2312"/>
          <w:color w:val="000000"/>
          <w:szCs w:val="28"/>
          <w:highlight w:val="none"/>
        </w:rPr>
        <w:t>4.</w:t>
      </w:r>
      <w:r>
        <w:rPr>
          <w:rFonts w:hint="eastAsia" w:ascii="仿宋_GB2312"/>
          <w:color w:val="000000"/>
          <w:szCs w:val="28"/>
          <w:highlight w:val="none"/>
        </w:rPr>
        <w:t>未发现虚假行为和骗取财政资金的问题</w:t>
      </w:r>
      <w:r>
        <w:rPr>
          <w:rFonts w:hint="eastAsia" w:ascii="仿宋_GB2312"/>
          <w:color w:val="000000"/>
          <w:szCs w:val="28"/>
          <w:highlight w:val="none"/>
          <w:lang w:eastAsia="zh-CN"/>
        </w:rPr>
        <w:t>，专款专用，</w:t>
      </w:r>
      <w:r>
        <w:rPr>
          <w:rFonts w:hint="eastAsia" w:ascii="仿宋_GB2312"/>
          <w:color w:val="000000"/>
          <w:szCs w:val="28"/>
          <w:highlight w:val="none"/>
        </w:rPr>
        <w:t>资金的拨付有使用计划的申请和资金支付的审批程序，需要项目负责人、项目管理科室、分管院领导、财务科长和分管财务的院领导签批手续，符合项目预算批复或合同规定的用途，不存在截留、挤占、挪用、虚列支出等情况。</w:t>
      </w:r>
    </w:p>
    <w:p>
      <w:pPr>
        <w:spacing w:line="360" w:lineRule="auto"/>
        <w:ind w:firstLine="560"/>
        <w:rPr>
          <w:rFonts w:ascii="仿宋_GB2312"/>
          <w:color w:val="000000"/>
          <w:szCs w:val="28"/>
          <w:highlight w:val="none"/>
        </w:rPr>
      </w:pPr>
    </w:p>
    <w:bookmarkEnd w:id="60"/>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720" w:num="1"/>
      <w:docGrid w:type="lines"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A00002BF" w:usb1="38CF7CFA" w:usb2="00000016" w:usb3="00000000" w:csb0="0004000F" w:csb1="00000000"/>
  </w:font>
  <w:font w:name="等线">
    <w:altName w:val="宋体"/>
    <w:panose1 w:val="02010600030101010101"/>
    <w:charset w:val="86"/>
    <w:family w:val="auto"/>
    <w:pitch w:val="default"/>
    <w:sig w:usb0="A00002BF" w:usb1="38CF7CFA" w:usb2="00000016" w:usb3="00000000" w:csb0="0004000F" w:csb1="00000000"/>
  </w:font>
  <w:font w:name="Gungsuh">
    <w:panose1 w:val="02030600000101010101"/>
    <w:charset w:val="81"/>
    <w:family w:val="auto"/>
    <w:pitch w:val="default"/>
    <w:sig w:usb0="B00002AF" w:usb1="69D77CFB" w:usb2="00000030" w:usb3="00000000" w:csb0="4008009F" w:csb1="DFD70000"/>
  </w:font>
  <w:font w:name="Malgun Gothic">
    <w:panose1 w:val="020B0503020000020004"/>
    <w:charset w:val="81"/>
    <w:family w:val="auto"/>
    <w:pitch w:val="default"/>
    <w:sig w:usb0="900002AF" w:usb1="01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12</w:t>
    </w:r>
    <w:r>
      <w:rPr>
        <w:rFonts w:hint="eastAsia" w:ascii="仿宋_GB2312" w:eastAsia="仿宋_GB2312"/>
        <w:sz w:val="21"/>
        <w:szCs w:val="21"/>
      </w:rPr>
      <w:fldChar w:fldCharType="end"/>
    </w:r>
  </w:p>
  <w:p>
    <w:pPr>
      <w:pStyle w:val="10"/>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27</w:t>
    </w:r>
    <w:r>
      <w:rPr>
        <w:rFonts w:hint="eastAsia" w:ascii="仿宋_GB2312" w:eastAsia="仿宋_GB2312"/>
        <w:sz w:val="21"/>
        <w:szCs w:val="21"/>
      </w:rPr>
      <w:fldChar w:fldCharType="end"/>
    </w:r>
  </w:p>
  <w:p>
    <w:pPr>
      <w:pStyle w:val="10"/>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footnote w:id="0">
    <w:p>
      <w:pPr>
        <w:pStyle w:val="13"/>
        <w:ind w:firstLine="0" w:firstLineChars="0"/>
        <w:jc w:val="both"/>
        <w:rPr>
          <w:rFonts w:ascii="仿宋_GB2312"/>
        </w:rPr>
      </w:pPr>
      <w:r>
        <w:rPr>
          <w:rStyle w:val="18"/>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3"/>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1"/>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448214256">
    <w:nsid w:val="91ECC8F0"/>
    <w:multiLevelType w:val="singleLevel"/>
    <w:tmpl w:val="91ECC8F0"/>
    <w:lvl w:ilvl="0" w:tentative="1">
      <w:start w:val="2"/>
      <w:numFmt w:val="decimal"/>
      <w:lvlText w:val="%1."/>
      <w:lvlJc w:val="left"/>
      <w:pPr>
        <w:tabs>
          <w:tab w:val="left" w:pos="312"/>
        </w:tabs>
      </w:pPr>
    </w:lvl>
  </w:abstractNum>
  <w:abstractNum w:abstractNumId="571249607">
    <w:nsid w:val="220C93C7"/>
    <w:multiLevelType w:val="singleLevel"/>
    <w:tmpl w:val="220C93C7"/>
    <w:lvl w:ilvl="0" w:tentative="1">
      <w:start w:val="6"/>
      <w:numFmt w:val="chineseCounting"/>
      <w:suff w:val="nothing"/>
      <w:lvlText w:val="%1、"/>
      <w:lvlJc w:val="left"/>
      <w:rPr>
        <w:rFonts w:hint="eastAsia"/>
      </w:rPr>
    </w:lvl>
  </w:abstractNum>
  <w:abstractNum w:abstractNumId="2080925016">
    <w:nsid w:val="7C086558"/>
    <w:multiLevelType w:val="singleLevel"/>
    <w:tmpl w:val="7C086558"/>
    <w:lvl w:ilvl="0" w:tentative="1">
      <w:start w:val="2"/>
      <w:numFmt w:val="decimal"/>
      <w:lvlText w:val="%1."/>
      <w:lvlJc w:val="left"/>
    </w:lvl>
  </w:abstractNum>
  <w:num w:numId="1">
    <w:abstractNumId w:val="571249607"/>
  </w:num>
  <w:num w:numId="2">
    <w:abstractNumId w:val="2448214256"/>
  </w:num>
  <w:num w:numId="3">
    <w:abstractNumId w:val="20809250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40"/>
  <w:drawingGridVerticalSpacing w:val="38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annotation subject"/>
    <w:lsdException w:qFormat="1" w:uiPriority="99" w:name="Balloon Text"/>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等线 Light" w:hAnsi="等线 Light" w:eastAsia="等线 Light" w:cs="黑体"/>
      <w:b/>
      <w:bCs/>
      <w:sz w:val="32"/>
      <w:szCs w:val="32"/>
    </w:rPr>
  </w:style>
  <w:style w:type="paragraph" w:styleId="4">
    <w:name w:val="heading 3"/>
    <w:basedOn w:val="1"/>
    <w:next w:val="1"/>
    <w:link w:val="30"/>
    <w:unhideWhenUsed/>
    <w:qFormat/>
    <w:uiPriority w:val="9"/>
    <w:pPr>
      <w:keepNext/>
      <w:keepLines/>
      <w:spacing w:before="260" w:after="260" w:line="416" w:lineRule="auto"/>
      <w:outlineLvl w:val="2"/>
    </w:pPr>
    <w:rPr>
      <w:b/>
      <w:bCs/>
      <w:sz w:val="32"/>
      <w:szCs w:val="32"/>
    </w:rPr>
  </w:style>
  <w:style w:type="character" w:default="1" w:styleId="15">
    <w:name w:val="Default Paragraph Font"/>
    <w:unhideWhenUsed/>
    <w:qFormat/>
    <w:uiPriority w:val="1"/>
  </w:style>
  <w:style w:type="paragraph" w:styleId="5">
    <w:name w:val="annotation subject"/>
    <w:basedOn w:val="6"/>
    <w:next w:val="6"/>
    <w:link w:val="28"/>
    <w:semiHidden/>
    <w:unhideWhenUsed/>
    <w:qFormat/>
    <w:uiPriority w:val="99"/>
    <w:rPr>
      <w:b/>
      <w:bCs/>
    </w:rPr>
  </w:style>
  <w:style w:type="paragraph" w:styleId="6">
    <w:name w:val="annotation text"/>
    <w:basedOn w:val="1"/>
    <w:link w:val="27"/>
    <w:unhideWhenUsed/>
    <w:qFormat/>
    <w:uiPriority w:val="99"/>
    <w:pPr>
      <w:jc w:val="left"/>
    </w:pPr>
  </w:style>
  <w:style w:type="paragraph" w:styleId="7">
    <w:name w:val="toc 3"/>
    <w:basedOn w:val="1"/>
    <w:next w:val="1"/>
    <w:unhideWhenUsed/>
    <w:qFormat/>
    <w:uiPriority w:val="39"/>
    <w:pPr>
      <w:ind w:left="840" w:leftChars="400"/>
    </w:pPr>
  </w:style>
  <w:style w:type="paragraph" w:styleId="8">
    <w:name w:val="Date"/>
    <w:basedOn w:val="1"/>
    <w:next w:val="1"/>
    <w:link w:val="23"/>
    <w:semiHidden/>
    <w:unhideWhenUsed/>
    <w:qFormat/>
    <w:uiPriority w:val="99"/>
    <w:pPr>
      <w:ind w:left="100" w:leftChars="2500"/>
    </w:pPr>
  </w:style>
  <w:style w:type="paragraph" w:styleId="9">
    <w:name w:val="Balloon Text"/>
    <w:basedOn w:val="1"/>
    <w:link w:val="29"/>
    <w:semiHidden/>
    <w:unhideWhenUsed/>
    <w:qFormat/>
    <w:uiPriority w:val="99"/>
    <w:rPr>
      <w:sz w:val="18"/>
      <w:szCs w:val="18"/>
    </w:rPr>
  </w:style>
  <w:style w:type="paragraph" w:styleId="10">
    <w:name w:val="footer"/>
    <w:basedOn w:val="1"/>
    <w:link w:val="22"/>
    <w:unhideWhenUsed/>
    <w:qFormat/>
    <w:uiPriority w:val="99"/>
    <w:pPr>
      <w:tabs>
        <w:tab w:val="center" w:pos="4153"/>
        <w:tab w:val="right" w:pos="8306"/>
      </w:tabs>
      <w:snapToGrid w:val="0"/>
      <w:ind w:firstLine="0" w:firstLineChars="0"/>
      <w:jc w:val="left"/>
    </w:pPr>
    <w:rPr>
      <w:rFonts w:ascii="等线" w:hAnsi="等线" w:eastAsia="等线" w:cs="黑体"/>
      <w:sz w:val="18"/>
      <w:szCs w:val="18"/>
    </w:rPr>
  </w:style>
  <w:style w:type="paragraph" w:styleId="11">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等线" w:hAnsi="等线" w:eastAsia="等线" w:cs="黑体"/>
      <w:sz w:val="18"/>
      <w:szCs w:val="18"/>
    </w:rPr>
  </w:style>
  <w:style w:type="paragraph" w:styleId="12">
    <w:name w:val="toc 1"/>
    <w:basedOn w:val="1"/>
    <w:next w:val="1"/>
    <w:unhideWhenUsed/>
    <w:qFormat/>
    <w:uiPriority w:val="39"/>
  </w:style>
  <w:style w:type="paragraph" w:styleId="13">
    <w:name w:val="footnote text"/>
    <w:basedOn w:val="1"/>
    <w:link w:val="25"/>
    <w:semiHidden/>
    <w:unhideWhenUsed/>
    <w:qFormat/>
    <w:uiPriority w:val="99"/>
    <w:pPr>
      <w:snapToGrid w:val="0"/>
      <w:jc w:val="left"/>
    </w:pPr>
    <w:rPr>
      <w:sz w:val="18"/>
      <w:szCs w:val="18"/>
    </w:rPr>
  </w:style>
  <w:style w:type="paragraph" w:styleId="14">
    <w:name w:val="toc 2"/>
    <w:basedOn w:val="1"/>
    <w:next w:val="1"/>
    <w:unhideWhenUsed/>
    <w:qFormat/>
    <w:uiPriority w:val="39"/>
    <w:pPr>
      <w:ind w:left="420" w:leftChars="200"/>
    </w:pPr>
  </w:style>
  <w:style w:type="character" w:styleId="16">
    <w:name w:val="Hyperlink"/>
    <w:basedOn w:val="15"/>
    <w:unhideWhenUsed/>
    <w:qFormat/>
    <w:uiPriority w:val="99"/>
    <w:rPr>
      <w:color w:val="0563C1"/>
      <w:u w:val="single"/>
    </w:rPr>
  </w:style>
  <w:style w:type="character" w:styleId="17">
    <w:name w:val="annotation reference"/>
    <w:basedOn w:val="15"/>
    <w:semiHidden/>
    <w:unhideWhenUsed/>
    <w:qFormat/>
    <w:uiPriority w:val="99"/>
    <w:rPr>
      <w:sz w:val="21"/>
      <w:szCs w:val="21"/>
    </w:rPr>
  </w:style>
  <w:style w:type="character" w:styleId="18">
    <w:name w:val="footnote reference"/>
    <w:basedOn w:val="15"/>
    <w:semiHidden/>
    <w:unhideWhenUsed/>
    <w:qFormat/>
    <w:uiPriority w:val="99"/>
    <w:rPr>
      <w:vertAlign w:val="superscript"/>
    </w:rPr>
  </w:style>
  <w:style w:type="paragraph" w:customStyle="1" w:styleId="19">
    <w:name w:val="List Paragraph"/>
    <w:basedOn w:val="1"/>
    <w:qFormat/>
    <w:uiPriority w:val="34"/>
    <w:pPr>
      <w:ind w:firstLine="420"/>
    </w:pPr>
  </w:style>
  <w:style w:type="paragraph" w:customStyle="1" w:styleId="20">
    <w:name w:val="TOC 标题1"/>
    <w:basedOn w:val="2"/>
    <w:next w:val="1"/>
    <w:unhideWhenUsed/>
    <w:qFormat/>
    <w:uiPriority w:val="39"/>
    <w:pPr>
      <w:widowControl/>
      <w:spacing w:before="240" w:after="0" w:line="259" w:lineRule="auto"/>
      <w:ind w:firstLine="0" w:firstLineChars="0"/>
      <w:jc w:val="left"/>
      <w:outlineLvl w:val="9"/>
    </w:pPr>
    <w:rPr>
      <w:rFonts w:ascii="等线 Light" w:hAnsi="等线 Light" w:eastAsia="等线 Light" w:cs="黑体"/>
      <w:b w:val="0"/>
      <w:bCs w:val="0"/>
      <w:color w:val="2E5394"/>
      <w:kern w:val="0"/>
      <w:sz w:val="32"/>
      <w:szCs w:val="32"/>
    </w:rPr>
  </w:style>
  <w:style w:type="character" w:customStyle="1" w:styleId="21">
    <w:name w:val="页眉 Char Char"/>
    <w:basedOn w:val="15"/>
    <w:link w:val="11"/>
    <w:uiPriority w:val="99"/>
    <w:rPr>
      <w:sz w:val="18"/>
      <w:szCs w:val="18"/>
    </w:rPr>
  </w:style>
  <w:style w:type="character" w:customStyle="1" w:styleId="22">
    <w:name w:val="页脚 Char Char"/>
    <w:basedOn w:val="15"/>
    <w:link w:val="10"/>
    <w:uiPriority w:val="99"/>
    <w:rPr>
      <w:sz w:val="18"/>
      <w:szCs w:val="18"/>
    </w:rPr>
  </w:style>
  <w:style w:type="character" w:customStyle="1" w:styleId="23">
    <w:name w:val="日期 Char Char"/>
    <w:basedOn w:val="15"/>
    <w:link w:val="8"/>
    <w:uiPriority w:val="99"/>
    <w:rPr>
      <w:rFonts w:ascii="Calibri" w:hAnsi="Calibri" w:eastAsia="仿宋_GB2312" w:cs="黑体"/>
      <w:sz w:val="28"/>
    </w:rPr>
  </w:style>
  <w:style w:type="character" w:customStyle="1" w:styleId="24">
    <w:name w:val="标题 2 Char Char"/>
    <w:basedOn w:val="15"/>
    <w:link w:val="3"/>
    <w:uiPriority w:val="9"/>
    <w:rPr>
      <w:rFonts w:ascii="等线 Light" w:hAnsi="等线 Light" w:eastAsia="等线 Light" w:cs="黑体"/>
      <w:b/>
      <w:bCs/>
      <w:sz w:val="32"/>
      <w:szCs w:val="32"/>
    </w:rPr>
  </w:style>
  <w:style w:type="character" w:customStyle="1" w:styleId="25">
    <w:name w:val="脚注文本 Char Char"/>
    <w:basedOn w:val="15"/>
    <w:link w:val="13"/>
    <w:uiPriority w:val="99"/>
    <w:rPr>
      <w:rFonts w:ascii="Calibri" w:hAnsi="Calibri" w:eastAsia="仿宋_GB2312" w:cs="黑体"/>
      <w:sz w:val="18"/>
      <w:szCs w:val="18"/>
    </w:rPr>
  </w:style>
  <w:style w:type="character" w:customStyle="1" w:styleId="26">
    <w:name w:val="标题 1 Char Char"/>
    <w:basedOn w:val="15"/>
    <w:link w:val="2"/>
    <w:uiPriority w:val="9"/>
    <w:rPr>
      <w:rFonts w:ascii="Calibri" w:hAnsi="Calibri" w:eastAsia="仿宋_GB2312" w:cs="黑体"/>
      <w:b/>
      <w:bCs/>
      <w:kern w:val="44"/>
      <w:sz w:val="44"/>
      <w:szCs w:val="44"/>
    </w:rPr>
  </w:style>
  <w:style w:type="character" w:customStyle="1" w:styleId="27">
    <w:name w:val="批注文字 Char Char"/>
    <w:basedOn w:val="15"/>
    <w:link w:val="6"/>
    <w:uiPriority w:val="99"/>
    <w:rPr>
      <w:rFonts w:ascii="Calibri" w:hAnsi="Calibri" w:eastAsia="仿宋_GB2312" w:cs="黑体"/>
      <w:sz w:val="28"/>
    </w:rPr>
  </w:style>
  <w:style w:type="character" w:customStyle="1" w:styleId="28">
    <w:name w:val="批注主题 Char Char"/>
    <w:basedOn w:val="27"/>
    <w:link w:val="5"/>
    <w:uiPriority w:val="99"/>
    <w:rPr>
      <w:rFonts w:ascii="Calibri" w:hAnsi="Calibri" w:eastAsia="仿宋_GB2312" w:cs="黑体"/>
      <w:b/>
      <w:bCs/>
      <w:sz w:val="28"/>
    </w:rPr>
  </w:style>
  <w:style w:type="character" w:customStyle="1" w:styleId="29">
    <w:name w:val="批注框文本 Char Char"/>
    <w:basedOn w:val="15"/>
    <w:link w:val="9"/>
    <w:uiPriority w:val="99"/>
    <w:rPr>
      <w:rFonts w:ascii="Calibri" w:hAnsi="Calibri" w:eastAsia="仿宋_GB2312" w:cs="黑体"/>
      <w:sz w:val="18"/>
      <w:szCs w:val="18"/>
    </w:rPr>
  </w:style>
  <w:style w:type="character" w:customStyle="1" w:styleId="30">
    <w:name w:val="标题 3 Char Char"/>
    <w:basedOn w:val="15"/>
    <w:link w:val="4"/>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footer" Target="footer3.xml"/><Relationship Id="rId11" Type="http://schemas.openxmlformats.org/officeDocument/2006/relationships/header" Target="header4.xml"/><Relationship Id="rId12" Type="http://schemas.openxmlformats.org/officeDocument/2006/relationships/footer" Target="footer4.xml"/><Relationship Id="rId13" Type="http://schemas.openxmlformats.org/officeDocument/2006/relationships/header" Target="header5.xml"/><Relationship Id="rId14" Type="http://schemas.openxmlformats.org/officeDocument/2006/relationships/footer" Target="footer5.xml"/><Relationship Id="rId15" Type="http://schemas.openxmlformats.org/officeDocument/2006/relationships/theme" Target="theme/theme1.xml"/><Relationship Id="rId16" Type="http://schemas.openxmlformats.org/officeDocument/2006/relationships/customXml" Target="../customXml/item1.xml"/><Relationship Id="rId17"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notes" Target="footnote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footer" Target="footer1.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35</Pages>
  <Words>13018</Words>
  <Characters>13566</Characters>
  <Lines>123</Lines>
  <Paragraphs>34</Paragraphs>
  <ScaleCrop>false</ScaleCrop>
  <LinksUpToDate>false</LinksUpToDate>
  <CharactersWithSpaces>0</CharactersWithSpaces>
  <Application>WPS Office 个人版_9.1.0.4369_{F1E327BC-269C-435d-A152-05C5408002CA}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2025-04-25T23:26:00Z</dcterms:created>
  <dc:creator>张 宇</dc:creator>
  <cp:lastModifiedBy>Administrator</cp:lastModifiedBy>
  <cp:lastPrinted>2023-04-11T18:57:00Z</cp:lastPrinted>
  <dcterms:modified xsi:type="dcterms:W3CDTF">2025-09-18T09:36:44Z</dcterms:modified>
  <dc:title>财政项目支出绩效评价报告</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2052-9.1.0.4369</vt:lpwstr>
  </property>
  <property fmtid="{D5CDD505-2E9C-101B-9397-08002B2CF9AE}" pid="3" name="ICV">
    <vt:lpwstr>07B4D0EFE6574C51AE2F1449B803A05F_13</vt:lpwstr>
  </property>
  <property fmtid="{D5CDD505-2E9C-101B-9397-08002B2CF9AE}" pid="4" name="KSOTemplateDocerSaveRecord">
    <vt:lpwstr>eyJoZGlkIjoiNWEwODQxNDA0MTcwYWY4NTljNDA0MDliYTkyZTlkYTIiLCJ1c2VySWQiOiI1MjM4MTA2NjIifQ==</vt:lpwstr>
  </property>
</Properties>
</file>