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6933D">
      <w:pPr>
        <w:spacing w:line="480" w:lineRule="auto"/>
        <w:ind w:firstLine="0" w:firstLineChars="0"/>
        <w:rPr>
          <w:rFonts w:ascii="Times New Roman" w:hAnsi="Times New Roman" w:eastAsia="黑体" w:cs="Times New Roman"/>
          <w:b/>
          <w:kern w:val="0"/>
          <w:sz w:val="50"/>
          <w:szCs w:val="50"/>
          <w:lang w:bidi="en-US"/>
        </w:rPr>
      </w:pPr>
    </w:p>
    <w:p w14:paraId="7C456503">
      <w:pPr>
        <w:spacing w:line="480" w:lineRule="auto"/>
        <w:ind w:firstLine="0" w:firstLineChars="0"/>
        <w:rPr>
          <w:rFonts w:ascii="Times New Roman" w:hAnsi="Times New Roman" w:eastAsia="黑体" w:cs="Times New Roman"/>
          <w:b/>
          <w:kern w:val="0"/>
          <w:sz w:val="50"/>
          <w:szCs w:val="50"/>
          <w:lang w:bidi="en-US"/>
        </w:rPr>
      </w:pPr>
    </w:p>
    <w:p w14:paraId="504B429B">
      <w:pPr>
        <w:spacing w:line="480" w:lineRule="auto"/>
        <w:ind w:firstLine="0" w:firstLineChars="0"/>
        <w:jc w:val="center"/>
        <w:rPr>
          <w:rFonts w:ascii="Times New Roman" w:hAnsi="Times New Roman" w:eastAsia="黑体" w:cs="Times New Roman"/>
          <w:b/>
          <w:kern w:val="0"/>
          <w:sz w:val="50"/>
          <w:szCs w:val="50"/>
          <w:lang w:bidi="en-US"/>
        </w:rPr>
      </w:pPr>
    </w:p>
    <w:p w14:paraId="72471E08">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2D57FE10">
      <w:pPr>
        <w:spacing w:line="480" w:lineRule="auto"/>
        <w:ind w:firstLine="0" w:firstLineChars="0"/>
        <w:jc w:val="center"/>
        <w:rPr>
          <w:rFonts w:ascii="Times New Roman" w:hAnsi="Times New Roman" w:eastAsia="黑体" w:cs="Times New Roman"/>
          <w:b/>
          <w:kern w:val="0"/>
          <w:sz w:val="50"/>
          <w:szCs w:val="50"/>
          <w:lang w:bidi="en-US"/>
        </w:rPr>
      </w:pPr>
    </w:p>
    <w:p w14:paraId="23BA67AF">
      <w:pPr>
        <w:spacing w:line="480" w:lineRule="auto"/>
        <w:ind w:firstLine="0" w:firstLineChars="0"/>
        <w:jc w:val="center"/>
        <w:rPr>
          <w:rFonts w:ascii="Times New Roman" w:hAnsi="Times New Roman" w:eastAsia="黑体" w:cs="Times New Roman"/>
          <w:b/>
          <w:kern w:val="0"/>
          <w:sz w:val="50"/>
          <w:szCs w:val="50"/>
          <w:lang w:bidi="en-US"/>
        </w:rPr>
      </w:pPr>
    </w:p>
    <w:p w14:paraId="41285D12">
      <w:pPr>
        <w:spacing w:line="480" w:lineRule="auto"/>
        <w:ind w:firstLine="0" w:firstLineChars="0"/>
        <w:jc w:val="center"/>
        <w:rPr>
          <w:rFonts w:ascii="Times New Roman" w:hAnsi="Times New Roman" w:eastAsia="黑体" w:cs="Times New Roman"/>
          <w:b/>
          <w:kern w:val="0"/>
          <w:sz w:val="50"/>
          <w:szCs w:val="50"/>
          <w:lang w:bidi="en-US"/>
        </w:rPr>
      </w:pPr>
    </w:p>
    <w:p w14:paraId="448753BB">
      <w:pPr>
        <w:spacing w:line="480" w:lineRule="auto"/>
        <w:ind w:firstLine="0" w:firstLineChars="0"/>
        <w:jc w:val="center"/>
        <w:rPr>
          <w:rFonts w:ascii="Times New Roman" w:hAnsi="Times New Roman" w:eastAsia="黑体" w:cs="Times New Roman"/>
          <w:b/>
          <w:kern w:val="0"/>
          <w:sz w:val="50"/>
          <w:szCs w:val="50"/>
          <w:lang w:bidi="en-US"/>
        </w:rPr>
      </w:pPr>
    </w:p>
    <w:p w14:paraId="16A3FEC2">
      <w:pPr>
        <w:spacing w:line="480" w:lineRule="auto"/>
        <w:ind w:firstLine="0" w:firstLineChars="0"/>
        <w:jc w:val="center"/>
        <w:rPr>
          <w:rFonts w:ascii="Times New Roman" w:hAnsi="Times New Roman" w:eastAsia="黑体" w:cs="Times New Roman"/>
          <w:b/>
          <w:kern w:val="0"/>
          <w:sz w:val="50"/>
          <w:szCs w:val="50"/>
          <w:lang w:bidi="en-US"/>
        </w:rPr>
      </w:pPr>
    </w:p>
    <w:p w14:paraId="2C711971">
      <w:pPr>
        <w:spacing w:line="480" w:lineRule="auto"/>
        <w:ind w:firstLine="0" w:firstLineChars="0"/>
        <w:jc w:val="center"/>
        <w:rPr>
          <w:rFonts w:ascii="Times New Roman" w:hAnsi="Times New Roman" w:eastAsia="黑体" w:cs="Times New Roman"/>
          <w:b/>
          <w:kern w:val="0"/>
          <w:sz w:val="50"/>
          <w:szCs w:val="50"/>
          <w:lang w:bidi="en-US"/>
        </w:rPr>
      </w:pPr>
    </w:p>
    <w:p w14:paraId="09E9CA0A">
      <w:pPr>
        <w:spacing w:line="480" w:lineRule="auto"/>
        <w:ind w:firstLine="0" w:firstLineChars="0"/>
        <w:jc w:val="center"/>
        <w:rPr>
          <w:rFonts w:ascii="仿宋_GB2312" w:hAnsi="Times New Roman" w:cs="Times New Roman"/>
          <w:kern w:val="0"/>
          <w:sz w:val="30"/>
          <w:szCs w:val="30"/>
          <w:lang w:bidi="en-US"/>
        </w:rPr>
      </w:pPr>
    </w:p>
    <w:p w14:paraId="68F887C5">
      <w:pPr>
        <w:spacing w:line="480" w:lineRule="auto"/>
        <w:ind w:firstLine="1411" w:firstLineChars="441"/>
        <w:jc w:val="center"/>
        <w:rPr>
          <w:rFonts w:hint="eastAsia" w:ascii="仿宋_GB2312" w:hAnsi="Times New Roman" w:eastAsia="仿宋_GB2312" w:cs="Times New Roman"/>
          <w:kern w:val="0"/>
          <w:sz w:val="32"/>
          <w:szCs w:val="32"/>
          <w:lang w:eastAsia="zh-CN"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val="en-US" w:eastAsia="zh-CN" w:bidi="en-US"/>
        </w:rPr>
        <w:t>关于预拨新冠患者救治费用中央财政补助资金预算的通知</w:t>
      </w:r>
    </w:p>
    <w:p w14:paraId="2B77D8D3">
      <w:pPr>
        <w:spacing w:line="480" w:lineRule="auto"/>
        <w:ind w:left="1238" w:leftChars="442" w:firstLine="128" w:firstLineChars="40"/>
        <w:jc w:val="center"/>
        <w:rPr>
          <w:rFonts w:hint="eastAsia" w:ascii="仿宋_GB2312" w:hAnsi="Times New Roman" w:cs="Times New Roman"/>
          <w:kern w:val="0"/>
          <w:sz w:val="32"/>
          <w:szCs w:val="32"/>
          <w:lang w:val="en-US" w:eastAsia="zh-CN" w:bidi="en-US"/>
        </w:rPr>
      </w:pPr>
      <w:r>
        <w:rPr>
          <w:rFonts w:hint="eastAsia" w:ascii="仿宋_GB2312" w:hAnsi="Times New Roman" w:cs="Times New Roman"/>
          <w:kern w:val="0"/>
          <w:sz w:val="32"/>
          <w:szCs w:val="32"/>
          <w:lang w:bidi="en-US"/>
        </w:rPr>
        <w:t>项目单位：</w:t>
      </w:r>
      <w:r>
        <w:rPr>
          <w:rFonts w:hint="eastAsia" w:ascii="仿宋_GB2312" w:hAnsi="Times New Roman" w:cs="Times New Roman"/>
          <w:kern w:val="0"/>
          <w:sz w:val="32"/>
          <w:szCs w:val="32"/>
          <w:lang w:val="en-US" w:eastAsia="zh-CN" w:bidi="en-US"/>
        </w:rPr>
        <w:t>乌鲁木齐市第一人民医院（乌鲁木齐儿童医院）</w:t>
      </w:r>
    </w:p>
    <w:p w14:paraId="71EA25EF">
      <w:pPr>
        <w:spacing w:line="480" w:lineRule="auto"/>
        <w:ind w:left="280" w:leftChars="100" w:firstLine="1091" w:firstLineChars="341"/>
        <w:jc w:val="left"/>
        <w:rPr>
          <w:rFonts w:hint="default"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主管部门：</w:t>
      </w:r>
      <w:r>
        <w:rPr>
          <w:rFonts w:hint="eastAsia" w:ascii="仿宋_GB2312" w:hAnsi="Times New Roman" w:cs="Times New Roman"/>
          <w:kern w:val="0"/>
          <w:sz w:val="32"/>
          <w:szCs w:val="32"/>
          <w:lang w:val="en-US" w:eastAsia="zh-CN" w:bidi="en-US"/>
        </w:rPr>
        <w:t>乌鲁木齐市卫生健康委员会</w:t>
      </w:r>
    </w:p>
    <w:p w14:paraId="6605AB51">
      <w:pPr>
        <w:spacing w:line="480" w:lineRule="auto"/>
        <w:ind w:firstLine="1411" w:firstLineChars="441"/>
        <w:jc w:val="left"/>
        <w:rPr>
          <w:rFonts w:ascii="仿宋_GB2312" w:hAnsi="Times New Roman" w:cs="Times New Roman"/>
          <w:kern w:val="0"/>
          <w:sz w:val="32"/>
          <w:szCs w:val="32"/>
          <w:lang w:bidi="en-US"/>
        </w:rPr>
      </w:pPr>
    </w:p>
    <w:p w14:paraId="028A410F">
      <w:pPr>
        <w:spacing w:line="480" w:lineRule="auto"/>
        <w:ind w:firstLine="0" w:firstLineChars="0"/>
        <w:rPr>
          <w:rFonts w:ascii="黑体" w:hAnsi="Times New Roman" w:eastAsia="黑体" w:cs="Times New Roman"/>
          <w:b/>
          <w:kern w:val="0"/>
          <w:sz w:val="32"/>
          <w:szCs w:val="32"/>
          <w:lang w:bidi="en-US"/>
        </w:rPr>
      </w:pPr>
    </w:p>
    <w:p w14:paraId="0CEE8EE1">
      <w:pPr>
        <w:spacing w:line="480" w:lineRule="auto"/>
        <w:ind w:firstLine="0" w:firstLineChars="0"/>
        <w:rPr>
          <w:rFonts w:ascii="黑体" w:hAnsi="Times New Roman" w:eastAsia="黑体" w:cs="Times New Roman"/>
          <w:b/>
          <w:kern w:val="0"/>
          <w:sz w:val="32"/>
          <w:szCs w:val="32"/>
          <w:lang w:bidi="en-US"/>
        </w:rPr>
      </w:pPr>
    </w:p>
    <w:p w14:paraId="36EC0A95">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w:t>
      </w:r>
      <w:r>
        <w:rPr>
          <w:rFonts w:hint="eastAsia" w:ascii="仿宋_GB2312" w:hAnsi="Times New Roman" w:cs="Times New Roman"/>
          <w:kern w:val="0"/>
          <w:sz w:val="32"/>
          <w:szCs w:val="32"/>
          <w:lang w:val="en-US" w:eastAsia="zh-CN" w:bidi="en-US"/>
        </w:rPr>
        <w:t>5</w:t>
      </w:r>
      <w:r>
        <w:rPr>
          <w:rFonts w:hint="eastAsia" w:ascii="仿宋_GB2312" w:hAnsi="Times New Roman" w:cs="Times New Roman"/>
          <w:kern w:val="0"/>
          <w:sz w:val="32"/>
          <w:szCs w:val="32"/>
          <w:lang w:bidi="en-US"/>
        </w:rPr>
        <w:t>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5BA953C3">
      <w:pPr>
        <w:spacing w:line="480" w:lineRule="auto"/>
        <w:ind w:firstLine="0" w:firstLineChars="0"/>
        <w:jc w:val="center"/>
        <w:rPr>
          <w:rFonts w:ascii="仿宋_GB2312" w:hAnsi="Times New Roman" w:cs="Times New Roman"/>
          <w:kern w:val="0"/>
          <w:sz w:val="32"/>
          <w:szCs w:val="32"/>
          <w:lang w:bidi="en-US"/>
        </w:rPr>
      </w:pPr>
    </w:p>
    <w:p w14:paraId="3980CAC9">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4D6CE97D">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2115EB85">
          <w:pPr>
            <w:pStyle w:val="29"/>
            <w:ind w:firstLine="560"/>
            <w:jc w:val="center"/>
          </w:pPr>
          <w:r>
            <w:rPr>
              <w:lang w:val="zh-CN"/>
            </w:rPr>
            <w:t>目录</w:t>
          </w:r>
        </w:p>
        <w:p w14:paraId="3BA5AAA2">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8"/>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5D8FE550">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8"/>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745D0D71">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8"/>
            </w:rPr>
            <w:t>1</w:t>
          </w:r>
          <w:r>
            <w:rPr>
              <w:rStyle w:val="18"/>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30D9B105">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8"/>
            </w:rPr>
            <w:t>2.</w:t>
          </w:r>
          <w:r>
            <w:rPr>
              <w:rStyle w:val="18"/>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2A68E828">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8"/>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14:paraId="159F0A1F">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8"/>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14:paraId="1153F499">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8"/>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14:paraId="5CDB40EF">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8"/>
            </w:rPr>
            <w:t>1.</w:t>
          </w:r>
          <w:r>
            <w:rPr>
              <w:rStyle w:val="18"/>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14:paraId="6257093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8"/>
            </w:rPr>
            <w:t>2.</w:t>
          </w:r>
          <w:r>
            <w:rPr>
              <w:rStyle w:val="18"/>
              <w:rFonts w:hint="eastAsia"/>
            </w:rPr>
            <w:t>评价目的</w:t>
          </w:r>
          <w:r>
            <w:tab/>
          </w:r>
          <w:r>
            <w:fldChar w:fldCharType="begin"/>
          </w:r>
          <w:r>
            <w:instrText xml:space="preserve"> PAGEREF _Toc165277228 \h </w:instrText>
          </w:r>
          <w:r>
            <w:fldChar w:fldCharType="separate"/>
          </w:r>
          <w:r>
            <w:t>3</w:t>
          </w:r>
          <w:r>
            <w:fldChar w:fldCharType="end"/>
          </w:r>
          <w:r>
            <w:fldChar w:fldCharType="end"/>
          </w:r>
        </w:p>
        <w:p w14:paraId="400A18A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8"/>
            </w:rPr>
            <w:t>3.</w:t>
          </w:r>
          <w:r>
            <w:rPr>
              <w:rStyle w:val="18"/>
              <w:rFonts w:hint="eastAsia"/>
            </w:rPr>
            <w:t>评价对象</w:t>
          </w:r>
          <w:r>
            <w:tab/>
          </w:r>
          <w:r>
            <w:fldChar w:fldCharType="begin"/>
          </w:r>
          <w:r>
            <w:instrText xml:space="preserve"> PAGEREF _Toc165277229 \h </w:instrText>
          </w:r>
          <w:r>
            <w:fldChar w:fldCharType="separate"/>
          </w:r>
          <w:r>
            <w:t>3</w:t>
          </w:r>
          <w:r>
            <w:fldChar w:fldCharType="end"/>
          </w:r>
          <w:r>
            <w:fldChar w:fldCharType="end"/>
          </w:r>
        </w:p>
        <w:p w14:paraId="5E6111B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8"/>
            </w:rPr>
            <w:t>4.</w:t>
          </w:r>
          <w:r>
            <w:rPr>
              <w:rStyle w:val="18"/>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14:paraId="4CF273A6">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8"/>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14:paraId="0C4B880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8"/>
            </w:rPr>
            <w:t>1.</w:t>
          </w:r>
          <w:r>
            <w:rPr>
              <w:rStyle w:val="18"/>
              <w:rFonts w:hint="eastAsia"/>
            </w:rPr>
            <w:t>评价原则</w:t>
          </w:r>
          <w:r>
            <w:tab/>
          </w:r>
          <w:r>
            <w:fldChar w:fldCharType="begin"/>
          </w:r>
          <w:r>
            <w:instrText xml:space="preserve"> PAGEREF _Toc165277232 \h </w:instrText>
          </w:r>
          <w:r>
            <w:fldChar w:fldCharType="separate"/>
          </w:r>
          <w:r>
            <w:t>4</w:t>
          </w:r>
          <w:r>
            <w:fldChar w:fldCharType="end"/>
          </w:r>
          <w:r>
            <w:fldChar w:fldCharType="end"/>
          </w:r>
        </w:p>
        <w:p w14:paraId="48AEAE37">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8"/>
            </w:rPr>
            <w:t>2.</w:t>
          </w:r>
          <w:r>
            <w:rPr>
              <w:rStyle w:val="18"/>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14:paraId="705E51D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8"/>
            </w:rPr>
            <w:t>3.</w:t>
          </w:r>
          <w:r>
            <w:rPr>
              <w:rStyle w:val="18"/>
              <w:rFonts w:hint="eastAsia"/>
            </w:rPr>
            <w:t>评价方法</w:t>
          </w:r>
          <w:r>
            <w:tab/>
          </w:r>
          <w:r>
            <w:fldChar w:fldCharType="begin"/>
          </w:r>
          <w:r>
            <w:instrText xml:space="preserve"> PAGEREF _Toc165277234 \h </w:instrText>
          </w:r>
          <w:r>
            <w:fldChar w:fldCharType="separate"/>
          </w:r>
          <w:r>
            <w:t>12</w:t>
          </w:r>
          <w:r>
            <w:fldChar w:fldCharType="end"/>
          </w:r>
          <w:r>
            <w:fldChar w:fldCharType="end"/>
          </w:r>
        </w:p>
        <w:p w14:paraId="6D777BF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8"/>
            </w:rPr>
            <w:t>4.</w:t>
          </w:r>
          <w:r>
            <w:rPr>
              <w:rStyle w:val="18"/>
              <w:rFonts w:hint="eastAsia"/>
            </w:rPr>
            <w:t>评价标准</w:t>
          </w:r>
          <w:r>
            <w:tab/>
          </w:r>
          <w:r>
            <w:fldChar w:fldCharType="begin"/>
          </w:r>
          <w:r>
            <w:instrText xml:space="preserve"> PAGEREF _Toc165277235 \h </w:instrText>
          </w:r>
          <w:r>
            <w:fldChar w:fldCharType="separate"/>
          </w:r>
          <w:r>
            <w:t>13</w:t>
          </w:r>
          <w:r>
            <w:fldChar w:fldCharType="end"/>
          </w:r>
          <w:r>
            <w:fldChar w:fldCharType="end"/>
          </w:r>
        </w:p>
        <w:p w14:paraId="1BDC06D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8"/>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14:paraId="62FFBBB9">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8"/>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14:paraId="07D1A2F1">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8"/>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14:paraId="1064BF43">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8"/>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14:paraId="040A1A4D">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8"/>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14:paraId="129FAEDA">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8"/>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14:paraId="1303A17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8"/>
            </w:rPr>
            <w:t>1.</w:t>
          </w:r>
          <w:r>
            <w:rPr>
              <w:rStyle w:val="18"/>
              <w:rFonts w:hint="eastAsia"/>
            </w:rPr>
            <w:t>项目立项</w:t>
          </w:r>
          <w:r>
            <w:tab/>
          </w:r>
          <w:r>
            <w:fldChar w:fldCharType="begin"/>
          </w:r>
          <w:r>
            <w:instrText xml:space="preserve"> PAGEREF _Toc165277242 \h </w:instrText>
          </w:r>
          <w:r>
            <w:fldChar w:fldCharType="separate"/>
          </w:r>
          <w:r>
            <w:t>16</w:t>
          </w:r>
          <w:r>
            <w:fldChar w:fldCharType="end"/>
          </w:r>
          <w:r>
            <w:fldChar w:fldCharType="end"/>
          </w:r>
        </w:p>
        <w:p w14:paraId="0D56E60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8"/>
            </w:rPr>
            <w:t>2.</w:t>
          </w:r>
          <w:r>
            <w:rPr>
              <w:rStyle w:val="18"/>
              <w:rFonts w:hint="eastAsia"/>
            </w:rPr>
            <w:t>绩效目标</w:t>
          </w:r>
          <w:r>
            <w:tab/>
          </w:r>
          <w:r>
            <w:fldChar w:fldCharType="begin"/>
          </w:r>
          <w:r>
            <w:instrText xml:space="preserve"> PAGEREF _Toc165277243 \h </w:instrText>
          </w:r>
          <w:r>
            <w:fldChar w:fldCharType="separate"/>
          </w:r>
          <w:r>
            <w:t>16</w:t>
          </w:r>
          <w:r>
            <w:fldChar w:fldCharType="end"/>
          </w:r>
          <w:r>
            <w:fldChar w:fldCharType="end"/>
          </w:r>
        </w:p>
        <w:p w14:paraId="59C3FF3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8"/>
            </w:rPr>
            <w:t>3.</w:t>
          </w:r>
          <w:r>
            <w:rPr>
              <w:rStyle w:val="18"/>
              <w:rFonts w:hint="eastAsia"/>
            </w:rPr>
            <w:t>资金投入</w:t>
          </w:r>
          <w:r>
            <w:tab/>
          </w:r>
          <w:r>
            <w:fldChar w:fldCharType="begin"/>
          </w:r>
          <w:r>
            <w:instrText xml:space="preserve"> PAGEREF _Toc165277244 \h </w:instrText>
          </w:r>
          <w:r>
            <w:fldChar w:fldCharType="separate"/>
          </w:r>
          <w:r>
            <w:t>17</w:t>
          </w:r>
          <w:r>
            <w:fldChar w:fldCharType="end"/>
          </w:r>
          <w:r>
            <w:fldChar w:fldCharType="end"/>
          </w:r>
        </w:p>
        <w:p w14:paraId="4F2315A2">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8"/>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14:paraId="1001BF3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8"/>
            </w:rPr>
            <w:t>1.</w:t>
          </w:r>
          <w:r>
            <w:rPr>
              <w:rStyle w:val="18"/>
              <w:rFonts w:hint="eastAsia"/>
            </w:rPr>
            <w:t>资金管理</w:t>
          </w:r>
          <w:r>
            <w:tab/>
          </w:r>
          <w:r>
            <w:fldChar w:fldCharType="begin"/>
          </w:r>
          <w:r>
            <w:instrText xml:space="preserve"> PAGEREF _Toc165277246 \h </w:instrText>
          </w:r>
          <w:r>
            <w:fldChar w:fldCharType="separate"/>
          </w:r>
          <w:r>
            <w:t>17</w:t>
          </w:r>
          <w:r>
            <w:fldChar w:fldCharType="end"/>
          </w:r>
          <w:r>
            <w:fldChar w:fldCharType="end"/>
          </w:r>
        </w:p>
        <w:p w14:paraId="2E11993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8"/>
            </w:rPr>
            <w:t>2.</w:t>
          </w:r>
          <w:r>
            <w:rPr>
              <w:rStyle w:val="18"/>
              <w:rFonts w:hint="eastAsia"/>
            </w:rPr>
            <w:t>组织实施</w:t>
          </w:r>
          <w:r>
            <w:tab/>
          </w:r>
          <w:r>
            <w:fldChar w:fldCharType="begin"/>
          </w:r>
          <w:r>
            <w:instrText xml:space="preserve"> PAGEREF _Toc165277247 \h </w:instrText>
          </w:r>
          <w:r>
            <w:fldChar w:fldCharType="separate"/>
          </w:r>
          <w:r>
            <w:t>18</w:t>
          </w:r>
          <w:r>
            <w:fldChar w:fldCharType="end"/>
          </w:r>
          <w:r>
            <w:fldChar w:fldCharType="end"/>
          </w:r>
        </w:p>
        <w:p w14:paraId="7430A774">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8"/>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14:paraId="0994F55F">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8"/>
            </w:rPr>
            <w:t>1.</w:t>
          </w:r>
          <w:r>
            <w:rPr>
              <w:rStyle w:val="18"/>
              <w:rFonts w:hint="eastAsia"/>
            </w:rPr>
            <w:t>产出数量</w:t>
          </w:r>
          <w:r>
            <w:tab/>
          </w:r>
          <w:r>
            <w:fldChar w:fldCharType="begin"/>
          </w:r>
          <w:r>
            <w:instrText xml:space="preserve"> PAGEREF _Toc165277249 \h </w:instrText>
          </w:r>
          <w:r>
            <w:fldChar w:fldCharType="separate"/>
          </w:r>
          <w:r>
            <w:t>18</w:t>
          </w:r>
          <w:r>
            <w:fldChar w:fldCharType="end"/>
          </w:r>
          <w:r>
            <w:fldChar w:fldCharType="end"/>
          </w:r>
        </w:p>
        <w:p w14:paraId="3295E41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8"/>
            </w:rPr>
            <w:t>2.</w:t>
          </w:r>
          <w:r>
            <w:rPr>
              <w:rStyle w:val="18"/>
              <w:rFonts w:hint="eastAsia"/>
            </w:rPr>
            <w:t>产出质量</w:t>
          </w:r>
          <w:r>
            <w:tab/>
          </w:r>
          <w:r>
            <w:fldChar w:fldCharType="begin"/>
          </w:r>
          <w:r>
            <w:instrText xml:space="preserve"> PAGEREF _Toc165277250 \h </w:instrText>
          </w:r>
          <w:r>
            <w:fldChar w:fldCharType="separate"/>
          </w:r>
          <w:r>
            <w:t>19</w:t>
          </w:r>
          <w:r>
            <w:fldChar w:fldCharType="end"/>
          </w:r>
          <w:r>
            <w:fldChar w:fldCharType="end"/>
          </w:r>
        </w:p>
        <w:p w14:paraId="3B5C81D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8"/>
            </w:rPr>
            <w:t>3.</w:t>
          </w:r>
          <w:r>
            <w:rPr>
              <w:rStyle w:val="18"/>
              <w:rFonts w:hint="eastAsia"/>
            </w:rPr>
            <w:t>产出时效</w:t>
          </w:r>
          <w:r>
            <w:tab/>
          </w:r>
          <w:r>
            <w:fldChar w:fldCharType="begin"/>
          </w:r>
          <w:r>
            <w:instrText xml:space="preserve"> PAGEREF _Toc165277251 \h </w:instrText>
          </w:r>
          <w:r>
            <w:fldChar w:fldCharType="separate"/>
          </w:r>
          <w:r>
            <w:t>19</w:t>
          </w:r>
          <w:r>
            <w:fldChar w:fldCharType="end"/>
          </w:r>
          <w:r>
            <w:fldChar w:fldCharType="end"/>
          </w:r>
        </w:p>
        <w:p w14:paraId="66ED675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8"/>
            </w:rPr>
            <w:t>4.</w:t>
          </w:r>
          <w:r>
            <w:rPr>
              <w:rStyle w:val="18"/>
              <w:rFonts w:hint="eastAsia"/>
            </w:rPr>
            <w:t>产出成本</w:t>
          </w:r>
          <w:r>
            <w:tab/>
          </w:r>
          <w:r>
            <w:fldChar w:fldCharType="begin"/>
          </w:r>
          <w:r>
            <w:instrText xml:space="preserve"> PAGEREF _Toc165277252 \h </w:instrText>
          </w:r>
          <w:r>
            <w:fldChar w:fldCharType="separate"/>
          </w:r>
          <w:r>
            <w:t>19</w:t>
          </w:r>
          <w:r>
            <w:fldChar w:fldCharType="end"/>
          </w:r>
          <w:r>
            <w:fldChar w:fldCharType="end"/>
          </w:r>
        </w:p>
        <w:p w14:paraId="3CA1B5A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8"/>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14:paraId="22C324C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8"/>
            </w:rPr>
            <w:t>1.</w:t>
          </w:r>
          <w:r>
            <w:rPr>
              <w:rStyle w:val="18"/>
              <w:rFonts w:hint="eastAsia"/>
            </w:rPr>
            <w:t>项目效益</w:t>
          </w:r>
          <w:r>
            <w:tab/>
          </w:r>
          <w:r>
            <w:fldChar w:fldCharType="begin"/>
          </w:r>
          <w:r>
            <w:instrText xml:space="preserve"> PAGEREF _Toc165277254 \h </w:instrText>
          </w:r>
          <w:r>
            <w:fldChar w:fldCharType="separate"/>
          </w:r>
          <w:r>
            <w:t>19</w:t>
          </w:r>
          <w:r>
            <w:fldChar w:fldCharType="end"/>
          </w:r>
          <w:r>
            <w:fldChar w:fldCharType="end"/>
          </w:r>
        </w:p>
        <w:p w14:paraId="3366E75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8"/>
            </w:rPr>
            <w:t xml:space="preserve">2. </w:t>
          </w:r>
          <w:r>
            <w:rPr>
              <w:rStyle w:val="18"/>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14:paraId="0DC50664">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8"/>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14:paraId="5A92D662">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8"/>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14:paraId="4E37664F">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8"/>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14:paraId="3E5CD671">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8"/>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14:paraId="0A9B7C8E">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8"/>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14:paraId="60F8FEFE">
          <w:pPr>
            <w:ind w:firstLine="562"/>
          </w:pPr>
          <w:r>
            <w:rPr>
              <w:b/>
              <w:bCs/>
              <w:lang w:val="zh-CN"/>
            </w:rPr>
            <w:fldChar w:fldCharType="end"/>
          </w:r>
        </w:p>
      </w:sdtContent>
    </w:sdt>
    <w:p w14:paraId="29843E9E">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29C75A7E">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14:paraId="6B66B8E8">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14:paraId="61E89559">
      <w:pPr>
        <w:pStyle w:val="4"/>
        <w:ind w:firstLine="643"/>
      </w:pPr>
      <w:bookmarkStart w:id="4" w:name="_Toc165277222"/>
      <w:r>
        <w:rPr>
          <w:rFonts w:hint="eastAsia"/>
        </w:rPr>
        <w:t>1．项目背景、主要内容及实施情况</w:t>
      </w:r>
      <w:bookmarkEnd w:id="4"/>
    </w:p>
    <w:p w14:paraId="3BF6B8CE">
      <w:pPr>
        <w:spacing w:line="360" w:lineRule="auto"/>
        <w:ind w:firstLine="560"/>
        <w:rPr>
          <w:rFonts w:hint="default" w:ascii="仿宋_GB2312"/>
          <w:lang w:val="en-US"/>
        </w:rPr>
      </w:pPr>
      <w:r>
        <w:rPr>
          <w:rFonts w:hint="eastAsia" w:ascii="仿宋_GB2312"/>
        </w:rPr>
        <w:t>该项目实施背景：为做好“乙类乙管”后新冠患者救治经费保障工作，根据各医疗机构前期申报情况和市医保局统计结果及分配方案，按照自治区财政厅《关于预拨新冠患者救治费用中央财政补助资金的通知》(新财社〔2023〕44号)，预拨</w:t>
      </w:r>
      <w:r>
        <w:rPr>
          <w:rFonts w:hint="eastAsia" w:ascii="仿宋_GB2312"/>
          <w:lang w:val="en-US" w:eastAsia="zh-CN"/>
        </w:rPr>
        <w:t>我</w:t>
      </w:r>
      <w:r>
        <w:rPr>
          <w:rFonts w:hint="eastAsia" w:ascii="仿宋_GB2312"/>
        </w:rPr>
        <w:t>单位新冠患者救治费用中央财政补助资金</w:t>
      </w:r>
      <w:r>
        <w:rPr>
          <w:rFonts w:hint="eastAsia" w:ascii="仿宋_GB2312"/>
          <w:lang w:val="en-US" w:eastAsia="zh-CN"/>
        </w:rPr>
        <w:t>216.06万元。</w:t>
      </w:r>
    </w:p>
    <w:p w14:paraId="39A0B0C0">
      <w:pPr>
        <w:spacing w:line="360" w:lineRule="auto"/>
        <w:ind w:firstLine="560"/>
        <w:rPr>
          <w:rFonts w:hint="eastAsia" w:ascii="仿宋_GB2312" w:eastAsia="仿宋_GB2312"/>
          <w:lang w:val="en-US" w:eastAsia="zh-CN"/>
        </w:rPr>
      </w:pPr>
      <w:r>
        <w:rPr>
          <w:rFonts w:ascii="仿宋_GB2312"/>
        </w:rPr>
        <w:t>项目</w:t>
      </w:r>
      <w:r>
        <w:rPr>
          <w:rFonts w:hint="eastAsia" w:ascii="仿宋_GB2312"/>
        </w:rPr>
        <w:t>2024</w:t>
      </w:r>
      <w:r>
        <w:rPr>
          <w:rFonts w:ascii="仿宋_GB2312"/>
        </w:rPr>
        <w:t>年的主要实施内容：</w:t>
      </w:r>
      <w:r>
        <w:rPr>
          <w:rFonts w:hint="eastAsia" w:ascii="仿宋_GB2312"/>
        </w:rPr>
        <w:t>本次预拨的补助资金，用于落实新冠患者救治费用财政补助政策，中央财政后续将按规定据实结算</w:t>
      </w:r>
      <w:r>
        <w:rPr>
          <w:rFonts w:hint="eastAsia" w:ascii="仿宋_GB2312"/>
          <w:lang w:eastAsia="zh-CN"/>
        </w:rPr>
        <w:t>，</w:t>
      </w:r>
      <w:r>
        <w:rPr>
          <w:rFonts w:hint="eastAsia" w:ascii="仿宋_GB2312"/>
        </w:rPr>
        <w:t>为切实保障患者利益，按照医保部门要求“救治期间需按照先诊疗、后付费的原则，由医疗机构先行垫付患者医疗费用，医疗费用在基本医疗、大病医疗、医疗救助等规定支付后，个人负担部分由财政全额补助。”患者个人支付部分由乌鲁木齐市第一人民医院(儿童医院)垫付216.06万</w:t>
      </w:r>
      <w:r>
        <w:rPr>
          <w:rFonts w:hint="eastAsia" w:ascii="仿宋_GB2312"/>
          <w:lang w:val="en-US" w:eastAsia="zh-CN"/>
        </w:rPr>
        <w:t>元，2023年收到《关于预拨新冠患者救治费用中央财政补助资金预算的通知》(乌财社〔2023</w:t>
      </w:r>
      <w:r>
        <w:rPr>
          <w:rFonts w:hint="eastAsia" w:ascii="仿宋_GB2312"/>
        </w:rPr>
        <w:t>〕</w:t>
      </w:r>
      <w:r>
        <w:rPr>
          <w:rFonts w:hint="eastAsia" w:ascii="仿宋_GB2312"/>
          <w:lang w:val="en-US" w:eastAsia="zh-CN"/>
        </w:rPr>
        <w:t>117号)文件，项目资金用于落实新冠患者救治费用补助，该项目资金从财政零余额账户划转至单位银行基本户。</w:t>
      </w:r>
    </w:p>
    <w:p w14:paraId="5468D8C8">
      <w:pPr>
        <w:spacing w:line="360" w:lineRule="auto"/>
        <w:ind w:firstLine="560"/>
        <w:rPr>
          <w:rFonts w:hint="eastAsia" w:ascii="仿宋_GB2312" w:eastAsia="仿宋_GB2312"/>
          <w:lang w:eastAsia="zh-CN"/>
        </w:rPr>
      </w:pPr>
      <w:r>
        <w:rPr>
          <w:rFonts w:ascii="仿宋_GB2312"/>
        </w:rPr>
        <w:t>实际完成情况为：</w:t>
      </w:r>
      <w:r>
        <w:rPr>
          <w:rFonts w:hint="eastAsia" w:ascii="仿宋_GB2312"/>
        </w:rPr>
        <w:t>我院在 2022 年疫情期间执行政府规定收治新冠患者承担惠者救治任务，接院医保办通知，按照医保经办机构的要求“救治期间需按照先诊疗、后付费的原则，由医保经办机构先行垫付患者医疗费用，医疗费用在基本医疗、大病保险、医疗救助等规定支付后，个人负担部分由财政全额补助”,故我院对患者个人负担部分先行垫付并进行挂账处理，我院共涉及患者 2868人次，金额为400.12 万元</w:t>
      </w:r>
      <w:r>
        <w:rPr>
          <w:rFonts w:hint="eastAsia" w:ascii="仿宋_GB2312"/>
          <w:lang w:eastAsia="zh-CN"/>
        </w:rPr>
        <w:t>，2023 年5月按照《关于预拨新冠患者救治费用中央财政补助资金预算的通知》( 乌财社〔2023〕117号)文件精神，中央预拨我院补助资</w:t>
      </w:r>
      <w:bookmarkStart w:id="61" w:name="_GoBack"/>
      <w:bookmarkEnd w:id="61"/>
      <w:r>
        <w:rPr>
          <w:rFonts w:hint="eastAsia" w:ascii="仿宋_GB2312"/>
          <w:lang w:eastAsia="zh-CN"/>
        </w:rPr>
        <w:t>金指标 216.06万元，支出经济分类科目列为“30399 其他对个人和家庭的补助”,为减轻我单位垫付资金压力，</w:t>
      </w:r>
      <w:r>
        <w:rPr>
          <w:rFonts w:hint="eastAsia" w:ascii="仿宋_GB2312"/>
          <w:lang w:val="en-US" w:eastAsia="zh-CN"/>
        </w:rPr>
        <w:t>已由</w:t>
      </w:r>
      <w:r>
        <w:rPr>
          <w:rFonts w:hint="eastAsia" w:ascii="仿宋_GB2312"/>
          <w:lang w:eastAsia="zh-CN"/>
        </w:rPr>
        <w:t>上级部门协助我院将该笔经费直接拨付我院基本账户。</w:t>
      </w:r>
    </w:p>
    <w:p w14:paraId="51F4E130">
      <w:pPr>
        <w:pStyle w:val="4"/>
        <w:ind w:firstLine="643"/>
      </w:pPr>
      <w:bookmarkStart w:id="5" w:name="_Toc165277223"/>
      <w:r>
        <w:rPr>
          <w:rFonts w:hint="eastAsia"/>
        </w:rPr>
        <w:t>2</w:t>
      </w:r>
      <w:r>
        <w:t>.资金投入和使用情况</w:t>
      </w:r>
      <w:bookmarkEnd w:id="5"/>
    </w:p>
    <w:p w14:paraId="7E06BEAC">
      <w:pPr>
        <w:spacing w:line="360" w:lineRule="auto"/>
        <w:ind w:firstLine="560"/>
        <w:rPr>
          <w:rFonts w:ascii="仿宋_GB2312"/>
        </w:rPr>
      </w:pPr>
      <w:r>
        <w:rPr>
          <w:rFonts w:hint="eastAsia" w:ascii="仿宋_GB2312"/>
        </w:rPr>
        <w:t>该项目资金投入情况：经</w:t>
      </w:r>
      <w:r>
        <w:rPr>
          <w:rFonts w:hint="eastAsia" w:ascii="仿宋_GB2312"/>
          <w:lang w:eastAsia="zh-CN"/>
        </w:rPr>
        <w:t>《</w:t>
      </w:r>
      <w:r>
        <w:rPr>
          <w:rFonts w:hint="eastAsia" w:ascii="仿宋_GB2312"/>
        </w:rPr>
        <w:t>关于预拨新冠患者救治费用中央财政补助资金预算的通知</w:t>
      </w:r>
      <w:r>
        <w:rPr>
          <w:rFonts w:hint="eastAsia" w:ascii="仿宋_GB2312"/>
          <w:lang w:eastAsia="zh-CN"/>
        </w:rPr>
        <w:t>》（</w:t>
      </w:r>
      <w:r>
        <w:rPr>
          <w:rFonts w:hint="eastAsia" w:ascii="仿宋_GB2312"/>
        </w:rPr>
        <w:t>乌财社〔2023〕117号</w:t>
      </w:r>
      <w:r>
        <w:rPr>
          <w:rFonts w:hint="eastAsia" w:ascii="仿宋_GB2312"/>
          <w:lang w:eastAsia="zh-CN"/>
        </w:rPr>
        <w:t>）</w:t>
      </w:r>
      <w:r>
        <w:rPr>
          <w:rFonts w:hint="eastAsia" w:ascii="仿宋_GB2312"/>
        </w:rPr>
        <w:t>文件批准，项目系</w:t>
      </w:r>
      <w:r>
        <w:rPr>
          <w:rFonts w:ascii="仿宋_GB2312"/>
        </w:rPr>
        <w:t>202</w:t>
      </w:r>
      <w:r>
        <w:rPr>
          <w:rFonts w:hint="eastAsia" w:ascii="仿宋_GB2312"/>
          <w:lang w:val="en-US" w:eastAsia="zh-CN"/>
        </w:rPr>
        <w:t>3</w:t>
      </w:r>
      <w:r>
        <w:rPr>
          <w:rFonts w:hint="eastAsia" w:ascii="仿宋_GB2312"/>
        </w:rPr>
        <w:t>年中央资金，共安排预算</w:t>
      </w:r>
      <w:r>
        <w:rPr>
          <w:rFonts w:hint="eastAsia" w:ascii="仿宋_GB2312"/>
          <w:lang w:val="en-US" w:eastAsia="zh-CN"/>
        </w:rPr>
        <w:t>216.06</w:t>
      </w:r>
      <w:r>
        <w:rPr>
          <w:rFonts w:hint="eastAsia" w:ascii="仿宋_GB2312"/>
        </w:rPr>
        <w:t>万元，于202</w:t>
      </w:r>
      <w:r>
        <w:rPr>
          <w:rFonts w:hint="eastAsia" w:ascii="仿宋_GB2312"/>
          <w:lang w:val="en-US" w:eastAsia="zh-CN"/>
        </w:rPr>
        <w:t>3</w:t>
      </w:r>
      <w:r>
        <w:rPr>
          <w:rFonts w:hint="eastAsia" w:ascii="仿宋_GB2312"/>
        </w:rPr>
        <w:t>年年中追加预算批复项目，年中资金调整情况</w:t>
      </w:r>
      <w:r>
        <w:rPr>
          <w:rFonts w:hint="eastAsia" w:ascii="仿宋_GB2312"/>
          <w:lang w:val="en-US" w:eastAsia="zh-CN"/>
        </w:rPr>
        <w:t>2023年6月下达此项资金，2023年因流程原因未支付，结转至2024年，2024年我单位通过跟上级部门沟通协商，由上级部门协助办理此业务，将</w:t>
      </w:r>
      <w:r>
        <w:rPr>
          <w:rFonts w:hint="eastAsia" w:ascii="仿宋_GB2312"/>
          <w:lang w:eastAsia="zh-CN"/>
        </w:rPr>
        <w:t>该笔经费直接拨付我院基本账户</w:t>
      </w:r>
      <w:r>
        <w:rPr>
          <w:rFonts w:hint="eastAsia" w:ascii="仿宋_GB2312"/>
        </w:rPr>
        <w:t>。</w:t>
      </w:r>
    </w:p>
    <w:p w14:paraId="2A2E695E">
      <w:pPr>
        <w:spacing w:line="360" w:lineRule="auto"/>
        <w:ind w:firstLine="560"/>
        <w:rPr>
          <w:rFonts w:ascii="仿宋_GB2312"/>
        </w:rPr>
      </w:pPr>
      <w:r>
        <w:rPr>
          <w:rFonts w:hint="eastAsia" w:ascii="仿宋_GB2312"/>
        </w:rPr>
        <w:t>该项目资金使用情况：我院在 2022 年疫情期间执行政府规定收治新冠患者承担惠者救治任务，接院医保办通知，按照医保经办机构的要求“救治期间需按照先诊疗、后付费的原则，由医保经办机构先行垫付患者医疗费用，医疗费用在基本医疗、大病保险、医疗救助等规定支付后，个人负担部分由财政全额补助”,故我院对患者个人负担部分先行垫付并进行挂账处理，我院共涉及患者 2868人次，金额为400.12 万元</w:t>
      </w:r>
      <w:r>
        <w:rPr>
          <w:rFonts w:hint="eastAsia" w:ascii="仿宋_GB2312"/>
          <w:lang w:eastAsia="zh-CN"/>
        </w:rPr>
        <w:t>，2023 年5月按照《关于预拨新冠患者救治费用中央财政补助资金预算的通知》( 乌财社〔2023〕117号)文件精神，中央预拨我院补助资金指标 216.06万元，支出经济分类科目列为“30399 其他对个人和家庭的补助”,为减轻我单位垫付资金压力，</w:t>
      </w:r>
      <w:r>
        <w:rPr>
          <w:rFonts w:hint="eastAsia" w:ascii="仿宋_GB2312"/>
          <w:lang w:val="en-US" w:eastAsia="zh-CN"/>
        </w:rPr>
        <w:t>已由</w:t>
      </w:r>
      <w:r>
        <w:rPr>
          <w:rFonts w:hint="eastAsia" w:ascii="仿宋_GB2312"/>
          <w:lang w:eastAsia="zh-CN"/>
        </w:rPr>
        <w:t>上级部门协助我院将该笔经费直接拨付我院基本账户。</w:t>
      </w:r>
    </w:p>
    <w:p w14:paraId="1D82FEB7">
      <w:pPr>
        <w:pStyle w:val="3"/>
        <w:ind w:firstLine="643"/>
        <w:rPr>
          <w:rFonts w:ascii="仿宋" w:hAnsi="仿宋" w:eastAsia="仿宋"/>
          <w:lang w:bidi="en-US"/>
        </w:rPr>
      </w:pPr>
      <w:bookmarkStart w:id="6" w:name="_Toc165277224"/>
      <w:bookmarkStart w:id="7" w:name="_Toc67911603"/>
      <w:r>
        <w:rPr>
          <w:rFonts w:hint="eastAsia" w:ascii="仿宋" w:hAnsi="仿宋" w:eastAsia="仿宋"/>
          <w:lang w:bidi="en-US"/>
        </w:rPr>
        <w:t>（二）项目绩效目标：</w:t>
      </w:r>
      <w:bookmarkEnd w:id="6"/>
      <w:bookmarkEnd w:id="7"/>
    </w:p>
    <w:p w14:paraId="3997F4FE">
      <w:pPr>
        <w:spacing w:line="360" w:lineRule="auto"/>
        <w:ind w:firstLine="560"/>
        <w:rPr>
          <w:rFonts w:ascii="仿宋_GB2312" w:hAnsi="仿宋"/>
          <w:szCs w:val="28"/>
        </w:rPr>
      </w:pPr>
      <w:r>
        <w:rPr>
          <w:rFonts w:hint="eastAsia" w:ascii="仿宋_GB2312" w:hAnsi="仿宋"/>
          <w:szCs w:val="28"/>
        </w:rPr>
        <w:t>本项目依据《中共中央国务院关于全面实施预算绩效管理的意见》（中发〔2018〕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4AE012AA">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当年一次性项目。</w:t>
      </w:r>
    </w:p>
    <w:p w14:paraId="560EEDEC">
      <w:pPr>
        <w:spacing w:line="360" w:lineRule="auto"/>
        <w:ind w:firstLine="560"/>
        <w:rPr>
          <w:rFonts w:ascii="仿宋_GB2312" w:hAnsi="仿宋"/>
          <w:szCs w:val="28"/>
        </w:rPr>
      </w:pPr>
      <w:r>
        <w:rPr>
          <w:rFonts w:hint="eastAsia" w:ascii="仿宋_GB2312" w:hAnsi="仿宋"/>
          <w:szCs w:val="28"/>
        </w:rPr>
        <w:t>该项目总体绩效目标：按照资金下达文件要求专款专用，按时发放补助资金，进一步减轻医疗机构垫付压力，确保不因资金问题影响患者享受保障政策。</w:t>
      </w:r>
    </w:p>
    <w:p w14:paraId="3A92DDDC">
      <w:pPr>
        <w:spacing w:line="360" w:lineRule="auto"/>
        <w:ind w:firstLine="560"/>
        <w:rPr>
          <w:rFonts w:hint="default" w:ascii="仿宋_GB2312"/>
          <w:lang w:val="en-US" w:eastAsia="zh-CN"/>
        </w:rPr>
      </w:pPr>
      <w:r>
        <w:rPr>
          <w:rFonts w:ascii="仿宋_GB2312" w:hAnsi="仿宋"/>
          <w:szCs w:val="28"/>
        </w:rPr>
        <w:t>该项目阶段性目标为：</w:t>
      </w:r>
      <w:r>
        <w:rPr>
          <w:rFonts w:hint="eastAsia" w:ascii="仿宋_GB2312"/>
        </w:rPr>
        <w:t>我院在 2022 年疫情期间执行政府规定收治新冠患者承担惠者救治任务，接院医保办通知，按照医保经办机构的要求“救治期间需按照先诊疗、后付费的原则，由医保经办机构先行垫付患者医疗费用，医疗费用在基本医疗、大病保险、医疗救助等规定支付后，个人负担部分由财政全额补助”,故我院对患者个人负担部分先行垫付并进行挂账处理，我院共涉及患者 2868人次，</w:t>
      </w:r>
      <w:r>
        <w:rPr>
          <w:rFonts w:hint="eastAsia" w:ascii="仿宋_GB2312"/>
          <w:lang w:eastAsia="zh-CN"/>
        </w:rPr>
        <w:t>2023 年5月按照《关于预拨新冠患者救治费用中央财政补助资金预算的通知》(乌财社〔2023〕117号)文件精神，中央预拨我院补助资金指标 216.06万元，</w:t>
      </w:r>
      <w:r>
        <w:rPr>
          <w:rFonts w:hint="eastAsia" w:ascii="仿宋_GB2312"/>
          <w:lang w:val="en-US" w:eastAsia="zh-CN"/>
        </w:rPr>
        <w:t>其中铁路局院区7.76万元、北门院区1.22万元、城北院区207.08万元。</w:t>
      </w:r>
      <w:r>
        <w:rPr>
          <w:rFonts w:hint="eastAsia" w:ascii="仿宋_GB2312"/>
          <w:lang w:eastAsia="zh-CN"/>
        </w:rPr>
        <w:t>为减轻我单位垫付资金压力，</w:t>
      </w:r>
      <w:r>
        <w:rPr>
          <w:rFonts w:hint="eastAsia" w:ascii="仿宋_GB2312"/>
          <w:lang w:val="en-US" w:eastAsia="zh-CN"/>
        </w:rPr>
        <w:t>已由</w:t>
      </w:r>
      <w:r>
        <w:rPr>
          <w:rFonts w:hint="eastAsia" w:ascii="仿宋_GB2312"/>
          <w:lang w:eastAsia="zh-CN"/>
        </w:rPr>
        <w:t>上级部门协助我院将该笔经费直接拨付我院基本账户。</w:t>
      </w:r>
    </w:p>
    <w:p w14:paraId="7A7F8ABD">
      <w:pPr>
        <w:pStyle w:val="2"/>
        <w:ind w:firstLine="0" w:firstLineChars="0"/>
        <w:jc w:val="left"/>
        <w:rPr>
          <w:rFonts w:ascii="仿宋" w:hAnsi="仿宋" w:eastAsia="仿宋"/>
          <w:sz w:val="36"/>
          <w:szCs w:val="36"/>
          <w:lang w:bidi="en-US"/>
        </w:rPr>
      </w:pPr>
      <w:bookmarkStart w:id="9" w:name="_Toc165277225"/>
      <w:bookmarkStart w:id="10" w:name="_Toc67911604"/>
      <w:r>
        <w:rPr>
          <w:rFonts w:hint="eastAsia" w:ascii="仿宋" w:hAnsi="仿宋" w:eastAsia="仿宋"/>
          <w:sz w:val="36"/>
          <w:szCs w:val="36"/>
          <w:lang w:bidi="en-US"/>
        </w:rPr>
        <w:t>二、绩效评价工作开展情况</w:t>
      </w:r>
      <w:bookmarkEnd w:id="9"/>
      <w:bookmarkEnd w:id="10"/>
    </w:p>
    <w:p w14:paraId="09C48D6A">
      <w:pPr>
        <w:pStyle w:val="3"/>
        <w:ind w:firstLine="643"/>
        <w:rPr>
          <w:rFonts w:ascii="仿宋" w:hAnsi="仿宋" w:eastAsia="仿宋"/>
          <w:lang w:bidi="en-US"/>
        </w:rPr>
      </w:pPr>
      <w:bookmarkStart w:id="11" w:name="_Toc67911605"/>
      <w:bookmarkStart w:id="12" w:name="_Toc165277226"/>
      <w:r>
        <w:rPr>
          <w:rFonts w:hint="eastAsia" w:ascii="仿宋" w:hAnsi="仿宋" w:eastAsia="仿宋"/>
          <w:lang w:bidi="en-US"/>
        </w:rPr>
        <w:t>（一）绩效评价目的、对象和范围</w:t>
      </w:r>
      <w:bookmarkEnd w:id="11"/>
      <w:bookmarkEnd w:id="12"/>
    </w:p>
    <w:p w14:paraId="09650C5A">
      <w:pPr>
        <w:pStyle w:val="4"/>
        <w:ind w:firstLine="643"/>
      </w:pPr>
      <w:bookmarkStart w:id="13" w:name="_Toc165277227"/>
      <w:r>
        <w:rPr>
          <w:rFonts w:hint="eastAsia"/>
        </w:rPr>
        <w:t>1</w:t>
      </w:r>
      <w:r>
        <w:t>.绩效评价完整性</w:t>
      </w:r>
      <w:bookmarkEnd w:id="13"/>
    </w:p>
    <w:p w14:paraId="3B30169F">
      <w:pPr>
        <w:spacing w:line="360" w:lineRule="auto"/>
        <w:ind w:firstLine="560"/>
        <w:rPr>
          <w:rFonts w:hint="eastAsia" w:ascii="仿宋_GB2312"/>
          <w:lang w:val="en-US" w:eastAsia="zh-CN"/>
        </w:rPr>
      </w:pPr>
      <w:r>
        <w:rPr>
          <w:rFonts w:hint="eastAsia" w:ascii="仿宋_GB2312" w:hAnsi="仿宋"/>
          <w:szCs w:val="28"/>
        </w:rPr>
        <w:t>首先，</w:t>
      </w:r>
      <w:r>
        <w:rPr>
          <w:rFonts w:hint="eastAsia" w:ascii="仿宋_GB2312"/>
        </w:rPr>
        <w:t>我院在 2022 年疫情期间执行政府规定收治新冠患者承担惠者救治任务，接院医保办通知，按照医保经办机构的要求“救治期间需按照先诊疗、后付费的原则，由医保经办机构先行垫付患者医疗费用，医疗费用在基本医疗、大病保险、医疗救助等规定支付后，个人负担部分由财政全额补助”,故我院对患者个人负担部分先行垫付并进行挂账处理，我院共涉及患者 2868人次，金额为400.12 万元</w:t>
      </w:r>
      <w:r>
        <w:rPr>
          <w:rFonts w:hint="eastAsia" w:ascii="仿宋_GB2312"/>
          <w:lang w:eastAsia="zh-CN"/>
        </w:rPr>
        <w:t>。</w:t>
      </w:r>
      <w:r>
        <w:rPr>
          <w:rFonts w:hint="eastAsia" w:ascii="仿宋_GB2312"/>
          <w:lang w:val="en-US" w:eastAsia="zh-CN"/>
        </w:rPr>
        <w:t xml:space="preserve">  </w:t>
      </w:r>
    </w:p>
    <w:p w14:paraId="0A004D6E">
      <w:pPr>
        <w:spacing w:line="360" w:lineRule="auto"/>
        <w:ind w:firstLine="560"/>
        <w:rPr>
          <w:rFonts w:hint="eastAsia" w:ascii="仿宋_GB2312"/>
          <w:lang w:val="en-US" w:eastAsia="zh-CN"/>
        </w:rPr>
      </w:pPr>
      <w:r>
        <w:rPr>
          <w:rFonts w:ascii="仿宋_GB2312" w:hAnsi="仿宋"/>
          <w:szCs w:val="28"/>
        </w:rPr>
        <w:t>其次</w:t>
      </w:r>
      <w:r>
        <w:rPr>
          <w:rFonts w:hint="eastAsia" w:ascii="仿宋_GB2312" w:hAnsi="仿宋"/>
          <w:szCs w:val="28"/>
        </w:rPr>
        <w:t>，</w:t>
      </w:r>
      <w:r>
        <w:rPr>
          <w:rFonts w:hint="eastAsia" w:ascii="仿宋_GB2312"/>
          <w:lang w:eastAsia="zh-CN"/>
        </w:rPr>
        <w:t>2023 年5月按照《关于预拨新冠患者救治费用中央财政补助资金预算的通知》(乌财社〔2023〕117号)文件精神，中央预拨我院补助资金指标 216.06万元，</w:t>
      </w:r>
      <w:r>
        <w:rPr>
          <w:rFonts w:hint="eastAsia" w:ascii="仿宋_GB2312"/>
          <w:lang w:val="en-US" w:eastAsia="zh-CN"/>
        </w:rPr>
        <w:t>其中铁路局院区7.76万元、北门院区1.22万元、城北院区207.08万元。</w:t>
      </w:r>
    </w:p>
    <w:p w14:paraId="11F428F6">
      <w:pPr>
        <w:spacing w:line="360" w:lineRule="auto"/>
        <w:ind w:firstLine="560"/>
        <w:rPr>
          <w:rFonts w:ascii="仿宋_GB2312" w:hAnsi="仿宋"/>
          <w:szCs w:val="28"/>
        </w:rPr>
      </w:pPr>
      <w:r>
        <w:rPr>
          <w:rFonts w:hint="eastAsia" w:ascii="仿宋_GB2312" w:hAnsi="仿宋"/>
          <w:szCs w:val="28"/>
        </w:rPr>
        <w:t>最后，</w:t>
      </w:r>
      <w:r>
        <w:rPr>
          <w:rFonts w:hint="eastAsia" w:ascii="仿宋_GB2312"/>
          <w:lang w:eastAsia="zh-CN"/>
        </w:rPr>
        <w:t>为减轻我单位垫付资金压力，</w:t>
      </w:r>
      <w:r>
        <w:rPr>
          <w:rFonts w:hint="eastAsia" w:ascii="仿宋_GB2312"/>
          <w:lang w:val="en-US" w:eastAsia="zh-CN"/>
        </w:rPr>
        <w:t>已由</w:t>
      </w:r>
      <w:r>
        <w:rPr>
          <w:rFonts w:hint="eastAsia" w:ascii="仿宋_GB2312"/>
          <w:lang w:eastAsia="zh-CN"/>
        </w:rPr>
        <w:t>上级部门协助我院将该笔经费直接拨付我院基本账户。</w:t>
      </w:r>
    </w:p>
    <w:p w14:paraId="10D12641">
      <w:pPr>
        <w:pStyle w:val="4"/>
        <w:ind w:firstLine="643"/>
      </w:pPr>
      <w:bookmarkStart w:id="14" w:name="_Toc165277228"/>
      <w:r>
        <w:t>2</w:t>
      </w:r>
      <w:r>
        <w:rPr>
          <w:rFonts w:hint="eastAsia"/>
        </w:rPr>
        <w:t>.评价目的</w:t>
      </w:r>
      <w:bookmarkEnd w:id="14"/>
    </w:p>
    <w:p w14:paraId="22BFA72E">
      <w:pPr>
        <w:spacing w:line="360" w:lineRule="auto"/>
        <w:ind w:firstLine="560"/>
        <w:rPr>
          <w:rFonts w:ascii="仿宋_GB2312"/>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w:t>
      </w:r>
      <w:r>
        <w:rPr>
          <w:rFonts w:hint="eastAsia" w:ascii="仿宋_GB2312"/>
          <w:lang w:eastAsia="zh-CN"/>
        </w:rPr>
        <w:t>《关于预拨新冠患者救治费用中央财政补助资金预算的通知》(乌财社〔2023〕117号)</w:t>
      </w:r>
      <w:r>
        <w:rPr>
          <w:rFonts w:hint="eastAsia" w:ascii="仿宋_GB2312"/>
          <w:lang w:val="en-US" w:eastAsia="zh-CN"/>
        </w:rPr>
        <w:t>的</w:t>
      </w:r>
      <w:r>
        <w:rPr>
          <w:rFonts w:hint="eastAsia" w:ascii="仿宋_GB2312"/>
        </w:rPr>
        <w:t>实施情况，并考察项目实施过程和效果。</w:t>
      </w:r>
    </w:p>
    <w:p w14:paraId="10C2641D">
      <w:pPr>
        <w:spacing w:line="360" w:lineRule="auto"/>
        <w:ind w:firstLine="560"/>
        <w:rPr>
          <w:rFonts w:ascii="仿宋_GB2312"/>
          <w:b/>
          <w:bCs/>
        </w:rPr>
      </w:pPr>
      <w:r>
        <w:rPr>
          <w:rFonts w:hint="eastAsia" w:ascii="仿宋_GB2312"/>
        </w:rPr>
        <w:t>（2）通过评价，客观公正反映项目立项科学性、项目管理规范性、项目实施有效性和项目效果，总结项目实施的经验，发现项目实施过程中存在的问题，提高财政资金使用效益。</w:t>
      </w:r>
    </w:p>
    <w:p w14:paraId="725AAE95">
      <w:pPr>
        <w:pStyle w:val="4"/>
        <w:ind w:firstLine="643"/>
      </w:pPr>
      <w:bookmarkStart w:id="15" w:name="_Toc165277229"/>
      <w:r>
        <w:t>3</w:t>
      </w:r>
      <w:r>
        <w:rPr>
          <w:rFonts w:hint="eastAsia"/>
        </w:rPr>
        <w:t>.评价对象</w:t>
      </w:r>
      <w:bookmarkEnd w:id="15"/>
    </w:p>
    <w:p w14:paraId="7712A907">
      <w:pPr>
        <w:spacing w:line="360" w:lineRule="auto"/>
        <w:ind w:firstLine="560"/>
        <w:rPr>
          <w:rFonts w:ascii="仿宋_GB2312"/>
        </w:rPr>
      </w:pPr>
      <w:r>
        <w:rPr>
          <w:rFonts w:hint="eastAsia" w:ascii="仿宋_GB2312"/>
        </w:rPr>
        <w:t>（1）绩效评价的对象：</w:t>
      </w:r>
      <w:r>
        <w:rPr>
          <w:rFonts w:hint="eastAsia" w:ascii="仿宋_GB2312"/>
          <w:lang w:eastAsia="zh-CN"/>
        </w:rPr>
        <w:t>《关于预拨新冠患者救治费用中央财政补助资金预算的通知》(乌财社〔2023〕117号)</w:t>
      </w:r>
      <w:r>
        <w:rPr>
          <w:rFonts w:hint="eastAsia" w:ascii="仿宋_GB2312"/>
        </w:rPr>
        <w:t>项目</w:t>
      </w:r>
      <w:r>
        <w:rPr>
          <w:rFonts w:ascii="仿宋_GB2312"/>
        </w:rPr>
        <w:t xml:space="preserve"> </w:t>
      </w:r>
    </w:p>
    <w:p w14:paraId="6B4E9E70">
      <w:pPr>
        <w:pStyle w:val="4"/>
        <w:ind w:firstLine="643"/>
      </w:pPr>
      <w:bookmarkStart w:id="16" w:name="_Toc165277230"/>
      <w:r>
        <w:rPr>
          <w:rFonts w:hint="eastAsia"/>
        </w:rPr>
        <w:t>4</w:t>
      </w:r>
      <w:r>
        <w:t>.</w:t>
      </w:r>
      <w:r>
        <w:rPr>
          <w:rFonts w:hint="eastAsia"/>
        </w:rPr>
        <w:t>绩效评价范围</w:t>
      </w:r>
      <w:bookmarkEnd w:id="16"/>
    </w:p>
    <w:p w14:paraId="0B4654A7">
      <w:pPr>
        <w:spacing w:line="360" w:lineRule="auto"/>
        <w:ind w:firstLine="560"/>
        <w:rPr>
          <w:rFonts w:ascii="仿宋_GB2312"/>
        </w:rPr>
      </w:pPr>
      <w:r>
        <w:rPr>
          <w:rFonts w:ascii="仿宋_GB2312"/>
        </w:rPr>
        <w:t>1.</w:t>
      </w:r>
      <w:r>
        <w:rPr>
          <w:rFonts w:hint="eastAsia" w:ascii="仿宋_GB2312"/>
        </w:rPr>
        <w:t>时间范围：2024年1月1日至2024年1</w:t>
      </w:r>
      <w:r>
        <w:rPr>
          <w:rFonts w:ascii="仿宋_GB2312"/>
        </w:rPr>
        <w:t>2</w:t>
      </w:r>
      <w:r>
        <w:rPr>
          <w:rFonts w:hint="eastAsia" w:ascii="仿宋_GB2312"/>
        </w:rPr>
        <w:t>月3</w:t>
      </w:r>
      <w:r>
        <w:rPr>
          <w:rFonts w:ascii="仿宋_GB2312"/>
        </w:rPr>
        <w:t>1</w:t>
      </w:r>
      <w:r>
        <w:rPr>
          <w:rFonts w:hint="eastAsia" w:ascii="仿宋_GB2312"/>
        </w:rPr>
        <w:t>日。</w:t>
      </w:r>
    </w:p>
    <w:p w14:paraId="4F9C1188">
      <w:pPr>
        <w:spacing w:line="360" w:lineRule="auto"/>
        <w:ind w:firstLine="560"/>
        <w:rPr>
          <w:rFonts w:hint="eastAsia" w:ascii="仿宋_GB2312"/>
          <w:lang w:eastAsia="zh-CN"/>
        </w:rPr>
      </w:pPr>
      <w:r>
        <w:rPr>
          <w:rFonts w:ascii="仿宋_GB2312"/>
        </w:rPr>
        <w:t>2.</w:t>
      </w:r>
      <w:r>
        <w:rPr>
          <w:rFonts w:hint="eastAsia" w:ascii="仿宋_GB2312"/>
        </w:rPr>
        <w:t>项目范围：为做好“乙类乙管”后新冠患者救治经费保障工作，根据各医疗机构前期申报情况和市医保局统计结果及分配方案，按照自治区财政厅《关于预拨新冠患者救治费用中央财政补助资金的通知》(新财社</w:t>
      </w:r>
      <w:r>
        <w:rPr>
          <w:rFonts w:hint="eastAsia" w:ascii="仿宋_GB2312"/>
          <w:lang w:eastAsia="zh-CN"/>
        </w:rPr>
        <w:t>〔2023〕</w:t>
      </w:r>
      <w:r>
        <w:rPr>
          <w:rFonts w:hint="eastAsia" w:ascii="仿宋_GB2312"/>
        </w:rPr>
        <w:t>44号）</w:t>
      </w:r>
      <w:r>
        <w:rPr>
          <w:rFonts w:hint="eastAsia" w:ascii="仿宋_GB2312"/>
          <w:lang w:eastAsia="zh-CN"/>
        </w:rPr>
        <w:t>，</w:t>
      </w:r>
      <w:r>
        <w:rPr>
          <w:rFonts w:hint="eastAsia" w:ascii="仿宋_GB2312"/>
        </w:rPr>
        <w:t>新冠病毒感染实施“乙类乙管”是党中央、国务院作出的重决策部署，各地要提高政治站位，高度重视新冠患者救治费用财政补助政策落实工作，决不能因资金投入不到位影响防控工作开展，决不能因资金拨付不及时影响患者救治，决不能出现拖欠疫情防控经费问题。地方各级财政部门要及时足额安排地方财政补助资金，严格落实地方财政先行支付、按月与医疗机构结算政策。同时，结合地方实际情况，采取向医疗机构预拨财政补助资金等方式，进一步减轻医疗机构垫付压力，确保不因资金问题影响患者享受保障政策。铁路局院区7.76万元，北门院区1.22万元，城北院区207.08万元，合计216.06万元</w:t>
      </w:r>
      <w:r>
        <w:rPr>
          <w:rFonts w:hint="eastAsia" w:ascii="仿宋_GB2312"/>
          <w:lang w:eastAsia="zh-CN"/>
        </w:rPr>
        <w:t>。</w:t>
      </w:r>
    </w:p>
    <w:p w14:paraId="52C3BCF2">
      <w:pPr>
        <w:pStyle w:val="3"/>
        <w:ind w:firstLine="643"/>
        <w:rPr>
          <w:rFonts w:ascii="仿宋" w:hAnsi="仿宋" w:eastAsia="仿宋"/>
          <w:lang w:bidi="en-US"/>
        </w:rPr>
      </w:pPr>
      <w:bookmarkStart w:id="17" w:name="_Toc67911606"/>
      <w:bookmarkStart w:id="18" w:name="_Toc165277231"/>
      <w:bookmarkStart w:id="19" w:name="_Hlk67586765"/>
      <w:r>
        <w:rPr>
          <w:rFonts w:hint="eastAsia" w:ascii="仿宋" w:hAnsi="仿宋" w:eastAsia="仿宋"/>
          <w:lang w:bidi="en-US"/>
        </w:rPr>
        <w:t>（二）绩效评价原则、指标体系、方法及标准</w:t>
      </w:r>
      <w:bookmarkEnd w:id="17"/>
      <w:bookmarkEnd w:id="18"/>
    </w:p>
    <w:bookmarkEnd w:id="19"/>
    <w:p w14:paraId="2299CD80">
      <w:pPr>
        <w:pStyle w:val="4"/>
        <w:ind w:firstLine="643"/>
      </w:pPr>
      <w:bookmarkStart w:id="20" w:name="_Toc165277232"/>
      <w:r>
        <w:rPr>
          <w:rFonts w:hint="eastAsia"/>
        </w:rPr>
        <w:t>1</w:t>
      </w:r>
      <w:r>
        <w:t>.</w:t>
      </w:r>
      <w:r>
        <w:rPr>
          <w:rFonts w:hint="eastAsia"/>
        </w:rPr>
        <w:t>评价原则</w:t>
      </w:r>
      <w:bookmarkEnd w:id="20"/>
    </w:p>
    <w:p w14:paraId="611F1F13">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14:paraId="01F7F8D1">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21112665">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14:paraId="29FABA93">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14:paraId="370897A4">
      <w:pPr>
        <w:pStyle w:val="4"/>
        <w:ind w:firstLine="643"/>
      </w:pPr>
      <w:bookmarkStart w:id="21" w:name="_Toc165277233"/>
      <w:r>
        <w:t>2.</w:t>
      </w:r>
      <w:r>
        <w:rPr>
          <w:rFonts w:hint="eastAsia"/>
        </w:rPr>
        <w:t>评价指标体系</w:t>
      </w:r>
      <w:bookmarkEnd w:id="21"/>
    </w:p>
    <w:p w14:paraId="6C0B506F">
      <w:pPr>
        <w:spacing w:line="360" w:lineRule="auto"/>
        <w:ind w:firstLine="560"/>
        <w:rPr>
          <w:rFonts w:ascii="仿宋_GB2312"/>
        </w:rPr>
      </w:pPr>
      <w:r>
        <w:rPr>
          <w:rFonts w:hint="eastAsia" w:ascii="仿宋_GB2312"/>
        </w:rPr>
        <w:t>绩效评价指标体系作为衡量绩效目标实现程度的考核工具，一般遵循以下原则：</w:t>
      </w:r>
    </w:p>
    <w:p w14:paraId="3B33766D">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4053111C">
      <w:pPr>
        <w:spacing w:line="360" w:lineRule="auto"/>
        <w:ind w:firstLine="560"/>
        <w:rPr>
          <w:rFonts w:ascii="仿宋_GB2312"/>
        </w:rPr>
      </w:pPr>
      <w:r>
        <w:rPr>
          <w:rFonts w:hint="eastAsia" w:ascii="仿宋_GB2312"/>
        </w:rPr>
        <w:t>（2）重要性原则：应当优先使用最具评价对象代表性、最能反映评价要求的核心指标。</w:t>
      </w:r>
    </w:p>
    <w:p w14:paraId="4DC42D06">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7A000E73">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139FD1E6">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37D1A5B9">
      <w:pPr>
        <w:spacing w:line="360" w:lineRule="auto"/>
        <w:ind w:firstLine="560"/>
        <w:rPr>
          <w:rFonts w:ascii="仿宋_GB2312"/>
          <w:color w:val="auto"/>
          <w:highlight w:val="none"/>
        </w:rPr>
      </w:pPr>
      <w:r>
        <w:rPr>
          <w:rFonts w:hint="eastAsia" w:ascii="仿宋_GB2312"/>
          <w:color w:val="auto"/>
          <w:highlight w:val="none"/>
        </w:rPr>
        <w:t>本项目的评价指标体系建立如下表所示。</w:t>
      </w:r>
    </w:p>
    <w:p w14:paraId="432B98BD">
      <w:pPr>
        <w:spacing w:line="360" w:lineRule="auto"/>
        <w:ind w:firstLine="560"/>
        <w:rPr>
          <w:rFonts w:ascii="仿宋_GB2312"/>
        </w:rPr>
      </w:pPr>
    </w:p>
    <w:p w14:paraId="38C28610">
      <w:pPr>
        <w:spacing w:line="360" w:lineRule="auto"/>
        <w:ind w:firstLine="560"/>
        <w:rPr>
          <w:rFonts w:ascii="仿宋_GB2312"/>
        </w:rPr>
      </w:pPr>
    </w:p>
    <w:p w14:paraId="2DF9795E">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68A5CFC0">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19B2F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2B91135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779F269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2F97C3EC">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6C440B9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097CF440">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3D6DC8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0499934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12B2A42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6A50B5A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35558BB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2DDD4F8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1E40F7C3">
            <w:pPr>
              <w:widowControl/>
              <w:ind w:firstLine="0" w:firstLineChars="0"/>
              <w:jc w:val="left"/>
              <w:rPr>
                <w:rFonts w:ascii="宋体" w:hAnsi="宋体" w:eastAsia="宋体" w:cs="宋体"/>
                <w:color w:val="auto"/>
                <w:kern w:val="0"/>
                <w:sz w:val="22"/>
              </w:rPr>
            </w:pPr>
            <w:r>
              <w:rPr>
                <w:rFonts w:hint="eastAsia" w:ascii="宋体" w:hAnsi="宋体" w:eastAsia="宋体" w:cs="宋体"/>
                <w:color w:val="auto"/>
                <w:kern w:val="0"/>
                <w:sz w:val="22"/>
              </w:rPr>
              <w:t>评价要点：</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①项目立项是否符合国家法律法规、国民经济发展规划和相关政策；</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②项目立项是否符合行业发展规划和政策要求；</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③项目立项是否与部门职责范围相符，属于部门履职所需；</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④项目是否属于公共财政支持范围，是否符合中央、地方事权支出责任划分原则；</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⑤项目是否与相关部门同类项目或部门内部相关项目重复。</w:t>
            </w:r>
          </w:p>
        </w:tc>
      </w:tr>
      <w:tr w14:paraId="48E2C2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37A3A774">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1C5BE496">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0C5D00F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66FBFA7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6BC3D00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520FF2CF">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5C22F5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3E4A61B0">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4692615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78AD66F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2F536D6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2E986B9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8639C81">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1077B9E3">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0F9604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4438FC1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592BE84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047BCC0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1C4F24A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233CE02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7170CDD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38EFD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092B266A">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1CB5544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736F9F8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1C47050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6B98F6C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663FCED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21A5C9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63646C0E">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1E922DE1">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68F6CD9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5F39937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3EDBEB6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15E2320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06403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7038AB3A">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490DB4E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2DE2AE7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6C4B877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289976B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226D10A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4D24579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09BBFA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687420BA">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4A185D75">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23C61BD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02269B6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1E24ED9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0BBB6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4A391423">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0AC6604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77693EC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1B9ABCE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1A4DA49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2FAFF0F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306569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2F854A0A">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7CCBEE8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368A85F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7B411A6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0B9E056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48423E8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54596E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3D7C17C7">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CA8F107">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58337B2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4A093AD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5F22837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4A19A19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5D4FCC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tcBorders>
              <w:tl2br w:val="nil"/>
              <w:tr2bl w:val="nil"/>
            </w:tcBorders>
            <w:shd w:val="clear" w:color="auto" w:fill="FFFFFF"/>
            <w:vAlign w:val="center"/>
          </w:tcPr>
          <w:p w14:paraId="05E0ED01">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14:paraId="20F0FCE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tcPr>
          <w:p w14:paraId="7C567F3D">
            <w:pPr>
              <w:widowControl/>
              <w:ind w:firstLine="0" w:firstLineChars="0"/>
              <w:jc w:val="center"/>
              <w:rPr>
                <w:rFonts w:hint="eastAsia" w:ascii="宋体" w:hAnsi="宋体" w:eastAsia="宋体" w:cs="宋体"/>
                <w:color w:val="000000"/>
                <w:kern w:val="0"/>
                <w:sz w:val="22"/>
                <w:highlight w:val="none"/>
                <w:lang w:val="en-US" w:eastAsia="zh-CN"/>
              </w:rPr>
            </w:pPr>
          </w:p>
          <w:p w14:paraId="6EB3D8F5">
            <w:pPr>
              <w:widowControl/>
              <w:ind w:firstLine="0" w:firstLineChars="0"/>
              <w:jc w:val="center"/>
              <w:rPr>
                <w:rFonts w:hint="eastAsia" w:ascii="宋体" w:hAnsi="宋体" w:eastAsia="宋体" w:cs="宋体"/>
                <w:color w:val="000000"/>
                <w:kern w:val="0"/>
                <w:sz w:val="22"/>
                <w:highlight w:val="none"/>
                <w:lang w:val="en-US" w:eastAsia="zh-CN"/>
              </w:rPr>
            </w:pPr>
          </w:p>
          <w:p w14:paraId="58222272">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患者人数</w:t>
            </w:r>
          </w:p>
        </w:tc>
        <w:tc>
          <w:tcPr>
            <w:tcW w:w="2789" w:type="dxa"/>
            <w:tcBorders>
              <w:tl2br w:val="nil"/>
              <w:tr2bl w:val="nil"/>
            </w:tcBorders>
            <w:shd w:val="clear" w:color="000000" w:fill="FFFFFF"/>
            <w:vAlign w:val="center"/>
          </w:tcPr>
          <w:p w14:paraId="3090600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2DC0ECF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349E81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596BAF8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14:paraId="133903F1">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14:paraId="0D58F5BE">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补助发放准确率（%）</w:t>
            </w:r>
          </w:p>
        </w:tc>
        <w:tc>
          <w:tcPr>
            <w:tcW w:w="2789" w:type="dxa"/>
            <w:tcBorders>
              <w:tl2br w:val="nil"/>
              <w:tr2bl w:val="nil"/>
            </w:tcBorders>
            <w:shd w:val="clear" w:color="000000" w:fill="FFFFFF"/>
            <w:vAlign w:val="center"/>
          </w:tcPr>
          <w:p w14:paraId="28D82E8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087E975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7B8190D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160240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3FEBBB84">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14:paraId="51857CEF">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14:paraId="0916CFB1">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补助发放及时率（%）</w:t>
            </w:r>
          </w:p>
        </w:tc>
        <w:tc>
          <w:tcPr>
            <w:tcW w:w="2789" w:type="dxa"/>
            <w:tcBorders>
              <w:tl2br w:val="nil"/>
              <w:tr2bl w:val="nil"/>
            </w:tcBorders>
            <w:shd w:val="clear" w:color="000000" w:fill="FFFFFF"/>
            <w:vAlign w:val="center"/>
          </w:tcPr>
          <w:p w14:paraId="4B2A7E3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3839A1D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r>
      <w:tr w14:paraId="1642FC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6F76D2BB">
            <w:pPr>
              <w:widowControl/>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14:paraId="3C7F3324">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14:paraId="76D9B26F">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铁路局院区拨款金额</w:t>
            </w:r>
          </w:p>
        </w:tc>
        <w:tc>
          <w:tcPr>
            <w:tcW w:w="2789" w:type="dxa"/>
            <w:vMerge w:val="restart"/>
            <w:tcBorders>
              <w:tl2br w:val="nil"/>
              <w:tr2bl w:val="nil"/>
            </w:tcBorders>
            <w:shd w:val="clear" w:color="000000" w:fill="FFFFFF"/>
            <w:vAlign w:val="center"/>
          </w:tcPr>
          <w:p w14:paraId="189F3BA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2FC0E5F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14:paraId="1903AE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1F9922B8">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14:paraId="13DB2327">
            <w:pPr>
              <w:widowControl/>
              <w:ind w:firstLine="0" w:firstLineChars="0"/>
              <w:jc w:val="center"/>
              <w:rPr>
                <w:highlight w:val="none"/>
              </w:rPr>
            </w:pPr>
          </w:p>
        </w:tc>
        <w:tc>
          <w:tcPr>
            <w:tcW w:w="1411" w:type="dxa"/>
            <w:tcBorders>
              <w:tl2br w:val="nil"/>
              <w:tr2bl w:val="nil"/>
            </w:tcBorders>
            <w:shd w:val="clear" w:color="auto" w:fill="FFFFFF"/>
            <w:vAlign w:val="center"/>
          </w:tcPr>
          <w:p w14:paraId="66698C14">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北门院区拨款金额</w:t>
            </w:r>
          </w:p>
        </w:tc>
        <w:tc>
          <w:tcPr>
            <w:tcW w:w="2789" w:type="dxa"/>
            <w:vMerge w:val="continue"/>
            <w:tcBorders>
              <w:tl2br w:val="nil"/>
              <w:tr2bl w:val="nil"/>
            </w:tcBorders>
            <w:shd w:val="clear" w:color="000000" w:fill="FFFFFF"/>
            <w:vAlign w:val="center"/>
          </w:tcPr>
          <w:p w14:paraId="15C1BE27">
            <w:pPr>
              <w:widowControl/>
              <w:ind w:firstLine="0" w:firstLineChars="0"/>
              <w:jc w:val="center"/>
              <w:rPr>
                <w:rFonts w:hint="eastAsia" w:ascii="宋体" w:hAnsi="宋体" w:eastAsia="宋体" w:cs="宋体"/>
                <w:color w:val="000000"/>
                <w:kern w:val="0"/>
                <w:sz w:val="22"/>
                <w:highlight w:val="yellow"/>
              </w:rPr>
            </w:pPr>
          </w:p>
        </w:tc>
        <w:tc>
          <w:tcPr>
            <w:tcW w:w="7341" w:type="dxa"/>
            <w:vMerge w:val="continue"/>
            <w:tcBorders>
              <w:tl2br w:val="nil"/>
              <w:tr2bl w:val="nil"/>
            </w:tcBorders>
            <w:shd w:val="clear" w:color="000000" w:fill="FFFFFF"/>
            <w:vAlign w:val="center"/>
          </w:tcPr>
          <w:p w14:paraId="549B7C64">
            <w:pPr>
              <w:widowControl/>
              <w:ind w:firstLine="0" w:firstLineChars="0"/>
              <w:jc w:val="center"/>
              <w:rPr>
                <w:rFonts w:hint="eastAsia" w:ascii="宋体" w:hAnsi="宋体" w:eastAsia="宋体" w:cs="宋体"/>
                <w:color w:val="000000"/>
                <w:kern w:val="0"/>
                <w:sz w:val="22"/>
                <w:highlight w:val="yellow"/>
              </w:rPr>
            </w:pPr>
          </w:p>
        </w:tc>
      </w:tr>
      <w:tr w14:paraId="55FADD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5B08CFA0">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14:paraId="2DB25F7D">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14:paraId="42AD93C5">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城北院区拨款金额</w:t>
            </w:r>
          </w:p>
        </w:tc>
        <w:tc>
          <w:tcPr>
            <w:tcW w:w="2789" w:type="dxa"/>
            <w:vMerge w:val="continue"/>
            <w:tcBorders>
              <w:tl2br w:val="nil"/>
              <w:tr2bl w:val="nil"/>
            </w:tcBorders>
            <w:shd w:val="clear" w:color="000000" w:fill="FFFFFF"/>
            <w:vAlign w:val="center"/>
          </w:tcPr>
          <w:p w14:paraId="0D74FCB5">
            <w:pPr>
              <w:widowControl/>
              <w:ind w:firstLine="0" w:firstLineChars="0"/>
              <w:jc w:val="center"/>
              <w:rPr>
                <w:rFonts w:hint="eastAsia" w:ascii="宋体" w:hAnsi="宋体" w:eastAsia="宋体" w:cs="宋体"/>
                <w:color w:val="000000"/>
                <w:kern w:val="0"/>
                <w:sz w:val="22"/>
                <w:highlight w:val="yellow"/>
              </w:rPr>
            </w:pPr>
          </w:p>
        </w:tc>
        <w:tc>
          <w:tcPr>
            <w:tcW w:w="7341" w:type="dxa"/>
            <w:vMerge w:val="continue"/>
            <w:tcBorders>
              <w:tl2br w:val="nil"/>
              <w:tr2bl w:val="nil"/>
            </w:tcBorders>
            <w:shd w:val="clear" w:color="000000" w:fill="FFFFFF"/>
            <w:vAlign w:val="center"/>
          </w:tcPr>
          <w:p w14:paraId="7F2D2E49">
            <w:pPr>
              <w:widowControl/>
              <w:ind w:firstLine="0" w:firstLineChars="0"/>
              <w:jc w:val="center"/>
              <w:rPr>
                <w:rFonts w:hint="eastAsia" w:ascii="宋体" w:hAnsi="宋体" w:eastAsia="宋体" w:cs="宋体"/>
                <w:color w:val="000000"/>
                <w:kern w:val="0"/>
                <w:sz w:val="22"/>
                <w:highlight w:val="yellow"/>
              </w:rPr>
            </w:pPr>
          </w:p>
        </w:tc>
      </w:tr>
      <w:tr w14:paraId="76A6A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22D2886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14:paraId="01C7704C">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14:paraId="5B2BD2C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减轻医疗机构垫付压力</w:t>
            </w:r>
          </w:p>
        </w:tc>
        <w:tc>
          <w:tcPr>
            <w:tcW w:w="2789" w:type="dxa"/>
            <w:tcBorders>
              <w:tl2br w:val="nil"/>
              <w:tr2bl w:val="nil"/>
            </w:tcBorders>
            <w:shd w:val="clear" w:color="auto" w:fill="FFFFFF"/>
            <w:vAlign w:val="center"/>
          </w:tcPr>
          <w:p w14:paraId="3B41D47E">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6781B91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7EBCA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273ADBE3">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14:paraId="18125C73">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14:paraId="1371581C">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无</w:t>
            </w:r>
          </w:p>
        </w:tc>
        <w:tc>
          <w:tcPr>
            <w:tcW w:w="2789" w:type="dxa"/>
            <w:tcBorders>
              <w:tl2br w:val="nil"/>
              <w:tr2bl w:val="nil"/>
            </w:tcBorders>
            <w:shd w:val="clear" w:color="000000" w:fill="FFFFFF"/>
            <w:vAlign w:val="center"/>
          </w:tcPr>
          <w:p w14:paraId="7E4DE3B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0D25D08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5A63A39A">
      <w:pPr>
        <w:ind w:firstLine="0" w:firstLineChars="0"/>
        <w:jc w:val="center"/>
        <w:rPr>
          <w:rFonts w:ascii="仿宋_GB2312"/>
        </w:rPr>
      </w:pPr>
    </w:p>
    <w:p w14:paraId="42239DDE">
      <w:pPr>
        <w:ind w:firstLine="0" w:firstLineChars="0"/>
        <w:jc w:val="center"/>
        <w:rPr>
          <w:rFonts w:ascii="仿宋_GB2312"/>
        </w:rPr>
      </w:pPr>
    </w:p>
    <w:p w14:paraId="2FB23265">
      <w:pPr>
        <w:ind w:firstLine="0" w:firstLineChars="0"/>
        <w:jc w:val="center"/>
        <w:rPr>
          <w:rFonts w:ascii="仿宋_GB2312"/>
        </w:rPr>
      </w:pPr>
    </w:p>
    <w:p w14:paraId="674E31B4">
      <w:pPr>
        <w:ind w:firstLine="0" w:firstLineChars="0"/>
        <w:jc w:val="center"/>
        <w:rPr>
          <w:rFonts w:ascii="仿宋_GB2312"/>
        </w:rPr>
      </w:pPr>
    </w:p>
    <w:p w14:paraId="499E7004">
      <w:pPr>
        <w:ind w:firstLine="0" w:firstLineChars="0"/>
        <w:jc w:val="center"/>
        <w:rPr>
          <w:rFonts w:ascii="仿宋_GB2312"/>
        </w:rPr>
      </w:pPr>
    </w:p>
    <w:p w14:paraId="3E65537A">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75857CF2">
      <w:pPr>
        <w:pStyle w:val="4"/>
        <w:ind w:firstLine="643"/>
      </w:pPr>
      <w:bookmarkStart w:id="22" w:name="_Toc165277234"/>
      <w:bookmarkStart w:id="23" w:name="_Hlk67586038"/>
      <w:r>
        <w:t>3.</w:t>
      </w:r>
      <w:r>
        <w:rPr>
          <w:rFonts w:hint="eastAsia"/>
        </w:rPr>
        <w:t>评价方法</w:t>
      </w:r>
      <w:bookmarkEnd w:id="22"/>
    </w:p>
    <w:bookmarkEnd w:id="23"/>
    <w:p w14:paraId="254C0155">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0A0B9B5B">
      <w:pPr>
        <w:spacing w:line="360" w:lineRule="auto"/>
        <w:ind w:firstLine="560"/>
        <w:rPr>
          <w:rFonts w:ascii="仿宋_GB2312"/>
        </w:rPr>
      </w:pPr>
      <w:r>
        <w:rPr>
          <w:rFonts w:hint="eastAsia" w:ascii="仿宋_GB2312"/>
        </w:rPr>
        <w:t>（1）成本效益分析法。是指将投入与产出、效益进行关联性分析的方法。</w:t>
      </w:r>
    </w:p>
    <w:p w14:paraId="7A539772">
      <w:pPr>
        <w:spacing w:line="360" w:lineRule="auto"/>
        <w:ind w:firstLine="560"/>
        <w:rPr>
          <w:rFonts w:ascii="仿宋_GB2312"/>
          <w:highlight w:val="none"/>
        </w:rPr>
      </w:pPr>
      <w:r>
        <w:rPr>
          <w:rFonts w:hint="eastAsia" w:ascii="仿宋_GB2312"/>
          <w:highlight w:val="none"/>
        </w:rPr>
        <w:t>（2）比较法。是指将实施情况与绩效目标、历史情况、不同部门和地区同类支出情况进行比较的方法。</w:t>
      </w:r>
    </w:p>
    <w:p w14:paraId="73E5E2C0">
      <w:pPr>
        <w:spacing w:line="360" w:lineRule="auto"/>
        <w:ind w:firstLine="560"/>
        <w:rPr>
          <w:rFonts w:ascii="仿宋_GB2312"/>
        </w:rPr>
      </w:pPr>
      <w:r>
        <w:rPr>
          <w:rFonts w:hint="eastAsia" w:ascii="仿宋_GB2312"/>
        </w:rPr>
        <w:t>（3）因素分析法。是指综合分析影响绩效目标实现、实施效果的内外部因素的方法。</w:t>
      </w:r>
    </w:p>
    <w:p w14:paraId="5538E725">
      <w:pPr>
        <w:spacing w:line="360" w:lineRule="auto"/>
        <w:ind w:firstLine="560"/>
        <w:rPr>
          <w:rFonts w:ascii="仿宋_GB2312"/>
        </w:rPr>
      </w:pPr>
      <w:r>
        <w:rPr>
          <w:rFonts w:hint="eastAsia" w:ascii="仿宋_GB2312"/>
        </w:rPr>
        <w:t>（4）最低成本法。是指在绩效目标确定的前提下，成本最小者为优的方法。</w:t>
      </w:r>
    </w:p>
    <w:p w14:paraId="030858FA">
      <w:pPr>
        <w:spacing w:line="360" w:lineRule="auto"/>
        <w:ind w:firstLine="560"/>
        <w:rPr>
          <w:rFonts w:ascii="仿宋_GB2312"/>
        </w:rPr>
      </w:pPr>
      <w:r>
        <w:rPr>
          <w:rFonts w:hint="eastAsia" w:ascii="仿宋_GB2312"/>
        </w:rPr>
        <w:t>（5）公众评判法。是指通过专家评估、公众问卷及抽样调查等方式进行评判的方法。</w:t>
      </w:r>
    </w:p>
    <w:p w14:paraId="724A1CD3">
      <w:pPr>
        <w:spacing w:line="360" w:lineRule="auto"/>
        <w:ind w:firstLine="560"/>
        <w:rPr>
          <w:rFonts w:ascii="仿宋_GB2312"/>
        </w:rPr>
      </w:pPr>
      <w:r>
        <w:rPr>
          <w:rFonts w:hint="eastAsia" w:ascii="仿宋_GB2312"/>
        </w:rPr>
        <w:t>（6）标杆管理法。是指以国内外同行业中较高的绩效水平为标杆进行评判的方法。</w:t>
      </w:r>
    </w:p>
    <w:p w14:paraId="0BBBC438">
      <w:pPr>
        <w:spacing w:line="360" w:lineRule="auto"/>
        <w:ind w:firstLine="560"/>
        <w:rPr>
          <w:rFonts w:ascii="仿宋_GB2312"/>
        </w:rPr>
      </w:pPr>
      <w:r>
        <w:rPr>
          <w:rFonts w:hint="eastAsia" w:ascii="仿宋_GB2312"/>
        </w:rPr>
        <w:t>（7）其他评价方法。</w:t>
      </w:r>
    </w:p>
    <w:p w14:paraId="44FD3C17">
      <w:pPr>
        <w:spacing w:line="360" w:lineRule="auto"/>
        <w:ind w:firstLine="560"/>
        <w:rPr>
          <w:rFonts w:ascii="仿宋_GB2312"/>
        </w:rPr>
      </w:pPr>
      <w:r>
        <w:rPr>
          <w:rFonts w:hint="eastAsia" w:ascii="仿宋_GB2312"/>
        </w:rPr>
        <w:t>根据本项目（</w:t>
      </w:r>
      <w:r>
        <w:rPr>
          <w:rFonts w:hint="eastAsia" w:ascii="仿宋_GB2312"/>
          <w:lang w:eastAsia="zh-CN"/>
        </w:rPr>
        <w:t>《关于预拨新冠患者救治费用中央财政补助资金预算的通知》(乌财社〔2023〕117号)</w:t>
      </w:r>
      <w:r>
        <w:rPr>
          <w:rFonts w:hint="eastAsia" w:ascii="仿宋_GB2312"/>
        </w:rPr>
        <w:t>）的特点，本次评价主要采用</w:t>
      </w:r>
      <w:r>
        <w:rPr>
          <w:rFonts w:hint="eastAsia" w:ascii="仿宋_GB2312"/>
          <w:lang w:val="en-US" w:eastAsia="zh-CN"/>
        </w:rPr>
        <w:t>比较法</w:t>
      </w:r>
      <w:r>
        <w:rPr>
          <w:rFonts w:hint="eastAsia" w:ascii="仿宋_GB2312"/>
        </w:rPr>
        <w:t>，对项目总预算和明细预算的内容、标准、计划是否经济合理进行深入分析，以考察实际产出和效益是否达到预期。</w:t>
      </w:r>
    </w:p>
    <w:p w14:paraId="60B99DF5">
      <w:pPr>
        <w:pStyle w:val="4"/>
        <w:ind w:firstLine="643"/>
      </w:pPr>
      <w:bookmarkStart w:id="24" w:name="_Toc165277235"/>
      <w:r>
        <w:t>4.</w:t>
      </w:r>
      <w:r>
        <w:rPr>
          <w:rFonts w:hint="eastAsia"/>
        </w:rPr>
        <w:t>评价标准</w:t>
      </w:r>
      <w:bookmarkEnd w:id="24"/>
    </w:p>
    <w:p w14:paraId="3D058ED7">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194596A4">
      <w:pPr>
        <w:spacing w:line="360" w:lineRule="auto"/>
        <w:ind w:firstLine="560"/>
        <w:rPr>
          <w:rFonts w:ascii="仿宋_GB2312"/>
        </w:rPr>
      </w:pPr>
      <w:r>
        <w:rPr>
          <w:rFonts w:hint="eastAsia" w:ascii="仿宋_GB2312"/>
        </w:rPr>
        <w:t>（1）计划标准。指以预先制定的目标、计划、预算、定额等作为评价标准。</w:t>
      </w:r>
    </w:p>
    <w:p w14:paraId="1DB0BE76">
      <w:pPr>
        <w:spacing w:line="360" w:lineRule="auto"/>
        <w:ind w:firstLine="560"/>
        <w:rPr>
          <w:rFonts w:ascii="仿宋_GB2312"/>
        </w:rPr>
      </w:pPr>
      <w:r>
        <w:rPr>
          <w:rFonts w:hint="eastAsia" w:ascii="仿宋_GB2312"/>
        </w:rPr>
        <w:t>（2）行业标准。指参照国家公布的行业指标数据制定的评价标准。</w:t>
      </w:r>
    </w:p>
    <w:p w14:paraId="6BDE1DEA">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40DCFC74">
      <w:pPr>
        <w:spacing w:line="360" w:lineRule="auto"/>
        <w:ind w:firstLine="560"/>
        <w:rPr>
          <w:rFonts w:ascii="仿宋_GB2312"/>
        </w:rPr>
      </w:pPr>
      <w:r>
        <w:rPr>
          <w:rFonts w:hint="eastAsia" w:ascii="仿宋_GB2312"/>
        </w:rPr>
        <w:t>在上述评价标准的基础上，本次评价依据以下文件为重要指导和准绳：</w:t>
      </w:r>
    </w:p>
    <w:p w14:paraId="0D0473D0">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0547CF36">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05334EF6">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315D9ADA">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79A4BBCF">
      <w:pPr>
        <w:spacing w:line="360" w:lineRule="auto"/>
        <w:ind w:firstLine="560"/>
        <w:rPr>
          <w:rFonts w:hint="eastAsia" w:ascii="黑体" w:hAnsi="黑体" w:eastAsia="黑体" w:cs="Times New Roman"/>
          <w:szCs w:val="28"/>
        </w:rPr>
      </w:pPr>
      <w:r>
        <w:rPr>
          <w:rStyle w:val="19"/>
          <w:rFonts w:hint="eastAsia"/>
          <w:lang w:val="en-US" w:eastAsia="zh-CN"/>
        </w:rPr>
        <w:t xml:space="preserve"> </w:t>
      </w:r>
      <w:r>
        <w:rPr>
          <w:rFonts w:hint="eastAsia" w:ascii="黑体" w:hAnsi="黑体" w:eastAsia="黑体" w:cs="Times New Roman"/>
          <w:szCs w:val="28"/>
        </w:rPr>
        <w:t>·</w:t>
      </w:r>
      <w:r>
        <w:rPr>
          <w:rFonts w:hint="eastAsia" w:ascii="仿宋_GB2312"/>
          <w:lang w:eastAsia="zh-CN"/>
        </w:rPr>
        <w:t>《关于预拨新冠患者救治费用中央财政补助资金预算的通知》(乌财社〔2023〕117号)</w:t>
      </w:r>
    </w:p>
    <w:p w14:paraId="5C74EFDF">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《关于预拨新冠患者救治费用中央财政补助资金的通知》(新财社〔2023〕44号)</w:t>
      </w:r>
    </w:p>
    <w:p w14:paraId="64DAC23F">
      <w:pPr>
        <w:spacing w:line="360" w:lineRule="auto"/>
        <w:ind w:firstLine="560"/>
        <w:rPr>
          <w:rFonts w:ascii="仿宋_GB2312"/>
        </w:rPr>
      </w:pPr>
      <w:r>
        <w:rPr>
          <w:rFonts w:hint="eastAsia" w:ascii="黑体" w:hAnsi="黑体" w:eastAsia="黑体" w:cs="Times New Roman"/>
          <w:szCs w:val="28"/>
        </w:rPr>
        <w:t>·</w:t>
      </w:r>
      <w:r>
        <w:rPr>
          <w:rFonts w:hint="eastAsia" w:ascii="仿宋_GB2312"/>
        </w:rPr>
        <w:t>《乌鲁木齐市财政专项资金使用跟踪反馈管理暂行办法》(</w:t>
      </w:r>
      <w:r>
        <w:rPr>
          <w:rFonts w:hint="eastAsia" w:ascii="仿宋_GB2312"/>
          <w:lang w:eastAsia="zh-CN"/>
        </w:rPr>
        <w:t>乌</w:t>
      </w:r>
      <w:r>
        <w:rPr>
          <w:rFonts w:hint="eastAsia" w:ascii="仿宋_GB2312"/>
        </w:rPr>
        <w:t>财预〔2018〕41号)</w:t>
      </w:r>
    </w:p>
    <w:p w14:paraId="6C4ED062">
      <w:pPr>
        <w:pStyle w:val="3"/>
        <w:ind w:firstLine="643"/>
        <w:rPr>
          <w:rFonts w:ascii="仿宋" w:hAnsi="仿宋" w:eastAsia="仿宋"/>
          <w:lang w:bidi="en-US"/>
        </w:rPr>
      </w:pPr>
      <w:bookmarkStart w:id="25" w:name="_Toc165277236"/>
      <w:bookmarkStart w:id="26" w:name="_Toc67911607"/>
      <w:r>
        <w:rPr>
          <w:rFonts w:hint="eastAsia" w:ascii="仿宋" w:hAnsi="仿宋" w:eastAsia="仿宋"/>
          <w:lang w:bidi="en-US"/>
        </w:rPr>
        <w:t>（三）绩效评价工作过程</w:t>
      </w:r>
      <w:bookmarkEnd w:id="25"/>
      <w:bookmarkEnd w:id="26"/>
    </w:p>
    <w:p w14:paraId="7BAD651D">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仿宋_GB2312"/>
        </w:rPr>
        <w:footnoteReference w:id="0"/>
      </w:r>
      <w:r>
        <w:rPr>
          <w:rFonts w:hint="eastAsia" w:ascii="仿宋_GB2312"/>
        </w:rPr>
        <w:t>、材料审核分析、现场核查评价、综合分析评价及报告撰写，评价项目实施情况，展现资金使用效益。</w:t>
      </w:r>
    </w:p>
    <w:p w14:paraId="1FE5F852">
      <w:pPr>
        <w:pStyle w:val="2"/>
        <w:ind w:firstLine="0" w:firstLineChars="0"/>
        <w:jc w:val="left"/>
        <w:rPr>
          <w:rFonts w:ascii="仿宋" w:hAnsi="仿宋" w:eastAsia="仿宋"/>
          <w:sz w:val="36"/>
          <w:szCs w:val="36"/>
          <w:lang w:bidi="en-US"/>
        </w:rPr>
      </w:pPr>
      <w:bookmarkStart w:id="27" w:name="_Toc165277237"/>
      <w:bookmarkStart w:id="28" w:name="_Toc67911608"/>
      <w:r>
        <w:rPr>
          <w:rFonts w:hint="eastAsia" w:ascii="仿宋" w:hAnsi="仿宋" w:eastAsia="仿宋"/>
          <w:sz w:val="36"/>
          <w:szCs w:val="36"/>
          <w:lang w:bidi="en-US"/>
        </w:rPr>
        <w:t>三、综合评价情况及评价结论</w:t>
      </w:r>
      <w:bookmarkEnd w:id="27"/>
      <w:bookmarkEnd w:id="28"/>
    </w:p>
    <w:p w14:paraId="50BF092D">
      <w:pPr>
        <w:pStyle w:val="3"/>
        <w:ind w:firstLine="643"/>
        <w:rPr>
          <w:rFonts w:ascii="仿宋" w:hAnsi="仿宋" w:eastAsia="仿宋"/>
          <w:lang w:bidi="en-US"/>
        </w:rPr>
      </w:pPr>
      <w:bookmarkStart w:id="29" w:name="_Toc165277238"/>
      <w:bookmarkStart w:id="30" w:name="_Toc67911609"/>
      <w:r>
        <w:rPr>
          <w:rFonts w:hint="eastAsia" w:ascii="仿宋" w:hAnsi="仿宋" w:eastAsia="仿宋"/>
          <w:lang w:bidi="en-US"/>
        </w:rPr>
        <w:t>（一）评价结论</w:t>
      </w:r>
      <w:bookmarkEnd w:id="29"/>
      <w:bookmarkEnd w:id="30"/>
    </w:p>
    <w:p w14:paraId="32F149F6">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结合项目特点，制定符合项目实际的绩效评价指标体系及评分标准，通过数据采集、问卷调查及访谈等形式，对2024年</w:t>
      </w:r>
      <w:r>
        <w:rPr>
          <w:rFonts w:hint="eastAsia" w:ascii="仿宋_GB2312"/>
          <w:lang w:eastAsia="zh-CN"/>
        </w:rPr>
        <w:t>《关于预拨新冠患者救治费用中央财政补助资金预算的通知》(乌财社〔2023〕117号)</w:t>
      </w:r>
      <w:r>
        <w:rPr>
          <w:rFonts w:hint="eastAsia" w:ascii="仿宋_GB2312"/>
          <w:szCs w:val="28"/>
        </w:rPr>
        <w:t>进行客观评价，最终评分结果为：总分为</w:t>
      </w:r>
      <w:r>
        <w:rPr>
          <w:rFonts w:hint="eastAsia" w:ascii="仿宋_GB2312"/>
          <w:szCs w:val="28"/>
          <w:lang w:val="en-US" w:eastAsia="zh-CN"/>
        </w:rPr>
        <w:t>100</w:t>
      </w:r>
      <w:r>
        <w:rPr>
          <w:rFonts w:hint="eastAsia" w:ascii="仿宋_GB2312"/>
          <w:szCs w:val="28"/>
        </w:rPr>
        <w:t>分，绩效评级为“</w:t>
      </w:r>
      <w:r>
        <w:rPr>
          <w:rFonts w:hint="eastAsia" w:ascii="仿宋_GB2312"/>
          <w:szCs w:val="28"/>
          <w:lang w:val="en-US" w:eastAsia="zh-CN"/>
        </w:rPr>
        <w:t>优</w:t>
      </w:r>
      <w:r>
        <w:rPr>
          <w:rFonts w:hint="eastAsia" w:ascii="仿宋_GB2312"/>
          <w:szCs w:val="28"/>
        </w:rPr>
        <w:t>”</w:t>
      </w:r>
      <w:r>
        <w:rPr>
          <w:rStyle w:val="20"/>
          <w:rFonts w:ascii="仿宋_GB2312"/>
          <w:szCs w:val="28"/>
        </w:rPr>
        <w:footnoteReference w:id="1"/>
      </w:r>
      <w:r>
        <w:rPr>
          <w:rFonts w:hint="eastAsia" w:ascii="仿宋_GB2312"/>
          <w:szCs w:val="28"/>
        </w:rPr>
        <w:t>。</w:t>
      </w:r>
    </w:p>
    <w:p w14:paraId="4F23C08B">
      <w:pPr>
        <w:spacing w:line="360" w:lineRule="auto"/>
        <w:ind w:firstLine="560"/>
        <w:rPr>
          <w:rFonts w:ascii="仿宋_GB2312"/>
          <w:szCs w:val="28"/>
          <w:highlight w:val="none"/>
        </w:rPr>
      </w:pPr>
      <w:r>
        <w:rPr>
          <w:rFonts w:hint="eastAsia" w:ascii="仿宋_GB2312"/>
          <w:lang w:eastAsia="zh-CN"/>
        </w:rPr>
        <w:t>《关于预拨新冠患者救治费用中央财政补助资金预算的通知》(乌财社〔2023〕117号)</w:t>
      </w:r>
      <w:r>
        <w:rPr>
          <w:rFonts w:hint="eastAsia" w:ascii="仿宋_GB2312"/>
          <w:szCs w:val="28"/>
          <w:highlight w:val="none"/>
        </w:rPr>
        <w:t>项目各部分权重和绩效分值如附表所示：</w:t>
      </w:r>
    </w:p>
    <w:p w14:paraId="45E4AD1B">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136EA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14:paraId="68338A90">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14:paraId="1C579DB7">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14:paraId="684A426E">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14:paraId="03E364B5">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14:paraId="459B3910">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14:paraId="7A185B2C">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6C7C66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4C5E2BD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53C5858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22C7A0B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5F6C8F9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62CCDC1B">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6824F29D">
            <w:pPr>
              <w:widowControl/>
              <w:ind w:firstLine="0" w:firstLineChars="0"/>
              <w:jc w:val="center"/>
              <w:rPr>
                <w:rFonts w:ascii="仿宋_GB2312" w:hAnsi="宋体" w:cs="宋体"/>
                <w:kern w:val="0"/>
                <w:sz w:val="24"/>
                <w:szCs w:val="24"/>
              </w:rPr>
            </w:pPr>
          </w:p>
        </w:tc>
      </w:tr>
      <w:tr w14:paraId="7E7D7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B64B619">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1AADD22">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4483C4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723D5F8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3785F7C3">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14:paraId="297EBF4B">
            <w:pPr>
              <w:widowControl/>
              <w:ind w:firstLine="0" w:firstLineChars="0"/>
              <w:jc w:val="center"/>
              <w:rPr>
                <w:rFonts w:ascii="仿宋_GB2312" w:hAnsi="宋体" w:cs="宋体"/>
                <w:kern w:val="0"/>
                <w:sz w:val="24"/>
                <w:szCs w:val="24"/>
              </w:rPr>
            </w:pPr>
          </w:p>
        </w:tc>
      </w:tr>
      <w:tr w14:paraId="2BCFEF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E40157C">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6B850924">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02A462F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7774B0C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52AEE4D0">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1A8CEF95">
            <w:pPr>
              <w:widowControl/>
              <w:ind w:firstLine="0" w:firstLineChars="0"/>
              <w:jc w:val="center"/>
              <w:rPr>
                <w:rFonts w:ascii="仿宋_GB2312" w:hAnsi="宋体" w:cs="宋体"/>
                <w:kern w:val="0"/>
                <w:sz w:val="24"/>
                <w:szCs w:val="24"/>
              </w:rPr>
            </w:pPr>
          </w:p>
        </w:tc>
      </w:tr>
      <w:tr w14:paraId="133D2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32FB961">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8E7AEA2">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2A839A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0AB9210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7B34BD18">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3147315B">
            <w:pPr>
              <w:widowControl/>
              <w:ind w:firstLine="0" w:firstLineChars="0"/>
              <w:jc w:val="center"/>
              <w:rPr>
                <w:rFonts w:ascii="仿宋_GB2312" w:hAnsi="宋体" w:cs="宋体"/>
                <w:kern w:val="0"/>
                <w:sz w:val="24"/>
                <w:szCs w:val="24"/>
              </w:rPr>
            </w:pPr>
          </w:p>
        </w:tc>
      </w:tr>
      <w:tr w14:paraId="7C9B4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CF8FFE4">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6350F3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364DEAD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6637E46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0941D4CE">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3D8D9BB5">
            <w:pPr>
              <w:widowControl/>
              <w:ind w:firstLine="0" w:firstLineChars="0"/>
              <w:jc w:val="center"/>
              <w:rPr>
                <w:rFonts w:ascii="仿宋_GB2312" w:hAnsi="宋体" w:cs="宋体"/>
                <w:kern w:val="0"/>
                <w:sz w:val="24"/>
                <w:szCs w:val="24"/>
              </w:rPr>
            </w:pPr>
          </w:p>
        </w:tc>
      </w:tr>
      <w:tr w14:paraId="283CB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B7669D0">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8C639D6">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193EF81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1FC07B4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3645FC01">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14:paraId="35E18875">
            <w:pPr>
              <w:widowControl/>
              <w:ind w:firstLine="0" w:firstLineChars="0"/>
              <w:jc w:val="center"/>
              <w:rPr>
                <w:rFonts w:ascii="仿宋_GB2312" w:hAnsi="宋体" w:cs="宋体"/>
                <w:kern w:val="0"/>
                <w:sz w:val="24"/>
                <w:szCs w:val="24"/>
              </w:rPr>
            </w:pPr>
          </w:p>
        </w:tc>
      </w:tr>
      <w:tr w14:paraId="6A6B3F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3D79572B">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7311EE7A">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11F6A0B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3D7FDFE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6DBD5178">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14:paraId="12EB5D69">
            <w:pPr>
              <w:widowControl/>
              <w:ind w:firstLine="0" w:firstLineChars="0"/>
              <w:rPr>
                <w:rFonts w:ascii="仿宋_GB2312" w:hAnsi="宋体" w:cs="宋体"/>
                <w:kern w:val="0"/>
                <w:sz w:val="24"/>
                <w:szCs w:val="24"/>
              </w:rPr>
            </w:pPr>
          </w:p>
        </w:tc>
      </w:tr>
      <w:tr w14:paraId="599D72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F707189">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7C072A9">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CFB615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52D2E77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00062FAD">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14:paraId="085FADDB">
            <w:pPr>
              <w:widowControl/>
              <w:ind w:firstLine="0" w:firstLineChars="0"/>
              <w:jc w:val="center"/>
              <w:rPr>
                <w:rFonts w:ascii="仿宋_GB2312" w:hAnsi="宋体" w:cs="宋体"/>
                <w:kern w:val="0"/>
                <w:sz w:val="24"/>
                <w:szCs w:val="24"/>
              </w:rPr>
            </w:pPr>
          </w:p>
        </w:tc>
      </w:tr>
      <w:tr w14:paraId="765F9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6D695D6">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13EDB20">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B416F2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2852DC6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0DDF1B97">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4332291A">
            <w:pPr>
              <w:widowControl/>
              <w:ind w:firstLine="0" w:firstLineChars="0"/>
              <w:jc w:val="center"/>
              <w:rPr>
                <w:rFonts w:ascii="仿宋_GB2312" w:hAnsi="宋体" w:cs="宋体"/>
                <w:kern w:val="0"/>
                <w:sz w:val="24"/>
                <w:szCs w:val="24"/>
              </w:rPr>
            </w:pPr>
          </w:p>
        </w:tc>
      </w:tr>
      <w:tr w14:paraId="32931C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CE0E531">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3400E13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1B72B79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1AF9D3F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7D45F987">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0082BCD6">
            <w:pPr>
              <w:widowControl/>
              <w:ind w:firstLine="0" w:firstLineChars="0"/>
              <w:jc w:val="center"/>
              <w:rPr>
                <w:rFonts w:ascii="仿宋_GB2312" w:hAnsi="宋体" w:cs="宋体"/>
                <w:kern w:val="0"/>
                <w:sz w:val="24"/>
                <w:szCs w:val="24"/>
              </w:rPr>
            </w:pPr>
          </w:p>
        </w:tc>
      </w:tr>
      <w:tr w14:paraId="61483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0C8CED7">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2B3FC4A">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290112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2BEE175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68019A0D">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14:paraId="207FC8D4">
            <w:pPr>
              <w:widowControl/>
              <w:ind w:firstLine="0" w:firstLineChars="0"/>
              <w:jc w:val="center"/>
              <w:rPr>
                <w:rFonts w:ascii="仿宋_GB2312" w:hAnsi="宋体" w:cs="宋体"/>
                <w:kern w:val="0"/>
                <w:sz w:val="24"/>
                <w:szCs w:val="24"/>
              </w:rPr>
            </w:pPr>
          </w:p>
        </w:tc>
      </w:tr>
      <w:tr w14:paraId="60F217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2AF026F5">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w:t>
            </w:r>
          </w:p>
        </w:tc>
        <w:tc>
          <w:tcPr>
            <w:tcW w:w="1984" w:type="dxa"/>
            <w:tcBorders>
              <w:tl2br w:val="nil"/>
              <w:tr2bl w:val="nil"/>
            </w:tcBorders>
            <w:shd w:val="clear" w:color="auto" w:fill="FFFFFF"/>
            <w:vAlign w:val="center"/>
          </w:tcPr>
          <w:p w14:paraId="5A13603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tcPr>
          <w:p w14:paraId="345E13D0">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宋体" w:hAnsi="宋体" w:eastAsia="宋体" w:cs="宋体"/>
                <w:color w:val="000000"/>
                <w:kern w:val="0"/>
                <w:sz w:val="22"/>
                <w:highlight w:val="none"/>
                <w:lang w:val="en-US" w:eastAsia="zh-CN"/>
              </w:rPr>
              <w:t>患者人数</w:t>
            </w:r>
          </w:p>
        </w:tc>
        <w:tc>
          <w:tcPr>
            <w:tcW w:w="898" w:type="dxa"/>
            <w:tcBorders>
              <w:tl2br w:val="nil"/>
              <w:tr2bl w:val="nil"/>
            </w:tcBorders>
            <w:shd w:val="clear" w:color="000000" w:fill="FFFFFF"/>
            <w:vAlign w:val="center"/>
          </w:tcPr>
          <w:p w14:paraId="182AEE81">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14:paraId="420C7978">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14:paraId="739CC9AE">
            <w:pPr>
              <w:widowControl/>
              <w:ind w:firstLine="0" w:firstLineChars="0"/>
              <w:jc w:val="center"/>
              <w:rPr>
                <w:rFonts w:ascii="仿宋_GB2312" w:hAnsi="宋体" w:cs="宋体"/>
                <w:kern w:val="0"/>
                <w:sz w:val="24"/>
                <w:szCs w:val="24"/>
                <w:highlight w:val="none"/>
              </w:rPr>
            </w:pPr>
          </w:p>
        </w:tc>
      </w:tr>
      <w:tr w14:paraId="0AE07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2744E1F">
            <w:pPr>
              <w:widowControl/>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14:paraId="02E5C5BF">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产出质量</w:t>
            </w:r>
          </w:p>
        </w:tc>
        <w:tc>
          <w:tcPr>
            <w:tcW w:w="2693" w:type="dxa"/>
            <w:tcBorders>
              <w:tl2br w:val="nil"/>
              <w:tr2bl w:val="nil"/>
            </w:tcBorders>
            <w:shd w:val="clear" w:color="auto" w:fill="FFFFFF"/>
            <w:vAlign w:val="center"/>
          </w:tcPr>
          <w:p w14:paraId="43DFD2A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补助发放准确率（%）</w:t>
            </w:r>
          </w:p>
        </w:tc>
        <w:tc>
          <w:tcPr>
            <w:tcW w:w="898" w:type="dxa"/>
            <w:tcBorders>
              <w:tl2br w:val="nil"/>
              <w:tr2bl w:val="nil"/>
            </w:tcBorders>
            <w:shd w:val="clear" w:color="000000" w:fill="FFFFFF"/>
            <w:vAlign w:val="center"/>
          </w:tcPr>
          <w:p w14:paraId="7CA044B3">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w:t>
            </w:r>
          </w:p>
        </w:tc>
        <w:tc>
          <w:tcPr>
            <w:tcW w:w="898" w:type="dxa"/>
            <w:tcBorders>
              <w:tl2br w:val="nil"/>
              <w:tr2bl w:val="nil"/>
            </w:tcBorders>
            <w:shd w:val="clear" w:color="000000" w:fill="FFFFFF"/>
            <w:vAlign w:val="center"/>
          </w:tcPr>
          <w:p w14:paraId="2B78928C">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14:paraId="4B9AC0BA">
            <w:pPr>
              <w:widowControl/>
              <w:ind w:firstLine="0" w:firstLineChars="0"/>
              <w:jc w:val="center"/>
              <w:rPr>
                <w:rFonts w:ascii="仿宋_GB2312" w:hAnsi="宋体" w:cs="宋体"/>
                <w:kern w:val="0"/>
                <w:sz w:val="24"/>
                <w:szCs w:val="24"/>
                <w:highlight w:val="none"/>
              </w:rPr>
            </w:pPr>
          </w:p>
        </w:tc>
      </w:tr>
      <w:tr w14:paraId="2E6BCB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615F1A26">
            <w:pPr>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14:paraId="187B1BFE">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14:paraId="45EDA03C">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补助发放及时率（%）</w:t>
            </w:r>
          </w:p>
        </w:tc>
        <w:tc>
          <w:tcPr>
            <w:tcW w:w="898" w:type="dxa"/>
            <w:tcBorders>
              <w:tl2br w:val="nil"/>
              <w:tr2bl w:val="nil"/>
            </w:tcBorders>
            <w:shd w:val="clear" w:color="000000" w:fill="FFFFFF"/>
            <w:vAlign w:val="center"/>
          </w:tcPr>
          <w:p w14:paraId="48290A25">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14:paraId="6976F9F1">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14:paraId="145F7DDA">
            <w:pPr>
              <w:widowControl/>
              <w:ind w:firstLine="0" w:firstLineChars="0"/>
              <w:jc w:val="center"/>
              <w:rPr>
                <w:rFonts w:ascii="仿宋_GB2312" w:hAnsi="宋体" w:cs="宋体"/>
                <w:kern w:val="0"/>
                <w:sz w:val="24"/>
                <w:szCs w:val="24"/>
                <w:highlight w:val="none"/>
              </w:rPr>
            </w:pPr>
          </w:p>
        </w:tc>
      </w:tr>
      <w:tr w14:paraId="3F744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7878DBE9">
            <w:pPr>
              <w:widowControl/>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14:paraId="4F9978CC">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产出成本</w:t>
            </w:r>
          </w:p>
        </w:tc>
        <w:tc>
          <w:tcPr>
            <w:tcW w:w="2693" w:type="dxa"/>
            <w:tcBorders>
              <w:tl2br w:val="nil"/>
              <w:tr2bl w:val="nil"/>
            </w:tcBorders>
            <w:shd w:val="clear" w:color="auto" w:fill="FFFFFF"/>
            <w:vAlign w:val="center"/>
          </w:tcPr>
          <w:p w14:paraId="4DBC0D64">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rPr>
              <w:t>铁路局院区拨款金额</w:t>
            </w:r>
          </w:p>
        </w:tc>
        <w:tc>
          <w:tcPr>
            <w:tcW w:w="898" w:type="dxa"/>
            <w:tcBorders>
              <w:tl2br w:val="nil"/>
              <w:tr2bl w:val="nil"/>
            </w:tcBorders>
            <w:shd w:val="clear" w:color="000000" w:fill="FFFFFF"/>
            <w:vAlign w:val="center"/>
          </w:tcPr>
          <w:p w14:paraId="425A82A8">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仿宋_GB2312" w:hAnsi="宋体" w:cs="宋体"/>
                <w:kern w:val="0"/>
                <w:sz w:val="24"/>
                <w:szCs w:val="24"/>
                <w:highlight w:val="none"/>
                <w:lang w:val="en-US" w:eastAsia="zh-CN"/>
              </w:rPr>
              <w:t>3</w:t>
            </w:r>
          </w:p>
        </w:tc>
        <w:tc>
          <w:tcPr>
            <w:tcW w:w="898" w:type="dxa"/>
            <w:tcBorders>
              <w:tl2br w:val="nil"/>
              <w:tr2bl w:val="nil"/>
            </w:tcBorders>
            <w:shd w:val="clear" w:color="000000" w:fill="FFFFFF"/>
            <w:vAlign w:val="center"/>
          </w:tcPr>
          <w:p w14:paraId="25532BE4">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3</w:t>
            </w:r>
          </w:p>
        </w:tc>
        <w:tc>
          <w:tcPr>
            <w:tcW w:w="1039" w:type="dxa"/>
            <w:vMerge w:val="restart"/>
            <w:tcBorders>
              <w:tl2br w:val="nil"/>
              <w:tr2bl w:val="nil"/>
            </w:tcBorders>
            <w:shd w:val="clear" w:color="000000" w:fill="FFFFFF"/>
            <w:vAlign w:val="center"/>
          </w:tcPr>
          <w:p w14:paraId="02C7A0E6">
            <w:pPr>
              <w:widowControl/>
              <w:ind w:firstLine="0" w:firstLineChars="0"/>
              <w:jc w:val="center"/>
              <w:rPr>
                <w:rFonts w:ascii="仿宋_GB2312" w:hAnsi="宋体" w:cs="宋体"/>
                <w:kern w:val="0"/>
                <w:sz w:val="24"/>
                <w:szCs w:val="24"/>
                <w:highlight w:val="none"/>
              </w:rPr>
            </w:pPr>
          </w:p>
        </w:tc>
      </w:tr>
      <w:tr w14:paraId="5C85C8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05879C02">
            <w:pPr>
              <w:widowControl/>
              <w:ind w:firstLine="0" w:firstLineChars="0"/>
              <w:jc w:val="center"/>
              <w:rPr>
                <w:highlight w:val="none"/>
              </w:rPr>
            </w:pPr>
          </w:p>
        </w:tc>
        <w:tc>
          <w:tcPr>
            <w:tcW w:w="1984" w:type="dxa"/>
            <w:vMerge w:val="continue"/>
            <w:tcBorders>
              <w:tl2br w:val="nil"/>
              <w:tr2bl w:val="nil"/>
            </w:tcBorders>
            <w:shd w:val="clear" w:color="auto" w:fill="FFFFFF"/>
            <w:vAlign w:val="center"/>
          </w:tcPr>
          <w:p w14:paraId="486DD1AB">
            <w:pPr>
              <w:widowControl/>
              <w:ind w:firstLine="0" w:firstLineChars="0"/>
              <w:jc w:val="center"/>
              <w:rPr>
                <w:highlight w:val="none"/>
              </w:rPr>
            </w:pPr>
          </w:p>
        </w:tc>
        <w:tc>
          <w:tcPr>
            <w:tcW w:w="2693" w:type="dxa"/>
            <w:tcBorders>
              <w:tl2br w:val="nil"/>
              <w:tr2bl w:val="nil"/>
            </w:tcBorders>
            <w:shd w:val="clear" w:color="auto" w:fill="FFFFFF"/>
            <w:vAlign w:val="center"/>
          </w:tcPr>
          <w:p w14:paraId="221BE654">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rPr>
              <w:t>北门院区拨款金额</w:t>
            </w:r>
          </w:p>
        </w:tc>
        <w:tc>
          <w:tcPr>
            <w:tcW w:w="898" w:type="dxa"/>
            <w:tcBorders>
              <w:tl2br w:val="nil"/>
              <w:tr2bl w:val="nil"/>
            </w:tcBorders>
            <w:shd w:val="clear" w:color="000000" w:fill="FFFFFF"/>
            <w:vAlign w:val="center"/>
          </w:tcPr>
          <w:p w14:paraId="3C9AE5E1">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3</w:t>
            </w:r>
          </w:p>
        </w:tc>
        <w:tc>
          <w:tcPr>
            <w:tcW w:w="898" w:type="dxa"/>
            <w:tcBorders>
              <w:tl2br w:val="nil"/>
              <w:tr2bl w:val="nil"/>
            </w:tcBorders>
            <w:shd w:val="clear" w:color="000000" w:fill="FFFFFF"/>
            <w:vAlign w:val="center"/>
          </w:tcPr>
          <w:p w14:paraId="095AFA1E">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3</w:t>
            </w:r>
          </w:p>
        </w:tc>
        <w:tc>
          <w:tcPr>
            <w:tcW w:w="1039" w:type="dxa"/>
            <w:vMerge w:val="continue"/>
            <w:tcBorders>
              <w:tl2br w:val="nil"/>
              <w:tr2bl w:val="nil"/>
            </w:tcBorders>
            <w:shd w:val="clear" w:color="000000" w:fill="FFFFFF"/>
            <w:vAlign w:val="center"/>
          </w:tcPr>
          <w:p w14:paraId="64F0C89A">
            <w:pPr>
              <w:widowControl/>
              <w:ind w:firstLine="0" w:firstLineChars="0"/>
              <w:jc w:val="center"/>
              <w:rPr>
                <w:rFonts w:hint="eastAsia" w:ascii="宋体" w:hAnsi="宋体" w:eastAsia="宋体" w:cs="宋体"/>
                <w:color w:val="000000"/>
                <w:kern w:val="0"/>
                <w:sz w:val="22"/>
                <w:highlight w:val="none"/>
              </w:rPr>
            </w:pPr>
          </w:p>
        </w:tc>
      </w:tr>
      <w:tr w14:paraId="7C04F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118C9487">
            <w:pPr>
              <w:widowControl/>
              <w:ind w:firstLine="0" w:firstLineChars="0"/>
              <w:jc w:val="center"/>
              <w:rPr>
                <w:rFonts w:hint="eastAsia"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14:paraId="1D314898">
            <w:pPr>
              <w:widowControl/>
              <w:ind w:firstLine="0" w:firstLineChars="0"/>
              <w:jc w:val="center"/>
              <w:rPr>
                <w:rFonts w:hint="eastAsia"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14:paraId="00899A66">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rPr>
              <w:t>城北院区拨款金额</w:t>
            </w:r>
          </w:p>
        </w:tc>
        <w:tc>
          <w:tcPr>
            <w:tcW w:w="898" w:type="dxa"/>
            <w:tcBorders>
              <w:tl2br w:val="nil"/>
              <w:tr2bl w:val="nil"/>
            </w:tcBorders>
            <w:shd w:val="clear" w:color="000000" w:fill="FFFFFF"/>
            <w:vAlign w:val="center"/>
          </w:tcPr>
          <w:p w14:paraId="6D3AD305">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4</w:t>
            </w:r>
          </w:p>
        </w:tc>
        <w:tc>
          <w:tcPr>
            <w:tcW w:w="898" w:type="dxa"/>
            <w:tcBorders>
              <w:tl2br w:val="nil"/>
              <w:tr2bl w:val="nil"/>
            </w:tcBorders>
            <w:shd w:val="clear" w:color="000000" w:fill="FFFFFF"/>
            <w:vAlign w:val="center"/>
          </w:tcPr>
          <w:p w14:paraId="678680FD">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4</w:t>
            </w:r>
          </w:p>
        </w:tc>
        <w:tc>
          <w:tcPr>
            <w:tcW w:w="1039" w:type="dxa"/>
            <w:vMerge w:val="continue"/>
            <w:tcBorders>
              <w:tl2br w:val="nil"/>
              <w:tr2bl w:val="nil"/>
            </w:tcBorders>
            <w:shd w:val="clear" w:color="000000" w:fill="FFFFFF"/>
            <w:vAlign w:val="center"/>
          </w:tcPr>
          <w:p w14:paraId="4BA65776">
            <w:pPr>
              <w:widowControl/>
              <w:ind w:firstLine="0" w:firstLineChars="0"/>
              <w:jc w:val="center"/>
              <w:rPr>
                <w:rFonts w:hint="eastAsia" w:ascii="宋体" w:hAnsi="宋体" w:eastAsia="宋体" w:cs="宋体"/>
                <w:color w:val="000000"/>
                <w:kern w:val="0"/>
                <w:sz w:val="22"/>
                <w:highlight w:val="none"/>
              </w:rPr>
            </w:pPr>
          </w:p>
        </w:tc>
      </w:tr>
      <w:tr w14:paraId="159D8F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6BD0FF2E">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效益</w:t>
            </w:r>
          </w:p>
        </w:tc>
        <w:tc>
          <w:tcPr>
            <w:tcW w:w="1984" w:type="dxa"/>
            <w:tcBorders>
              <w:tl2br w:val="nil"/>
              <w:tr2bl w:val="nil"/>
            </w:tcBorders>
            <w:shd w:val="clear" w:color="auto" w:fill="FFFFFF"/>
            <w:vAlign w:val="center"/>
          </w:tcPr>
          <w:p w14:paraId="4BDA8571">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项目效益</w:t>
            </w:r>
          </w:p>
        </w:tc>
        <w:tc>
          <w:tcPr>
            <w:tcW w:w="2693" w:type="dxa"/>
            <w:tcBorders>
              <w:tl2br w:val="nil"/>
              <w:tr2bl w:val="nil"/>
            </w:tcBorders>
            <w:shd w:val="clear" w:color="auto" w:fill="FFFFFF"/>
            <w:vAlign w:val="center"/>
          </w:tcPr>
          <w:p w14:paraId="193E121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减轻医疗机构垫付压力</w:t>
            </w:r>
          </w:p>
        </w:tc>
        <w:tc>
          <w:tcPr>
            <w:tcW w:w="898" w:type="dxa"/>
            <w:tcBorders>
              <w:tl2br w:val="nil"/>
              <w:tr2bl w:val="nil"/>
            </w:tcBorders>
            <w:shd w:val="clear" w:color="auto" w:fill="FFFFFF"/>
            <w:vAlign w:val="center"/>
          </w:tcPr>
          <w:p w14:paraId="7D491EF2">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20</w:t>
            </w:r>
          </w:p>
        </w:tc>
        <w:tc>
          <w:tcPr>
            <w:tcW w:w="898" w:type="dxa"/>
            <w:tcBorders>
              <w:tl2br w:val="nil"/>
              <w:tr2bl w:val="nil"/>
            </w:tcBorders>
            <w:shd w:val="clear" w:color="auto" w:fill="FFFFFF"/>
            <w:vAlign w:val="center"/>
          </w:tcPr>
          <w:p w14:paraId="79353042">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20</w:t>
            </w:r>
          </w:p>
        </w:tc>
        <w:tc>
          <w:tcPr>
            <w:tcW w:w="1039" w:type="dxa"/>
            <w:tcBorders>
              <w:tl2br w:val="nil"/>
              <w:tr2bl w:val="nil"/>
            </w:tcBorders>
            <w:shd w:val="clear" w:color="auto" w:fill="FFFFFF"/>
            <w:vAlign w:val="center"/>
          </w:tcPr>
          <w:p w14:paraId="0889480B">
            <w:pPr>
              <w:widowControl/>
              <w:ind w:firstLine="0" w:firstLineChars="0"/>
              <w:jc w:val="center"/>
              <w:rPr>
                <w:rFonts w:ascii="仿宋_GB2312" w:hAnsi="宋体" w:cs="宋体"/>
                <w:kern w:val="0"/>
                <w:sz w:val="24"/>
                <w:szCs w:val="24"/>
                <w:highlight w:val="none"/>
              </w:rPr>
            </w:pPr>
          </w:p>
        </w:tc>
      </w:tr>
      <w:tr w14:paraId="17D48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0139EB79">
            <w:pPr>
              <w:widowControl/>
              <w:ind w:firstLine="0" w:firstLineChars="0"/>
              <w:jc w:val="center"/>
              <w:rPr>
                <w:rFonts w:ascii="仿宋_GB2312" w:hAnsi="宋体" w:cs="宋体"/>
                <w:kern w:val="0"/>
                <w:sz w:val="24"/>
                <w:szCs w:val="24"/>
                <w:highlight w:val="none"/>
              </w:rPr>
            </w:pPr>
            <w:r>
              <w:rPr>
                <w:rFonts w:ascii="宋体" w:hAnsi="宋体" w:eastAsia="宋体" w:cs="宋体"/>
                <w:color w:val="000000"/>
                <w:kern w:val="0"/>
                <w:sz w:val="22"/>
                <w:highlight w:val="none"/>
              </w:rPr>
              <w:t>满意度指标完成情况分析</w:t>
            </w:r>
          </w:p>
        </w:tc>
        <w:tc>
          <w:tcPr>
            <w:tcW w:w="1984" w:type="dxa"/>
            <w:tcBorders>
              <w:tl2br w:val="nil"/>
              <w:tr2bl w:val="nil"/>
            </w:tcBorders>
            <w:shd w:val="clear" w:color="auto" w:fill="FFFFFF"/>
            <w:vAlign w:val="center"/>
          </w:tcPr>
          <w:p w14:paraId="260B28F8">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满意度指标</w:t>
            </w:r>
          </w:p>
        </w:tc>
        <w:tc>
          <w:tcPr>
            <w:tcW w:w="2693" w:type="dxa"/>
            <w:tcBorders>
              <w:tl2br w:val="nil"/>
              <w:tr2bl w:val="nil"/>
            </w:tcBorders>
            <w:shd w:val="clear" w:color="auto" w:fill="FFFFFF"/>
            <w:vAlign w:val="center"/>
          </w:tcPr>
          <w:p w14:paraId="152F8BC9">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val="en-US" w:eastAsia="zh-CN"/>
              </w:rPr>
              <w:t>无</w:t>
            </w:r>
          </w:p>
        </w:tc>
        <w:tc>
          <w:tcPr>
            <w:tcW w:w="898" w:type="dxa"/>
            <w:tcBorders>
              <w:tl2br w:val="nil"/>
              <w:tr2bl w:val="nil"/>
            </w:tcBorders>
            <w:shd w:val="clear" w:color="000000" w:fill="FFFFFF"/>
            <w:vAlign w:val="center"/>
          </w:tcPr>
          <w:p w14:paraId="5C126D41">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仿宋_GB2312" w:hAnsi="宋体" w:cs="宋体"/>
                <w:kern w:val="0"/>
                <w:sz w:val="24"/>
                <w:szCs w:val="24"/>
                <w:highlight w:val="none"/>
                <w:lang w:val="en-US" w:eastAsia="zh-CN"/>
              </w:rPr>
              <w:t>0</w:t>
            </w:r>
          </w:p>
        </w:tc>
        <w:tc>
          <w:tcPr>
            <w:tcW w:w="898" w:type="dxa"/>
            <w:tcBorders>
              <w:tl2br w:val="nil"/>
              <w:tr2bl w:val="nil"/>
            </w:tcBorders>
            <w:shd w:val="clear" w:color="000000" w:fill="FFFFFF"/>
            <w:vAlign w:val="center"/>
          </w:tcPr>
          <w:p w14:paraId="49F646E5">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0</w:t>
            </w:r>
          </w:p>
        </w:tc>
        <w:tc>
          <w:tcPr>
            <w:tcW w:w="1039" w:type="dxa"/>
            <w:tcBorders>
              <w:tl2br w:val="nil"/>
              <w:tr2bl w:val="nil"/>
            </w:tcBorders>
            <w:shd w:val="clear" w:color="000000" w:fill="FFFFFF"/>
            <w:vAlign w:val="center"/>
          </w:tcPr>
          <w:p w14:paraId="080A8D1F">
            <w:pPr>
              <w:widowControl/>
              <w:ind w:firstLine="0" w:firstLineChars="0"/>
              <w:jc w:val="center"/>
              <w:rPr>
                <w:rFonts w:ascii="仿宋_GB2312" w:hAnsi="宋体" w:cs="宋体"/>
                <w:kern w:val="0"/>
                <w:sz w:val="24"/>
                <w:szCs w:val="24"/>
                <w:highlight w:val="none"/>
              </w:rPr>
            </w:pPr>
          </w:p>
        </w:tc>
      </w:tr>
    </w:tbl>
    <w:p w14:paraId="32F7E4D7">
      <w:pPr>
        <w:pStyle w:val="3"/>
        <w:ind w:firstLine="643"/>
        <w:rPr>
          <w:rFonts w:ascii="仿宋" w:hAnsi="仿宋" w:eastAsia="仿宋"/>
          <w:highlight w:val="none"/>
          <w:lang w:bidi="en-US"/>
        </w:rPr>
      </w:pPr>
      <w:bookmarkStart w:id="31" w:name="_Toc67911610"/>
      <w:bookmarkStart w:id="32" w:name="_Toc165277239"/>
      <w:r>
        <w:rPr>
          <w:rFonts w:hint="eastAsia" w:ascii="仿宋" w:hAnsi="仿宋" w:eastAsia="仿宋"/>
          <w:highlight w:val="none"/>
          <w:lang w:bidi="en-US"/>
        </w:rPr>
        <w:t>（二）主要绩效</w:t>
      </w:r>
      <w:bookmarkEnd w:id="31"/>
      <w:bookmarkEnd w:id="32"/>
    </w:p>
    <w:p w14:paraId="5A417370">
      <w:pPr>
        <w:spacing w:line="360" w:lineRule="auto"/>
        <w:ind w:firstLine="560"/>
        <w:rPr>
          <w:rFonts w:ascii="仿宋_GB2312"/>
          <w:bCs/>
          <w:szCs w:val="28"/>
          <w:highlight w:val="yellow"/>
        </w:rPr>
      </w:pPr>
      <w:r>
        <w:rPr>
          <w:rFonts w:hint="eastAsia" w:ascii="仿宋_GB2312"/>
          <w:bCs/>
          <w:szCs w:val="28"/>
          <w:highlight w:val="none"/>
        </w:rPr>
        <w:t>该项目资金区财政及时拨付，</w:t>
      </w:r>
      <w:r>
        <w:rPr>
          <w:rFonts w:hint="eastAsia" w:ascii="仿宋_GB2312"/>
          <w:bCs/>
          <w:szCs w:val="28"/>
          <w:highlight w:val="none"/>
          <w:lang w:val="en-US" w:eastAsia="zh-CN"/>
        </w:rPr>
        <w:t>我</w:t>
      </w:r>
      <w:r>
        <w:rPr>
          <w:rFonts w:hint="eastAsia" w:ascii="仿宋_GB2312"/>
          <w:bCs/>
          <w:szCs w:val="28"/>
          <w:highlight w:val="none"/>
        </w:rPr>
        <w:t>单位</w:t>
      </w:r>
      <w:r>
        <w:rPr>
          <w:rFonts w:hint="eastAsia" w:ascii="仿宋_GB2312"/>
          <w:highlight w:val="none"/>
        </w:rPr>
        <w:t>为做好“乙类乙管”后新冠患者救治经费保障工作，根据各医疗机构前期申报情况和市医保局统计结果及分配方案，按照自治区财政厅《关于</w:t>
      </w:r>
      <w:r>
        <w:rPr>
          <w:rFonts w:hint="eastAsia" w:ascii="仿宋_GB2312"/>
        </w:rPr>
        <w:t>预拨新冠患者救治费用中央财政补助资金的通知》(新财社</w:t>
      </w:r>
      <w:r>
        <w:rPr>
          <w:rFonts w:hint="eastAsia" w:ascii="仿宋_GB2312"/>
          <w:lang w:eastAsia="zh-CN"/>
        </w:rPr>
        <w:t>〔2023〕</w:t>
      </w:r>
      <w:r>
        <w:rPr>
          <w:rFonts w:hint="eastAsia" w:ascii="仿宋_GB2312"/>
        </w:rPr>
        <w:t>44号）</w:t>
      </w:r>
      <w:r>
        <w:rPr>
          <w:rFonts w:hint="eastAsia" w:ascii="仿宋_GB2312"/>
          <w:lang w:eastAsia="zh-CN"/>
        </w:rPr>
        <w:t>，</w:t>
      </w:r>
      <w:r>
        <w:rPr>
          <w:rFonts w:hint="eastAsia" w:ascii="仿宋_GB2312"/>
        </w:rPr>
        <w:t>新冠病毒感染实施“乙类乙管”是党中央、国务院作出的重决策部署，各地要提高政治站位，高度重视新冠患者救治费用财政补助政策落实工作，决不能因资金投入不到位影响防控工作开展，决不能因资金拨付不及时影响患者救治，决不能出现拖欠疫情防控经费问题。地方各级财政部门要及时足额安排地方财政补助资金，严格落实地方财政先行支付、按月与医疗机构结算政策。同时，结合地方实际情况，采取向医疗机构预拨财政补助资金等方式，进一步减轻医疗机构垫付压力，确保不因资金问题影响患者享受保障政策。铁路局院区7.76万元，北门院区1.22万元，城北院区207.08万元，合计216.06万元</w:t>
      </w:r>
      <w:r>
        <w:rPr>
          <w:rFonts w:hint="eastAsia" w:ascii="仿宋_GB2312"/>
          <w:lang w:eastAsia="zh-CN"/>
        </w:rPr>
        <w:t>。</w:t>
      </w:r>
    </w:p>
    <w:p w14:paraId="32AB180D">
      <w:pPr>
        <w:pStyle w:val="2"/>
        <w:ind w:firstLine="0" w:firstLineChars="0"/>
        <w:jc w:val="left"/>
        <w:rPr>
          <w:rFonts w:ascii="仿宋" w:hAnsi="仿宋" w:eastAsia="仿宋"/>
          <w:sz w:val="36"/>
          <w:szCs w:val="36"/>
          <w:lang w:bidi="en-US"/>
        </w:rPr>
      </w:pPr>
      <w:bookmarkStart w:id="33" w:name="_Toc67911611"/>
      <w:bookmarkStart w:id="34" w:name="_Toc165277240"/>
      <w:r>
        <w:rPr>
          <w:rFonts w:hint="eastAsia" w:ascii="仿宋" w:hAnsi="仿宋" w:eastAsia="仿宋"/>
          <w:sz w:val="36"/>
          <w:szCs w:val="36"/>
          <w:lang w:bidi="en-US"/>
        </w:rPr>
        <w:t>四、绩效评价指标分析</w:t>
      </w:r>
      <w:bookmarkEnd w:id="33"/>
      <w:bookmarkEnd w:id="34"/>
    </w:p>
    <w:p w14:paraId="1B6E23FF">
      <w:pPr>
        <w:pStyle w:val="3"/>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14:paraId="170A0D39">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5FB2C4C4">
      <w:pPr>
        <w:pStyle w:val="4"/>
        <w:ind w:firstLine="643"/>
      </w:pPr>
      <w:bookmarkStart w:id="37" w:name="_Toc165277242"/>
      <w:r>
        <w:t>1.</w:t>
      </w:r>
      <w:r>
        <w:rPr>
          <w:rFonts w:hint="eastAsia"/>
        </w:rPr>
        <w:t>项目立项</w:t>
      </w:r>
      <w:bookmarkEnd w:id="37"/>
    </w:p>
    <w:p w14:paraId="55098173">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项目立项符合国家法律法规、政策要求。同时，项目与部门职责范围相符，属于部门履职所需。此外，本项目属于公共财政支持范围，符合中央、地方事权支出责任划分原则。因此，立项依据充分，得4分。</w:t>
      </w:r>
    </w:p>
    <w:p w14:paraId="5B68EB11">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项目按照规定的程序申请设立，审批文件、材料符合相关要求，故立项程序规范，得4分。</w:t>
      </w:r>
    </w:p>
    <w:p w14:paraId="537C9F73">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14:paraId="300BA30D">
      <w:pPr>
        <w:pStyle w:val="4"/>
        <w:ind w:firstLine="643"/>
      </w:pPr>
      <w:bookmarkStart w:id="38" w:name="_Toc165277243"/>
      <w:r>
        <w:rPr>
          <w:rFonts w:hint="eastAsia"/>
        </w:rPr>
        <w:t>2</w:t>
      </w:r>
      <w:r>
        <w:t>.</w:t>
      </w:r>
      <w:r>
        <w:rPr>
          <w:rFonts w:hint="eastAsia"/>
        </w:rPr>
        <w:t>绩效目标</w:t>
      </w:r>
      <w:bookmarkEnd w:id="38"/>
    </w:p>
    <w:p w14:paraId="6FD291B5">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highlight w:val="none"/>
        </w:rPr>
        <w:t>本项目的绩效目标按照产出、效益和满意度构建绩效评价指标，且具</w:t>
      </w:r>
      <w:r>
        <w:rPr>
          <w:rFonts w:hint="eastAsia" w:ascii="仿宋_GB2312"/>
          <w:szCs w:val="28"/>
        </w:rPr>
        <w:t>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6EF8F909">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w:t>
      </w:r>
      <w:r>
        <w:rPr>
          <w:rFonts w:hint="eastAsia" w:ascii="仿宋_GB2312" w:hAnsi="仿宋" w:cs="宋体"/>
          <w:kern w:val="0"/>
          <w:szCs w:val="28"/>
          <w:lang w:val="en-US" w:eastAsia="zh-CN"/>
        </w:rPr>
        <w:t>分别为：患者人数、补助发放准确率(%)、补助发放及时率(%)、铁路局院区拨款金额、北门院区拨款金额、城北院区拨款金额、减轻医疗机构垫付压力这7条指标</w:t>
      </w:r>
      <w:r>
        <w:rPr>
          <w:rFonts w:hint="eastAsia" w:ascii="仿宋_GB2312" w:hAnsi="仿宋" w:cs="宋体"/>
          <w:kern w:val="0"/>
          <w:szCs w:val="28"/>
        </w:rPr>
        <w:t>，可通过数量指标、质量指标、时效指标和成本指标予以量化，并具有确切的评价标准，且指标设定均与目标相关。各项指标均能在现实条件下收集到相关数据进行佐证，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304BAE30">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4DF0FBF5">
      <w:pPr>
        <w:pStyle w:val="4"/>
        <w:ind w:firstLine="643"/>
      </w:pPr>
      <w:bookmarkStart w:id="39" w:name="_Toc165277244"/>
      <w:r>
        <w:rPr>
          <w:rFonts w:hint="eastAsia"/>
        </w:rPr>
        <w:t>3.资金投入</w:t>
      </w:r>
      <w:bookmarkEnd w:id="39"/>
    </w:p>
    <w:p w14:paraId="113C37DE">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kern w:val="0"/>
          <w:szCs w:val="28"/>
          <w:lang w:val="en-US" w:eastAsia="zh-CN"/>
        </w:rPr>
        <w:t>该项目是按照上级下达的文件要求及标准，填报在疫情期间为做好“乙类乙管”后新冠患者救治经费保障工作，根据各医疗机构前期申报情况和市医保局统计结果及分配方案，按照患者人次数、医疗费用总额、医保支付金额、个人负担部分等情况进行公示后，经上级卫生健康部门审核完毕，并由各级卫生健康部门报同级人力资源社会保障、财政部门审定完成，通过自治区财政厅《关于预拨新冠患者救治费用中央财政补助资金的通知》(新财社〔2023〕44号)预拨付文件汇总出预算总额</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14:paraId="30FED289">
      <w:pPr>
        <w:autoSpaceDE w:val="0"/>
        <w:spacing w:line="600" w:lineRule="exact"/>
        <w:ind w:firstLine="0" w:firstLineChars="0"/>
        <w:rPr>
          <w:rFonts w:ascii="仿宋_GB2312" w:hAnsi="仿宋" w:cs="宋体"/>
          <w:bCs/>
          <w:kern w:val="0"/>
          <w:szCs w:val="28"/>
        </w:rPr>
      </w:pPr>
    </w:p>
    <w:p w14:paraId="29210324">
      <w:pPr>
        <w:spacing w:line="360" w:lineRule="auto"/>
        <w:ind w:firstLine="562"/>
      </w:pPr>
      <w:r>
        <w:rPr>
          <w:rFonts w:hint="eastAsia"/>
          <w:b/>
          <w:bCs/>
        </w:rPr>
        <w:t>资金分配合理性</w:t>
      </w:r>
      <w:r>
        <w:rPr>
          <w:rFonts w:hint="eastAsia"/>
        </w:rPr>
        <w:t>：</w:t>
      </w:r>
      <w:r>
        <w:rPr>
          <w:rFonts w:hint="eastAsia" w:ascii="仿宋_GB2312" w:hAnsi="仿宋" w:cs="宋体"/>
          <w:kern w:val="0"/>
          <w:szCs w:val="28"/>
          <w:lang w:val="en-US" w:eastAsia="zh-CN"/>
        </w:rPr>
        <w:t>按照患者人次数、医疗费用总额、医保支付金额、个人负担部分等情况进行公示后，经上级卫生健康部门审核完毕，并由各级卫生健康部门报同级市医保局、财政部门审定完成，通过自治区财政厅《关于预拨新冠患者救治费用中央财政补助资金的通知》(新财社〔2023〕44号)预拨付文件汇总出预算总额</w:t>
      </w:r>
      <w:r>
        <w:rPr>
          <w:rFonts w:hint="eastAsia" w:ascii="仿宋_GB2312" w:hAnsi="仿宋" w:cs="宋体"/>
          <w:b/>
          <w:kern w:val="0"/>
          <w:szCs w:val="28"/>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03249051">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101B7422">
      <w:pPr>
        <w:pStyle w:val="3"/>
        <w:ind w:firstLine="643"/>
        <w:rPr>
          <w:rFonts w:ascii="仿宋" w:hAnsi="仿宋" w:eastAsia="仿宋"/>
          <w:lang w:bidi="en-US"/>
        </w:rPr>
      </w:pPr>
      <w:bookmarkStart w:id="40" w:name="_Toc67911613"/>
      <w:bookmarkStart w:id="41" w:name="_Toc165277245"/>
      <w:r>
        <w:rPr>
          <w:rFonts w:hint="eastAsia" w:ascii="仿宋" w:hAnsi="仿宋" w:eastAsia="仿宋"/>
          <w:lang w:bidi="en-US"/>
        </w:rPr>
        <w:t>（二）项目过程情况</w:t>
      </w:r>
      <w:bookmarkEnd w:id="40"/>
      <w:bookmarkEnd w:id="41"/>
    </w:p>
    <w:p w14:paraId="0842E5B7">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34785DC6">
      <w:pPr>
        <w:pStyle w:val="4"/>
        <w:ind w:firstLine="643"/>
      </w:pPr>
      <w:bookmarkStart w:id="42" w:name="_Toc165277246"/>
      <w:r>
        <w:t>1.</w:t>
      </w:r>
      <w:r>
        <w:rPr>
          <w:rFonts w:hint="eastAsia"/>
        </w:rPr>
        <w:t>资金管理</w:t>
      </w:r>
      <w:bookmarkEnd w:id="42"/>
    </w:p>
    <w:p w14:paraId="2708DAFF">
      <w:pPr>
        <w:spacing w:line="360" w:lineRule="auto"/>
        <w:ind w:firstLine="562"/>
        <w:rPr>
          <w:rFonts w:ascii="仿宋_GB2312"/>
          <w:szCs w:val="28"/>
        </w:rPr>
      </w:pPr>
      <w:r>
        <w:rPr>
          <w:rFonts w:hint="eastAsia" w:ascii="仿宋_GB2312"/>
          <w:b/>
          <w:bCs/>
          <w:szCs w:val="28"/>
        </w:rPr>
        <w:t>资金到位率：</w:t>
      </w:r>
      <w:r>
        <w:rPr>
          <w:rFonts w:hint="eastAsia" w:ascii="仿宋_GB2312"/>
          <w:lang w:eastAsia="zh-CN"/>
        </w:rPr>
        <w:t>该项目资金由财政拨付，在</w:t>
      </w:r>
      <w:r>
        <w:rPr>
          <w:rFonts w:hint="eastAsia" w:ascii="仿宋_GB2312"/>
          <w:lang w:val="en-US" w:eastAsia="zh-CN"/>
        </w:rPr>
        <w:t>2023年5月20日到位，资金到位率100%</w:t>
      </w:r>
      <w:r>
        <w:rPr>
          <w:rFonts w:hint="eastAsia" w:ascii="仿宋_GB2312" w:hAnsi="仿宋" w:cs="宋体"/>
          <w:b/>
          <w:kern w:val="0"/>
          <w:szCs w:val="28"/>
        </w:rPr>
        <w:t>。</w:t>
      </w:r>
      <w:r>
        <w:rPr>
          <w:rFonts w:hint="eastAsia" w:ascii="仿宋_GB2312" w:hAnsi="仿宋" w:cs="宋体"/>
          <w:kern w:val="0"/>
          <w:szCs w:val="28"/>
        </w:rPr>
        <w:t>故资金到位率指标得分</w:t>
      </w:r>
      <w:r>
        <w:rPr>
          <w:rFonts w:hint="eastAsia" w:ascii="仿宋_GB2312" w:hAnsi="仿宋" w:cs="宋体"/>
          <w:kern w:val="0"/>
          <w:szCs w:val="28"/>
          <w:lang w:val="en-US" w:eastAsia="zh-CN"/>
        </w:rPr>
        <w:t>5</w:t>
      </w:r>
      <w:r>
        <w:rPr>
          <w:rFonts w:hint="eastAsia" w:ascii="仿宋_GB2312" w:hAnsi="仿宋" w:cs="宋体"/>
          <w:kern w:val="0"/>
          <w:szCs w:val="28"/>
        </w:rPr>
        <w:t>分。</w:t>
      </w:r>
    </w:p>
    <w:p w14:paraId="08B23167">
      <w:pPr>
        <w:spacing w:line="360" w:lineRule="auto"/>
        <w:ind w:firstLine="560"/>
        <w:rPr>
          <w:rFonts w:ascii="仿宋_GB2312"/>
          <w:szCs w:val="28"/>
        </w:rPr>
      </w:pPr>
    </w:p>
    <w:p w14:paraId="57E99D98">
      <w:pPr>
        <w:spacing w:line="360" w:lineRule="auto"/>
        <w:ind w:firstLine="562"/>
        <w:rPr>
          <w:rFonts w:ascii="仿宋_GB2312"/>
          <w:szCs w:val="28"/>
        </w:rPr>
      </w:pPr>
      <w:r>
        <w:rPr>
          <w:rFonts w:hint="eastAsia" w:ascii="仿宋_GB2312"/>
          <w:b/>
          <w:bCs/>
          <w:szCs w:val="28"/>
        </w:rPr>
        <w:t>预算执行率：</w:t>
      </w:r>
      <w:r>
        <w:rPr>
          <w:rFonts w:hint="eastAsia" w:ascii="仿宋_GB2312"/>
          <w:b/>
          <w:bCs/>
          <w:szCs w:val="28"/>
          <w:lang w:val="en-US" w:eastAsia="zh-CN"/>
        </w:rPr>
        <w:t>我单位</w:t>
      </w:r>
      <w:r>
        <w:rPr>
          <w:rFonts w:hint="eastAsia" w:ascii="仿宋_GB2312"/>
          <w:lang w:eastAsia="zh-CN"/>
        </w:rPr>
        <w:t>新冠患者救治费用中央财政补助资金，</w:t>
      </w:r>
      <w:r>
        <w:rPr>
          <w:rFonts w:hint="eastAsia" w:ascii="仿宋_GB2312"/>
        </w:rPr>
        <w:t>铁路局院区7.76万元，北门院区1.22万元，城北院区207.08万元，</w:t>
      </w:r>
      <w:r>
        <w:rPr>
          <w:rFonts w:hint="eastAsia" w:ascii="仿宋_GB2312"/>
          <w:lang w:eastAsia="zh-CN"/>
        </w:rPr>
        <w:t>总共安排预算</w:t>
      </w:r>
      <w:r>
        <w:rPr>
          <w:rFonts w:hint="eastAsia" w:ascii="仿宋_GB2312"/>
          <w:lang w:val="en-US" w:eastAsia="zh-CN"/>
        </w:rPr>
        <w:t>216.06万元，</w:t>
      </w:r>
      <w:r>
        <w:rPr>
          <w:rFonts w:hint="eastAsia" w:ascii="仿宋_GB2312"/>
          <w:highlight w:val="none"/>
          <w:lang w:eastAsia="zh-CN"/>
        </w:rPr>
        <w:t>专项用于我单位落实新冠患者救治费用财政补助政策，中央财政后续将按规定据实结算。</w:t>
      </w:r>
      <w:r>
        <w:rPr>
          <w:rFonts w:hint="eastAsia" w:ascii="仿宋_GB2312"/>
        </w:rPr>
        <w:t>我院共涉及患者 2868人次，</w:t>
      </w:r>
      <w:r>
        <w:rPr>
          <w:rFonts w:hint="eastAsia" w:ascii="仿宋_GB2312"/>
          <w:lang w:eastAsia="zh-CN"/>
        </w:rPr>
        <w:t>2023 年5月按照《关于预拨新冠患者救治费用中央财政补助资金预算的通知》(乌财社〔2023〕117号)文件精神，为减轻我单位垫付资金压力，</w:t>
      </w:r>
      <w:r>
        <w:rPr>
          <w:rFonts w:hint="eastAsia" w:ascii="仿宋_GB2312"/>
          <w:lang w:val="en-US" w:eastAsia="zh-CN"/>
        </w:rPr>
        <w:t>已由</w:t>
      </w:r>
      <w:r>
        <w:rPr>
          <w:rFonts w:hint="eastAsia" w:ascii="仿宋_GB2312"/>
          <w:lang w:eastAsia="zh-CN"/>
        </w:rPr>
        <w:t>上级部门协助我院将该笔经费直接拨付我院基本账户。</w:t>
      </w:r>
      <w:r>
        <w:rPr>
          <w:rFonts w:hint="eastAsia" w:ascii="仿宋_GB2312"/>
          <w:lang w:val="en-US" w:eastAsia="zh-CN"/>
        </w:rPr>
        <w:t>于2024年12月25日将资金全部转入我院基本户，预算执行率100%</w:t>
      </w:r>
      <w:r>
        <w:rPr>
          <w:rFonts w:hint="eastAsia" w:ascii="仿宋_GB2312"/>
          <w:lang w:eastAsia="zh-CN"/>
        </w:rPr>
        <w:t>。</w:t>
      </w:r>
      <w:r>
        <w:rPr>
          <w:rFonts w:hint="eastAsia" w:ascii="仿宋_GB2312"/>
          <w:szCs w:val="28"/>
        </w:rPr>
        <w:t>故预算执行率得分为</w:t>
      </w:r>
      <w:r>
        <w:rPr>
          <w:rFonts w:hint="eastAsia" w:ascii="仿宋_GB2312"/>
          <w:szCs w:val="28"/>
          <w:lang w:val="en-US" w:eastAsia="zh-CN"/>
        </w:rPr>
        <w:t>5</w:t>
      </w:r>
      <w:r>
        <w:rPr>
          <w:rFonts w:hint="eastAsia" w:ascii="仿宋_GB2312"/>
          <w:szCs w:val="28"/>
        </w:rPr>
        <w:t>分。</w:t>
      </w:r>
    </w:p>
    <w:p w14:paraId="193BF88C">
      <w:pPr>
        <w:spacing w:line="360" w:lineRule="auto"/>
        <w:ind w:firstLine="562"/>
        <w:rPr>
          <w:rFonts w:ascii="仿宋_GB2312"/>
          <w:b/>
          <w:bCs/>
          <w:szCs w:val="28"/>
        </w:rPr>
      </w:pPr>
    </w:p>
    <w:p w14:paraId="5CE0E954">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w:t>
      </w:r>
      <w:r>
        <w:rPr>
          <w:rFonts w:hint="eastAsia" w:ascii="仿宋_GB2312"/>
          <w:lang w:eastAsia="zh-CN"/>
        </w:rPr>
        <w:t>《关于预拨新冠患者救治费用中央财政补助资金预算的通知》(乌财社〔2023〕117号)</w:t>
      </w:r>
      <w:r>
        <w:rPr>
          <w:rFonts w:hint="eastAsia" w:ascii="仿宋_GB2312"/>
          <w:szCs w:val="28"/>
        </w:rPr>
        <w:t>以及《乌鲁木齐市财政专项资金使用跟踪反馈管理暂行办法》(乌财预〔2018〕41号)专项资金管理办法的规定。同时，资金的拨付有各医疗机构前期申报情况和市医保局统计结果及分配方案，按照自治区财政厅《关于预拨新冠患者救治费用中央财政补助资金的通知》(新财社〔2023〕44号)</w:t>
      </w:r>
      <w:r>
        <w:rPr>
          <w:rFonts w:hint="eastAsia" w:ascii="仿宋_GB2312"/>
          <w:szCs w:val="28"/>
          <w:lang w:eastAsia="zh-CN"/>
        </w:rPr>
        <w:t>，</w:t>
      </w:r>
      <w:r>
        <w:rPr>
          <w:rFonts w:hint="eastAsia" w:ascii="仿宋_GB2312"/>
          <w:szCs w:val="28"/>
        </w:rPr>
        <w:t>审批程序，需要</w:t>
      </w:r>
      <w:r>
        <w:rPr>
          <w:rFonts w:hint="eastAsia" w:ascii="仿宋_GB2312" w:hAnsi="仿宋" w:cs="宋体"/>
          <w:kern w:val="0"/>
          <w:szCs w:val="28"/>
          <w:lang w:val="en-US" w:eastAsia="zh-CN"/>
        </w:rPr>
        <w:t>经上级卫生健康部门审核完毕，并由各级卫生健康部门报同级市医保局、财政部门审定完成，</w:t>
      </w:r>
      <w:r>
        <w:rPr>
          <w:rFonts w:hint="eastAsia" w:ascii="仿宋_GB2312"/>
          <w:szCs w:val="28"/>
        </w:rPr>
        <w:t>手续，符合项目预算批复或合同规定的用途，不存在截留、挤占、挪用、虚列支出等情况。故资金使用合规性得分为3分。</w:t>
      </w:r>
    </w:p>
    <w:p w14:paraId="3F1BAE67">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3</w:t>
      </w:r>
      <w:r>
        <w:rPr>
          <w:rFonts w:hint="eastAsia" w:ascii="仿宋_GB2312" w:hAnsi="仿宋" w:cs="宋体"/>
          <w:b/>
          <w:kern w:val="0"/>
          <w:szCs w:val="28"/>
        </w:rPr>
        <w:t>分。</w:t>
      </w:r>
    </w:p>
    <w:p w14:paraId="7798A677">
      <w:pPr>
        <w:pStyle w:val="4"/>
        <w:ind w:firstLine="643"/>
      </w:pPr>
      <w:bookmarkStart w:id="43" w:name="_Toc165277247"/>
      <w:r>
        <w:t>2.</w:t>
      </w:r>
      <w:r>
        <w:rPr>
          <w:rFonts w:hint="eastAsia"/>
        </w:rPr>
        <w:t>组织实施</w:t>
      </w:r>
      <w:bookmarkEnd w:id="43"/>
    </w:p>
    <w:p w14:paraId="684B1E62">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：已制定相应的</w:t>
      </w:r>
      <w:r>
        <w:rPr>
          <w:rFonts w:hint="eastAsia" w:hAnsi="宋体" w:eastAsia="仿宋_GB2312" w:cs="宋体"/>
          <w:kern w:val="0"/>
          <w:sz w:val="30"/>
          <w:szCs w:val="30"/>
        </w:rPr>
        <w:t>乌鲁木齐市第一人民医院</w:t>
      </w:r>
      <w:r>
        <w:rPr>
          <w:rFonts w:hint="eastAsia" w:hAnsi="宋体" w:cs="宋体"/>
          <w:kern w:val="0"/>
          <w:sz w:val="30"/>
          <w:szCs w:val="30"/>
          <w:lang w:eastAsia="zh-CN"/>
        </w:rPr>
        <w:t>（乌鲁木齐儿童医院）</w:t>
      </w:r>
      <w:r>
        <w:rPr>
          <w:rFonts w:hint="eastAsia" w:hAnsi="宋体" w:cs="宋体"/>
          <w:kern w:val="0"/>
          <w:sz w:val="30"/>
          <w:szCs w:val="30"/>
          <w:lang w:val="en-US" w:eastAsia="zh-CN"/>
        </w:rPr>
        <w:t>内控</w:t>
      </w:r>
      <w:r>
        <w:rPr>
          <w:rFonts w:hint="eastAsia" w:ascii="仿宋_GB2312"/>
          <w:szCs w:val="28"/>
        </w:rPr>
        <w:t>管理制度，且制度合法、合规、完整，为项目顺利实施提供重要保障。故管理制度健全性得分为3分。</w:t>
      </w:r>
    </w:p>
    <w:p w14:paraId="78C93D26">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w:t>
      </w:r>
      <w:r>
        <w:rPr>
          <w:rFonts w:hint="eastAsia" w:hAnsi="宋体" w:eastAsia="仿宋_GB2312" w:cs="宋体"/>
          <w:kern w:val="0"/>
          <w:sz w:val="30"/>
          <w:szCs w:val="30"/>
        </w:rPr>
        <w:t>乌鲁木齐市第一人民医院</w:t>
      </w:r>
      <w:r>
        <w:rPr>
          <w:rFonts w:hint="eastAsia" w:hAnsi="宋体" w:cs="宋体"/>
          <w:kern w:val="0"/>
          <w:sz w:val="30"/>
          <w:szCs w:val="30"/>
          <w:lang w:eastAsia="zh-CN"/>
        </w:rPr>
        <w:t>（乌鲁木齐儿童医院）</w:t>
      </w:r>
      <w:r>
        <w:rPr>
          <w:rFonts w:hint="eastAsia" w:ascii="仿宋_GB2312"/>
          <w:szCs w:val="28"/>
        </w:rPr>
        <w:t>严格遵守相关法律法规和相关管理规定，项目调整及支出调整手续完备，整体管理合理有序，项目完成后，及时将会计凭证、</w:t>
      </w:r>
      <w:r>
        <w:rPr>
          <w:rFonts w:hint="eastAsia" w:ascii="仿宋_GB2312"/>
          <w:szCs w:val="28"/>
          <w:lang w:val="en-US" w:eastAsia="zh-CN"/>
        </w:rPr>
        <w:t>上报请示、支付回单、财政文件</w:t>
      </w:r>
      <w:r>
        <w:rPr>
          <w:rFonts w:hint="eastAsia" w:ascii="仿宋_GB2312"/>
          <w:szCs w:val="28"/>
        </w:rPr>
        <w:t>等相关资料分类归档，制度执行有效。故制度执行有效性指标得分</w:t>
      </w:r>
      <w:r>
        <w:rPr>
          <w:rFonts w:ascii="仿宋_GB2312"/>
          <w:szCs w:val="28"/>
        </w:rPr>
        <w:t>4</w:t>
      </w:r>
      <w:r>
        <w:rPr>
          <w:rFonts w:hint="eastAsia" w:ascii="仿宋_GB2312"/>
          <w:szCs w:val="28"/>
        </w:rPr>
        <w:t>分。</w:t>
      </w:r>
    </w:p>
    <w:p w14:paraId="25F60068">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14:paraId="0D904FDD">
      <w:pPr>
        <w:pStyle w:val="3"/>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14:paraId="6A0B77C9">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ascii="仿宋_GB2312"/>
          <w:szCs w:val="28"/>
        </w:rPr>
        <w:t>4</w:t>
      </w:r>
      <w:r>
        <w:rPr>
          <w:rFonts w:hint="eastAsia" w:ascii="仿宋_GB2312"/>
          <w:szCs w:val="28"/>
        </w:rPr>
        <w:t>个三级指标构成，权重为</w:t>
      </w:r>
      <w:r>
        <w:rPr>
          <w:rFonts w:ascii="仿宋_GB2312"/>
          <w:szCs w:val="28"/>
        </w:rPr>
        <w:t>40</w:t>
      </w:r>
      <w:r>
        <w:rPr>
          <w:rFonts w:hint="eastAsia" w:ascii="仿宋_GB2312"/>
          <w:szCs w:val="28"/>
        </w:rPr>
        <w:t>分，实际得分</w:t>
      </w:r>
      <w:r>
        <w:rPr>
          <w:rFonts w:hint="eastAsia" w:ascii="仿宋_GB2312"/>
          <w:szCs w:val="28"/>
          <w:lang w:val="en-US" w:eastAsia="zh-CN"/>
        </w:rPr>
        <w:t>40</w:t>
      </w:r>
      <w:r>
        <w:rPr>
          <w:rFonts w:hint="eastAsia" w:ascii="仿宋_GB2312"/>
          <w:szCs w:val="28"/>
        </w:rPr>
        <w:t>分。</w:t>
      </w:r>
    </w:p>
    <w:p w14:paraId="3E26B831">
      <w:pPr>
        <w:pStyle w:val="4"/>
        <w:ind w:firstLine="643"/>
      </w:pPr>
      <w:bookmarkStart w:id="47" w:name="_Toc165277249"/>
      <w:r>
        <w:rPr>
          <w:rFonts w:hint="eastAsia"/>
        </w:rPr>
        <w:t>1</w:t>
      </w:r>
      <w:r>
        <w:t>.</w:t>
      </w:r>
      <w:r>
        <w:rPr>
          <w:rFonts w:hint="eastAsia"/>
        </w:rPr>
        <w:t>产出数量</w:t>
      </w:r>
      <w:bookmarkEnd w:id="47"/>
    </w:p>
    <w:p w14:paraId="49B31859">
      <w:pPr>
        <w:spacing w:line="360" w:lineRule="auto"/>
        <w:ind w:firstLine="560"/>
        <w:rPr>
          <w:rFonts w:ascii="仿宋_GB2312"/>
          <w:szCs w:val="28"/>
        </w:rPr>
      </w:pPr>
      <w:r>
        <w:rPr>
          <w:rFonts w:hint="eastAsia" w:ascii="仿宋_GB2312"/>
          <w:bCs/>
          <w:szCs w:val="28"/>
        </w:rPr>
        <w:t xml:space="preserve">数量指标 </w:t>
      </w:r>
      <w:r>
        <w:rPr>
          <w:rFonts w:hint="eastAsia" w:ascii="仿宋_GB2312"/>
          <w:bCs/>
          <w:szCs w:val="28"/>
          <w:lang w:eastAsia="zh-CN"/>
        </w:rPr>
        <w:t>：</w:t>
      </w:r>
      <w:r>
        <w:rPr>
          <w:rFonts w:hint="eastAsia" w:ascii="仿宋_GB2312"/>
          <w:bCs/>
          <w:szCs w:val="28"/>
        </w:rPr>
        <w:t>“患者人数”的目标值是</w:t>
      </w:r>
      <w:r>
        <w:rPr>
          <w:rFonts w:hint="eastAsia" w:ascii="仿宋_GB2312"/>
          <w:bCs/>
          <w:szCs w:val="28"/>
          <w:lang w:val="en-US" w:eastAsia="zh-CN"/>
        </w:rPr>
        <w:t>2868人</w:t>
      </w:r>
      <w:r>
        <w:rPr>
          <w:rFonts w:hint="eastAsia" w:ascii="仿宋_GB2312"/>
          <w:bCs/>
          <w:szCs w:val="28"/>
        </w:rPr>
        <w:t>，2024</w:t>
      </w:r>
      <w:r>
        <w:rPr>
          <w:rFonts w:ascii="仿宋_GB2312"/>
          <w:bCs/>
          <w:szCs w:val="28"/>
        </w:rPr>
        <w:t>年度我单位实际完成</w:t>
      </w:r>
      <w:r>
        <w:rPr>
          <w:rFonts w:hint="eastAsia" w:ascii="仿宋_GB2312"/>
          <w:bCs/>
          <w:szCs w:val="28"/>
          <w:lang w:val="en-US" w:eastAsia="zh-CN"/>
        </w:rPr>
        <w:t>2868人</w:t>
      </w:r>
      <w:r>
        <w:rPr>
          <w:rFonts w:hint="eastAsia" w:ascii="仿宋_GB2312"/>
          <w:bCs/>
          <w:szCs w:val="28"/>
        </w:rPr>
        <w:t>，原因是</w:t>
      </w:r>
      <w:r>
        <w:rPr>
          <w:rFonts w:hint="eastAsia" w:ascii="仿宋_GB2312"/>
          <w:bCs/>
          <w:szCs w:val="28"/>
          <w:lang w:val="en-US" w:eastAsia="zh-CN"/>
        </w:rPr>
        <w:t>市医保局核定的</w:t>
      </w:r>
      <w:r>
        <w:rPr>
          <w:rFonts w:hint="eastAsia" w:ascii="仿宋_GB2312"/>
          <w:bCs/>
          <w:szCs w:val="28"/>
        </w:rPr>
        <w:t>2023年新冠患者救治费用中央财政预拨补助资金分配表，</w:t>
      </w: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10</w:t>
      </w:r>
      <w:r>
        <w:rPr>
          <w:rFonts w:hint="eastAsia" w:ascii="仿宋_GB2312"/>
          <w:szCs w:val="28"/>
        </w:rPr>
        <w:t>分。</w:t>
      </w:r>
    </w:p>
    <w:p w14:paraId="3AAB0FF0">
      <w:pPr>
        <w:spacing w:line="360" w:lineRule="auto"/>
        <w:ind w:firstLine="560"/>
        <w:rPr>
          <w:rFonts w:ascii="仿宋_GB2312"/>
          <w:bCs/>
          <w:szCs w:val="28"/>
        </w:rPr>
      </w:pPr>
      <w:r>
        <w:rPr>
          <w:rFonts w:ascii="仿宋_GB2312"/>
          <w:szCs w:val="28"/>
        </w:rPr>
        <w:t>综上，数量指标得分为</w:t>
      </w:r>
      <w:r>
        <w:rPr>
          <w:rFonts w:hint="eastAsia" w:ascii="仿宋_GB2312"/>
          <w:szCs w:val="28"/>
          <w:lang w:val="en-US" w:eastAsia="zh-CN"/>
        </w:rPr>
        <w:t>10</w:t>
      </w:r>
      <w:r>
        <w:rPr>
          <w:rFonts w:ascii="仿宋_GB2312"/>
          <w:szCs w:val="28"/>
        </w:rPr>
        <w:t>分。</w:t>
      </w:r>
    </w:p>
    <w:p w14:paraId="387189CF">
      <w:pPr>
        <w:pStyle w:val="4"/>
        <w:ind w:firstLine="643"/>
      </w:pPr>
      <w:bookmarkStart w:id="48" w:name="_Toc165277250"/>
      <w:r>
        <w:rPr>
          <w:rFonts w:hint="eastAsia"/>
        </w:rPr>
        <w:t>2</w:t>
      </w:r>
      <w:r>
        <w:t>.</w:t>
      </w:r>
      <w:r>
        <w:rPr>
          <w:rFonts w:hint="eastAsia"/>
        </w:rPr>
        <w:t>产出质量</w:t>
      </w:r>
      <w:bookmarkEnd w:id="48"/>
    </w:p>
    <w:p w14:paraId="53EBA78E">
      <w:pPr>
        <w:spacing w:line="360" w:lineRule="auto"/>
        <w:ind w:firstLine="562"/>
        <w:rPr>
          <w:rFonts w:ascii="仿宋_GB2312"/>
          <w:szCs w:val="28"/>
        </w:rPr>
      </w:pPr>
      <w:r>
        <w:rPr>
          <w:rFonts w:hint="eastAsia" w:ascii="仿宋_GB2312"/>
          <w:b/>
          <w:bCs/>
          <w:szCs w:val="28"/>
        </w:rPr>
        <w:t>补助发放准确率(%)：</w:t>
      </w:r>
      <w:r>
        <w:rPr>
          <w:rFonts w:hint="eastAsia" w:ascii="仿宋_GB2312"/>
          <w:szCs w:val="28"/>
        </w:rPr>
        <w:t>资金的拨付有各医疗机构前期申报情况和市医保局统计结果及分配方案，按照自治区财政厅《关于预拨新冠患者救治费用中央财政补助资金的通知》(新财社〔2023〕44号)</w:t>
      </w:r>
      <w:r>
        <w:rPr>
          <w:rFonts w:hint="eastAsia" w:ascii="仿宋_GB2312"/>
          <w:szCs w:val="28"/>
          <w:lang w:eastAsia="zh-CN"/>
        </w:rPr>
        <w:t>，</w:t>
      </w:r>
      <w:r>
        <w:rPr>
          <w:rFonts w:hint="eastAsia" w:ascii="仿宋_GB2312"/>
          <w:szCs w:val="28"/>
        </w:rPr>
        <w:t>审批程序，需要</w:t>
      </w:r>
      <w:r>
        <w:rPr>
          <w:rFonts w:hint="eastAsia" w:ascii="仿宋_GB2312" w:hAnsi="仿宋" w:cs="宋体"/>
          <w:kern w:val="0"/>
          <w:szCs w:val="28"/>
          <w:lang w:val="en-US" w:eastAsia="zh-CN"/>
        </w:rPr>
        <w:t>经上级卫生健康部门审核完毕，并由各级卫生健康部门报同级市医保局、财政部门审定完成，</w:t>
      </w:r>
      <w:r>
        <w:rPr>
          <w:rFonts w:hint="eastAsia" w:ascii="仿宋_GB2312"/>
          <w:szCs w:val="28"/>
        </w:rPr>
        <w:t>质量达标率得分为</w:t>
      </w:r>
      <w:r>
        <w:rPr>
          <w:rFonts w:hint="eastAsia" w:ascii="仿宋_GB2312"/>
          <w:szCs w:val="28"/>
          <w:lang w:val="en-US" w:eastAsia="zh-CN"/>
        </w:rPr>
        <w:t>10</w:t>
      </w:r>
      <w:r>
        <w:rPr>
          <w:rFonts w:hint="eastAsia" w:ascii="仿宋_GB2312"/>
          <w:szCs w:val="28"/>
        </w:rPr>
        <w:t>分。</w:t>
      </w:r>
    </w:p>
    <w:p w14:paraId="49544D0E">
      <w:pPr>
        <w:pStyle w:val="4"/>
        <w:ind w:firstLine="643"/>
      </w:pPr>
      <w:bookmarkStart w:id="49" w:name="_Toc165277251"/>
      <w:r>
        <w:rPr>
          <w:rFonts w:hint="eastAsia"/>
        </w:rPr>
        <w:t>3</w:t>
      </w:r>
      <w:r>
        <w:t>.</w:t>
      </w:r>
      <w:r>
        <w:rPr>
          <w:rFonts w:hint="eastAsia"/>
        </w:rPr>
        <w:t>产出时效</w:t>
      </w:r>
      <w:bookmarkEnd w:id="49"/>
    </w:p>
    <w:p w14:paraId="6F04E350">
      <w:pPr>
        <w:spacing w:line="360" w:lineRule="auto"/>
        <w:ind w:firstLine="562"/>
        <w:rPr>
          <w:rFonts w:ascii="仿宋_GB2312"/>
          <w:szCs w:val="28"/>
        </w:rPr>
      </w:pPr>
      <w:r>
        <w:rPr>
          <w:rFonts w:hint="eastAsia" w:ascii="仿宋_GB2312"/>
          <w:b/>
          <w:bCs/>
          <w:szCs w:val="28"/>
        </w:rPr>
        <w:t>补助发放及时率(%)：</w:t>
      </w:r>
      <w:r>
        <w:rPr>
          <w:rFonts w:hint="eastAsia" w:ascii="仿宋_GB2312"/>
          <w:lang w:eastAsia="zh-CN"/>
        </w:rPr>
        <w:t>2023 年5月按照《关于预拨新冠患者救治费用中央财政补助资金预算的通知》(乌财社〔2023〕117号)文件精神，为减轻我单位垫付资金压力，</w:t>
      </w:r>
      <w:r>
        <w:rPr>
          <w:rFonts w:hint="eastAsia" w:ascii="仿宋_GB2312"/>
          <w:lang w:val="en-US" w:eastAsia="zh-CN"/>
        </w:rPr>
        <w:t>已由</w:t>
      </w:r>
      <w:r>
        <w:rPr>
          <w:rFonts w:hint="eastAsia" w:ascii="仿宋_GB2312"/>
          <w:lang w:eastAsia="zh-CN"/>
        </w:rPr>
        <w:t>上级部门协助我院将该笔经费直接拨付我院基本账户。</w:t>
      </w:r>
      <w:r>
        <w:rPr>
          <w:rFonts w:hint="eastAsia" w:ascii="仿宋_GB2312"/>
          <w:lang w:val="en-US" w:eastAsia="zh-CN"/>
        </w:rPr>
        <w:t>于2024年12月25日将资金全部转入我院基本户，</w:t>
      </w:r>
      <w:r>
        <w:rPr>
          <w:rFonts w:hint="eastAsia" w:ascii="仿宋_GB2312"/>
          <w:szCs w:val="28"/>
        </w:rPr>
        <w:t>故完成及时性得分为</w:t>
      </w:r>
      <w:r>
        <w:rPr>
          <w:rFonts w:hint="eastAsia" w:ascii="仿宋_GB2312"/>
          <w:szCs w:val="28"/>
          <w:lang w:val="en-US" w:eastAsia="zh-CN"/>
        </w:rPr>
        <w:t>10</w:t>
      </w:r>
      <w:r>
        <w:rPr>
          <w:rFonts w:hint="eastAsia" w:ascii="仿宋_GB2312"/>
          <w:szCs w:val="28"/>
        </w:rPr>
        <w:t>分。</w:t>
      </w:r>
    </w:p>
    <w:p w14:paraId="76A8886E">
      <w:pPr>
        <w:pStyle w:val="3"/>
        <w:ind w:firstLine="643"/>
        <w:rPr>
          <w:rFonts w:hint="eastAsia" w:ascii="仿宋" w:hAnsi="仿宋" w:eastAsia="仿宋"/>
          <w:lang w:bidi="en-US"/>
        </w:rPr>
      </w:pPr>
      <w:bookmarkStart w:id="50" w:name="_Toc67911615"/>
      <w:bookmarkStart w:id="51" w:name="_Toc165277253"/>
      <w:r>
        <w:rPr>
          <w:rFonts w:hint="eastAsia" w:ascii="仿宋" w:hAnsi="仿宋" w:eastAsia="仿宋"/>
          <w:lang w:bidi="en-US"/>
        </w:rPr>
        <w:t>（四）产出成本情况</w:t>
      </w:r>
      <w:bookmarkEnd w:id="50"/>
      <w:bookmarkEnd w:id="51"/>
    </w:p>
    <w:p w14:paraId="2C3746EF">
      <w:pPr>
        <w:spacing w:line="360" w:lineRule="auto"/>
        <w:ind w:firstLine="560"/>
        <w:rPr>
          <w:rFonts w:ascii="仿宋_GB2312"/>
          <w:szCs w:val="28"/>
        </w:rPr>
      </w:pPr>
      <w:r>
        <w:rPr>
          <w:rFonts w:hint="eastAsia" w:ascii="仿宋_GB2312"/>
          <w:bCs/>
          <w:szCs w:val="28"/>
        </w:rPr>
        <w:t>本项目</w:t>
      </w:r>
      <w:r>
        <w:rPr>
          <w:rFonts w:hint="eastAsia" w:ascii="仿宋_GB2312"/>
          <w:bCs/>
          <w:szCs w:val="28"/>
          <w:lang w:eastAsia="zh-CN"/>
        </w:rPr>
        <w:t>成本指标为</w:t>
      </w:r>
      <w:r>
        <w:rPr>
          <w:rFonts w:hint="eastAsia" w:ascii="仿宋_GB2312"/>
          <w:bCs/>
          <w:szCs w:val="28"/>
          <w:lang w:val="en-US" w:eastAsia="zh-CN"/>
        </w:rPr>
        <w:t>3项，三级指标：铁路局院区拨款金额目标值小于等于7.76万元、北门院区拨款金额目标值小于等于1.22万元、城北院区拨款金额目标值小于等于207.08万元，均是根据文件要求确立，</w:t>
      </w:r>
      <w:r>
        <w:rPr>
          <w:rFonts w:hint="eastAsia" w:ascii="仿宋_GB2312"/>
          <w:bCs/>
          <w:szCs w:val="28"/>
        </w:rPr>
        <w:t>实际支出</w:t>
      </w:r>
      <w:r>
        <w:rPr>
          <w:rFonts w:hint="eastAsia" w:ascii="仿宋_GB2312"/>
          <w:bCs/>
          <w:szCs w:val="28"/>
          <w:lang w:val="en-US" w:eastAsia="zh-CN"/>
        </w:rPr>
        <w:t>216.06</w:t>
      </w:r>
      <w:r>
        <w:rPr>
          <w:rFonts w:hint="eastAsia" w:ascii="仿宋_GB2312"/>
          <w:bCs/>
          <w:szCs w:val="28"/>
        </w:rPr>
        <w:t>万元，无超支情况，项目资金全部完成，</w:t>
      </w:r>
      <w:r>
        <w:rPr>
          <w:rFonts w:hint="eastAsia" w:ascii="仿宋_GB2312"/>
          <w:szCs w:val="28"/>
        </w:rPr>
        <w:t>权重为</w:t>
      </w:r>
      <w:r>
        <w:rPr>
          <w:rFonts w:hint="eastAsia" w:ascii="仿宋_GB2312"/>
          <w:szCs w:val="28"/>
          <w:lang w:val="en-US" w:eastAsia="zh-CN"/>
        </w:rPr>
        <w:t>10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p>
    <w:p w14:paraId="704643DB">
      <w:pPr>
        <w:pStyle w:val="4"/>
        <w:ind w:firstLine="643"/>
      </w:pPr>
      <w:bookmarkStart w:id="52" w:name="_Toc165277252"/>
      <w:r>
        <w:rPr>
          <w:rFonts w:hint="eastAsia"/>
        </w:rPr>
        <w:t>1．经济成本</w:t>
      </w:r>
      <w:bookmarkEnd w:id="52"/>
    </w:p>
    <w:p w14:paraId="52A61D85">
      <w:pPr>
        <w:spacing w:line="360" w:lineRule="auto"/>
        <w:ind w:firstLine="562"/>
        <w:rPr>
          <w:rFonts w:ascii="仿宋_GB2312"/>
          <w:b/>
          <w:bCs/>
          <w:szCs w:val="28"/>
        </w:rPr>
      </w:pPr>
      <w:r>
        <w:rPr>
          <w:rFonts w:hint="eastAsia" w:ascii="仿宋_GB2312"/>
          <w:b/>
          <w:bCs/>
          <w:szCs w:val="28"/>
        </w:rPr>
        <w:t>项目预算控制率：</w:t>
      </w:r>
      <w:r>
        <w:rPr>
          <w:rFonts w:hint="eastAsia" w:ascii="仿宋_GB2312"/>
          <w:bCs/>
          <w:szCs w:val="28"/>
        </w:rPr>
        <w:t>本项目实际支出</w:t>
      </w:r>
      <w:r>
        <w:rPr>
          <w:rFonts w:hint="eastAsia" w:ascii="仿宋_GB2312"/>
          <w:bCs/>
          <w:szCs w:val="28"/>
          <w:lang w:val="en-US" w:eastAsia="zh-CN"/>
        </w:rPr>
        <w:t>216.06</w:t>
      </w:r>
      <w:r>
        <w:rPr>
          <w:rFonts w:hint="eastAsia" w:ascii="仿宋_GB2312"/>
          <w:bCs/>
          <w:szCs w:val="28"/>
        </w:rPr>
        <w:t>万元，无超支情况，项目资金全部完成，得分为</w:t>
      </w:r>
      <w:r>
        <w:rPr>
          <w:rFonts w:hint="eastAsia" w:ascii="仿宋_GB2312"/>
          <w:bCs/>
          <w:szCs w:val="28"/>
          <w:lang w:val="en-US" w:eastAsia="zh-CN"/>
        </w:rPr>
        <w:t>10分</w:t>
      </w:r>
      <w:r>
        <w:rPr>
          <w:rFonts w:ascii="仿宋_GB2312"/>
          <w:bCs/>
          <w:szCs w:val="28"/>
        </w:rPr>
        <w:t>。</w:t>
      </w:r>
    </w:p>
    <w:p w14:paraId="4C263183">
      <w:pPr>
        <w:pStyle w:val="3"/>
        <w:ind w:firstLine="643"/>
        <w:rPr>
          <w:rFonts w:ascii="仿宋" w:hAnsi="仿宋" w:eastAsia="仿宋"/>
          <w:lang w:bidi="en-US"/>
        </w:rPr>
      </w:pPr>
      <w:r>
        <w:rPr>
          <w:rFonts w:ascii="仿宋" w:hAnsi="仿宋" w:eastAsia="仿宋"/>
          <w:lang w:bidi="en-US"/>
        </w:rPr>
        <w:t>（五）项目效益</w:t>
      </w:r>
    </w:p>
    <w:p w14:paraId="189BDA92">
      <w:pPr>
        <w:spacing w:line="360" w:lineRule="auto"/>
        <w:ind w:firstLine="560"/>
        <w:rPr>
          <w:rFonts w:ascii="仿宋_GB2312"/>
          <w:szCs w:val="28"/>
        </w:rPr>
      </w:pPr>
      <w:r>
        <w:rPr>
          <w:rFonts w:hint="eastAsia" w:ascii="仿宋_GB2312"/>
          <w:szCs w:val="28"/>
        </w:rPr>
        <w:t>项目效益指标由</w:t>
      </w:r>
      <w:r>
        <w:rPr>
          <w:rFonts w:hint="eastAsia" w:ascii="仿宋_GB2312"/>
          <w:szCs w:val="28"/>
          <w:lang w:val="en-US" w:eastAsia="zh-CN"/>
        </w:rPr>
        <w:t>1</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r>
        <w:rPr>
          <w:rFonts w:ascii="仿宋_GB2312"/>
          <w:szCs w:val="28"/>
        </w:rPr>
        <w:t xml:space="preserve"> </w:t>
      </w:r>
    </w:p>
    <w:p w14:paraId="4DAF2284">
      <w:pPr>
        <w:spacing w:line="360" w:lineRule="auto"/>
        <w:ind w:firstLine="562"/>
        <w:rPr>
          <w:rFonts w:ascii="仿宋_GB2312"/>
          <w:b/>
          <w:bCs/>
          <w:szCs w:val="28"/>
        </w:rPr>
      </w:pPr>
      <w:r>
        <w:rPr>
          <w:rFonts w:hint="eastAsia" w:ascii="仿宋_GB2312"/>
          <w:b/>
          <w:bCs/>
          <w:szCs w:val="28"/>
        </w:rPr>
        <w:t>（1）实施效益</w:t>
      </w:r>
    </w:p>
    <w:p w14:paraId="64D993A9">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7A599C73">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：评价指标“减轻医疗机构垫付压力”，指标值：</w:t>
      </w:r>
      <w:r>
        <w:rPr>
          <w:rFonts w:hint="eastAsia" w:ascii="仿宋_GB2312"/>
          <w:szCs w:val="28"/>
          <w:lang w:val="en-US" w:eastAsia="zh-CN"/>
        </w:rPr>
        <w:t>有效减轻</w:t>
      </w:r>
      <w:r>
        <w:rPr>
          <w:rFonts w:hint="eastAsia" w:ascii="仿宋_GB2312"/>
          <w:szCs w:val="28"/>
        </w:rPr>
        <w:t>，实际完成值：达成年度指标。本项目的实施</w:t>
      </w:r>
      <w:r>
        <w:rPr>
          <w:rFonts w:hint="eastAsia" w:ascii="仿宋_GB2312"/>
          <w:lang w:eastAsia="zh-CN"/>
        </w:rPr>
        <w:t>2023 年5月按照《关于预拨新冠患者救治费用中央财政补助资金预算的通知》(乌财社〔2023〕117号)文件精神，为减轻我单位垫付资金压力，</w:t>
      </w:r>
      <w:r>
        <w:rPr>
          <w:rFonts w:hint="eastAsia" w:ascii="仿宋_GB2312"/>
          <w:lang w:val="en-US" w:eastAsia="zh-CN"/>
        </w:rPr>
        <w:t>已由</w:t>
      </w:r>
      <w:r>
        <w:rPr>
          <w:rFonts w:hint="eastAsia" w:ascii="仿宋_GB2312"/>
          <w:lang w:eastAsia="zh-CN"/>
        </w:rPr>
        <w:t>上级部门协助我院将该笔经费直接拨付我院基本账户。</w:t>
      </w:r>
    </w:p>
    <w:p w14:paraId="708D1219">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4534794C">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2</w:t>
      </w:r>
      <w:r>
        <w:rPr>
          <w:rFonts w:ascii="仿宋_GB2312" w:hAnsi="仿宋" w:cs="宋体"/>
          <w:b/>
          <w:kern w:val="0"/>
          <w:szCs w:val="28"/>
        </w:rPr>
        <w:t>0</w:t>
      </w:r>
      <w:r>
        <w:rPr>
          <w:rFonts w:hint="eastAsia" w:ascii="仿宋_GB2312" w:hAnsi="仿宋" w:cs="宋体"/>
          <w:b/>
          <w:kern w:val="0"/>
          <w:szCs w:val="28"/>
        </w:rPr>
        <w:t>分，得分</w:t>
      </w:r>
      <w:r>
        <w:rPr>
          <w:rFonts w:hint="eastAsia" w:ascii="仿宋_GB2312" w:hAnsi="仿宋" w:cs="宋体"/>
          <w:b/>
          <w:kern w:val="0"/>
          <w:szCs w:val="28"/>
          <w:lang w:val="en-US" w:eastAsia="zh-CN"/>
        </w:rPr>
        <w:t>20</w:t>
      </w:r>
      <w:r>
        <w:rPr>
          <w:rFonts w:hint="eastAsia" w:ascii="仿宋_GB2312" w:hAnsi="仿宋" w:cs="宋体"/>
          <w:b/>
          <w:kern w:val="0"/>
          <w:szCs w:val="28"/>
        </w:rPr>
        <w:t>分。</w:t>
      </w:r>
    </w:p>
    <w:p w14:paraId="32347CFE">
      <w:pPr>
        <w:pStyle w:val="3"/>
        <w:ind w:firstLine="643"/>
        <w:rPr>
          <w:rFonts w:ascii="仿宋" w:hAnsi="仿宋" w:eastAsia="仿宋"/>
          <w:lang w:bidi="en-US"/>
        </w:rPr>
      </w:pPr>
      <w:bookmarkStart w:id="53" w:name="_Toc165277255"/>
      <w:r>
        <w:rPr>
          <w:rFonts w:hint="eastAsia" w:ascii="仿宋" w:hAnsi="仿宋" w:eastAsia="仿宋"/>
          <w:lang w:bidi="en-US"/>
        </w:rPr>
        <w:t>（六）</w:t>
      </w:r>
      <w:r>
        <w:rPr>
          <w:rFonts w:ascii="仿宋" w:hAnsi="仿宋" w:eastAsia="仿宋"/>
          <w:lang w:bidi="en-US"/>
        </w:rPr>
        <w:t>满意度指标完成情况分析</w:t>
      </w:r>
      <w:bookmarkEnd w:id="53"/>
    </w:p>
    <w:p w14:paraId="628A75EE">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088C7198">
      <w:pPr>
        <w:spacing w:line="360" w:lineRule="auto"/>
        <w:ind w:firstLine="562"/>
        <w:rPr>
          <w:rFonts w:ascii="仿宋_GB2312"/>
          <w:szCs w:val="28"/>
        </w:rPr>
      </w:pPr>
      <w:r>
        <w:rPr>
          <w:rFonts w:hint="eastAsia" w:ascii="仿宋_GB2312"/>
          <w:b/>
          <w:bCs/>
          <w:szCs w:val="28"/>
          <w:lang w:val="en-US" w:eastAsia="zh-CN"/>
        </w:rPr>
        <w:t>本项目无满意度指标，</w:t>
      </w:r>
      <w:r>
        <w:rPr>
          <w:rFonts w:hint="eastAsia" w:ascii="仿宋_GB2312"/>
          <w:szCs w:val="28"/>
        </w:rPr>
        <w:t>故满意度指标得分为</w:t>
      </w:r>
      <w:r>
        <w:rPr>
          <w:rFonts w:hint="eastAsia" w:ascii="仿宋_GB2312"/>
          <w:szCs w:val="28"/>
          <w:lang w:val="en-US" w:eastAsia="zh-CN"/>
        </w:rPr>
        <w:t>0</w:t>
      </w:r>
      <w:r>
        <w:rPr>
          <w:rFonts w:hint="eastAsia" w:ascii="仿宋_GB2312"/>
          <w:szCs w:val="28"/>
        </w:rPr>
        <w:t>分。</w:t>
      </w:r>
    </w:p>
    <w:p w14:paraId="393AF822">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0</w:t>
      </w:r>
      <w:r>
        <w:rPr>
          <w:rFonts w:hint="eastAsia" w:ascii="仿宋_GB2312" w:hAnsi="仿宋" w:cs="宋体"/>
          <w:b/>
          <w:kern w:val="0"/>
          <w:szCs w:val="28"/>
        </w:rPr>
        <w:t>分，得分</w:t>
      </w:r>
      <w:r>
        <w:rPr>
          <w:rFonts w:hint="eastAsia" w:ascii="仿宋_GB2312" w:hAnsi="仿宋" w:cs="宋体"/>
          <w:b/>
          <w:kern w:val="0"/>
          <w:szCs w:val="28"/>
          <w:lang w:val="en-US" w:eastAsia="zh-CN"/>
        </w:rPr>
        <w:t>0</w:t>
      </w:r>
      <w:r>
        <w:rPr>
          <w:rFonts w:hint="eastAsia" w:ascii="仿宋_GB2312" w:hAnsi="仿宋" w:cs="宋体"/>
          <w:b/>
          <w:kern w:val="0"/>
          <w:szCs w:val="28"/>
        </w:rPr>
        <w:t>分。</w:t>
      </w:r>
    </w:p>
    <w:p w14:paraId="17DED1CF">
      <w:pPr>
        <w:pStyle w:val="2"/>
        <w:ind w:firstLine="0" w:firstLineChars="0"/>
        <w:jc w:val="left"/>
        <w:rPr>
          <w:rFonts w:ascii="仿宋" w:hAnsi="仿宋" w:eastAsia="仿宋"/>
          <w:sz w:val="36"/>
          <w:szCs w:val="36"/>
          <w:lang w:bidi="en-US"/>
        </w:rPr>
      </w:pPr>
      <w:bookmarkStart w:id="54" w:name="_Toc67911617"/>
      <w:bookmarkStart w:id="55" w:name="_Toc165277256"/>
      <w:r>
        <w:rPr>
          <w:rFonts w:hint="eastAsia" w:ascii="仿宋" w:hAnsi="仿宋" w:eastAsia="仿宋"/>
          <w:sz w:val="36"/>
          <w:szCs w:val="36"/>
          <w:lang w:bidi="en-US"/>
        </w:rPr>
        <w:t>五、主要经验及做法、存在的问题及原因分析</w:t>
      </w:r>
      <w:bookmarkEnd w:id="54"/>
      <w:bookmarkEnd w:id="55"/>
    </w:p>
    <w:p w14:paraId="04AAD2FC">
      <w:pPr>
        <w:pStyle w:val="3"/>
        <w:ind w:firstLine="643"/>
        <w:rPr>
          <w:rFonts w:ascii="仿宋" w:hAnsi="仿宋" w:eastAsia="仿宋"/>
          <w:lang w:bidi="en-US"/>
        </w:rPr>
      </w:pPr>
      <w:bookmarkStart w:id="56" w:name="_Toc165277258"/>
      <w:r>
        <w:rPr>
          <w:rFonts w:hint="eastAsia" w:ascii="仿宋" w:hAnsi="仿宋" w:eastAsia="仿宋"/>
          <w:lang w:bidi="en-US"/>
        </w:rPr>
        <w:t>（一）主要经验及做法</w:t>
      </w:r>
    </w:p>
    <w:p w14:paraId="113179D0">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（1）从项目决策来看，本项目的实施符合发展政策和公共财政支持的方向和重点，绩效目标的设置也较为完整、明确、合理。</w:t>
      </w:r>
    </w:p>
    <w:p w14:paraId="4F4A9961">
      <w:pPr>
        <w:spacing w:line="360" w:lineRule="auto"/>
        <w:ind w:firstLine="560"/>
        <w:rPr>
          <w:rFonts w:hint="eastAsia"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（2）从项目管理来看，本项目资金使用合理、合规，不存在 挤占、挪用、截留等情况。本项目资金的使用符合《关于预拨新冠患者救治费用中央财政补助资金预算的通知》(乌财社〔2023〕117号)以及《乌鲁木齐市财政专项资金使用跟踪反馈管理暂行办法》(乌财预〔2018〕41号)专项资金管理办法的规定。同时，资金的拨付有各医疗机构前期申报情况和市医保局统计结果及分配方案，按照自治区财政厅《关于预拨新冠患者救治费用中央财政补助资金的通知》(新财社〔2023〕44号)，审批程序，需要经上级卫生健康部门审核完毕，并由各级卫生健康部门报同级市医保局、财政部门审定完成，</w:t>
      </w:r>
      <w:r>
        <w:rPr>
          <w:rFonts w:hint="eastAsia" w:ascii="仿宋_GB2312"/>
          <w:lang w:eastAsia="zh-CN"/>
        </w:rPr>
        <w:t>为减轻我单位垫付资金压力，</w:t>
      </w:r>
      <w:r>
        <w:rPr>
          <w:rFonts w:hint="eastAsia" w:ascii="仿宋_GB2312"/>
          <w:lang w:val="en-US" w:eastAsia="zh-CN"/>
        </w:rPr>
        <w:t>已由</w:t>
      </w:r>
      <w:r>
        <w:rPr>
          <w:rFonts w:hint="eastAsia" w:ascii="仿宋_GB2312"/>
          <w:lang w:eastAsia="zh-CN"/>
        </w:rPr>
        <w:t>上级部门协助我院将该笔经费直接拨付我院基本账户。</w:t>
      </w:r>
    </w:p>
    <w:p w14:paraId="6622ABC7">
      <w:pPr>
        <w:spacing w:line="360" w:lineRule="auto"/>
        <w:ind w:left="0" w:leftChars="0" w:firstLine="560" w:firstLineChars="200"/>
        <w:rPr>
          <w:rFonts w:hint="default" w:ascii="仿宋_GB2312" w:hAnsi="Calibri" w:eastAsia="仿宋_GB2312" w:cs="黑体"/>
          <w:b w:val="0"/>
          <w:bCs w:val="0"/>
          <w:kern w:val="2"/>
          <w:sz w:val="28"/>
          <w:szCs w:val="28"/>
          <w:lang w:val="en-US" w:eastAsia="zh-CN" w:bidi="ar-SA"/>
        </w:rPr>
      </w:pPr>
      <w:r>
        <w:rPr>
          <w:rFonts w:hint="eastAsia" w:ascii="仿宋_GB2312" w:hAnsi="Calibri" w:eastAsia="仿宋_GB2312" w:cs="黑体"/>
          <w:b w:val="0"/>
          <w:bCs w:val="0"/>
          <w:kern w:val="2"/>
          <w:sz w:val="28"/>
          <w:szCs w:val="28"/>
          <w:lang w:val="en-US" w:eastAsia="zh-CN" w:bidi="ar-SA"/>
        </w:rPr>
        <w:t>（3）从项目绩效来看，</w:t>
      </w:r>
      <w:r>
        <w:rPr>
          <w:rFonts w:hint="eastAsia" w:ascii="仿宋_GB2312"/>
          <w:highlight w:val="none"/>
          <w:lang w:eastAsia="zh-CN"/>
        </w:rPr>
        <w:t>我单位</w:t>
      </w:r>
      <w:r>
        <w:rPr>
          <w:rFonts w:hint="eastAsia" w:ascii="仿宋_GB2312"/>
          <w:bCs/>
          <w:szCs w:val="28"/>
        </w:rPr>
        <w:t>“患者人数”的目标值是</w:t>
      </w:r>
      <w:r>
        <w:rPr>
          <w:rFonts w:hint="eastAsia" w:ascii="仿宋_GB2312"/>
          <w:bCs/>
          <w:szCs w:val="28"/>
          <w:lang w:val="en-US" w:eastAsia="zh-CN"/>
        </w:rPr>
        <w:t>2868人</w:t>
      </w:r>
      <w:r>
        <w:rPr>
          <w:rFonts w:hint="eastAsia" w:ascii="仿宋_GB2312"/>
          <w:bCs/>
          <w:szCs w:val="28"/>
        </w:rPr>
        <w:t>，2024</w:t>
      </w:r>
      <w:r>
        <w:rPr>
          <w:rFonts w:ascii="仿宋_GB2312"/>
          <w:bCs/>
          <w:szCs w:val="28"/>
        </w:rPr>
        <w:t>年度我单位实际完成</w:t>
      </w:r>
      <w:r>
        <w:rPr>
          <w:rFonts w:hint="eastAsia" w:ascii="仿宋_GB2312"/>
          <w:bCs/>
          <w:szCs w:val="28"/>
          <w:lang w:val="en-US" w:eastAsia="zh-CN"/>
        </w:rPr>
        <w:t>2868人</w:t>
      </w:r>
      <w:r>
        <w:rPr>
          <w:rFonts w:hint="eastAsia" w:ascii="仿宋_GB2312"/>
          <w:bCs/>
          <w:szCs w:val="28"/>
        </w:rPr>
        <w:t>，</w:t>
      </w:r>
      <w:r>
        <w:rPr>
          <w:rFonts w:hint="eastAsia" w:ascii="仿宋_GB2312"/>
          <w:bCs/>
          <w:szCs w:val="28"/>
          <w:lang w:val="en-US" w:eastAsia="zh-CN"/>
        </w:rPr>
        <w:t>质量指标：</w:t>
      </w:r>
      <w:r>
        <w:rPr>
          <w:rFonts w:hint="eastAsia" w:ascii="仿宋_GB2312"/>
          <w:bCs/>
          <w:szCs w:val="28"/>
        </w:rPr>
        <w:t>补助发放准确率(%)</w:t>
      </w:r>
      <w:r>
        <w:rPr>
          <w:rFonts w:hint="eastAsia" w:ascii="仿宋_GB2312"/>
          <w:bCs/>
          <w:szCs w:val="28"/>
          <w:lang w:eastAsia="zh-CN"/>
        </w:rPr>
        <w:t>，</w:t>
      </w:r>
      <w:r>
        <w:rPr>
          <w:rFonts w:hint="eastAsia" w:ascii="仿宋_GB2312"/>
          <w:bCs/>
          <w:szCs w:val="28"/>
          <w:lang w:val="en-US" w:eastAsia="zh-CN"/>
        </w:rPr>
        <w:t>时效指标：</w:t>
      </w:r>
      <w:r>
        <w:rPr>
          <w:rFonts w:hint="eastAsia" w:ascii="仿宋_GB2312"/>
          <w:bCs/>
          <w:szCs w:val="28"/>
        </w:rPr>
        <w:t>补助发放及时率(%)</w:t>
      </w:r>
      <w:r>
        <w:rPr>
          <w:rFonts w:hint="eastAsia" w:ascii="仿宋_GB2312"/>
          <w:bCs/>
          <w:szCs w:val="28"/>
          <w:lang w:eastAsia="zh-CN"/>
        </w:rPr>
        <w:t>，</w:t>
      </w:r>
      <w:r>
        <w:rPr>
          <w:rFonts w:hint="eastAsia" w:ascii="仿宋_GB2312"/>
          <w:bCs/>
          <w:szCs w:val="28"/>
          <w:lang w:val="en-US" w:eastAsia="zh-CN"/>
        </w:rPr>
        <w:t>经济成本指标：铁路局院区拨款金额目标值小于等于7.76万元、北门院区拨款金额目标值小于等于1.22万元、城北院区拨款金额目标值小于等于207.08万元，均是根据文件要求确立，</w:t>
      </w:r>
      <w:r>
        <w:rPr>
          <w:rFonts w:hint="eastAsia" w:ascii="仿宋_GB2312"/>
          <w:bCs/>
          <w:szCs w:val="28"/>
        </w:rPr>
        <w:t>实际支出</w:t>
      </w:r>
      <w:r>
        <w:rPr>
          <w:rFonts w:hint="eastAsia" w:ascii="仿宋_GB2312"/>
          <w:bCs/>
          <w:szCs w:val="28"/>
          <w:lang w:val="en-US" w:eastAsia="zh-CN"/>
        </w:rPr>
        <w:t>216.06</w:t>
      </w:r>
      <w:r>
        <w:rPr>
          <w:rFonts w:hint="eastAsia" w:ascii="仿宋_GB2312"/>
          <w:bCs/>
          <w:szCs w:val="28"/>
        </w:rPr>
        <w:t>万元，</w:t>
      </w:r>
      <w:r>
        <w:rPr>
          <w:rFonts w:hint="eastAsia" w:ascii="仿宋_GB2312"/>
          <w:bCs/>
          <w:szCs w:val="28"/>
          <w:lang w:val="en-US" w:eastAsia="zh-CN"/>
        </w:rPr>
        <w:t>社会效益指标：减轻医疗机构垫付压力，经过上级部门协助，我单位该项资金已转入基本户，切实缓解了我院的垫付资金压力。</w:t>
      </w:r>
    </w:p>
    <w:p w14:paraId="057E8A97">
      <w:pPr>
        <w:pStyle w:val="3"/>
        <w:ind w:firstLine="643"/>
        <w:rPr>
          <w:rFonts w:ascii="仿宋" w:hAnsi="仿宋" w:eastAsia="仿宋"/>
          <w:lang w:bidi="en-US"/>
        </w:rPr>
      </w:pPr>
      <w:r>
        <w:rPr>
          <w:rFonts w:hint="eastAsia" w:ascii="仿宋" w:hAnsi="仿宋" w:eastAsia="仿宋"/>
          <w:lang w:bidi="en-US"/>
        </w:rPr>
        <w:t>（二）存在的问题及原因分析</w:t>
      </w:r>
      <w:bookmarkEnd w:id="56"/>
    </w:p>
    <w:p w14:paraId="31E2DB5A">
      <w:pPr>
        <w:spacing w:line="360" w:lineRule="auto"/>
        <w:ind w:left="0" w:leftChars="0" w:firstLine="560" w:firstLineChars="200"/>
        <w:rPr>
          <w:rFonts w:hint="default" w:ascii="仿宋_GB2312"/>
          <w:bCs/>
          <w:szCs w:val="28"/>
          <w:lang w:val="en-US" w:eastAsia="zh-CN"/>
        </w:rPr>
      </w:pPr>
      <w:r>
        <w:rPr>
          <w:rFonts w:hint="eastAsia" w:ascii="仿宋_GB2312"/>
          <w:bCs/>
          <w:szCs w:val="28"/>
          <w:lang w:val="en-US" w:eastAsia="zh-CN"/>
        </w:rPr>
        <w:t>本项目存在的问题是资金垫付时间较长，本次拨付资金并非全额，申请资金划转的流程较为繁琐，资金支付时间的周期较长。</w:t>
      </w:r>
    </w:p>
    <w:p w14:paraId="1A405C34">
      <w:pPr>
        <w:pStyle w:val="2"/>
        <w:numPr>
          <w:ilvl w:val="0"/>
          <w:numId w:val="1"/>
        </w:numPr>
        <w:ind w:firstLine="0" w:firstLineChars="0"/>
        <w:jc w:val="left"/>
        <w:rPr>
          <w:rFonts w:ascii="仿宋" w:hAnsi="仿宋" w:eastAsia="仿宋"/>
          <w:sz w:val="36"/>
          <w:szCs w:val="36"/>
          <w:lang w:bidi="en-US"/>
        </w:rPr>
      </w:pPr>
      <w:bookmarkStart w:id="57" w:name="_Toc165277259"/>
      <w:bookmarkStart w:id="58" w:name="_Toc67911620"/>
      <w:bookmarkStart w:id="59" w:name="_Toc67911619"/>
      <w:r>
        <w:rPr>
          <w:rFonts w:hint="eastAsia" w:ascii="仿宋" w:hAnsi="仿宋" w:eastAsia="仿宋"/>
          <w:sz w:val="36"/>
          <w:szCs w:val="36"/>
          <w:lang w:bidi="en-US"/>
        </w:rPr>
        <w:t>有关建议</w:t>
      </w:r>
      <w:bookmarkEnd w:id="57"/>
      <w:bookmarkEnd w:id="58"/>
    </w:p>
    <w:p w14:paraId="5825C3D8">
      <w:pPr>
        <w:spacing w:line="560" w:lineRule="exact"/>
        <w:ind w:firstLine="560" w:firstLineChars="200"/>
        <w:rPr>
          <w:rFonts w:hint="eastAsia" w:ascii="仿宋_GB2312" w:hAnsi="Calibri" w:eastAsia="仿宋_GB2312" w:cs="黑体"/>
          <w:b w:val="0"/>
          <w:bCs w:val="0"/>
          <w:kern w:val="2"/>
          <w:sz w:val="28"/>
          <w:szCs w:val="28"/>
          <w:lang w:val="en-US" w:eastAsia="zh-Hans" w:bidi="ar-SA"/>
        </w:rPr>
      </w:pPr>
      <w:r>
        <w:rPr>
          <w:rFonts w:hint="eastAsia" w:ascii="仿宋_GB2312" w:hAnsi="Calibri" w:eastAsia="仿宋_GB2312" w:cs="黑体"/>
          <w:b w:val="0"/>
          <w:bCs w:val="0"/>
          <w:kern w:val="2"/>
          <w:sz w:val="28"/>
          <w:szCs w:val="28"/>
          <w:lang w:val="en-US" w:eastAsia="zh-Hans" w:bidi="ar-SA"/>
        </w:rPr>
        <w:t>1</w:t>
      </w:r>
      <w:r>
        <w:rPr>
          <w:rFonts w:hint="eastAsia" w:ascii="仿宋_GB2312" w:hAnsi="Calibri" w:eastAsia="仿宋_GB2312" w:cs="黑体"/>
          <w:b w:val="0"/>
          <w:bCs w:val="0"/>
          <w:kern w:val="2"/>
          <w:sz w:val="28"/>
          <w:szCs w:val="28"/>
          <w:lang w:val="en-US" w:eastAsia="zh-CN" w:bidi="ar-SA"/>
        </w:rPr>
        <w:t>.</w:t>
      </w:r>
      <w:r>
        <w:rPr>
          <w:rFonts w:hint="eastAsia" w:ascii="仿宋_GB2312" w:hAnsi="Calibri" w:eastAsia="仿宋_GB2312" w:cs="黑体"/>
          <w:b w:val="0"/>
          <w:bCs w:val="0"/>
          <w:kern w:val="2"/>
          <w:sz w:val="28"/>
          <w:szCs w:val="28"/>
          <w:lang w:val="en-US" w:eastAsia="zh-Hans" w:bidi="ar-SA"/>
        </w:rPr>
        <w:t>建章立制，强化专项资金的监督。要对项目实施和资金使用进行全程跟踪监督，督促项目实施 部门加强管理，定期报告资金使用情况和项目实施情况，增加项目资金使用的透明度。同时，要建立 长期有效的专项资金监督管理新体系，确保专项资金用到实处，实现效益最大化。</w:t>
      </w:r>
      <w:r>
        <w:rPr>
          <w:rFonts w:hint="eastAsia" w:ascii="仿宋_GB2312" w:hAnsi="Calibri" w:eastAsia="仿宋_GB2312" w:cs="黑体"/>
          <w:b w:val="0"/>
          <w:bCs w:val="0"/>
          <w:kern w:val="2"/>
          <w:sz w:val="28"/>
          <w:szCs w:val="28"/>
          <w:lang w:val="en-US" w:eastAsia="zh-Hans" w:bidi="ar-SA"/>
        </w:rPr>
        <w:br w:type="textWrapping"/>
      </w:r>
      <w:r>
        <w:rPr>
          <w:rFonts w:hint="eastAsia" w:ascii="仿宋_GB2312" w:hAnsi="Calibri" w:eastAsia="仿宋_GB2312" w:cs="黑体"/>
          <w:b w:val="0"/>
          <w:bCs w:val="0"/>
          <w:kern w:val="2"/>
          <w:sz w:val="28"/>
          <w:szCs w:val="28"/>
          <w:lang w:val="en-US" w:eastAsia="zh-CN" w:bidi="ar-SA"/>
        </w:rPr>
        <w:t xml:space="preserve">    </w:t>
      </w:r>
      <w:r>
        <w:rPr>
          <w:rFonts w:hint="eastAsia" w:ascii="仿宋_GB2312" w:hAnsi="Calibri" w:eastAsia="仿宋_GB2312" w:cs="黑体"/>
          <w:b w:val="0"/>
          <w:bCs w:val="0"/>
          <w:kern w:val="2"/>
          <w:sz w:val="28"/>
          <w:szCs w:val="28"/>
          <w:lang w:val="en-US" w:eastAsia="zh-Hans" w:bidi="ar-SA"/>
        </w:rPr>
        <w:t>2</w:t>
      </w:r>
      <w:r>
        <w:rPr>
          <w:rFonts w:hint="eastAsia" w:ascii="仿宋_GB2312" w:hAnsi="Calibri" w:eastAsia="仿宋_GB2312" w:cs="黑体"/>
          <w:b w:val="0"/>
          <w:bCs w:val="0"/>
          <w:kern w:val="2"/>
          <w:sz w:val="28"/>
          <w:szCs w:val="28"/>
          <w:lang w:val="en-US" w:eastAsia="zh-CN" w:bidi="ar-SA"/>
        </w:rPr>
        <w:t>.</w:t>
      </w:r>
      <w:r>
        <w:rPr>
          <w:rFonts w:hint="eastAsia" w:ascii="仿宋_GB2312" w:hAnsi="Calibri" w:eastAsia="仿宋_GB2312" w:cs="黑体"/>
          <w:b w:val="0"/>
          <w:bCs w:val="0"/>
          <w:kern w:val="2"/>
          <w:sz w:val="28"/>
          <w:szCs w:val="28"/>
          <w:lang w:val="en-US" w:eastAsia="zh-Hans" w:bidi="ar-SA"/>
        </w:rPr>
        <w:t>制定项目实施方案。明确相关科室在专项资金使用、管理中的分工，建立项目申报、招投标、 实施、采购、验收，评价等一系列实施流程，并严格执行。所有项目资金从分配到使用都要明确，做 到资金、项目、文号对应，归档备查，以明确资金流向和使用情况，防止截留、挪用现象的发生。</w:t>
      </w:r>
      <w:r>
        <w:rPr>
          <w:rFonts w:hint="eastAsia" w:ascii="仿宋_GB2312" w:hAnsi="Calibri" w:eastAsia="仿宋_GB2312" w:cs="黑体"/>
          <w:b w:val="0"/>
          <w:bCs w:val="0"/>
          <w:kern w:val="2"/>
          <w:sz w:val="28"/>
          <w:szCs w:val="28"/>
          <w:lang w:val="en-US" w:eastAsia="zh-Hans" w:bidi="ar-SA"/>
        </w:rPr>
        <w:cr/>
      </w:r>
      <w:r>
        <w:rPr>
          <w:rFonts w:hint="eastAsia" w:ascii="仿宋_GB2312" w:hAnsi="Calibri" w:eastAsia="仿宋_GB2312" w:cs="黑体"/>
          <w:b w:val="0"/>
          <w:bCs w:val="0"/>
          <w:kern w:val="2"/>
          <w:sz w:val="28"/>
          <w:szCs w:val="28"/>
          <w:lang w:val="en-US" w:eastAsia="zh-CN" w:bidi="ar-SA"/>
        </w:rPr>
        <w:t xml:space="preserve">    </w:t>
      </w:r>
      <w:r>
        <w:rPr>
          <w:rFonts w:hint="eastAsia" w:ascii="仿宋_GB2312" w:hAnsi="Calibri" w:eastAsia="仿宋_GB2312" w:cs="黑体"/>
          <w:b w:val="0"/>
          <w:bCs w:val="0"/>
          <w:kern w:val="2"/>
          <w:sz w:val="28"/>
          <w:szCs w:val="28"/>
          <w:lang w:val="en-US" w:eastAsia="zh-Hans" w:bidi="ar-SA"/>
        </w:rPr>
        <w:t>3.要对专项资金项目投入、产出进行公正和客观的评价，需要全面、综合地衡量上述指标。评价科要对相关数量指标进行详细的定量计算，并根据统一计算方法对专项资金支出情况进行分析。对专项资金项目评价目标进行分解，综合运用各类指标、权值、基础性数据及参考标准值等科学要素设计指标体系，尽量使评价结果能够满足全面性和真实性。建立绩效评价长效监督机制，对内部评价和独立外评进行监督和管理，正确行使评价科权利和义务，实现评价工作的客观性。正确选择绩效评估分析工具，并重视评估结果的反馈，对建立健全绩效评估机制产生推动作用。建立健全预算管理控制制度，加大评价力度，保证各项工作有序执行。而实践经验证实，将全面预算管理应用在实际绩效考核工作中，可以使绩效评价工作更加完善，并对考核机制和目标产生约束作用。</w:t>
      </w:r>
    </w:p>
    <w:p w14:paraId="3A32A2AB">
      <w:pPr>
        <w:spacing w:line="560" w:lineRule="exact"/>
        <w:ind w:firstLine="560" w:firstLineChars="200"/>
        <w:rPr>
          <w:rFonts w:hint="eastAsia" w:ascii="仿宋_GB2312" w:hAnsi="Calibri" w:eastAsia="仿宋_GB2312" w:cs="黑体"/>
          <w:b w:val="0"/>
          <w:bCs w:val="0"/>
          <w:kern w:val="2"/>
          <w:sz w:val="28"/>
          <w:szCs w:val="28"/>
          <w:lang w:val="en-US" w:eastAsia="zh-Hans" w:bidi="ar-SA"/>
        </w:rPr>
      </w:pPr>
      <w:r>
        <w:rPr>
          <w:rFonts w:hint="eastAsia" w:ascii="仿宋_GB2312" w:hAnsi="Calibri" w:eastAsia="仿宋_GB2312" w:cs="黑体"/>
          <w:b w:val="0"/>
          <w:bCs w:val="0"/>
          <w:kern w:val="2"/>
          <w:sz w:val="28"/>
          <w:szCs w:val="28"/>
          <w:lang w:val="en-US" w:eastAsia="zh-Hans" w:bidi="ar-SA"/>
        </w:rPr>
        <w:t>进一步加强对绩效管理工作的组织领导，提高对预算绩效管理工作重要性的认识，总结经验查找问题，抓紧研究制定更全面更完善的绩效评价管理办法。结合绩效工作考核制度，加大全局对全面实施预算绩效管理和绩效管理工作的学习力度，让“花钱必问效，无效必问责”的理念深入工作每个环节。</w:t>
      </w:r>
    </w:p>
    <w:p w14:paraId="35E36D2C"/>
    <w:p w14:paraId="6C1E8289">
      <w:pPr>
        <w:pStyle w:val="2"/>
        <w:ind w:firstLine="0" w:firstLineChars="0"/>
        <w:jc w:val="left"/>
        <w:rPr>
          <w:rFonts w:ascii="仿宋" w:hAnsi="仿宋" w:eastAsia="仿宋"/>
          <w:sz w:val="36"/>
          <w:szCs w:val="36"/>
          <w:lang w:bidi="en-US"/>
        </w:rPr>
      </w:pPr>
      <w:bookmarkStart w:id="60" w:name="_Toc165277260"/>
      <w:r>
        <w:rPr>
          <w:rFonts w:hint="eastAsia" w:ascii="仿宋" w:hAnsi="仿宋" w:eastAsia="仿宋"/>
          <w:sz w:val="36"/>
          <w:szCs w:val="36"/>
          <w:lang w:bidi="en-US"/>
        </w:rPr>
        <w:t>七、其他需要说明的问题</w:t>
      </w:r>
      <w:bookmarkEnd w:id="59"/>
      <w:bookmarkEnd w:id="60"/>
    </w:p>
    <w:p w14:paraId="31428C30">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14:paraId="1FC76872">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14:paraId="3FFEAA84">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14:paraId="0D61E8B9">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14:paraId="7545F1D9">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Gungsuh">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5BBC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70380">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0502C">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14:paraId="58815224">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11</w:t>
        </w:r>
        <w:r>
          <w:rPr>
            <w:rFonts w:hint="eastAsia" w:ascii="仿宋_GB2312" w:eastAsia="仿宋_GB2312"/>
            <w:sz w:val="21"/>
            <w:szCs w:val="21"/>
          </w:rPr>
          <w:fldChar w:fldCharType="end"/>
        </w:r>
      </w:p>
    </w:sdtContent>
  </w:sdt>
  <w:p w14:paraId="41D4AB79">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14:paraId="4A9662CB">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14:paraId="0658D207">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43B86CCD">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34A39AA1">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BB83E">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A2F43">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321E2">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8D22E">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F764F">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85B9D3"/>
    <w:multiLevelType w:val="singleLevel"/>
    <w:tmpl w:val="9D85B9D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trackRevisions w:val="1"/>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D5D41"/>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04B4B"/>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73A95"/>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78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066C3"/>
    <w:rsid w:val="00E14FE5"/>
    <w:rsid w:val="00E24ACA"/>
    <w:rsid w:val="00E26770"/>
    <w:rsid w:val="00E30B1D"/>
    <w:rsid w:val="00E526C7"/>
    <w:rsid w:val="00E73F9C"/>
    <w:rsid w:val="00E75E83"/>
    <w:rsid w:val="00EA63EF"/>
    <w:rsid w:val="00EA7E72"/>
    <w:rsid w:val="00EB0442"/>
    <w:rsid w:val="00EC5F03"/>
    <w:rsid w:val="00ED6231"/>
    <w:rsid w:val="00EE20A2"/>
    <w:rsid w:val="00EF3B51"/>
    <w:rsid w:val="00F06D23"/>
    <w:rsid w:val="00F36E98"/>
    <w:rsid w:val="00F52C6D"/>
    <w:rsid w:val="00F55451"/>
    <w:rsid w:val="00F73710"/>
    <w:rsid w:val="00F872E7"/>
    <w:rsid w:val="00FA4373"/>
    <w:rsid w:val="00FB09C6"/>
    <w:rsid w:val="00FB2BBD"/>
    <w:rsid w:val="00FC51EE"/>
    <w:rsid w:val="00FD7A36"/>
    <w:rsid w:val="00FD7C5F"/>
    <w:rsid w:val="00FE193C"/>
    <w:rsid w:val="00FE7DCA"/>
    <w:rsid w:val="00FF0452"/>
    <w:rsid w:val="0535602A"/>
    <w:rsid w:val="054B711F"/>
    <w:rsid w:val="06F55595"/>
    <w:rsid w:val="08005343"/>
    <w:rsid w:val="0B1701D0"/>
    <w:rsid w:val="0CA76E0E"/>
    <w:rsid w:val="18EB3B07"/>
    <w:rsid w:val="19306900"/>
    <w:rsid w:val="1A231FC1"/>
    <w:rsid w:val="1C4E2412"/>
    <w:rsid w:val="1D122337"/>
    <w:rsid w:val="20ED4838"/>
    <w:rsid w:val="210C37AF"/>
    <w:rsid w:val="23FE282D"/>
    <w:rsid w:val="296D5007"/>
    <w:rsid w:val="2E780E7E"/>
    <w:rsid w:val="331A1D5C"/>
    <w:rsid w:val="33D53ED4"/>
    <w:rsid w:val="35780FBB"/>
    <w:rsid w:val="361E1B63"/>
    <w:rsid w:val="37FF59C4"/>
    <w:rsid w:val="3BC96A15"/>
    <w:rsid w:val="3C830972"/>
    <w:rsid w:val="3D05582A"/>
    <w:rsid w:val="3D7A1373"/>
    <w:rsid w:val="3EE6168C"/>
    <w:rsid w:val="3EEF4053"/>
    <w:rsid w:val="4344637B"/>
    <w:rsid w:val="43E02B4D"/>
    <w:rsid w:val="45B4416A"/>
    <w:rsid w:val="46DF66DF"/>
    <w:rsid w:val="47A660FE"/>
    <w:rsid w:val="48217291"/>
    <w:rsid w:val="4A314103"/>
    <w:rsid w:val="4CBD57DA"/>
    <w:rsid w:val="519136D9"/>
    <w:rsid w:val="538708F0"/>
    <w:rsid w:val="54BF40B9"/>
    <w:rsid w:val="553E1482"/>
    <w:rsid w:val="575B456D"/>
    <w:rsid w:val="576D14F3"/>
    <w:rsid w:val="5AAF057A"/>
    <w:rsid w:val="5B1E7D8B"/>
    <w:rsid w:val="5C0D1BAE"/>
    <w:rsid w:val="5CB0535B"/>
    <w:rsid w:val="5F2C67EF"/>
    <w:rsid w:val="60EE6452"/>
    <w:rsid w:val="635F0E1F"/>
    <w:rsid w:val="66252916"/>
    <w:rsid w:val="6A726B02"/>
    <w:rsid w:val="730241B0"/>
    <w:rsid w:val="78580BBB"/>
    <w:rsid w:val="7947274B"/>
    <w:rsid w:val="7B445194"/>
    <w:rsid w:val="7C80044E"/>
    <w:rsid w:val="7F714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C64C6-6D82-4509-A38E-7086C5C6E9CC}">
  <ds:schemaRefs/>
</ds:datastoreItem>
</file>

<file path=docProps/app.xml><?xml version="1.0" encoding="utf-8"?>
<Properties xmlns="http://schemas.openxmlformats.org/officeDocument/2006/extended-properties" xmlns:vt="http://schemas.openxmlformats.org/officeDocument/2006/docPropsVTypes">
  <Template>Normal</Template>
  <Pages>29</Pages>
  <Words>12541</Words>
  <Characters>13145</Characters>
  <Lines>82</Lines>
  <Paragraphs>23</Paragraphs>
  <TotalTime>11</TotalTime>
  <ScaleCrop>false</ScaleCrop>
  <LinksUpToDate>false</LinksUpToDate>
  <CharactersWithSpaces>13245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章鱼儿。</cp:lastModifiedBy>
  <cp:lastPrinted>2023-04-11T02:57:00Z</cp:lastPrinted>
  <dcterms:modified xsi:type="dcterms:W3CDTF">2025-09-08T09:13:19Z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eyJoZGlkIjoiYTdkOTAxYzVlZGEzZTdiMmFmZjJjYTMzYjhlOTJkMTciLCJ1c2VySWQiOiIzNzMxNjM2NTYifQ==</vt:lpwstr>
  </property>
  <property fmtid="{D5CDD505-2E9C-101B-9397-08002B2CF9AE}" pid="3" name="KSOProductBuildVer">
    <vt:lpwstr>2052-12.1.0.22529</vt:lpwstr>
  </property>
  <property fmtid="{D5CDD505-2E9C-101B-9397-08002B2CF9AE}" pid="4" name="ICV">
    <vt:lpwstr>3B2BA46209214D82AF3FC489E27010E8_12</vt:lpwstr>
  </property>
</Properties>
</file>