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E5CFE"/>
    <w:p w14:paraId="6842AEED"/>
    <w:p w14:paraId="4A5025E1">
      <w:pPr>
        <w:spacing w:line="480" w:lineRule="auto"/>
        <w:ind w:firstLine="0" w:firstLineChars="0"/>
        <w:rPr>
          <w:rFonts w:ascii="Times New Roman" w:hAnsi="Times New Roman" w:eastAsia="黑体" w:cs="Times New Roman"/>
          <w:b/>
          <w:kern w:val="0"/>
          <w:sz w:val="50"/>
          <w:szCs w:val="50"/>
          <w:lang w:bidi="en-US"/>
        </w:rPr>
      </w:pPr>
    </w:p>
    <w:p w14:paraId="6559F7F1">
      <w:pPr>
        <w:spacing w:line="480" w:lineRule="auto"/>
        <w:ind w:firstLine="0" w:firstLineChars="0"/>
        <w:rPr>
          <w:rFonts w:ascii="Times New Roman" w:hAnsi="Times New Roman" w:eastAsia="黑体" w:cs="Times New Roman"/>
          <w:b/>
          <w:kern w:val="0"/>
          <w:sz w:val="50"/>
          <w:szCs w:val="50"/>
          <w:lang w:bidi="en-US"/>
        </w:rPr>
      </w:pPr>
    </w:p>
    <w:p w14:paraId="39DEA491">
      <w:pPr>
        <w:spacing w:line="480" w:lineRule="auto"/>
        <w:ind w:firstLine="0" w:firstLineChars="0"/>
        <w:jc w:val="center"/>
        <w:rPr>
          <w:rFonts w:ascii="Times New Roman" w:hAnsi="Times New Roman" w:eastAsia="黑体" w:cs="Times New Roman"/>
          <w:b/>
          <w:kern w:val="0"/>
          <w:sz w:val="50"/>
          <w:szCs w:val="50"/>
          <w:lang w:bidi="en-US"/>
        </w:rPr>
      </w:pPr>
    </w:p>
    <w:p w14:paraId="2C6FE062">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4DE8FFB6">
      <w:pPr>
        <w:spacing w:line="480" w:lineRule="auto"/>
        <w:ind w:firstLine="0" w:firstLineChars="0"/>
        <w:jc w:val="center"/>
        <w:rPr>
          <w:rFonts w:ascii="Times New Roman" w:hAnsi="Times New Roman" w:eastAsia="黑体" w:cs="Times New Roman"/>
          <w:b/>
          <w:kern w:val="0"/>
          <w:sz w:val="50"/>
          <w:szCs w:val="50"/>
          <w:lang w:bidi="en-US"/>
        </w:rPr>
      </w:pPr>
    </w:p>
    <w:p w14:paraId="4936726D">
      <w:pPr>
        <w:spacing w:line="480" w:lineRule="auto"/>
        <w:ind w:firstLine="0" w:firstLineChars="0"/>
        <w:jc w:val="center"/>
        <w:rPr>
          <w:rFonts w:ascii="Times New Roman" w:hAnsi="Times New Roman" w:eastAsia="黑体" w:cs="Times New Roman"/>
          <w:b/>
          <w:kern w:val="0"/>
          <w:sz w:val="50"/>
          <w:szCs w:val="50"/>
          <w:lang w:bidi="en-US"/>
        </w:rPr>
      </w:pPr>
    </w:p>
    <w:p w14:paraId="2C687053">
      <w:pPr>
        <w:spacing w:line="480" w:lineRule="auto"/>
        <w:ind w:firstLine="0" w:firstLineChars="0"/>
        <w:jc w:val="center"/>
        <w:rPr>
          <w:rFonts w:ascii="Times New Roman" w:hAnsi="Times New Roman" w:eastAsia="黑体" w:cs="Times New Roman"/>
          <w:b/>
          <w:kern w:val="0"/>
          <w:sz w:val="50"/>
          <w:szCs w:val="50"/>
          <w:lang w:bidi="en-US"/>
        </w:rPr>
      </w:pPr>
    </w:p>
    <w:p w14:paraId="6E1FA736">
      <w:pPr>
        <w:spacing w:line="480" w:lineRule="auto"/>
        <w:ind w:firstLine="0" w:firstLineChars="0"/>
        <w:jc w:val="center"/>
        <w:rPr>
          <w:rFonts w:ascii="Times New Roman" w:hAnsi="Times New Roman" w:eastAsia="黑体" w:cs="Times New Roman"/>
          <w:b/>
          <w:kern w:val="0"/>
          <w:sz w:val="50"/>
          <w:szCs w:val="50"/>
          <w:lang w:bidi="en-US"/>
        </w:rPr>
      </w:pPr>
    </w:p>
    <w:p w14:paraId="0BD59BC1">
      <w:pPr>
        <w:spacing w:line="480" w:lineRule="auto"/>
        <w:ind w:firstLine="0" w:firstLineChars="0"/>
        <w:jc w:val="center"/>
        <w:rPr>
          <w:rFonts w:ascii="Times New Roman" w:hAnsi="Times New Roman" w:eastAsia="黑体" w:cs="Times New Roman"/>
          <w:b/>
          <w:kern w:val="0"/>
          <w:sz w:val="50"/>
          <w:szCs w:val="50"/>
          <w:lang w:bidi="en-US"/>
        </w:rPr>
      </w:pPr>
    </w:p>
    <w:p w14:paraId="1557F493">
      <w:pPr>
        <w:spacing w:line="480" w:lineRule="auto"/>
        <w:ind w:firstLine="0" w:firstLineChars="0"/>
        <w:jc w:val="center"/>
        <w:rPr>
          <w:rFonts w:ascii="Times New Roman" w:hAnsi="Times New Roman" w:eastAsia="黑体" w:cs="Times New Roman"/>
          <w:b/>
          <w:kern w:val="0"/>
          <w:sz w:val="50"/>
          <w:szCs w:val="50"/>
          <w:lang w:bidi="en-US"/>
        </w:rPr>
      </w:pPr>
    </w:p>
    <w:p w14:paraId="00E2A473">
      <w:pPr>
        <w:spacing w:line="480" w:lineRule="auto"/>
        <w:ind w:left="0" w:leftChars="0" w:firstLine="0" w:firstLineChars="0"/>
        <w:jc w:val="both"/>
        <w:rPr>
          <w:rFonts w:hint="eastAsia" w:ascii="仿宋_GB2312" w:hAnsi="Times New Roman" w:cs="Times New Roman"/>
          <w:kern w:val="0"/>
          <w:sz w:val="32"/>
          <w:szCs w:val="32"/>
          <w:lang w:bidi="en-US"/>
        </w:rPr>
      </w:pPr>
    </w:p>
    <w:p w14:paraId="48895E53">
      <w:pPr>
        <w:spacing w:line="480" w:lineRule="auto"/>
        <w:ind w:left="0" w:leftChars="0"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项目名称：关于紧急下达2023年新型冠状病毒感染疫情应急救治能力提升项目中央基建投资预算的通知</w:t>
      </w:r>
    </w:p>
    <w:p w14:paraId="482C8E3D">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w:t>
      </w:r>
      <w:r>
        <w:rPr>
          <w:rFonts w:hint="eastAsia" w:ascii="仿宋_GB2312" w:hAnsi="Times New Roman" w:cs="Times New Roman"/>
          <w:kern w:val="0"/>
          <w:sz w:val="32"/>
          <w:szCs w:val="32"/>
          <w:lang w:val="en-US" w:eastAsia="zh-CN" w:bidi="en-US"/>
        </w:rPr>
        <w:t>乌鲁木齐市友谊医院</w:t>
      </w:r>
      <w:r>
        <w:rPr>
          <w:rFonts w:ascii="仿宋_GB2312" w:hAnsi="Times New Roman" w:cs="Times New Roman"/>
          <w:kern w:val="0"/>
          <w:sz w:val="32"/>
          <w:szCs w:val="32"/>
          <w:lang w:bidi="en-US"/>
        </w:rPr>
        <w:t xml:space="preserve"> </w:t>
      </w:r>
    </w:p>
    <w:p w14:paraId="53E4DD06">
      <w:pPr>
        <w:spacing w:line="480" w:lineRule="auto"/>
        <w:ind w:left="280" w:leftChars="100" w:firstLine="1091" w:firstLineChars="341"/>
        <w:jc w:val="left"/>
        <w:rPr>
          <w:rFonts w:hint="default"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主管部门：</w:t>
      </w:r>
      <w:r>
        <w:rPr>
          <w:rFonts w:hint="eastAsia" w:ascii="仿宋_GB2312" w:hAnsi="Times New Roman" w:cs="Times New Roman"/>
          <w:kern w:val="0"/>
          <w:sz w:val="32"/>
          <w:szCs w:val="32"/>
          <w:lang w:val="en-US" w:eastAsia="zh-CN" w:bidi="en-US"/>
        </w:rPr>
        <w:t>乌鲁木齐市卫健委</w:t>
      </w:r>
    </w:p>
    <w:p w14:paraId="0D0B5B2C">
      <w:pPr>
        <w:spacing w:line="480" w:lineRule="auto"/>
        <w:ind w:firstLine="1411" w:firstLineChars="441"/>
        <w:jc w:val="left"/>
        <w:rPr>
          <w:rFonts w:ascii="仿宋_GB2312" w:hAnsi="Times New Roman" w:cs="Times New Roman"/>
          <w:kern w:val="0"/>
          <w:sz w:val="32"/>
          <w:szCs w:val="32"/>
          <w:lang w:bidi="en-US"/>
        </w:rPr>
      </w:pPr>
    </w:p>
    <w:p w14:paraId="4B19D4C6">
      <w:pPr>
        <w:spacing w:line="480" w:lineRule="auto"/>
        <w:ind w:firstLine="0" w:firstLineChars="0"/>
        <w:rPr>
          <w:rFonts w:ascii="黑体" w:hAnsi="Times New Roman" w:eastAsia="黑体" w:cs="Times New Roman"/>
          <w:b/>
          <w:kern w:val="0"/>
          <w:sz w:val="32"/>
          <w:szCs w:val="32"/>
          <w:lang w:bidi="en-US"/>
        </w:rPr>
      </w:pPr>
    </w:p>
    <w:p w14:paraId="1077A815">
      <w:pPr>
        <w:spacing w:line="480" w:lineRule="auto"/>
        <w:ind w:firstLine="0" w:firstLineChars="0"/>
        <w:rPr>
          <w:rFonts w:ascii="黑体" w:hAnsi="Times New Roman" w:eastAsia="黑体" w:cs="Times New Roman"/>
          <w:b/>
          <w:kern w:val="0"/>
          <w:sz w:val="32"/>
          <w:szCs w:val="32"/>
          <w:lang w:bidi="en-US"/>
        </w:rPr>
      </w:pPr>
    </w:p>
    <w:p w14:paraId="149B7F69">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eastAsia="zh-CN" w:bidi="en-US"/>
        </w:rPr>
        <w:t>2025年4月</w:t>
      </w:r>
    </w:p>
    <w:p w14:paraId="04BD20BE">
      <w:pPr>
        <w:spacing w:line="480" w:lineRule="auto"/>
        <w:ind w:firstLine="0" w:firstLineChars="0"/>
        <w:jc w:val="center"/>
        <w:rPr>
          <w:rFonts w:ascii="仿宋_GB2312" w:hAnsi="Times New Roman" w:cs="Times New Roman"/>
          <w:kern w:val="0"/>
          <w:sz w:val="32"/>
          <w:szCs w:val="32"/>
          <w:lang w:bidi="en-US"/>
        </w:rPr>
      </w:pPr>
    </w:p>
    <w:p w14:paraId="48DB150A">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4FFCB410">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017DC40B">
          <w:pPr>
            <w:pStyle w:val="29"/>
            <w:ind w:firstLine="560"/>
            <w:jc w:val="center"/>
            <w:rPr>
              <w:color w:val="auto"/>
            </w:rPr>
          </w:pPr>
          <w:r>
            <w:rPr>
              <w:color w:val="auto"/>
              <w:lang w:val="zh-CN"/>
            </w:rPr>
            <w:t>目录</w:t>
          </w:r>
        </w:p>
        <w:p w14:paraId="217669FF">
          <w:pPr>
            <w:pStyle w:val="10"/>
            <w:tabs>
              <w:tab w:val="right" w:leader="dot" w:pos="8306"/>
            </w:tabs>
          </w:pPr>
          <w:r>
            <w:fldChar w:fldCharType="begin"/>
          </w:r>
          <w:r>
            <w:instrText xml:space="preserve">TOC \o "1-3" \h \z \u</w:instrText>
          </w:r>
          <w:r>
            <w:fldChar w:fldCharType="separate"/>
          </w:r>
          <w:r>
            <w:fldChar w:fldCharType="begin"/>
          </w:r>
          <w:r>
            <w:instrText xml:space="preserve"> HYPERLINK \l "_Toc23996" </w:instrText>
          </w:r>
          <w:r>
            <w:fldChar w:fldCharType="separate"/>
          </w:r>
          <w:r>
            <w:rPr>
              <w:rFonts w:hint="eastAsia" w:ascii="仿宋" w:hAnsi="仿宋" w:eastAsia="仿宋"/>
              <w:szCs w:val="36"/>
              <w:lang w:bidi="en-US"/>
            </w:rPr>
            <w:t>一、基本情况</w:t>
          </w:r>
          <w:r>
            <w:tab/>
          </w:r>
          <w:r>
            <w:fldChar w:fldCharType="begin"/>
          </w:r>
          <w:r>
            <w:instrText xml:space="preserve"> PAGEREF _Toc23996 \h </w:instrText>
          </w:r>
          <w:r>
            <w:fldChar w:fldCharType="separate"/>
          </w:r>
          <w:r>
            <w:t>1</w:t>
          </w:r>
          <w:r>
            <w:fldChar w:fldCharType="end"/>
          </w:r>
          <w:r>
            <w:fldChar w:fldCharType="end"/>
          </w:r>
        </w:p>
        <w:p w14:paraId="6D2BB2EA">
          <w:pPr>
            <w:pStyle w:val="12"/>
            <w:tabs>
              <w:tab w:val="right" w:leader="dot" w:pos="8306"/>
            </w:tabs>
          </w:pPr>
          <w:r>
            <w:fldChar w:fldCharType="begin"/>
          </w:r>
          <w:r>
            <w:instrText xml:space="preserve"> HYPERLINK \l "_Toc20860" </w:instrText>
          </w:r>
          <w:r>
            <w:fldChar w:fldCharType="separate"/>
          </w:r>
          <w:r>
            <w:rPr>
              <w:rFonts w:hint="eastAsia" w:ascii="仿宋" w:hAnsi="仿宋" w:eastAsia="仿宋"/>
              <w:lang w:bidi="en-US"/>
            </w:rPr>
            <w:t>（一）项目概况：</w:t>
          </w:r>
          <w:r>
            <w:tab/>
          </w:r>
          <w:r>
            <w:fldChar w:fldCharType="begin"/>
          </w:r>
          <w:r>
            <w:instrText xml:space="preserve"> PAGEREF _Toc20860 \h </w:instrText>
          </w:r>
          <w:r>
            <w:fldChar w:fldCharType="separate"/>
          </w:r>
          <w:r>
            <w:t>1</w:t>
          </w:r>
          <w:r>
            <w:fldChar w:fldCharType="end"/>
          </w:r>
          <w:r>
            <w:fldChar w:fldCharType="end"/>
          </w:r>
        </w:p>
        <w:p w14:paraId="6D3F15FD">
          <w:pPr>
            <w:pStyle w:val="5"/>
            <w:tabs>
              <w:tab w:val="right" w:leader="dot" w:pos="8306"/>
            </w:tabs>
          </w:pPr>
          <w:r>
            <w:fldChar w:fldCharType="begin"/>
          </w:r>
          <w:r>
            <w:instrText xml:space="preserve"> HYPERLINK \l "_Toc22176" </w:instrText>
          </w:r>
          <w:r>
            <w:fldChar w:fldCharType="separate"/>
          </w:r>
          <w:r>
            <w:rPr>
              <w:rFonts w:hint="eastAsia"/>
            </w:rPr>
            <w:t>1．项目背景、主要内容及实施情况</w:t>
          </w:r>
          <w:r>
            <w:tab/>
          </w:r>
          <w:r>
            <w:fldChar w:fldCharType="begin"/>
          </w:r>
          <w:r>
            <w:instrText xml:space="preserve"> PAGEREF _Toc22176 \h </w:instrText>
          </w:r>
          <w:r>
            <w:fldChar w:fldCharType="separate"/>
          </w:r>
          <w:r>
            <w:t>1</w:t>
          </w:r>
          <w:r>
            <w:fldChar w:fldCharType="end"/>
          </w:r>
          <w:r>
            <w:fldChar w:fldCharType="end"/>
          </w:r>
        </w:p>
        <w:p w14:paraId="5FE7BC3A">
          <w:pPr>
            <w:pStyle w:val="5"/>
            <w:tabs>
              <w:tab w:val="right" w:leader="dot" w:pos="8306"/>
            </w:tabs>
          </w:pPr>
          <w:r>
            <w:fldChar w:fldCharType="begin"/>
          </w:r>
          <w:r>
            <w:instrText xml:space="preserve"> HYPERLINK \l "_Toc24508" </w:instrText>
          </w:r>
          <w:r>
            <w:fldChar w:fldCharType="separate"/>
          </w:r>
          <w:r>
            <w:rPr>
              <w:rFonts w:hint="eastAsia"/>
            </w:rPr>
            <w:t>2</w:t>
          </w:r>
          <w:r>
            <w:t>.资金投入和使用情况</w:t>
          </w:r>
          <w:r>
            <w:tab/>
          </w:r>
          <w:r>
            <w:fldChar w:fldCharType="begin"/>
          </w:r>
          <w:r>
            <w:instrText xml:space="preserve"> PAGEREF _Toc24508 \h </w:instrText>
          </w:r>
          <w:r>
            <w:fldChar w:fldCharType="separate"/>
          </w:r>
          <w:r>
            <w:t>3</w:t>
          </w:r>
          <w:r>
            <w:fldChar w:fldCharType="end"/>
          </w:r>
          <w:r>
            <w:fldChar w:fldCharType="end"/>
          </w:r>
        </w:p>
        <w:p w14:paraId="3861B391">
          <w:pPr>
            <w:pStyle w:val="12"/>
            <w:tabs>
              <w:tab w:val="right" w:leader="dot" w:pos="8306"/>
            </w:tabs>
          </w:pPr>
          <w:r>
            <w:fldChar w:fldCharType="begin"/>
          </w:r>
          <w:r>
            <w:instrText xml:space="preserve"> HYPERLINK \l "_Toc3521" </w:instrText>
          </w:r>
          <w:r>
            <w:fldChar w:fldCharType="separate"/>
          </w:r>
          <w:r>
            <w:rPr>
              <w:rFonts w:hint="eastAsia" w:ascii="仿宋" w:hAnsi="仿宋" w:eastAsia="仿宋"/>
              <w:lang w:bidi="en-US"/>
            </w:rPr>
            <w:t>（二）项目绩效目标：</w:t>
          </w:r>
          <w:r>
            <w:tab/>
          </w:r>
          <w:r>
            <w:fldChar w:fldCharType="begin"/>
          </w:r>
          <w:r>
            <w:instrText xml:space="preserve"> PAGEREF _Toc3521 \h </w:instrText>
          </w:r>
          <w:r>
            <w:fldChar w:fldCharType="separate"/>
          </w:r>
          <w:r>
            <w:t>3</w:t>
          </w:r>
          <w:r>
            <w:fldChar w:fldCharType="end"/>
          </w:r>
          <w:r>
            <w:fldChar w:fldCharType="end"/>
          </w:r>
        </w:p>
        <w:p w14:paraId="755D099F">
          <w:pPr>
            <w:pStyle w:val="10"/>
            <w:tabs>
              <w:tab w:val="right" w:leader="dot" w:pos="8306"/>
            </w:tabs>
          </w:pPr>
          <w:r>
            <w:fldChar w:fldCharType="begin"/>
          </w:r>
          <w:r>
            <w:instrText xml:space="preserve"> HYPERLINK \l "_Toc11992" </w:instrText>
          </w:r>
          <w:r>
            <w:fldChar w:fldCharType="separate"/>
          </w:r>
          <w:r>
            <w:rPr>
              <w:rFonts w:hint="eastAsia" w:ascii="仿宋" w:hAnsi="仿宋" w:eastAsia="仿宋"/>
              <w:szCs w:val="36"/>
              <w:lang w:bidi="en-US"/>
            </w:rPr>
            <w:t>二、绩效评价工作开展情况</w:t>
          </w:r>
          <w:r>
            <w:tab/>
          </w:r>
          <w:r>
            <w:fldChar w:fldCharType="begin"/>
          </w:r>
          <w:r>
            <w:instrText xml:space="preserve"> PAGEREF _Toc11992 \h </w:instrText>
          </w:r>
          <w:r>
            <w:fldChar w:fldCharType="separate"/>
          </w:r>
          <w:r>
            <w:t>5</w:t>
          </w:r>
          <w:r>
            <w:fldChar w:fldCharType="end"/>
          </w:r>
          <w:r>
            <w:fldChar w:fldCharType="end"/>
          </w:r>
        </w:p>
        <w:p w14:paraId="51CA5E2B">
          <w:pPr>
            <w:pStyle w:val="12"/>
            <w:tabs>
              <w:tab w:val="right" w:leader="dot" w:pos="8306"/>
            </w:tabs>
          </w:pPr>
          <w:r>
            <w:fldChar w:fldCharType="begin"/>
          </w:r>
          <w:r>
            <w:instrText xml:space="preserve"> HYPERLINK \l "_Toc29835" </w:instrText>
          </w:r>
          <w:r>
            <w:fldChar w:fldCharType="separate"/>
          </w:r>
          <w:r>
            <w:rPr>
              <w:rFonts w:hint="eastAsia" w:ascii="仿宋" w:hAnsi="仿宋" w:eastAsia="仿宋"/>
              <w:lang w:bidi="en-US"/>
            </w:rPr>
            <w:t>（一）绩效评价目的、对象和范围</w:t>
          </w:r>
          <w:r>
            <w:tab/>
          </w:r>
          <w:r>
            <w:fldChar w:fldCharType="begin"/>
          </w:r>
          <w:r>
            <w:instrText xml:space="preserve"> PAGEREF _Toc29835 \h </w:instrText>
          </w:r>
          <w:r>
            <w:fldChar w:fldCharType="separate"/>
          </w:r>
          <w:r>
            <w:t>5</w:t>
          </w:r>
          <w:r>
            <w:fldChar w:fldCharType="end"/>
          </w:r>
          <w:r>
            <w:fldChar w:fldCharType="end"/>
          </w:r>
        </w:p>
        <w:p w14:paraId="43F1571D">
          <w:pPr>
            <w:pStyle w:val="5"/>
            <w:tabs>
              <w:tab w:val="right" w:leader="dot" w:pos="8306"/>
            </w:tabs>
          </w:pPr>
          <w:r>
            <w:fldChar w:fldCharType="begin"/>
          </w:r>
          <w:r>
            <w:instrText xml:space="preserve"> HYPERLINK \l "_Toc26937" </w:instrText>
          </w:r>
          <w:r>
            <w:fldChar w:fldCharType="separate"/>
          </w:r>
          <w:r>
            <w:rPr>
              <w:rFonts w:hint="eastAsia"/>
            </w:rPr>
            <w:t>1</w:t>
          </w:r>
          <w:r>
            <w:t>.绩效评价完整性</w:t>
          </w:r>
          <w:r>
            <w:tab/>
          </w:r>
          <w:r>
            <w:fldChar w:fldCharType="begin"/>
          </w:r>
          <w:r>
            <w:instrText xml:space="preserve"> PAGEREF _Toc26937 \h </w:instrText>
          </w:r>
          <w:r>
            <w:fldChar w:fldCharType="separate"/>
          </w:r>
          <w:r>
            <w:t>5</w:t>
          </w:r>
          <w:r>
            <w:fldChar w:fldCharType="end"/>
          </w:r>
          <w:r>
            <w:fldChar w:fldCharType="end"/>
          </w:r>
        </w:p>
        <w:p w14:paraId="18316B5B">
          <w:pPr>
            <w:pStyle w:val="5"/>
            <w:tabs>
              <w:tab w:val="right" w:leader="dot" w:pos="8306"/>
            </w:tabs>
          </w:pPr>
          <w:r>
            <w:fldChar w:fldCharType="begin"/>
          </w:r>
          <w:r>
            <w:instrText xml:space="preserve"> HYPERLINK \l "_Toc14283" </w:instrText>
          </w:r>
          <w:r>
            <w:fldChar w:fldCharType="separate"/>
          </w:r>
          <w:r>
            <w:t>2</w:t>
          </w:r>
          <w:r>
            <w:rPr>
              <w:rFonts w:hint="eastAsia"/>
            </w:rPr>
            <w:t>.评价目的</w:t>
          </w:r>
          <w:r>
            <w:tab/>
          </w:r>
          <w:r>
            <w:fldChar w:fldCharType="begin"/>
          </w:r>
          <w:r>
            <w:instrText xml:space="preserve"> PAGEREF _Toc14283 \h </w:instrText>
          </w:r>
          <w:r>
            <w:fldChar w:fldCharType="separate"/>
          </w:r>
          <w:r>
            <w:t>6</w:t>
          </w:r>
          <w:r>
            <w:fldChar w:fldCharType="end"/>
          </w:r>
          <w:r>
            <w:fldChar w:fldCharType="end"/>
          </w:r>
        </w:p>
        <w:p w14:paraId="07B25AAB">
          <w:pPr>
            <w:pStyle w:val="5"/>
            <w:tabs>
              <w:tab w:val="right" w:leader="dot" w:pos="8306"/>
            </w:tabs>
          </w:pPr>
          <w:r>
            <w:fldChar w:fldCharType="begin"/>
          </w:r>
          <w:r>
            <w:instrText xml:space="preserve"> HYPERLINK \l "_Toc3186" </w:instrText>
          </w:r>
          <w:r>
            <w:fldChar w:fldCharType="separate"/>
          </w:r>
          <w:r>
            <w:t>3</w:t>
          </w:r>
          <w:r>
            <w:rPr>
              <w:rFonts w:hint="eastAsia"/>
            </w:rPr>
            <w:t>.评价对象</w:t>
          </w:r>
          <w:r>
            <w:tab/>
          </w:r>
          <w:r>
            <w:fldChar w:fldCharType="begin"/>
          </w:r>
          <w:r>
            <w:instrText xml:space="preserve"> PAGEREF _Toc3186 \h </w:instrText>
          </w:r>
          <w:r>
            <w:fldChar w:fldCharType="separate"/>
          </w:r>
          <w:r>
            <w:t>7</w:t>
          </w:r>
          <w:r>
            <w:fldChar w:fldCharType="end"/>
          </w:r>
          <w:r>
            <w:fldChar w:fldCharType="end"/>
          </w:r>
        </w:p>
        <w:p w14:paraId="72A011ED">
          <w:pPr>
            <w:pStyle w:val="5"/>
            <w:tabs>
              <w:tab w:val="right" w:leader="dot" w:pos="8306"/>
            </w:tabs>
          </w:pPr>
          <w:r>
            <w:fldChar w:fldCharType="begin"/>
          </w:r>
          <w:r>
            <w:instrText xml:space="preserve"> HYPERLINK \l "_Toc15063" </w:instrText>
          </w:r>
          <w:r>
            <w:fldChar w:fldCharType="separate"/>
          </w:r>
          <w:r>
            <w:rPr>
              <w:rFonts w:hint="eastAsia"/>
            </w:rPr>
            <w:t>4</w:t>
          </w:r>
          <w:r>
            <w:t>.</w:t>
          </w:r>
          <w:r>
            <w:rPr>
              <w:rFonts w:hint="eastAsia"/>
            </w:rPr>
            <w:t>绩效评价范围</w:t>
          </w:r>
          <w:r>
            <w:tab/>
          </w:r>
          <w:r>
            <w:fldChar w:fldCharType="begin"/>
          </w:r>
          <w:r>
            <w:instrText xml:space="preserve"> PAGEREF _Toc15063 \h </w:instrText>
          </w:r>
          <w:r>
            <w:fldChar w:fldCharType="separate"/>
          </w:r>
          <w:r>
            <w:t>7</w:t>
          </w:r>
          <w:r>
            <w:fldChar w:fldCharType="end"/>
          </w:r>
          <w:r>
            <w:fldChar w:fldCharType="end"/>
          </w:r>
        </w:p>
        <w:p w14:paraId="35C5B27E">
          <w:pPr>
            <w:pStyle w:val="12"/>
            <w:tabs>
              <w:tab w:val="right" w:leader="dot" w:pos="8306"/>
            </w:tabs>
          </w:pPr>
          <w:r>
            <w:fldChar w:fldCharType="begin"/>
          </w:r>
          <w:r>
            <w:instrText xml:space="preserve"> HYPERLINK \l "_Toc8778" </w:instrText>
          </w:r>
          <w:r>
            <w:fldChar w:fldCharType="separate"/>
          </w:r>
          <w:r>
            <w:rPr>
              <w:rFonts w:hint="eastAsia" w:ascii="仿宋" w:hAnsi="仿宋" w:eastAsia="仿宋"/>
              <w:lang w:bidi="en-US"/>
            </w:rPr>
            <w:t>（二）绩效评价原则、指标体系、方法及标准</w:t>
          </w:r>
          <w:r>
            <w:tab/>
          </w:r>
          <w:r>
            <w:fldChar w:fldCharType="begin"/>
          </w:r>
          <w:r>
            <w:instrText xml:space="preserve"> PAGEREF _Toc8778 \h </w:instrText>
          </w:r>
          <w:r>
            <w:fldChar w:fldCharType="separate"/>
          </w:r>
          <w:r>
            <w:t>8</w:t>
          </w:r>
          <w:r>
            <w:fldChar w:fldCharType="end"/>
          </w:r>
          <w:r>
            <w:fldChar w:fldCharType="end"/>
          </w:r>
        </w:p>
        <w:p w14:paraId="2875DA5B">
          <w:pPr>
            <w:pStyle w:val="5"/>
            <w:tabs>
              <w:tab w:val="right" w:leader="dot" w:pos="8306"/>
            </w:tabs>
          </w:pPr>
          <w:r>
            <w:fldChar w:fldCharType="begin"/>
          </w:r>
          <w:r>
            <w:instrText xml:space="preserve"> HYPERLINK \l "_Toc27901" </w:instrText>
          </w:r>
          <w:r>
            <w:fldChar w:fldCharType="separate"/>
          </w:r>
          <w:r>
            <w:rPr>
              <w:rFonts w:hint="eastAsia"/>
            </w:rPr>
            <w:t>1</w:t>
          </w:r>
          <w:r>
            <w:t>.</w:t>
          </w:r>
          <w:r>
            <w:rPr>
              <w:rFonts w:hint="eastAsia"/>
            </w:rPr>
            <w:t>评价原则</w:t>
          </w:r>
          <w:r>
            <w:tab/>
          </w:r>
          <w:r>
            <w:fldChar w:fldCharType="begin"/>
          </w:r>
          <w:r>
            <w:instrText xml:space="preserve"> PAGEREF _Toc27901 \h </w:instrText>
          </w:r>
          <w:r>
            <w:fldChar w:fldCharType="separate"/>
          </w:r>
          <w:r>
            <w:t>8</w:t>
          </w:r>
          <w:r>
            <w:fldChar w:fldCharType="end"/>
          </w:r>
          <w:r>
            <w:fldChar w:fldCharType="end"/>
          </w:r>
        </w:p>
        <w:p w14:paraId="0EF545A4">
          <w:pPr>
            <w:pStyle w:val="5"/>
            <w:tabs>
              <w:tab w:val="right" w:leader="dot" w:pos="8306"/>
            </w:tabs>
          </w:pPr>
          <w:r>
            <w:fldChar w:fldCharType="begin"/>
          </w:r>
          <w:r>
            <w:instrText xml:space="preserve"> HYPERLINK \l "_Toc16113" </w:instrText>
          </w:r>
          <w:r>
            <w:fldChar w:fldCharType="separate"/>
          </w:r>
          <w:r>
            <w:t>2.</w:t>
          </w:r>
          <w:r>
            <w:rPr>
              <w:rFonts w:hint="eastAsia"/>
            </w:rPr>
            <w:t>评价指标体系</w:t>
          </w:r>
          <w:r>
            <w:tab/>
          </w:r>
          <w:r>
            <w:fldChar w:fldCharType="begin"/>
          </w:r>
          <w:r>
            <w:instrText xml:space="preserve"> PAGEREF _Toc16113 \h </w:instrText>
          </w:r>
          <w:r>
            <w:fldChar w:fldCharType="separate"/>
          </w:r>
          <w:r>
            <w:t>9</w:t>
          </w:r>
          <w:r>
            <w:fldChar w:fldCharType="end"/>
          </w:r>
          <w:r>
            <w:fldChar w:fldCharType="end"/>
          </w:r>
        </w:p>
        <w:p w14:paraId="75032663">
          <w:pPr>
            <w:pStyle w:val="5"/>
            <w:tabs>
              <w:tab w:val="right" w:leader="dot" w:pos="8306"/>
            </w:tabs>
          </w:pPr>
          <w:r>
            <w:fldChar w:fldCharType="begin"/>
          </w:r>
          <w:r>
            <w:instrText xml:space="preserve"> HYPERLINK \l "_Toc21340" </w:instrText>
          </w:r>
          <w:r>
            <w:fldChar w:fldCharType="separate"/>
          </w:r>
          <w:r>
            <w:t>3.</w:t>
          </w:r>
          <w:r>
            <w:rPr>
              <w:rFonts w:hint="eastAsia"/>
            </w:rPr>
            <w:t>评价方法</w:t>
          </w:r>
          <w:r>
            <w:tab/>
          </w:r>
          <w:r>
            <w:fldChar w:fldCharType="begin"/>
          </w:r>
          <w:r>
            <w:instrText xml:space="preserve"> PAGEREF _Toc21340 \h </w:instrText>
          </w:r>
          <w:r>
            <w:fldChar w:fldCharType="separate"/>
          </w:r>
          <w:r>
            <w:t>15</w:t>
          </w:r>
          <w:r>
            <w:fldChar w:fldCharType="end"/>
          </w:r>
          <w:r>
            <w:fldChar w:fldCharType="end"/>
          </w:r>
        </w:p>
        <w:p w14:paraId="16E23179">
          <w:pPr>
            <w:pStyle w:val="5"/>
            <w:tabs>
              <w:tab w:val="right" w:leader="dot" w:pos="8306"/>
            </w:tabs>
          </w:pPr>
          <w:r>
            <w:fldChar w:fldCharType="begin"/>
          </w:r>
          <w:r>
            <w:instrText xml:space="preserve"> HYPERLINK \l "_Toc22003" </w:instrText>
          </w:r>
          <w:r>
            <w:fldChar w:fldCharType="separate"/>
          </w:r>
          <w:r>
            <w:t>4.</w:t>
          </w:r>
          <w:r>
            <w:rPr>
              <w:rFonts w:hint="eastAsia"/>
            </w:rPr>
            <w:t>评价标准</w:t>
          </w:r>
          <w:r>
            <w:tab/>
          </w:r>
          <w:r>
            <w:fldChar w:fldCharType="begin"/>
          </w:r>
          <w:r>
            <w:instrText xml:space="preserve"> PAGEREF _Toc22003 \h </w:instrText>
          </w:r>
          <w:r>
            <w:fldChar w:fldCharType="separate"/>
          </w:r>
          <w:r>
            <w:t>16</w:t>
          </w:r>
          <w:r>
            <w:fldChar w:fldCharType="end"/>
          </w:r>
          <w:r>
            <w:fldChar w:fldCharType="end"/>
          </w:r>
        </w:p>
        <w:p w14:paraId="612A71F9">
          <w:pPr>
            <w:pStyle w:val="12"/>
            <w:tabs>
              <w:tab w:val="right" w:leader="dot" w:pos="8306"/>
            </w:tabs>
          </w:pPr>
          <w:r>
            <w:fldChar w:fldCharType="begin"/>
          </w:r>
          <w:r>
            <w:instrText xml:space="preserve"> HYPERLINK \l "_Toc12951" </w:instrText>
          </w:r>
          <w:r>
            <w:fldChar w:fldCharType="separate"/>
          </w:r>
          <w:r>
            <w:rPr>
              <w:rFonts w:hint="eastAsia" w:ascii="仿宋" w:hAnsi="仿宋" w:eastAsia="仿宋"/>
              <w:lang w:bidi="en-US"/>
            </w:rPr>
            <w:t>（三）绩效评价工作过程</w:t>
          </w:r>
          <w:r>
            <w:tab/>
          </w:r>
          <w:r>
            <w:fldChar w:fldCharType="begin"/>
          </w:r>
          <w:r>
            <w:instrText xml:space="preserve"> PAGEREF _Toc12951 \h </w:instrText>
          </w:r>
          <w:r>
            <w:fldChar w:fldCharType="separate"/>
          </w:r>
          <w:r>
            <w:t>17</w:t>
          </w:r>
          <w:r>
            <w:fldChar w:fldCharType="end"/>
          </w:r>
          <w:r>
            <w:fldChar w:fldCharType="end"/>
          </w:r>
        </w:p>
        <w:p w14:paraId="0B009F37">
          <w:pPr>
            <w:pStyle w:val="10"/>
            <w:tabs>
              <w:tab w:val="right" w:leader="dot" w:pos="8306"/>
            </w:tabs>
          </w:pPr>
          <w:r>
            <w:fldChar w:fldCharType="begin"/>
          </w:r>
          <w:r>
            <w:instrText xml:space="preserve"> HYPERLINK \l "_Toc17317" </w:instrText>
          </w:r>
          <w:r>
            <w:fldChar w:fldCharType="separate"/>
          </w:r>
          <w:r>
            <w:rPr>
              <w:rFonts w:hint="eastAsia" w:ascii="仿宋" w:hAnsi="仿宋" w:eastAsia="仿宋"/>
              <w:szCs w:val="36"/>
              <w:lang w:bidi="en-US"/>
            </w:rPr>
            <w:t>三、综合评价情况及评价结论</w:t>
          </w:r>
          <w:r>
            <w:tab/>
          </w:r>
          <w:r>
            <w:fldChar w:fldCharType="begin"/>
          </w:r>
          <w:r>
            <w:instrText xml:space="preserve"> PAGEREF _Toc17317 \h </w:instrText>
          </w:r>
          <w:r>
            <w:fldChar w:fldCharType="separate"/>
          </w:r>
          <w:r>
            <w:t>17</w:t>
          </w:r>
          <w:r>
            <w:fldChar w:fldCharType="end"/>
          </w:r>
          <w:r>
            <w:fldChar w:fldCharType="end"/>
          </w:r>
        </w:p>
        <w:p w14:paraId="0DA2F425">
          <w:pPr>
            <w:pStyle w:val="12"/>
            <w:tabs>
              <w:tab w:val="right" w:leader="dot" w:pos="8306"/>
            </w:tabs>
          </w:pPr>
          <w:r>
            <w:fldChar w:fldCharType="begin"/>
          </w:r>
          <w:r>
            <w:instrText xml:space="preserve"> HYPERLINK \l "_Toc24315" </w:instrText>
          </w:r>
          <w:r>
            <w:fldChar w:fldCharType="separate"/>
          </w:r>
          <w:r>
            <w:rPr>
              <w:rFonts w:hint="eastAsia" w:ascii="仿宋" w:hAnsi="仿宋" w:eastAsia="仿宋"/>
              <w:lang w:bidi="en-US"/>
            </w:rPr>
            <w:t>（一）评价结论</w:t>
          </w:r>
          <w:r>
            <w:tab/>
          </w:r>
          <w:r>
            <w:fldChar w:fldCharType="begin"/>
          </w:r>
          <w:r>
            <w:instrText xml:space="preserve"> PAGEREF _Toc24315 \h </w:instrText>
          </w:r>
          <w:r>
            <w:fldChar w:fldCharType="separate"/>
          </w:r>
          <w:r>
            <w:t>17</w:t>
          </w:r>
          <w:r>
            <w:fldChar w:fldCharType="end"/>
          </w:r>
          <w:r>
            <w:fldChar w:fldCharType="end"/>
          </w:r>
        </w:p>
        <w:p w14:paraId="01FD1D7B">
          <w:pPr>
            <w:pStyle w:val="12"/>
            <w:tabs>
              <w:tab w:val="right" w:leader="dot" w:pos="8306"/>
            </w:tabs>
          </w:pPr>
          <w:r>
            <w:fldChar w:fldCharType="begin"/>
          </w:r>
          <w:r>
            <w:instrText xml:space="preserve"> HYPERLINK \l "_Toc5924" </w:instrText>
          </w:r>
          <w:r>
            <w:fldChar w:fldCharType="separate"/>
          </w:r>
          <w:r>
            <w:rPr>
              <w:rFonts w:hint="eastAsia" w:ascii="仿宋" w:hAnsi="仿宋" w:eastAsia="仿宋"/>
              <w:lang w:bidi="en-US"/>
            </w:rPr>
            <w:t>（二）主要绩效</w:t>
          </w:r>
          <w:r>
            <w:tab/>
          </w:r>
          <w:r>
            <w:fldChar w:fldCharType="begin"/>
          </w:r>
          <w:r>
            <w:instrText xml:space="preserve"> PAGEREF _Toc5924 \h </w:instrText>
          </w:r>
          <w:r>
            <w:fldChar w:fldCharType="separate"/>
          </w:r>
          <w:r>
            <w:t>18</w:t>
          </w:r>
          <w:r>
            <w:fldChar w:fldCharType="end"/>
          </w:r>
          <w:r>
            <w:fldChar w:fldCharType="end"/>
          </w:r>
        </w:p>
        <w:p w14:paraId="76F5E083">
          <w:pPr>
            <w:pStyle w:val="10"/>
            <w:tabs>
              <w:tab w:val="right" w:leader="dot" w:pos="8306"/>
            </w:tabs>
          </w:pPr>
          <w:r>
            <w:fldChar w:fldCharType="begin"/>
          </w:r>
          <w:r>
            <w:instrText xml:space="preserve"> HYPERLINK \l "_Toc12058" </w:instrText>
          </w:r>
          <w:r>
            <w:fldChar w:fldCharType="separate"/>
          </w:r>
          <w:r>
            <w:rPr>
              <w:rFonts w:hint="eastAsia" w:ascii="仿宋" w:hAnsi="仿宋" w:eastAsia="仿宋"/>
              <w:szCs w:val="36"/>
              <w:lang w:bidi="en-US"/>
            </w:rPr>
            <w:t>四、绩效评价指标分析</w:t>
          </w:r>
          <w:r>
            <w:tab/>
          </w:r>
          <w:r>
            <w:fldChar w:fldCharType="begin"/>
          </w:r>
          <w:r>
            <w:instrText xml:space="preserve"> PAGEREF _Toc12058 \h </w:instrText>
          </w:r>
          <w:r>
            <w:fldChar w:fldCharType="separate"/>
          </w:r>
          <w:r>
            <w:t>19</w:t>
          </w:r>
          <w:r>
            <w:fldChar w:fldCharType="end"/>
          </w:r>
          <w:r>
            <w:fldChar w:fldCharType="end"/>
          </w:r>
        </w:p>
        <w:p w14:paraId="0D8349EE">
          <w:pPr>
            <w:pStyle w:val="12"/>
            <w:tabs>
              <w:tab w:val="right" w:leader="dot" w:pos="8306"/>
            </w:tabs>
          </w:pPr>
          <w:r>
            <w:fldChar w:fldCharType="begin"/>
          </w:r>
          <w:r>
            <w:instrText xml:space="preserve"> HYPERLINK \l "_Toc18715" </w:instrText>
          </w:r>
          <w:r>
            <w:fldChar w:fldCharType="separate"/>
          </w:r>
          <w:r>
            <w:rPr>
              <w:rFonts w:hint="eastAsia" w:ascii="仿宋" w:hAnsi="仿宋" w:eastAsia="仿宋"/>
              <w:lang w:bidi="en-US"/>
            </w:rPr>
            <w:t>（一）项目决策情况</w:t>
          </w:r>
          <w:r>
            <w:tab/>
          </w:r>
          <w:r>
            <w:fldChar w:fldCharType="begin"/>
          </w:r>
          <w:r>
            <w:instrText xml:space="preserve"> PAGEREF _Toc18715 \h </w:instrText>
          </w:r>
          <w:r>
            <w:fldChar w:fldCharType="separate"/>
          </w:r>
          <w:r>
            <w:t>19</w:t>
          </w:r>
          <w:r>
            <w:fldChar w:fldCharType="end"/>
          </w:r>
          <w:r>
            <w:fldChar w:fldCharType="end"/>
          </w:r>
        </w:p>
        <w:p w14:paraId="59A329EE">
          <w:pPr>
            <w:pStyle w:val="5"/>
            <w:tabs>
              <w:tab w:val="right" w:leader="dot" w:pos="8306"/>
            </w:tabs>
          </w:pPr>
          <w:r>
            <w:fldChar w:fldCharType="begin"/>
          </w:r>
          <w:r>
            <w:instrText xml:space="preserve"> HYPERLINK \l "_Toc11232" </w:instrText>
          </w:r>
          <w:r>
            <w:fldChar w:fldCharType="separate"/>
          </w:r>
          <w:r>
            <w:t>1.</w:t>
          </w:r>
          <w:r>
            <w:rPr>
              <w:rFonts w:hint="eastAsia"/>
            </w:rPr>
            <w:t>项目立项</w:t>
          </w:r>
          <w:r>
            <w:tab/>
          </w:r>
          <w:r>
            <w:fldChar w:fldCharType="begin"/>
          </w:r>
          <w:r>
            <w:instrText xml:space="preserve"> PAGEREF _Toc11232 \h </w:instrText>
          </w:r>
          <w:r>
            <w:fldChar w:fldCharType="separate"/>
          </w:r>
          <w:r>
            <w:t>19</w:t>
          </w:r>
          <w:r>
            <w:fldChar w:fldCharType="end"/>
          </w:r>
          <w:r>
            <w:fldChar w:fldCharType="end"/>
          </w:r>
        </w:p>
        <w:p w14:paraId="24EB0902">
          <w:pPr>
            <w:pStyle w:val="5"/>
            <w:tabs>
              <w:tab w:val="right" w:leader="dot" w:pos="8306"/>
            </w:tabs>
          </w:pPr>
          <w:r>
            <w:fldChar w:fldCharType="begin"/>
          </w:r>
          <w:r>
            <w:instrText xml:space="preserve"> HYPERLINK \l "_Toc11754" </w:instrText>
          </w:r>
          <w:r>
            <w:fldChar w:fldCharType="separate"/>
          </w:r>
          <w:r>
            <w:rPr>
              <w:rFonts w:hint="eastAsia"/>
            </w:rPr>
            <w:t>2</w:t>
          </w:r>
          <w:r>
            <w:t>.</w:t>
          </w:r>
          <w:r>
            <w:rPr>
              <w:rFonts w:hint="eastAsia"/>
            </w:rPr>
            <w:t>绩效目标</w:t>
          </w:r>
          <w:r>
            <w:tab/>
          </w:r>
          <w:r>
            <w:fldChar w:fldCharType="begin"/>
          </w:r>
          <w:r>
            <w:instrText xml:space="preserve"> PAGEREF _Toc11754 \h </w:instrText>
          </w:r>
          <w:r>
            <w:fldChar w:fldCharType="separate"/>
          </w:r>
          <w:r>
            <w:t>20</w:t>
          </w:r>
          <w:r>
            <w:fldChar w:fldCharType="end"/>
          </w:r>
          <w:r>
            <w:fldChar w:fldCharType="end"/>
          </w:r>
        </w:p>
        <w:p w14:paraId="1A8399D6">
          <w:pPr>
            <w:pStyle w:val="5"/>
            <w:tabs>
              <w:tab w:val="right" w:leader="dot" w:pos="8306"/>
            </w:tabs>
          </w:pPr>
          <w:r>
            <w:fldChar w:fldCharType="begin"/>
          </w:r>
          <w:r>
            <w:instrText xml:space="preserve"> HYPERLINK \l "_Toc12973" </w:instrText>
          </w:r>
          <w:r>
            <w:fldChar w:fldCharType="separate"/>
          </w:r>
          <w:r>
            <w:rPr>
              <w:rFonts w:hint="eastAsia"/>
            </w:rPr>
            <w:t>3.资金投入</w:t>
          </w:r>
          <w:r>
            <w:tab/>
          </w:r>
          <w:r>
            <w:fldChar w:fldCharType="begin"/>
          </w:r>
          <w:r>
            <w:instrText xml:space="preserve"> PAGEREF _Toc12973 \h </w:instrText>
          </w:r>
          <w:r>
            <w:fldChar w:fldCharType="separate"/>
          </w:r>
          <w:r>
            <w:t>20</w:t>
          </w:r>
          <w:r>
            <w:fldChar w:fldCharType="end"/>
          </w:r>
          <w:r>
            <w:fldChar w:fldCharType="end"/>
          </w:r>
        </w:p>
        <w:p w14:paraId="5A792D1C">
          <w:pPr>
            <w:pStyle w:val="12"/>
            <w:tabs>
              <w:tab w:val="right" w:leader="dot" w:pos="8306"/>
            </w:tabs>
          </w:pPr>
          <w:r>
            <w:fldChar w:fldCharType="begin"/>
          </w:r>
          <w:r>
            <w:instrText xml:space="preserve"> HYPERLINK \l "_Toc9710" </w:instrText>
          </w:r>
          <w:r>
            <w:fldChar w:fldCharType="separate"/>
          </w:r>
          <w:r>
            <w:rPr>
              <w:rFonts w:hint="eastAsia" w:ascii="仿宋" w:hAnsi="仿宋" w:eastAsia="仿宋"/>
              <w:lang w:bidi="en-US"/>
            </w:rPr>
            <w:t>（二）项目过程情况</w:t>
          </w:r>
          <w:r>
            <w:tab/>
          </w:r>
          <w:r>
            <w:fldChar w:fldCharType="begin"/>
          </w:r>
          <w:r>
            <w:instrText xml:space="preserve"> PAGEREF _Toc9710 \h </w:instrText>
          </w:r>
          <w:r>
            <w:fldChar w:fldCharType="separate"/>
          </w:r>
          <w:r>
            <w:t>21</w:t>
          </w:r>
          <w:r>
            <w:fldChar w:fldCharType="end"/>
          </w:r>
          <w:r>
            <w:fldChar w:fldCharType="end"/>
          </w:r>
        </w:p>
        <w:p w14:paraId="5269785E">
          <w:pPr>
            <w:pStyle w:val="5"/>
            <w:tabs>
              <w:tab w:val="right" w:leader="dot" w:pos="8306"/>
            </w:tabs>
          </w:pPr>
          <w:r>
            <w:fldChar w:fldCharType="begin"/>
          </w:r>
          <w:r>
            <w:instrText xml:space="preserve"> HYPERLINK \l "_Toc8451" </w:instrText>
          </w:r>
          <w:r>
            <w:fldChar w:fldCharType="separate"/>
          </w:r>
          <w:r>
            <w:t>1.</w:t>
          </w:r>
          <w:r>
            <w:rPr>
              <w:rFonts w:hint="eastAsia"/>
            </w:rPr>
            <w:t>资金管理</w:t>
          </w:r>
          <w:r>
            <w:tab/>
          </w:r>
          <w:r>
            <w:fldChar w:fldCharType="begin"/>
          </w:r>
          <w:r>
            <w:instrText xml:space="preserve"> PAGEREF _Toc8451 \h </w:instrText>
          </w:r>
          <w:r>
            <w:fldChar w:fldCharType="separate"/>
          </w:r>
          <w:r>
            <w:t>21</w:t>
          </w:r>
          <w:r>
            <w:fldChar w:fldCharType="end"/>
          </w:r>
          <w:r>
            <w:fldChar w:fldCharType="end"/>
          </w:r>
        </w:p>
        <w:p w14:paraId="518DB7E5">
          <w:pPr>
            <w:pStyle w:val="5"/>
            <w:tabs>
              <w:tab w:val="right" w:leader="dot" w:pos="8306"/>
            </w:tabs>
          </w:pPr>
          <w:r>
            <w:fldChar w:fldCharType="begin"/>
          </w:r>
          <w:r>
            <w:instrText xml:space="preserve"> HYPERLINK \l "_Toc25831" </w:instrText>
          </w:r>
          <w:r>
            <w:fldChar w:fldCharType="separate"/>
          </w:r>
          <w:r>
            <w:t>2.</w:t>
          </w:r>
          <w:r>
            <w:rPr>
              <w:rFonts w:hint="eastAsia"/>
            </w:rPr>
            <w:t>组织实施</w:t>
          </w:r>
          <w:r>
            <w:tab/>
          </w:r>
          <w:r>
            <w:fldChar w:fldCharType="begin"/>
          </w:r>
          <w:r>
            <w:instrText xml:space="preserve"> PAGEREF _Toc25831 \h </w:instrText>
          </w:r>
          <w:r>
            <w:fldChar w:fldCharType="separate"/>
          </w:r>
          <w:r>
            <w:t>22</w:t>
          </w:r>
          <w:r>
            <w:fldChar w:fldCharType="end"/>
          </w:r>
          <w:r>
            <w:fldChar w:fldCharType="end"/>
          </w:r>
        </w:p>
        <w:p w14:paraId="234B37E4">
          <w:pPr>
            <w:pStyle w:val="12"/>
            <w:tabs>
              <w:tab w:val="right" w:leader="dot" w:pos="8306"/>
            </w:tabs>
          </w:pPr>
          <w:r>
            <w:fldChar w:fldCharType="begin"/>
          </w:r>
          <w:r>
            <w:instrText xml:space="preserve"> HYPERLINK \l "_Toc7871" </w:instrText>
          </w:r>
          <w:r>
            <w:fldChar w:fldCharType="separate"/>
          </w:r>
          <w:r>
            <w:rPr>
              <w:rFonts w:hint="eastAsia" w:ascii="仿宋" w:hAnsi="仿宋" w:eastAsia="仿宋"/>
              <w:lang w:bidi="en-US"/>
            </w:rPr>
            <w:t>（三）项目产出情况</w:t>
          </w:r>
          <w:r>
            <w:tab/>
          </w:r>
          <w:r>
            <w:fldChar w:fldCharType="begin"/>
          </w:r>
          <w:r>
            <w:instrText xml:space="preserve"> PAGEREF _Toc7871 \h </w:instrText>
          </w:r>
          <w:r>
            <w:fldChar w:fldCharType="separate"/>
          </w:r>
          <w:r>
            <w:t>23</w:t>
          </w:r>
          <w:r>
            <w:fldChar w:fldCharType="end"/>
          </w:r>
          <w:r>
            <w:fldChar w:fldCharType="end"/>
          </w:r>
        </w:p>
        <w:p w14:paraId="566AB40C">
          <w:pPr>
            <w:pStyle w:val="5"/>
            <w:tabs>
              <w:tab w:val="right" w:leader="dot" w:pos="8306"/>
            </w:tabs>
          </w:pPr>
          <w:r>
            <w:fldChar w:fldCharType="begin"/>
          </w:r>
          <w:r>
            <w:instrText xml:space="preserve"> HYPERLINK \l "_Toc12767" </w:instrText>
          </w:r>
          <w:r>
            <w:fldChar w:fldCharType="separate"/>
          </w:r>
          <w:r>
            <w:rPr>
              <w:rFonts w:hint="eastAsia"/>
            </w:rPr>
            <w:t>1</w:t>
          </w:r>
          <w:r>
            <w:t>.</w:t>
          </w:r>
          <w:r>
            <w:rPr>
              <w:rFonts w:hint="eastAsia"/>
            </w:rPr>
            <w:t>产出数量</w:t>
          </w:r>
          <w:r>
            <w:tab/>
          </w:r>
          <w:r>
            <w:fldChar w:fldCharType="begin"/>
          </w:r>
          <w:r>
            <w:instrText xml:space="preserve"> PAGEREF _Toc12767 \h </w:instrText>
          </w:r>
          <w:r>
            <w:fldChar w:fldCharType="separate"/>
          </w:r>
          <w:r>
            <w:t>23</w:t>
          </w:r>
          <w:r>
            <w:fldChar w:fldCharType="end"/>
          </w:r>
          <w:r>
            <w:fldChar w:fldCharType="end"/>
          </w:r>
        </w:p>
        <w:p w14:paraId="181EC2B5">
          <w:pPr>
            <w:pStyle w:val="5"/>
            <w:tabs>
              <w:tab w:val="right" w:leader="dot" w:pos="8306"/>
            </w:tabs>
          </w:pPr>
          <w:r>
            <w:fldChar w:fldCharType="begin"/>
          </w:r>
          <w:r>
            <w:instrText xml:space="preserve"> HYPERLINK \l "_Toc757" </w:instrText>
          </w:r>
          <w:r>
            <w:fldChar w:fldCharType="separate"/>
          </w:r>
          <w:r>
            <w:rPr>
              <w:rFonts w:hint="eastAsia"/>
            </w:rPr>
            <w:t>2</w:t>
          </w:r>
          <w:r>
            <w:t>.</w:t>
          </w:r>
          <w:r>
            <w:rPr>
              <w:rFonts w:hint="eastAsia"/>
            </w:rPr>
            <w:t>产出质量</w:t>
          </w:r>
          <w:r>
            <w:tab/>
          </w:r>
          <w:r>
            <w:fldChar w:fldCharType="begin"/>
          </w:r>
          <w:r>
            <w:instrText xml:space="preserve"> PAGEREF _Toc757 \h </w:instrText>
          </w:r>
          <w:r>
            <w:fldChar w:fldCharType="separate"/>
          </w:r>
          <w:r>
            <w:t>23</w:t>
          </w:r>
          <w:r>
            <w:fldChar w:fldCharType="end"/>
          </w:r>
          <w:r>
            <w:fldChar w:fldCharType="end"/>
          </w:r>
        </w:p>
        <w:p w14:paraId="56A18258">
          <w:pPr>
            <w:pStyle w:val="5"/>
            <w:tabs>
              <w:tab w:val="right" w:leader="dot" w:pos="8306"/>
            </w:tabs>
          </w:pPr>
          <w:r>
            <w:fldChar w:fldCharType="begin"/>
          </w:r>
          <w:r>
            <w:instrText xml:space="preserve"> HYPERLINK \l "_Toc19200" </w:instrText>
          </w:r>
          <w:r>
            <w:fldChar w:fldCharType="separate"/>
          </w:r>
          <w:r>
            <w:rPr>
              <w:rFonts w:hint="eastAsia"/>
            </w:rPr>
            <w:t>3</w:t>
          </w:r>
          <w:r>
            <w:t>.</w:t>
          </w:r>
          <w:r>
            <w:rPr>
              <w:rFonts w:hint="eastAsia"/>
            </w:rPr>
            <w:t>产出时效</w:t>
          </w:r>
          <w:r>
            <w:tab/>
          </w:r>
          <w:r>
            <w:fldChar w:fldCharType="begin"/>
          </w:r>
          <w:r>
            <w:instrText xml:space="preserve"> PAGEREF _Toc19200 \h </w:instrText>
          </w:r>
          <w:r>
            <w:fldChar w:fldCharType="separate"/>
          </w:r>
          <w:r>
            <w:t>24</w:t>
          </w:r>
          <w:r>
            <w:fldChar w:fldCharType="end"/>
          </w:r>
          <w:r>
            <w:fldChar w:fldCharType="end"/>
          </w:r>
        </w:p>
        <w:p w14:paraId="3AF0D110">
          <w:pPr>
            <w:pStyle w:val="5"/>
            <w:tabs>
              <w:tab w:val="right" w:leader="dot" w:pos="8306"/>
            </w:tabs>
          </w:pPr>
          <w:r>
            <w:fldChar w:fldCharType="begin"/>
          </w:r>
          <w:r>
            <w:instrText xml:space="preserve"> HYPERLINK \l "_Toc28910" </w:instrText>
          </w:r>
          <w:r>
            <w:fldChar w:fldCharType="separate"/>
          </w:r>
          <w:r>
            <w:rPr>
              <w:rFonts w:hint="eastAsia"/>
            </w:rPr>
            <w:t>4</w:t>
          </w:r>
          <w:r>
            <w:t>.</w:t>
          </w:r>
          <w:r>
            <w:rPr>
              <w:rFonts w:hint="eastAsia"/>
            </w:rPr>
            <w:t>产出成本</w:t>
          </w:r>
          <w:r>
            <w:tab/>
          </w:r>
          <w:r>
            <w:fldChar w:fldCharType="begin"/>
          </w:r>
          <w:r>
            <w:instrText xml:space="preserve"> PAGEREF _Toc28910 \h </w:instrText>
          </w:r>
          <w:r>
            <w:fldChar w:fldCharType="separate"/>
          </w:r>
          <w:r>
            <w:t>24</w:t>
          </w:r>
          <w:r>
            <w:fldChar w:fldCharType="end"/>
          </w:r>
          <w:r>
            <w:fldChar w:fldCharType="end"/>
          </w:r>
        </w:p>
        <w:p w14:paraId="0AE015C4">
          <w:pPr>
            <w:pStyle w:val="12"/>
            <w:tabs>
              <w:tab w:val="right" w:leader="dot" w:pos="8306"/>
            </w:tabs>
          </w:pPr>
          <w:r>
            <w:fldChar w:fldCharType="begin"/>
          </w:r>
          <w:r>
            <w:instrText xml:space="preserve"> HYPERLINK \l "_Toc13608" </w:instrText>
          </w:r>
          <w:r>
            <w:fldChar w:fldCharType="separate"/>
          </w:r>
          <w:r>
            <w:rPr>
              <w:rFonts w:ascii="仿宋" w:hAnsi="仿宋" w:eastAsia="仿宋"/>
              <w:lang w:bidi="en-US"/>
            </w:rPr>
            <w:t>（四）项目效益</w:t>
          </w:r>
          <w:r>
            <w:tab/>
          </w:r>
          <w:r>
            <w:fldChar w:fldCharType="begin"/>
          </w:r>
          <w:r>
            <w:instrText xml:space="preserve"> PAGEREF _Toc13608 \h </w:instrText>
          </w:r>
          <w:r>
            <w:fldChar w:fldCharType="separate"/>
          </w:r>
          <w:r>
            <w:t>24</w:t>
          </w:r>
          <w:r>
            <w:fldChar w:fldCharType="end"/>
          </w:r>
          <w:r>
            <w:fldChar w:fldCharType="end"/>
          </w:r>
        </w:p>
        <w:p w14:paraId="44FF438B">
          <w:pPr>
            <w:pStyle w:val="12"/>
            <w:tabs>
              <w:tab w:val="right" w:leader="dot" w:pos="8306"/>
            </w:tabs>
          </w:pPr>
          <w:r>
            <w:fldChar w:fldCharType="begin"/>
          </w:r>
          <w:r>
            <w:instrText xml:space="preserve"> HYPERLINK \l "_Toc30169" </w:instrText>
          </w:r>
          <w:r>
            <w:fldChar w:fldCharType="separate"/>
          </w:r>
          <w:r>
            <w:rPr>
              <w:rFonts w:hint="eastAsia" w:ascii="仿宋" w:hAnsi="仿宋" w:eastAsia="仿宋"/>
              <w:lang w:bidi="en-US"/>
            </w:rPr>
            <w:t>（五）</w:t>
          </w:r>
          <w:r>
            <w:rPr>
              <w:rFonts w:ascii="仿宋" w:hAnsi="仿宋" w:eastAsia="仿宋"/>
              <w:lang w:bidi="en-US"/>
            </w:rPr>
            <w:t>满意度指标完成情况分析</w:t>
          </w:r>
          <w:r>
            <w:tab/>
          </w:r>
          <w:r>
            <w:fldChar w:fldCharType="begin"/>
          </w:r>
          <w:r>
            <w:instrText xml:space="preserve"> PAGEREF _Toc30169 \h </w:instrText>
          </w:r>
          <w:r>
            <w:fldChar w:fldCharType="separate"/>
          </w:r>
          <w:r>
            <w:t>25</w:t>
          </w:r>
          <w:r>
            <w:fldChar w:fldCharType="end"/>
          </w:r>
          <w:r>
            <w:fldChar w:fldCharType="end"/>
          </w:r>
        </w:p>
        <w:p w14:paraId="16F7035C">
          <w:pPr>
            <w:pStyle w:val="10"/>
            <w:tabs>
              <w:tab w:val="right" w:leader="dot" w:pos="8306"/>
            </w:tabs>
          </w:pPr>
          <w:r>
            <w:fldChar w:fldCharType="begin"/>
          </w:r>
          <w:r>
            <w:instrText xml:space="preserve"> HYPERLINK \l "_Toc15701" </w:instrText>
          </w:r>
          <w:r>
            <w:fldChar w:fldCharType="separate"/>
          </w:r>
          <w:r>
            <w:rPr>
              <w:rFonts w:hint="eastAsia" w:ascii="仿宋" w:hAnsi="仿宋" w:eastAsia="仿宋"/>
              <w:szCs w:val="36"/>
              <w:lang w:bidi="en-US"/>
            </w:rPr>
            <w:t>五、主要经验及做法、存在的问题及原因分析</w:t>
          </w:r>
          <w:r>
            <w:tab/>
          </w:r>
          <w:r>
            <w:fldChar w:fldCharType="begin"/>
          </w:r>
          <w:r>
            <w:instrText xml:space="preserve"> PAGEREF _Toc15701 \h </w:instrText>
          </w:r>
          <w:r>
            <w:fldChar w:fldCharType="separate"/>
          </w:r>
          <w:r>
            <w:t>25</w:t>
          </w:r>
          <w:r>
            <w:fldChar w:fldCharType="end"/>
          </w:r>
          <w:r>
            <w:fldChar w:fldCharType="end"/>
          </w:r>
        </w:p>
        <w:p w14:paraId="396BF07A">
          <w:pPr>
            <w:pStyle w:val="12"/>
            <w:tabs>
              <w:tab w:val="right" w:leader="dot" w:pos="8306"/>
            </w:tabs>
          </w:pPr>
          <w:r>
            <w:fldChar w:fldCharType="begin"/>
          </w:r>
          <w:r>
            <w:instrText xml:space="preserve"> HYPERLINK \l "_Toc29991" </w:instrText>
          </w:r>
          <w:r>
            <w:fldChar w:fldCharType="separate"/>
          </w:r>
          <w:r>
            <w:rPr>
              <w:rFonts w:hint="eastAsia" w:ascii="仿宋" w:hAnsi="仿宋" w:eastAsia="仿宋"/>
              <w:lang w:bidi="en-US"/>
            </w:rPr>
            <w:t>（一）主要经验及做法</w:t>
          </w:r>
          <w:r>
            <w:tab/>
          </w:r>
          <w:r>
            <w:fldChar w:fldCharType="begin"/>
          </w:r>
          <w:r>
            <w:instrText xml:space="preserve"> PAGEREF _Toc29991 \h </w:instrText>
          </w:r>
          <w:r>
            <w:fldChar w:fldCharType="separate"/>
          </w:r>
          <w:r>
            <w:t>25</w:t>
          </w:r>
          <w:r>
            <w:fldChar w:fldCharType="end"/>
          </w:r>
          <w:r>
            <w:fldChar w:fldCharType="end"/>
          </w:r>
        </w:p>
        <w:p w14:paraId="58A15F3D">
          <w:pPr>
            <w:pStyle w:val="12"/>
            <w:tabs>
              <w:tab w:val="right" w:leader="dot" w:pos="8306"/>
            </w:tabs>
          </w:pPr>
          <w:r>
            <w:fldChar w:fldCharType="begin"/>
          </w:r>
          <w:r>
            <w:instrText xml:space="preserve"> HYPERLINK \l "_Toc25102" </w:instrText>
          </w:r>
          <w:r>
            <w:fldChar w:fldCharType="separate"/>
          </w:r>
          <w:r>
            <w:rPr>
              <w:rFonts w:hint="eastAsia" w:ascii="仿宋" w:hAnsi="仿宋" w:eastAsia="仿宋"/>
              <w:lang w:bidi="en-US"/>
            </w:rPr>
            <w:t>（二）存在的问题及原因分析</w:t>
          </w:r>
          <w:r>
            <w:tab/>
          </w:r>
          <w:r>
            <w:fldChar w:fldCharType="begin"/>
          </w:r>
          <w:r>
            <w:instrText xml:space="preserve"> PAGEREF _Toc25102 \h </w:instrText>
          </w:r>
          <w:r>
            <w:fldChar w:fldCharType="separate"/>
          </w:r>
          <w:r>
            <w:t>26</w:t>
          </w:r>
          <w:r>
            <w:fldChar w:fldCharType="end"/>
          </w:r>
          <w:r>
            <w:fldChar w:fldCharType="end"/>
          </w:r>
        </w:p>
        <w:p w14:paraId="1C96128D">
          <w:pPr>
            <w:pStyle w:val="10"/>
            <w:tabs>
              <w:tab w:val="right" w:leader="dot" w:pos="8306"/>
            </w:tabs>
          </w:pPr>
          <w:r>
            <w:fldChar w:fldCharType="begin"/>
          </w:r>
          <w:r>
            <w:instrText xml:space="preserve"> HYPERLINK \l "_Toc24752" </w:instrText>
          </w:r>
          <w:r>
            <w:fldChar w:fldCharType="separate"/>
          </w:r>
          <w:r>
            <w:rPr>
              <w:rFonts w:hint="eastAsia" w:ascii="仿宋" w:hAnsi="仿宋" w:eastAsia="仿宋"/>
              <w:szCs w:val="36"/>
              <w:lang w:bidi="en-US"/>
            </w:rPr>
            <w:t>六、 有关建议</w:t>
          </w:r>
          <w:r>
            <w:tab/>
          </w:r>
          <w:r>
            <w:fldChar w:fldCharType="begin"/>
          </w:r>
          <w:r>
            <w:instrText xml:space="preserve"> PAGEREF _Toc24752 \h </w:instrText>
          </w:r>
          <w:r>
            <w:fldChar w:fldCharType="separate"/>
          </w:r>
          <w:r>
            <w:t>27</w:t>
          </w:r>
          <w:r>
            <w:fldChar w:fldCharType="end"/>
          </w:r>
          <w:r>
            <w:fldChar w:fldCharType="end"/>
          </w:r>
        </w:p>
        <w:p w14:paraId="7E0CA0A6">
          <w:pPr>
            <w:pStyle w:val="10"/>
            <w:tabs>
              <w:tab w:val="right" w:leader="dot" w:pos="8306"/>
            </w:tabs>
          </w:pPr>
          <w:r>
            <w:fldChar w:fldCharType="begin"/>
          </w:r>
          <w:r>
            <w:instrText xml:space="preserve"> HYPERLINK \l "_Toc19830" </w:instrText>
          </w:r>
          <w:r>
            <w:fldChar w:fldCharType="separate"/>
          </w:r>
          <w:r>
            <w:rPr>
              <w:rFonts w:hint="eastAsia" w:ascii="仿宋" w:hAnsi="仿宋" w:eastAsia="仿宋"/>
              <w:szCs w:val="36"/>
              <w:lang w:bidi="en-US"/>
            </w:rPr>
            <w:t>七、其他需要说明的问题</w:t>
          </w:r>
          <w:r>
            <w:tab/>
          </w:r>
          <w:r>
            <w:fldChar w:fldCharType="begin"/>
          </w:r>
          <w:r>
            <w:instrText xml:space="preserve"> PAGEREF _Toc19830 \h </w:instrText>
          </w:r>
          <w:r>
            <w:fldChar w:fldCharType="separate"/>
          </w:r>
          <w:r>
            <w:t>28</w:t>
          </w:r>
          <w:r>
            <w:fldChar w:fldCharType="end"/>
          </w:r>
          <w:r>
            <w:fldChar w:fldCharType="end"/>
          </w:r>
        </w:p>
        <w:p w14:paraId="69F7B0C0">
          <w:pPr>
            <w:ind w:firstLine="562"/>
          </w:pPr>
          <w:r>
            <w:rPr>
              <w:bCs/>
              <w:lang w:val="zh-CN"/>
            </w:rPr>
            <w:fldChar w:fldCharType="end"/>
          </w:r>
        </w:p>
      </w:sdtContent>
    </w:sdt>
    <w:p w14:paraId="504901DE">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0CA9229A">
      <w:pPr>
        <w:pStyle w:val="2"/>
        <w:ind w:firstLine="0" w:firstLineChars="0"/>
        <w:jc w:val="left"/>
        <w:rPr>
          <w:rFonts w:ascii="仿宋" w:hAnsi="仿宋" w:eastAsia="仿宋"/>
          <w:sz w:val="36"/>
          <w:szCs w:val="36"/>
          <w:lang w:bidi="en-US"/>
        </w:rPr>
      </w:pPr>
      <w:bookmarkStart w:id="0" w:name="_Toc23996"/>
      <w:bookmarkStart w:id="1" w:name="_Toc67911601"/>
      <w:r>
        <w:rPr>
          <w:rFonts w:hint="eastAsia" w:ascii="仿宋" w:hAnsi="仿宋" w:eastAsia="仿宋"/>
          <w:sz w:val="36"/>
          <w:szCs w:val="36"/>
          <w:lang w:bidi="en-US"/>
        </w:rPr>
        <w:t>一、基本情况</w:t>
      </w:r>
      <w:bookmarkEnd w:id="0"/>
      <w:bookmarkEnd w:id="1"/>
    </w:p>
    <w:p w14:paraId="310AE353">
      <w:pPr>
        <w:pStyle w:val="3"/>
        <w:ind w:firstLine="643"/>
        <w:rPr>
          <w:rFonts w:ascii="仿宋" w:hAnsi="仿宋" w:eastAsia="仿宋"/>
          <w:lang w:bidi="en-US"/>
        </w:rPr>
      </w:pPr>
      <w:bookmarkStart w:id="2" w:name="_Toc67911602"/>
      <w:bookmarkStart w:id="3" w:name="_Toc20860"/>
      <w:r>
        <w:rPr>
          <w:rFonts w:hint="eastAsia" w:ascii="仿宋" w:hAnsi="仿宋" w:eastAsia="仿宋"/>
          <w:lang w:bidi="en-US"/>
        </w:rPr>
        <w:t>（一）项目概况：</w:t>
      </w:r>
      <w:bookmarkEnd w:id="2"/>
      <w:bookmarkEnd w:id="3"/>
    </w:p>
    <w:p w14:paraId="4F5357BD">
      <w:pPr>
        <w:pStyle w:val="4"/>
        <w:ind w:firstLine="643"/>
      </w:pPr>
      <w:bookmarkStart w:id="4" w:name="_Toc22176"/>
      <w:r>
        <w:rPr>
          <w:rFonts w:hint="eastAsia"/>
          <w:lang w:eastAsia="zh-CN"/>
        </w:rPr>
        <w:t>1.</w:t>
      </w:r>
      <w:r>
        <w:rPr>
          <w:rFonts w:hint="eastAsia"/>
        </w:rPr>
        <w:t>项目背景、主要内容及实施情况</w:t>
      </w:r>
      <w:bookmarkEnd w:id="4"/>
    </w:p>
    <w:p w14:paraId="5EC48206">
      <w:pPr>
        <w:spacing w:line="360" w:lineRule="auto"/>
        <w:ind w:firstLine="560"/>
        <w:rPr>
          <w:rFonts w:hint="default" w:ascii="仿宋_GB2312" w:eastAsia="仿宋_GB2312"/>
          <w:lang w:val="en-US" w:eastAsia="zh-CN"/>
        </w:rPr>
      </w:pPr>
      <w:r>
        <w:rPr>
          <w:rFonts w:hint="eastAsia" w:ascii="仿宋_GB2312"/>
        </w:rPr>
        <w:t>该项目实施背景：为贯彻落实党中央、国务院，自治区党委、人民政府决策部署，进一步支持做好我区新阶段疫情防控工作，根据《</w:t>
      </w:r>
      <w:r>
        <w:rPr>
          <w:rFonts w:hint="eastAsia" w:ascii="仿宋_GB2312"/>
          <w:lang w:val="en-US" w:eastAsia="zh-CN"/>
        </w:rPr>
        <w:t>关于紧急下达新型冠状病毒感染疫情应急救治能力提升项目中央预算内投资计划的通知</w:t>
      </w:r>
      <w:r>
        <w:rPr>
          <w:rFonts w:hint="eastAsia" w:ascii="仿宋_GB2312"/>
        </w:rPr>
        <w:t>》</w:t>
      </w:r>
      <w:r>
        <w:rPr>
          <w:rFonts w:hint="eastAsia" w:ascii="仿宋_GB2312"/>
          <w:lang w:eastAsia="zh-CN"/>
        </w:rPr>
        <w:t>（</w:t>
      </w:r>
      <w:r>
        <w:rPr>
          <w:rFonts w:hint="eastAsia" w:ascii="仿宋_GB2312"/>
          <w:lang w:val="en-US" w:eastAsia="zh-CN"/>
        </w:rPr>
        <w:t>乌</w:t>
      </w:r>
      <w:r>
        <w:rPr>
          <w:rFonts w:hint="eastAsia" w:ascii="仿宋_GB2312"/>
        </w:rPr>
        <w:t>发改</w:t>
      </w:r>
      <w:r>
        <w:rPr>
          <w:rFonts w:hint="eastAsia" w:ascii="仿宋_GB2312"/>
          <w:lang w:val="en-US" w:eastAsia="zh-CN"/>
        </w:rPr>
        <w:t>社会</w:t>
      </w:r>
      <w:r>
        <w:rPr>
          <w:rFonts w:hint="eastAsia" w:ascii="仿宋_GB2312"/>
        </w:rPr>
        <w:t>〔202</w:t>
      </w:r>
      <w:r>
        <w:rPr>
          <w:rFonts w:hint="default" w:ascii="仿宋_GB2312"/>
        </w:rPr>
        <w:t>3〕</w:t>
      </w:r>
      <w:r>
        <w:rPr>
          <w:rFonts w:hint="eastAsia" w:ascii="仿宋_GB2312"/>
          <w:lang w:val="en-US" w:eastAsia="zh-CN"/>
        </w:rPr>
        <w:t>43</w:t>
      </w:r>
      <w:r>
        <w:rPr>
          <w:rFonts w:hint="default" w:ascii="仿宋_GB2312"/>
        </w:rPr>
        <w:t>号</w:t>
      </w:r>
      <w:r>
        <w:rPr>
          <w:rFonts w:hint="eastAsia" w:ascii="仿宋_GB2312"/>
          <w:lang w:eastAsia="zh-CN"/>
        </w:rPr>
        <w:t>）</w:t>
      </w:r>
      <w:r>
        <w:rPr>
          <w:rFonts w:hint="eastAsia" w:ascii="仿宋_GB2312"/>
          <w:lang w:val="en-US" w:eastAsia="zh-CN"/>
        </w:rPr>
        <w:t>精神，我院积极行动。为有效提升针对新型冠状病毒感染的应急救治能力，最大程度降低患者的重症率与死亡率，采购医疗设备653万元。</w:t>
      </w:r>
    </w:p>
    <w:p w14:paraId="006464A1">
      <w:pPr>
        <w:spacing w:line="360" w:lineRule="auto"/>
        <w:ind w:firstLine="560"/>
        <w:rPr>
          <w:rFonts w:ascii="仿宋_GB2312"/>
        </w:rPr>
      </w:pPr>
      <w:r>
        <w:rPr>
          <w:rFonts w:ascii="仿宋_GB2312"/>
        </w:rPr>
        <w:t>项目</w:t>
      </w:r>
      <w:r>
        <w:rPr>
          <w:rFonts w:hint="eastAsia" w:ascii="仿宋_GB2312"/>
        </w:rPr>
        <w:t>2024</w:t>
      </w:r>
      <w:r>
        <w:rPr>
          <w:rFonts w:ascii="仿宋_GB2312"/>
        </w:rPr>
        <w:t>年的主要实施内容：</w:t>
      </w:r>
    </w:p>
    <w:p w14:paraId="26096D05">
      <w:pPr>
        <w:spacing w:line="360" w:lineRule="auto"/>
        <w:ind w:firstLine="560"/>
        <w:rPr>
          <w:rFonts w:ascii="仿宋_GB2312"/>
        </w:rPr>
      </w:pPr>
      <w:r>
        <w:rPr>
          <w:rFonts w:ascii="仿宋_GB2312"/>
        </w:rPr>
        <w:t>①</w:t>
      </w:r>
      <w:r>
        <w:rPr>
          <w:rFonts w:hint="eastAsia" w:ascii="仿宋_GB2312"/>
          <w:lang w:val="en-US" w:eastAsia="zh-CN"/>
        </w:rPr>
        <w:t>设备科根据医院疫情防控工作需要，明确采购的医疗设备及型号，采购办根据设备科提供的医疗设备需求，依照《中华人民共和国政府采购法》相关规定进行医疗设备采购，签订医疗设备采购合同；</w:t>
      </w:r>
    </w:p>
    <w:p w14:paraId="4AA2D01C">
      <w:pPr>
        <w:spacing w:line="360" w:lineRule="auto"/>
        <w:ind w:firstLine="560"/>
        <w:rPr>
          <w:rFonts w:ascii="仿宋_GB2312"/>
        </w:rPr>
      </w:pPr>
      <w:r>
        <w:rPr>
          <w:rFonts w:ascii="仿宋_GB2312"/>
        </w:rPr>
        <w:t>②</w:t>
      </w:r>
      <w:r>
        <w:rPr>
          <w:rFonts w:hint="eastAsia" w:ascii="仿宋_GB2312"/>
          <w:lang w:val="en-US" w:eastAsia="zh-CN"/>
        </w:rPr>
        <w:t>合同签订完毕后，设备科将承担起与相关设备供应商对接的重任。严格按照合同所规定的时间，认真做好医疗设备的接收工作。在设备接收过程中，会秉持严谨细致的态度，确保设备数量准确、质量完好。设备接收完成后，设备科还将全力推进设备的安装验收工作。组织专业人员对设备进行科学安装与调试，依据既定标准和规范，对设备各项性能指标进行全面检验，不放过任何一个细节，力求做到万无一失。通过这一系列工作，切实保障设备能够顺利正常投入使用，为医院的疫情防控工作提供坚实有力的硬件支持；</w:t>
      </w:r>
    </w:p>
    <w:p w14:paraId="4CF00D35">
      <w:pPr>
        <w:spacing w:line="360" w:lineRule="auto"/>
        <w:ind w:firstLine="560"/>
        <w:rPr>
          <w:rFonts w:hint="default" w:cs="Calibri"/>
          <w:lang w:val="en-US" w:eastAsia="zh-CN"/>
        </w:rPr>
      </w:pPr>
      <w:r>
        <w:rPr>
          <w:rFonts w:cs="Calibri"/>
        </w:rPr>
        <w:t>③</w:t>
      </w:r>
      <w:r>
        <w:rPr>
          <w:rFonts w:hint="default" w:cs="Calibri"/>
          <w:lang w:val="en-US" w:eastAsia="zh-CN"/>
        </w:rPr>
        <w:t>当设备安装验收工作圆满完成且</w:t>
      </w:r>
      <w:r>
        <w:rPr>
          <w:rFonts w:hint="eastAsia" w:cs="Calibri"/>
          <w:lang w:val="en-US" w:eastAsia="zh-CN"/>
        </w:rPr>
        <w:t>验收</w:t>
      </w:r>
      <w:r>
        <w:rPr>
          <w:rFonts w:hint="default" w:cs="Calibri"/>
          <w:lang w:val="en-US" w:eastAsia="zh-CN"/>
        </w:rPr>
        <w:t>结果合格后，设备科</w:t>
      </w:r>
      <w:r>
        <w:rPr>
          <w:rFonts w:hint="eastAsia" w:cs="Calibri"/>
          <w:lang w:val="en-US" w:eastAsia="zh-CN"/>
        </w:rPr>
        <w:t>应</w:t>
      </w:r>
      <w:r>
        <w:rPr>
          <w:rFonts w:hint="default" w:cs="Calibri"/>
          <w:lang w:val="en-US" w:eastAsia="zh-CN"/>
        </w:rPr>
        <w:t>迅速与相关医疗设备供应商展开对接工作。在此过程中，设备科会仔细梳理并精心准备好合同、发票等一系列完整的支付材料，确保资料无遗漏、无差错。随后，设备科依据合同中明确规定的支付条款，对此次需要支付的金额进行严谨细致的核算与确认，保证支付金额准确无误。在完成上述工作后，设备科将整理完备的支付材料提交给领导进行审批。待领导审批通过后，设备科会及时将这些支付材料转交给财务科。财务科在收到材料后，将严格按照既定流程和规范，完成最终的支付操作，确保整个支付环节合法合规、准确高效。</w:t>
      </w:r>
    </w:p>
    <w:p w14:paraId="518D47E5">
      <w:pPr>
        <w:spacing w:line="360" w:lineRule="auto"/>
        <w:ind w:firstLine="560"/>
        <w:rPr>
          <w:rFonts w:ascii="仿宋_GB2312"/>
        </w:rPr>
      </w:pPr>
      <w:r>
        <w:rPr>
          <w:rFonts w:ascii="仿宋_GB2312"/>
        </w:rPr>
        <w:t>实际完成情况。为：</w:t>
      </w:r>
    </w:p>
    <w:p w14:paraId="69F861DE">
      <w:pPr>
        <w:spacing w:line="360" w:lineRule="auto"/>
        <w:ind w:firstLine="560"/>
        <w:rPr>
          <w:rFonts w:ascii="仿宋_GB2312"/>
          <w:highlight w:val="none"/>
        </w:rPr>
      </w:pPr>
      <w:r>
        <w:rPr>
          <w:rFonts w:ascii="仿宋_GB2312"/>
        </w:rPr>
        <w:t>①</w:t>
      </w:r>
      <w:r>
        <w:rPr>
          <w:rFonts w:hint="eastAsia" w:ascii="仿宋_GB2312"/>
          <w:lang w:val="en-US" w:eastAsia="zh-CN"/>
        </w:rPr>
        <w:t>基于医院在疫情防控工作中的实际需求，设备科展开了全面且细致的梳理工作，精准甄别并清晰明确了所需采购的医疗设备及其具体型号。此次采购三大</w:t>
      </w:r>
      <w:r>
        <w:rPr>
          <w:rFonts w:hint="eastAsia" w:ascii="仿宋_GB2312"/>
          <w:highlight w:val="none"/>
          <w:lang w:val="en-US" w:eastAsia="zh-CN"/>
        </w:rPr>
        <w:t>类别的医疗设备，分别为基础类设备8批（心电图机15台、医用降温毯3台、升温仪5台、床旁监护仪60台、超声诊断仪60台、医用电动病床50套、手动推车20套、超声诊断仪（彩色）1套、单道注射泵20台、双道注射泵25台、输液泵20台、空气波压力治疗仪50台），抢救类设备1批（除颤仪4台）以及呼吸类设备1批（呼吸机4台）。最终于2024年4月完成合同签订，2024年11月完成项目资金支付；</w:t>
      </w:r>
    </w:p>
    <w:p w14:paraId="3D11A3A2">
      <w:pPr>
        <w:spacing w:line="360" w:lineRule="auto"/>
        <w:ind w:firstLine="560"/>
        <w:rPr>
          <w:rFonts w:hint="eastAsia" w:ascii="仿宋_GB2312"/>
          <w:lang w:val="en-US" w:eastAsia="zh-CN"/>
        </w:rPr>
      </w:pPr>
      <w:r>
        <w:rPr>
          <w:rFonts w:ascii="仿宋_GB2312"/>
        </w:rPr>
        <w:t>②</w:t>
      </w:r>
      <w:r>
        <w:rPr>
          <w:rFonts w:hint="eastAsia" w:ascii="仿宋_GB2312"/>
          <w:lang w:val="en-US" w:eastAsia="zh-CN"/>
        </w:rPr>
        <w:t>采购合同顺利签订之后，各类医疗设备依照计划陆续抵达医院。设备科协同专业技术人员紧密跟进设备到货情况，第一时间组织开展安装工作。在安装过程中，技术人员严格按照操作规范和设备说明书进行作业，确保安装质量。安装完成后，随即进入验收环节。验收小组秉持严谨、细致、专业的态度，依据既定的验收标准，对每一台设备的各项性能指标进行全面、严格的检测与评估。经过不懈努力，本次采购的所有设备验收合格率成功达到100%。目前，所有验收合格的设备均已正式投入使用，它们在医院的疫情防控工作中发挥着重要作用，为医疗救治工作提供了坚实有力的硬件支撑。</w:t>
      </w:r>
    </w:p>
    <w:p w14:paraId="6B024A9F">
      <w:pPr>
        <w:spacing w:line="360" w:lineRule="auto"/>
        <w:ind w:firstLine="560"/>
        <w:rPr>
          <w:rFonts w:hint="default" w:ascii="仿宋_GB2312" w:eastAsia="仿宋_GB2312"/>
          <w:lang w:val="en-US" w:eastAsia="zh-CN"/>
        </w:rPr>
      </w:pPr>
      <w:r>
        <w:rPr>
          <w:rFonts w:cs="Calibri"/>
        </w:rPr>
        <w:t>③</w:t>
      </w:r>
      <w:r>
        <w:rPr>
          <w:rFonts w:hint="eastAsia" w:cs="Calibri"/>
          <w:lang w:val="en-US" w:eastAsia="zh-CN"/>
        </w:rPr>
        <w:t>在各项手续完备、审核无误之后，涉及该项目的资金于2024年11月顺利完成支付，为整个业务流程画上了圆满句号。</w:t>
      </w:r>
    </w:p>
    <w:p w14:paraId="3DD39CE6">
      <w:pPr>
        <w:pStyle w:val="4"/>
        <w:ind w:firstLine="643"/>
      </w:pPr>
      <w:bookmarkStart w:id="5" w:name="_Toc24508"/>
      <w:r>
        <w:rPr>
          <w:rFonts w:hint="eastAsia"/>
        </w:rPr>
        <w:t>2</w:t>
      </w:r>
      <w:r>
        <w:t>.资金投入和使用情况</w:t>
      </w:r>
      <w:bookmarkEnd w:id="5"/>
    </w:p>
    <w:p w14:paraId="4465727E">
      <w:pPr>
        <w:spacing w:line="360" w:lineRule="auto"/>
        <w:ind w:firstLine="560"/>
        <w:rPr>
          <w:rFonts w:ascii="仿宋_GB2312"/>
        </w:rPr>
      </w:pPr>
      <w:r>
        <w:rPr>
          <w:rFonts w:hint="eastAsia" w:ascii="仿宋_GB2312"/>
        </w:rPr>
        <w:t>该项目资金投入情况：经《</w:t>
      </w:r>
      <w:r>
        <w:rPr>
          <w:rFonts w:hint="eastAsia" w:ascii="仿宋_GB2312"/>
          <w:lang w:val="en-US" w:eastAsia="zh-CN"/>
        </w:rPr>
        <w:t>关于紧急下达2023年新型冠状病毒感染疫情应急救治能力提升项目中央基建投资预算的通知</w:t>
      </w:r>
      <w:r>
        <w:rPr>
          <w:rFonts w:hint="eastAsia" w:ascii="仿宋_GB2312"/>
        </w:rPr>
        <w:t>》</w:t>
      </w:r>
      <w:r>
        <w:rPr>
          <w:rFonts w:hint="eastAsia" w:ascii="仿宋_GB2312"/>
          <w:lang w:eastAsia="zh-CN"/>
        </w:rPr>
        <w:t>（</w:t>
      </w:r>
      <w:r>
        <w:rPr>
          <w:rFonts w:hint="eastAsia" w:ascii="仿宋_GB2312"/>
          <w:lang w:val="en-US" w:eastAsia="zh-CN"/>
        </w:rPr>
        <w:t>乌财建</w:t>
      </w:r>
      <w:r>
        <w:rPr>
          <w:rFonts w:hint="eastAsia" w:ascii="仿宋_GB2312"/>
        </w:rPr>
        <w:t>〔202</w:t>
      </w:r>
      <w:r>
        <w:rPr>
          <w:rFonts w:hint="default" w:ascii="仿宋_GB2312"/>
        </w:rPr>
        <w:t>3〕</w:t>
      </w:r>
      <w:r>
        <w:rPr>
          <w:rFonts w:hint="eastAsia" w:ascii="仿宋_GB2312"/>
          <w:lang w:val="en-US" w:eastAsia="zh-CN"/>
        </w:rPr>
        <w:t>53</w:t>
      </w:r>
      <w:r>
        <w:rPr>
          <w:rFonts w:hint="default" w:ascii="仿宋_GB2312"/>
        </w:rPr>
        <w:t>号</w:t>
      </w:r>
      <w:r>
        <w:rPr>
          <w:rFonts w:hint="eastAsia" w:ascii="仿宋_GB2312"/>
          <w:lang w:eastAsia="zh-CN"/>
        </w:rPr>
        <w:t>）</w:t>
      </w:r>
      <w:r>
        <w:rPr>
          <w:rFonts w:hint="eastAsia" w:ascii="仿宋_GB2312"/>
        </w:rPr>
        <w:t>文件批准，项目系</w:t>
      </w:r>
      <w:r>
        <w:rPr>
          <w:rFonts w:ascii="仿宋_GB2312"/>
        </w:rPr>
        <w:t>202</w:t>
      </w:r>
      <w:r>
        <w:rPr>
          <w:rFonts w:hint="eastAsia" w:ascii="仿宋_GB2312"/>
          <w:lang w:val="en-US" w:eastAsia="zh-CN"/>
        </w:rPr>
        <w:t>3</w:t>
      </w:r>
      <w:r>
        <w:rPr>
          <w:rFonts w:hint="eastAsia" w:ascii="仿宋_GB2312"/>
        </w:rPr>
        <w:t>年中央资金，共安排预算</w:t>
      </w:r>
      <w:r>
        <w:rPr>
          <w:rFonts w:hint="eastAsia" w:ascii="仿宋_GB2312"/>
          <w:lang w:val="en-US" w:eastAsia="zh-CN"/>
        </w:rPr>
        <w:t>653</w:t>
      </w:r>
      <w:r>
        <w:rPr>
          <w:rFonts w:hint="eastAsia" w:ascii="仿宋_GB2312"/>
        </w:rPr>
        <w:t>万元，于202</w:t>
      </w:r>
      <w:r>
        <w:rPr>
          <w:rFonts w:hint="eastAsia" w:ascii="仿宋_GB2312"/>
          <w:lang w:val="en-US" w:eastAsia="zh-CN"/>
        </w:rPr>
        <w:t>3</w:t>
      </w:r>
      <w:r>
        <w:rPr>
          <w:rFonts w:hint="eastAsia" w:ascii="仿宋_GB2312"/>
        </w:rPr>
        <w:t>年年中追加预算批复项目，年中资金</w:t>
      </w:r>
      <w:r>
        <w:rPr>
          <w:rFonts w:hint="eastAsia" w:ascii="仿宋_GB2312"/>
          <w:lang w:val="en-US" w:eastAsia="zh-CN"/>
        </w:rPr>
        <w:t>未</w:t>
      </w:r>
      <w:r>
        <w:rPr>
          <w:rFonts w:hint="eastAsia" w:ascii="仿宋_GB2312"/>
        </w:rPr>
        <w:t>调整。</w:t>
      </w:r>
    </w:p>
    <w:p w14:paraId="702AC138">
      <w:pPr>
        <w:spacing w:line="360" w:lineRule="auto"/>
        <w:ind w:firstLine="560"/>
        <w:rPr>
          <w:rFonts w:ascii="仿宋_GB2312"/>
        </w:rPr>
      </w:pPr>
      <w:r>
        <w:rPr>
          <w:rFonts w:hint="eastAsia" w:ascii="仿宋_GB2312"/>
        </w:rPr>
        <w:t>该项目资金使用情况：</w:t>
      </w:r>
      <w:r>
        <w:rPr>
          <w:rFonts w:hint="eastAsia" w:ascii="仿宋_GB2312"/>
          <w:lang w:val="en-US" w:eastAsia="zh-CN"/>
        </w:rPr>
        <w:t>2024年资金预算总额653万元，资金用于购买医疗设备，其中基础类设备562.30万元，呼吸类设备1批70.11万元，抢救类设备一批20.59万元。所有采购的医疗设备均已顺利完成安装、验收工作，并正式投入使用。与此同时，相应的设备款项653万元也已全部支付完毕，预算执行率100%</w:t>
      </w:r>
      <w:r>
        <w:rPr>
          <w:rFonts w:hint="eastAsia" w:ascii="仿宋_GB2312"/>
        </w:rPr>
        <w:t>。</w:t>
      </w:r>
    </w:p>
    <w:p w14:paraId="3BE7DD1D">
      <w:pPr>
        <w:pStyle w:val="3"/>
        <w:ind w:firstLine="643"/>
        <w:rPr>
          <w:rFonts w:ascii="仿宋" w:hAnsi="仿宋" w:eastAsia="仿宋"/>
          <w:lang w:bidi="en-US"/>
        </w:rPr>
      </w:pPr>
      <w:bookmarkStart w:id="6" w:name="_Toc3521"/>
      <w:bookmarkStart w:id="7" w:name="_Toc67911603"/>
      <w:r>
        <w:rPr>
          <w:rFonts w:hint="eastAsia" w:ascii="仿宋" w:hAnsi="仿宋" w:eastAsia="仿宋"/>
          <w:lang w:bidi="en-US"/>
        </w:rPr>
        <w:t>（二）项目绩效目标：</w:t>
      </w:r>
      <w:bookmarkEnd w:id="6"/>
      <w:bookmarkEnd w:id="7"/>
    </w:p>
    <w:p w14:paraId="12BDB29C">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w:t>
      </w:r>
      <w:r>
        <w:rPr>
          <w:rFonts w:hint="eastAsia" w:ascii="仿宋_GB2312" w:hAnsi="仿宋"/>
          <w:szCs w:val="28"/>
          <w:lang w:eastAsia="zh-CN"/>
        </w:rPr>
        <w:t>〈</w:t>
      </w:r>
      <w:r>
        <w:rPr>
          <w:rFonts w:hint="eastAsia" w:ascii="仿宋_GB2312" w:hAnsi="仿宋"/>
          <w:szCs w:val="28"/>
        </w:rPr>
        <w:t>乌鲁木齐市本级部门预算绩效目标管理暂行办法</w:t>
      </w:r>
      <w:r>
        <w:rPr>
          <w:rFonts w:hint="eastAsia" w:ascii="仿宋_GB2312" w:hAnsi="仿宋"/>
          <w:szCs w:val="28"/>
          <w:lang w:eastAsia="zh-CN"/>
        </w:rPr>
        <w: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6821592F">
      <w:pPr>
        <w:spacing w:line="360" w:lineRule="auto"/>
        <w:ind w:firstLine="560"/>
        <w:rPr>
          <w:rFonts w:ascii="仿宋_GB2312" w:hAnsi="仿宋"/>
          <w:szCs w:val="28"/>
        </w:rPr>
      </w:pPr>
      <w:r>
        <w:rPr>
          <w:rFonts w:hint="eastAsia" w:ascii="仿宋_GB2312" w:hAnsi="仿宋"/>
          <w:szCs w:val="28"/>
        </w:rPr>
        <w:t>该项目为</w:t>
      </w:r>
      <w:r>
        <w:rPr>
          <w:rFonts w:hint="eastAsia" w:ascii="仿宋_GB2312" w:hAnsi="仿宋"/>
          <w:szCs w:val="28"/>
          <w:lang w:val="en-US" w:eastAsia="zh-CN"/>
        </w:rPr>
        <w:t>跨年</w:t>
      </w:r>
      <w:r>
        <w:rPr>
          <w:rFonts w:ascii="仿宋_GB2312" w:hAnsi="仿宋"/>
          <w:szCs w:val="28"/>
        </w:rPr>
        <w:t>项目。</w:t>
      </w:r>
    </w:p>
    <w:p w14:paraId="340F2A39">
      <w:pPr>
        <w:spacing w:line="360" w:lineRule="auto"/>
        <w:ind w:firstLine="560"/>
        <w:rPr>
          <w:rFonts w:ascii="仿宋_GB2312" w:hAnsi="仿宋"/>
          <w:szCs w:val="28"/>
        </w:rPr>
      </w:pPr>
      <w:r>
        <w:rPr>
          <w:rFonts w:hint="eastAsia" w:ascii="仿宋_GB2312" w:hAnsi="仿宋"/>
          <w:szCs w:val="28"/>
        </w:rPr>
        <w:t>该项目总体绩效目标：</w:t>
      </w:r>
      <w:r>
        <w:rPr>
          <w:rFonts w:hint="eastAsia" w:ascii="仿宋_GB2312" w:hAnsi="仿宋"/>
          <w:szCs w:val="28"/>
          <w:lang w:val="en-US" w:eastAsia="zh-CN"/>
        </w:rPr>
        <w:t>通过购买医疗设备，提升医院救治硬件设施，实现</w:t>
      </w:r>
      <w:r>
        <w:rPr>
          <w:rFonts w:hint="eastAsia" w:ascii="仿宋_GB2312"/>
          <w:lang w:val="en-US" w:eastAsia="zh-CN"/>
        </w:rPr>
        <w:t>有效提升针对新型冠状病毒感染的应急救治能力，最大程度降低患者的重症率与死亡率的目标。</w:t>
      </w:r>
    </w:p>
    <w:p w14:paraId="11A919AB">
      <w:pPr>
        <w:spacing w:line="360" w:lineRule="auto"/>
        <w:ind w:firstLine="560"/>
        <w:rPr>
          <w:rFonts w:ascii="仿宋_GB2312" w:hAnsi="仿宋"/>
          <w:szCs w:val="28"/>
        </w:rPr>
      </w:pPr>
      <w:r>
        <w:rPr>
          <w:rFonts w:ascii="仿宋_GB2312" w:hAnsi="仿宋"/>
          <w:szCs w:val="28"/>
        </w:rPr>
        <w:t>该项目阶段性目标为：</w:t>
      </w:r>
      <w:r>
        <w:rPr>
          <w:rFonts w:hint="eastAsia" w:ascii="仿宋_GB2312" w:hAnsi="仿宋"/>
          <w:szCs w:val="28"/>
        </w:rPr>
        <w:t>在2024</w:t>
      </w:r>
      <w:r>
        <w:rPr>
          <w:rFonts w:ascii="仿宋_GB2312" w:hAnsi="仿宋"/>
          <w:szCs w:val="28"/>
        </w:rPr>
        <w:t>年</w:t>
      </w:r>
      <w:r>
        <w:rPr>
          <w:rFonts w:hint="eastAsia" w:ascii="仿宋_GB2312" w:hAnsi="仿宋"/>
          <w:szCs w:val="28"/>
        </w:rPr>
        <w:t>计划完成</w:t>
      </w:r>
      <w:r>
        <w:rPr>
          <w:rFonts w:hint="eastAsia" w:ascii="仿宋_GB2312" w:hAnsi="仿宋"/>
          <w:szCs w:val="28"/>
          <w:lang w:val="en-US" w:eastAsia="zh-CN"/>
        </w:rPr>
        <w:t>1.顺利完成三类医疗</w:t>
      </w:r>
      <w:r>
        <w:rPr>
          <w:rFonts w:hint="eastAsia" w:ascii="仿宋_GB2312" w:hAnsi="仿宋"/>
          <w:szCs w:val="28"/>
          <w:highlight w:val="none"/>
          <w:lang w:val="en-US" w:eastAsia="zh-CN"/>
        </w:rPr>
        <w:t>设备（即</w:t>
      </w:r>
      <w:r>
        <w:rPr>
          <w:rFonts w:hint="eastAsia" w:ascii="仿宋_GB2312"/>
          <w:highlight w:val="none"/>
          <w:lang w:val="en-US" w:eastAsia="zh-CN"/>
        </w:rPr>
        <w:t>基础类设备8批329台、抢救类设备1批4台以及呼吸类设备1批4台。</w:t>
      </w:r>
      <w:r>
        <w:rPr>
          <w:rFonts w:hint="eastAsia" w:ascii="仿宋_GB2312" w:hAnsi="仿宋"/>
          <w:szCs w:val="28"/>
          <w:highlight w:val="none"/>
          <w:lang w:val="en-US" w:eastAsia="zh-CN"/>
        </w:rPr>
        <w:t>）的合同签订工作，</w:t>
      </w:r>
      <w:r>
        <w:rPr>
          <w:rFonts w:hint="eastAsia" w:ascii="仿宋_GB2312" w:hAnsi="仿宋"/>
          <w:szCs w:val="28"/>
          <w:lang w:val="en-US" w:eastAsia="zh-CN"/>
        </w:rPr>
        <w:t>从源头上保障设备采购的合法性与规范性；2.高质量完成医疗设备的安装验收工作，严格把控设备投入使用前的质量关卡，确保设备能正常运行并发挥应有作用；3.按时足额支付设备款项653万元，保障整个采购流程的顺利推进与圆满结束</w:t>
      </w:r>
      <w:r>
        <w:rPr>
          <w:rFonts w:hint="eastAsia" w:ascii="仿宋_GB2312" w:hAnsi="仿宋"/>
          <w:szCs w:val="28"/>
        </w:rPr>
        <w:t>。</w:t>
      </w:r>
    </w:p>
    <w:p w14:paraId="611E0B87">
      <w:pPr>
        <w:pStyle w:val="2"/>
        <w:ind w:firstLine="0" w:firstLineChars="0"/>
        <w:jc w:val="left"/>
        <w:rPr>
          <w:rFonts w:ascii="仿宋" w:hAnsi="仿宋" w:eastAsia="仿宋"/>
          <w:sz w:val="36"/>
          <w:szCs w:val="36"/>
          <w:lang w:bidi="en-US"/>
        </w:rPr>
      </w:pPr>
      <w:bookmarkStart w:id="9" w:name="_Toc67911604"/>
      <w:bookmarkStart w:id="10" w:name="_Toc11992"/>
      <w:r>
        <w:rPr>
          <w:rFonts w:hint="eastAsia" w:ascii="仿宋" w:hAnsi="仿宋" w:eastAsia="仿宋"/>
          <w:sz w:val="36"/>
          <w:szCs w:val="36"/>
          <w:lang w:bidi="en-US"/>
        </w:rPr>
        <w:t>二、绩效评价工作开展情况</w:t>
      </w:r>
      <w:bookmarkEnd w:id="9"/>
      <w:bookmarkEnd w:id="10"/>
    </w:p>
    <w:p w14:paraId="60CEBBAD">
      <w:pPr>
        <w:pStyle w:val="3"/>
        <w:ind w:firstLine="643"/>
        <w:rPr>
          <w:rFonts w:ascii="仿宋" w:hAnsi="仿宋" w:eastAsia="仿宋"/>
          <w:lang w:bidi="en-US"/>
        </w:rPr>
      </w:pPr>
      <w:bookmarkStart w:id="11" w:name="_Toc29835"/>
      <w:bookmarkStart w:id="12" w:name="_Toc67911605"/>
      <w:r>
        <w:rPr>
          <w:rFonts w:hint="eastAsia" w:ascii="仿宋" w:hAnsi="仿宋" w:eastAsia="仿宋"/>
          <w:lang w:bidi="en-US"/>
        </w:rPr>
        <w:t>（一）绩效评价目的、对象和范围</w:t>
      </w:r>
      <w:bookmarkEnd w:id="11"/>
      <w:bookmarkEnd w:id="12"/>
    </w:p>
    <w:p w14:paraId="22F53D04">
      <w:pPr>
        <w:pStyle w:val="4"/>
        <w:ind w:firstLine="643"/>
      </w:pPr>
      <w:bookmarkStart w:id="13" w:name="_Toc26937"/>
      <w:r>
        <w:rPr>
          <w:rFonts w:hint="eastAsia"/>
        </w:rPr>
        <w:t>1</w:t>
      </w:r>
      <w:r>
        <w:t>.绩效评价完整性</w:t>
      </w:r>
      <w:bookmarkEnd w:id="13"/>
    </w:p>
    <w:p w14:paraId="5E64C823">
      <w:pPr>
        <w:spacing w:line="360" w:lineRule="auto"/>
        <w:ind w:firstLine="560"/>
        <w:rPr>
          <w:rFonts w:hint="eastAsia" w:ascii="仿宋_GB2312" w:hAnsi="仿宋"/>
          <w:szCs w:val="28"/>
          <w:highlight w:val="yellow"/>
        </w:rPr>
      </w:pPr>
      <w:r>
        <w:rPr>
          <w:rFonts w:hint="eastAsia" w:ascii="仿宋_GB2312" w:hAnsi="仿宋"/>
          <w:szCs w:val="28"/>
        </w:rPr>
        <w:t>首先，</w:t>
      </w:r>
      <w:r>
        <w:rPr>
          <w:rFonts w:hint="eastAsia" w:ascii="仿宋_GB2312" w:hAnsi="仿宋"/>
          <w:szCs w:val="28"/>
          <w:highlight w:val="none"/>
        </w:rPr>
        <w:t>本项目依据《中共中央 国务院关于全面实施预算绩效管理的意见》（中发〔2018〕</w:t>
      </w:r>
      <w:r>
        <w:rPr>
          <w:rFonts w:ascii="仿宋_GB2312" w:hAnsi="仿宋"/>
          <w:szCs w:val="28"/>
          <w:highlight w:val="none"/>
        </w:rPr>
        <w:t>34</w:t>
      </w:r>
      <w:r>
        <w:rPr>
          <w:rFonts w:hint="eastAsia" w:ascii="仿宋_GB2312" w:hAnsi="仿宋"/>
          <w:szCs w:val="28"/>
          <w:highlight w:val="none"/>
        </w:rPr>
        <w:t>号）、《关于印发</w:t>
      </w:r>
      <w:r>
        <w:rPr>
          <w:rFonts w:hint="eastAsia" w:ascii="仿宋_GB2312" w:hAnsi="仿宋"/>
          <w:szCs w:val="28"/>
          <w:highlight w:val="none"/>
          <w:lang w:eastAsia="zh-CN"/>
        </w:rPr>
        <w:t>〈</w:t>
      </w:r>
      <w:r>
        <w:rPr>
          <w:rFonts w:hint="eastAsia" w:ascii="仿宋_GB2312" w:hAnsi="仿宋"/>
          <w:szCs w:val="28"/>
          <w:highlight w:val="none"/>
        </w:rPr>
        <w:t>乌鲁木齐市本级部门预算绩效目标管理暂行办法</w:t>
      </w:r>
      <w:r>
        <w:rPr>
          <w:rFonts w:hint="eastAsia" w:ascii="仿宋_GB2312" w:hAnsi="仿宋"/>
          <w:szCs w:val="28"/>
          <w:highlight w:val="none"/>
          <w:lang w:eastAsia="zh-CN"/>
        </w:rPr>
        <w:t>〉</w:t>
      </w:r>
      <w:r>
        <w:rPr>
          <w:rFonts w:hint="eastAsia" w:ascii="仿宋_GB2312" w:hAnsi="仿宋"/>
          <w:szCs w:val="28"/>
          <w:highlight w:val="none"/>
        </w:rPr>
        <w:t>的通知》（乌财预〔2018〕</w:t>
      </w:r>
      <w:r>
        <w:rPr>
          <w:rFonts w:ascii="仿宋_GB2312" w:hAnsi="仿宋"/>
          <w:szCs w:val="28"/>
          <w:highlight w:val="none"/>
        </w:rPr>
        <w:t>5</w:t>
      </w:r>
      <w:r>
        <w:rPr>
          <w:rFonts w:hint="eastAsia" w:ascii="仿宋_GB2312" w:hAnsi="仿宋"/>
          <w:szCs w:val="28"/>
          <w:highlight w:val="none"/>
        </w:rPr>
        <w:t>6号）、《关于做好2</w:t>
      </w:r>
      <w:r>
        <w:rPr>
          <w:rFonts w:ascii="仿宋_GB2312" w:hAnsi="仿宋"/>
          <w:szCs w:val="28"/>
          <w:highlight w:val="none"/>
        </w:rPr>
        <w:t>019</w:t>
      </w:r>
      <w:r>
        <w:rPr>
          <w:rFonts w:hint="eastAsia" w:ascii="仿宋_GB2312" w:hAnsi="仿宋"/>
          <w:szCs w:val="28"/>
          <w:highlight w:val="none"/>
        </w:rPr>
        <w:t>年部门预算项目支出绩效目标管理有关事宜的通知》（乌财预〔20</w:t>
      </w:r>
      <w:r>
        <w:rPr>
          <w:rFonts w:ascii="仿宋_GB2312" w:hAnsi="仿宋"/>
          <w:szCs w:val="28"/>
          <w:highlight w:val="none"/>
        </w:rPr>
        <w:t>18</w:t>
      </w:r>
      <w:r>
        <w:rPr>
          <w:rFonts w:hint="eastAsia" w:ascii="仿宋_GB2312" w:hAnsi="仿宋"/>
          <w:szCs w:val="28"/>
          <w:highlight w:val="none"/>
        </w:rPr>
        <w:t>〕</w:t>
      </w:r>
      <w:r>
        <w:rPr>
          <w:rFonts w:ascii="仿宋_GB2312" w:hAnsi="仿宋"/>
          <w:szCs w:val="28"/>
          <w:highlight w:val="none"/>
        </w:rPr>
        <w:t>76</w:t>
      </w:r>
      <w:r>
        <w:rPr>
          <w:rFonts w:hint="eastAsia" w:ascii="仿宋_GB2312" w:hAnsi="仿宋"/>
          <w:szCs w:val="28"/>
          <w:highlight w:val="none"/>
        </w:rPr>
        <w:t>号）和《项目支出绩效评价管理办法》（财预〔20</w:t>
      </w:r>
      <w:r>
        <w:rPr>
          <w:rFonts w:ascii="仿宋_GB2312" w:hAnsi="仿宋"/>
          <w:szCs w:val="28"/>
          <w:highlight w:val="none"/>
        </w:rPr>
        <w:t>20</w:t>
      </w:r>
      <w:r>
        <w:rPr>
          <w:rFonts w:hint="eastAsia" w:ascii="仿宋_GB2312" w:hAnsi="仿宋"/>
          <w:szCs w:val="28"/>
          <w:highlight w:val="none"/>
        </w:rPr>
        <w:t>〕</w:t>
      </w:r>
      <w:r>
        <w:rPr>
          <w:rFonts w:ascii="仿宋_GB2312" w:hAnsi="仿宋"/>
          <w:szCs w:val="28"/>
          <w:highlight w:val="none"/>
        </w:rPr>
        <w:t>10</w:t>
      </w:r>
      <w:r>
        <w:rPr>
          <w:rFonts w:hint="eastAsia" w:ascii="仿宋_GB2312" w:hAnsi="仿宋"/>
          <w:szCs w:val="28"/>
          <w:highlight w:val="none"/>
        </w:rPr>
        <w:t>号）等文件要求</w:t>
      </w:r>
      <w:r>
        <w:rPr>
          <w:rFonts w:hint="eastAsia" w:ascii="仿宋_GB2312" w:hAnsi="仿宋"/>
          <w:szCs w:val="28"/>
          <w:highlight w:val="none"/>
          <w:lang w:eastAsia="zh-CN"/>
        </w:rPr>
        <w:t>，</w:t>
      </w:r>
      <w:r>
        <w:rPr>
          <w:rFonts w:hint="eastAsia" w:ascii="仿宋_GB2312" w:hAnsi="仿宋"/>
          <w:szCs w:val="28"/>
          <w:highlight w:val="none"/>
          <w:lang w:val="en-US" w:eastAsia="zh-CN"/>
        </w:rPr>
        <w:t>我院为更好地应对新冠感染医疗救治工作，迅速扩充医疗资源，加快推动三级医院医疗资源整合速度，确保需要时，随时可投入新冠感染患者救治工作，设立通过购买医疗设备，提升医院救治硬件设施，实现</w:t>
      </w:r>
      <w:r>
        <w:rPr>
          <w:rFonts w:hint="eastAsia" w:ascii="仿宋_GB2312"/>
          <w:highlight w:val="none"/>
          <w:lang w:val="en-US" w:eastAsia="zh-CN"/>
        </w:rPr>
        <w:t>有效提升针对新型冠状病毒感染的应急救治能力，最大程度降低患者的重症率与死亡率的</w:t>
      </w:r>
      <w:r>
        <w:rPr>
          <w:rFonts w:hint="eastAsia" w:ascii="仿宋_GB2312" w:hAnsi="仿宋"/>
          <w:szCs w:val="28"/>
          <w:highlight w:val="none"/>
        </w:rPr>
        <w:t>总体绩效目标</w:t>
      </w:r>
      <w:r>
        <w:rPr>
          <w:rFonts w:hint="eastAsia" w:ascii="仿宋_GB2312" w:hAnsi="仿宋"/>
          <w:szCs w:val="28"/>
          <w:highlight w:val="none"/>
          <w:lang w:eastAsia="zh-CN"/>
        </w:rPr>
        <w:t>。</w:t>
      </w:r>
      <w:r>
        <w:rPr>
          <w:rFonts w:hint="eastAsia" w:ascii="仿宋_GB2312" w:hAnsi="仿宋"/>
          <w:szCs w:val="28"/>
          <w:highlight w:val="none"/>
          <w:lang w:val="en-US" w:eastAsia="zh-CN"/>
        </w:rPr>
        <w:t>我院同时</w:t>
      </w:r>
      <w:r>
        <w:rPr>
          <w:rFonts w:hint="eastAsia" w:ascii="仿宋_GB2312" w:hAnsi="仿宋"/>
          <w:szCs w:val="28"/>
          <w:highlight w:val="none"/>
        </w:rPr>
        <w:t>设定三级绩效目标（数量指标</w:t>
      </w:r>
      <w:r>
        <w:rPr>
          <w:rFonts w:hint="eastAsia" w:ascii="仿宋_GB2312" w:hAnsi="仿宋"/>
          <w:szCs w:val="28"/>
          <w:highlight w:val="none"/>
          <w:lang w:val="en-US" w:eastAsia="zh-CN"/>
        </w:rPr>
        <w:t>三条</w:t>
      </w:r>
      <w:r>
        <w:rPr>
          <w:rFonts w:hint="eastAsia" w:ascii="仿宋_GB2312" w:hAnsi="仿宋"/>
          <w:szCs w:val="28"/>
          <w:highlight w:val="none"/>
        </w:rPr>
        <w:t>、质量指标</w:t>
      </w:r>
      <w:r>
        <w:rPr>
          <w:rFonts w:hint="eastAsia" w:ascii="仿宋_GB2312" w:hAnsi="仿宋"/>
          <w:szCs w:val="28"/>
          <w:highlight w:val="none"/>
          <w:lang w:val="en-US" w:eastAsia="zh-CN"/>
        </w:rPr>
        <w:t>一条</w:t>
      </w:r>
      <w:r>
        <w:rPr>
          <w:rFonts w:hint="eastAsia" w:ascii="仿宋_GB2312" w:hAnsi="仿宋"/>
          <w:szCs w:val="28"/>
          <w:highlight w:val="none"/>
        </w:rPr>
        <w:t>、时效指标</w:t>
      </w:r>
      <w:r>
        <w:rPr>
          <w:rFonts w:hint="eastAsia" w:ascii="仿宋_GB2312" w:hAnsi="仿宋"/>
          <w:szCs w:val="28"/>
          <w:highlight w:val="none"/>
          <w:lang w:val="en-US" w:eastAsia="zh-CN"/>
        </w:rPr>
        <w:t>一条</w:t>
      </w:r>
      <w:r>
        <w:rPr>
          <w:rFonts w:hint="eastAsia" w:ascii="仿宋_GB2312" w:hAnsi="仿宋"/>
          <w:szCs w:val="28"/>
          <w:highlight w:val="none"/>
        </w:rPr>
        <w:t>、成本指标</w:t>
      </w:r>
      <w:r>
        <w:rPr>
          <w:rFonts w:hint="eastAsia" w:ascii="仿宋_GB2312" w:hAnsi="仿宋"/>
          <w:szCs w:val="28"/>
          <w:highlight w:val="none"/>
          <w:lang w:val="en-US" w:eastAsia="zh-CN"/>
        </w:rPr>
        <w:t>三条</w:t>
      </w:r>
      <w:r>
        <w:rPr>
          <w:rFonts w:hint="eastAsia" w:ascii="仿宋_GB2312" w:hAnsi="仿宋"/>
          <w:szCs w:val="28"/>
          <w:highlight w:val="none"/>
        </w:rPr>
        <w:t>、效益指标</w:t>
      </w:r>
      <w:r>
        <w:rPr>
          <w:rFonts w:hint="eastAsia" w:ascii="仿宋_GB2312" w:hAnsi="仿宋"/>
          <w:szCs w:val="28"/>
          <w:highlight w:val="none"/>
          <w:lang w:val="en-US" w:eastAsia="zh-CN"/>
        </w:rPr>
        <w:t>一条</w:t>
      </w:r>
      <w:r>
        <w:rPr>
          <w:rFonts w:hint="eastAsia" w:ascii="仿宋_GB2312" w:hAnsi="仿宋"/>
          <w:szCs w:val="28"/>
          <w:highlight w:val="none"/>
        </w:rPr>
        <w:t>、满意度指标</w:t>
      </w:r>
      <w:r>
        <w:rPr>
          <w:rFonts w:hint="eastAsia" w:ascii="仿宋_GB2312" w:hAnsi="仿宋"/>
          <w:szCs w:val="28"/>
          <w:highlight w:val="none"/>
          <w:lang w:val="en-US" w:eastAsia="zh-CN"/>
        </w:rPr>
        <w:t>一条</w:t>
      </w:r>
      <w:r>
        <w:rPr>
          <w:rFonts w:hint="eastAsia" w:ascii="仿宋_GB2312" w:hAnsi="仿宋"/>
          <w:szCs w:val="28"/>
          <w:highlight w:val="none"/>
        </w:rPr>
        <w:t>）</w:t>
      </w:r>
      <w:r>
        <w:rPr>
          <w:rFonts w:hint="eastAsia" w:ascii="仿宋_GB2312" w:hAnsi="仿宋"/>
          <w:szCs w:val="28"/>
          <w:highlight w:val="none"/>
          <w:lang w:eastAsia="zh-CN"/>
        </w:rPr>
        <w:t>，</w:t>
      </w:r>
      <w:r>
        <w:rPr>
          <w:rFonts w:hint="eastAsia" w:ascii="仿宋_GB2312" w:hAnsi="仿宋"/>
          <w:szCs w:val="28"/>
          <w:highlight w:val="none"/>
          <w:lang w:val="en-US" w:eastAsia="zh-CN"/>
        </w:rPr>
        <w:t>指标</w:t>
      </w:r>
      <w:r>
        <w:rPr>
          <w:rFonts w:hint="eastAsia" w:ascii="仿宋_GB2312" w:hAnsi="仿宋"/>
          <w:szCs w:val="28"/>
          <w:highlight w:val="none"/>
        </w:rPr>
        <w:t>细化量化合理可行</w:t>
      </w:r>
      <w:r>
        <w:rPr>
          <w:rFonts w:hint="eastAsia" w:ascii="仿宋_GB2312" w:hAnsi="仿宋"/>
          <w:szCs w:val="28"/>
          <w:highlight w:val="none"/>
          <w:lang w:eastAsia="zh-CN"/>
        </w:rPr>
        <w:t>、</w:t>
      </w:r>
      <w:r>
        <w:rPr>
          <w:rFonts w:hint="eastAsia" w:ascii="仿宋_GB2312" w:hAnsi="仿宋"/>
          <w:szCs w:val="28"/>
          <w:highlight w:val="none"/>
        </w:rPr>
        <w:t>指向明确，</w:t>
      </w:r>
      <w:r>
        <w:rPr>
          <w:rFonts w:hint="eastAsia" w:ascii="仿宋_GB2312" w:hAnsi="仿宋"/>
          <w:szCs w:val="28"/>
          <w:highlight w:val="none"/>
          <w:lang w:val="en-US" w:eastAsia="zh-CN"/>
        </w:rPr>
        <w:t>能够</w:t>
      </w:r>
      <w:r>
        <w:rPr>
          <w:rFonts w:hint="eastAsia" w:ascii="仿宋_GB2312" w:hAnsi="仿宋"/>
          <w:szCs w:val="28"/>
          <w:highlight w:val="none"/>
        </w:rPr>
        <w:t>准确、清晰地反映财政资金在使用期所能达到的预期产出和效果</w:t>
      </w:r>
      <w:r>
        <w:rPr>
          <w:rFonts w:hint="eastAsia" w:ascii="仿宋_GB2312" w:hAnsi="仿宋"/>
          <w:szCs w:val="28"/>
          <w:highlight w:val="none"/>
          <w:lang w:eastAsia="zh-CN"/>
        </w:rPr>
        <w:t>，</w:t>
      </w:r>
      <w:r>
        <w:rPr>
          <w:rFonts w:hint="eastAsia" w:ascii="仿宋_GB2312" w:hAnsi="仿宋"/>
          <w:szCs w:val="28"/>
          <w:highlight w:val="none"/>
          <w:lang w:val="en-US" w:eastAsia="zh-CN"/>
        </w:rPr>
        <w:t>完整体现出项目的总体绩效目标</w:t>
      </w:r>
      <w:r>
        <w:rPr>
          <w:rFonts w:hint="eastAsia" w:ascii="仿宋_GB2312" w:hAnsi="仿宋"/>
          <w:szCs w:val="28"/>
          <w:highlight w:val="none"/>
        </w:rPr>
        <w:t>。</w:t>
      </w:r>
    </w:p>
    <w:p w14:paraId="6C2CDF77">
      <w:pPr>
        <w:spacing w:line="360" w:lineRule="auto"/>
        <w:ind w:firstLine="560"/>
        <w:rPr>
          <w:rFonts w:ascii="仿宋_GB2312" w:hAnsi="仿宋"/>
          <w:szCs w:val="28"/>
        </w:rPr>
      </w:pPr>
      <w:r>
        <w:rPr>
          <w:rFonts w:ascii="仿宋_GB2312" w:hAnsi="仿宋"/>
          <w:szCs w:val="28"/>
        </w:rPr>
        <w:t>其次</w:t>
      </w:r>
      <w:r>
        <w:rPr>
          <w:rFonts w:hint="eastAsia" w:ascii="仿宋_GB2312" w:hAnsi="仿宋"/>
          <w:szCs w:val="28"/>
        </w:rPr>
        <w:t>，本次项目我单位是财政拨款</w:t>
      </w:r>
      <w:r>
        <w:rPr>
          <w:rFonts w:hint="eastAsia" w:ascii="仿宋_GB2312" w:hAnsi="仿宋"/>
          <w:szCs w:val="28"/>
          <w:lang w:val="en-US" w:eastAsia="zh-CN"/>
        </w:rPr>
        <w:t>653</w:t>
      </w:r>
      <w:r>
        <w:rPr>
          <w:rFonts w:hint="eastAsia" w:ascii="仿宋_GB2312" w:hAnsi="仿宋"/>
          <w:szCs w:val="28"/>
        </w:rPr>
        <w:t>万元</w:t>
      </w:r>
      <w:r>
        <w:rPr>
          <w:rFonts w:hint="eastAsia" w:ascii="仿宋_GB2312" w:hAnsi="仿宋"/>
          <w:szCs w:val="28"/>
          <w:lang w:eastAsia="zh-CN"/>
        </w:rPr>
        <w:t>，</w:t>
      </w:r>
      <w:r>
        <w:rPr>
          <w:rFonts w:hint="eastAsia" w:ascii="仿宋_GB2312"/>
          <w:lang w:val="en-US" w:eastAsia="zh-CN"/>
        </w:rPr>
        <w:t>设备科根据医院疫情防控工作需要，明确采购的医疗设备及型号，采购办根据设备科提供的医疗设备需求，依照《中华人民共和国政府采购法》相关规定进行医疗设备采购，签订医疗设备采购合同；合同签订完毕后，将全力推进设备的安装验收工作，达到设备验收合格率100%。</w:t>
      </w:r>
      <w:r>
        <w:rPr>
          <w:rFonts w:hint="default" w:cs="Calibri"/>
          <w:lang w:val="en-US" w:eastAsia="zh-CN"/>
        </w:rPr>
        <w:t>在完成上述工作后，设备科将整理完备的支付材料提交给领导进行审批。待领导审批通过后，设备科会及时将这些支付材料转交给财务科。财务科在收到材料后，将严格按照既定流程和规范，完成最终的支付操作，确保整个支付环节合法合规、准确高效。</w:t>
      </w:r>
    </w:p>
    <w:p w14:paraId="2514F678">
      <w:pPr>
        <w:spacing w:line="360" w:lineRule="auto"/>
        <w:ind w:firstLine="560"/>
        <w:rPr>
          <w:rFonts w:hint="eastAsia" w:ascii="仿宋_GB2312" w:hAnsi="仿宋"/>
          <w:szCs w:val="28"/>
          <w:highlight w:val="none"/>
          <w:lang w:val="en-US" w:eastAsia="zh-CN"/>
        </w:rPr>
      </w:pPr>
      <w:r>
        <w:rPr>
          <w:rFonts w:hint="eastAsia" w:ascii="仿宋_GB2312" w:hAnsi="仿宋"/>
          <w:szCs w:val="28"/>
          <w:highlight w:val="none"/>
        </w:rPr>
        <w:t>最后，</w:t>
      </w:r>
      <w:r>
        <w:rPr>
          <w:rFonts w:hint="eastAsia" w:ascii="仿宋_GB2312" w:hAnsi="仿宋"/>
          <w:szCs w:val="28"/>
          <w:highlight w:val="none"/>
          <w:lang w:val="en-US" w:eastAsia="zh-CN"/>
        </w:rPr>
        <w:t>本次评价的数据来源为相关供应商签订的采购合同与验收报告；其中，采购合同主要是我院采购办采购完成后与相关供应商签订，验收报告由我院设备科经设备验收形成，以及财务科付款形成的银行回单。这些资料和凭证在日常工作中逐步积累形成，真实记录了各项业务活动的开展情况。所有资料均统一整理存入财务凭证附件留存。严格按照相关科室责任，提供佐证材料，由财务科统一归集整理，为评价工作提供了坚实的数据支撑，保障了数据的准确性和完整性。</w:t>
      </w:r>
    </w:p>
    <w:p w14:paraId="40D7127D">
      <w:pPr>
        <w:pStyle w:val="4"/>
        <w:ind w:firstLine="643"/>
      </w:pPr>
      <w:bookmarkStart w:id="14" w:name="_Toc14283"/>
      <w:r>
        <w:t>2</w:t>
      </w:r>
      <w:r>
        <w:rPr>
          <w:rFonts w:hint="eastAsia"/>
        </w:rPr>
        <w:t>.评价目的</w:t>
      </w:r>
      <w:bookmarkEnd w:id="14"/>
    </w:p>
    <w:p w14:paraId="2B2C6D58">
      <w:pPr>
        <w:spacing w:line="360" w:lineRule="auto"/>
        <w:ind w:firstLine="560"/>
        <w:rPr>
          <w:rFonts w:hint="eastAsia" w:ascii="仿宋_GB2312"/>
          <w:lang w:val="en-US" w:eastAsia="zh-CN"/>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w:t>
      </w:r>
      <w:r>
        <w:rPr>
          <w:rFonts w:hint="eastAsia" w:ascii="仿宋_GB2312"/>
          <w:lang w:val="en-US" w:eastAsia="zh-CN"/>
        </w:rPr>
        <w:t xml:space="preserve"> </w:t>
      </w:r>
    </w:p>
    <w:p w14:paraId="4F418A1E">
      <w:pPr>
        <w:spacing w:line="360" w:lineRule="auto"/>
        <w:ind w:firstLine="560"/>
        <w:rPr>
          <w:rFonts w:ascii="仿宋_GB2312"/>
        </w:rPr>
      </w:pPr>
      <w:r>
        <w:rPr>
          <w:rFonts w:hint="eastAsia" w:ascii="仿宋_GB2312"/>
        </w:rPr>
        <w:t>（1）通过对项目设立的背景、意义、项目内容、项目现状及绩效目标、资金投入、资金管理、组织实施、产出指标、成本指标和效益指标等进行深入调研和分析，进一步了解关于紧急下达2023年新型冠状病毒感染疫情应急救治能力提升项目中央基建投资预算的通知项目的实施情况，并考察项目实施过程和效果。</w:t>
      </w:r>
    </w:p>
    <w:p w14:paraId="55730756">
      <w:pPr>
        <w:spacing w:line="360" w:lineRule="auto"/>
        <w:ind w:firstLine="560"/>
        <w:rPr>
          <w:rFonts w:ascii="仿宋_GB2312"/>
          <w:b/>
          <w:bCs/>
        </w:rPr>
      </w:pPr>
      <w:r>
        <w:rPr>
          <w:rFonts w:hint="eastAsia" w:ascii="仿宋_GB2312"/>
        </w:rPr>
        <w:t>（2）通过评价，客观公正反映项目立项科学性、项目管理规范性、项目实施有效性和项目效果，总结项目实施的经验，发现项目实施过程中存在的问题，提高财政资金使用效益。</w:t>
      </w:r>
    </w:p>
    <w:p w14:paraId="2BE5AD2B">
      <w:pPr>
        <w:pStyle w:val="4"/>
        <w:ind w:firstLine="643"/>
      </w:pPr>
      <w:bookmarkStart w:id="15" w:name="_Toc3186"/>
      <w:r>
        <w:t>3</w:t>
      </w:r>
      <w:r>
        <w:rPr>
          <w:rFonts w:hint="eastAsia"/>
        </w:rPr>
        <w:t>.评价对象</w:t>
      </w:r>
      <w:bookmarkEnd w:id="15"/>
    </w:p>
    <w:p w14:paraId="66ED02D9">
      <w:pPr>
        <w:spacing w:line="360" w:lineRule="auto"/>
        <w:ind w:firstLine="560"/>
        <w:rPr>
          <w:rFonts w:ascii="仿宋_GB2312"/>
        </w:rPr>
      </w:pPr>
      <w:r>
        <w:rPr>
          <w:rFonts w:hint="eastAsia" w:ascii="仿宋_GB2312"/>
        </w:rPr>
        <w:t xml:space="preserve">（1）绩效评价的对象：关于紧急下达2023年新型冠状病毒感染疫情应急救治能力提升项目中央基建投资预算的通知 </w:t>
      </w:r>
    </w:p>
    <w:p w14:paraId="4A8A93BD">
      <w:pPr>
        <w:pStyle w:val="4"/>
        <w:ind w:firstLine="643"/>
      </w:pPr>
      <w:bookmarkStart w:id="16" w:name="_Toc15063"/>
      <w:r>
        <w:rPr>
          <w:rFonts w:hint="eastAsia"/>
        </w:rPr>
        <w:t>4</w:t>
      </w:r>
      <w:r>
        <w:t>.</w:t>
      </w:r>
      <w:r>
        <w:rPr>
          <w:rFonts w:hint="eastAsia"/>
        </w:rPr>
        <w:t>绩效评价范围</w:t>
      </w:r>
      <w:bookmarkEnd w:id="16"/>
    </w:p>
    <w:p w14:paraId="774EB3BA">
      <w:pPr>
        <w:spacing w:line="360" w:lineRule="auto"/>
        <w:ind w:firstLine="560"/>
        <w:rPr>
          <w:rFonts w:ascii="仿宋_GB2312"/>
        </w:rPr>
      </w:pPr>
      <w:r>
        <w:rPr>
          <w:rFonts w:ascii="仿宋_GB2312"/>
        </w:rPr>
        <w:t>1.</w:t>
      </w:r>
      <w:r>
        <w:rPr>
          <w:rFonts w:hint="eastAsia" w:ascii="仿宋_GB2312"/>
        </w:rPr>
        <w:t>时间范围：2024年1月1日至2024年1</w:t>
      </w:r>
      <w:r>
        <w:rPr>
          <w:rFonts w:ascii="仿宋_GB2312"/>
        </w:rPr>
        <w:t>2</w:t>
      </w:r>
      <w:r>
        <w:rPr>
          <w:rFonts w:hint="eastAsia" w:ascii="仿宋_GB2312"/>
        </w:rPr>
        <w:t>月3</w:t>
      </w:r>
      <w:r>
        <w:rPr>
          <w:rFonts w:ascii="仿宋_GB2312"/>
        </w:rPr>
        <w:t>1</w:t>
      </w:r>
      <w:r>
        <w:rPr>
          <w:rFonts w:hint="eastAsia" w:ascii="仿宋_GB2312"/>
        </w:rPr>
        <w:t>日。</w:t>
      </w:r>
    </w:p>
    <w:p w14:paraId="38558F3C">
      <w:pPr>
        <w:spacing w:line="360" w:lineRule="auto"/>
        <w:ind w:firstLine="560"/>
        <w:rPr>
          <w:rFonts w:hint="eastAsia" w:ascii="仿宋_GB2312"/>
          <w:lang w:val="en-US" w:eastAsia="zh-CN"/>
        </w:rPr>
      </w:pPr>
      <w:r>
        <w:rPr>
          <w:rFonts w:ascii="仿宋_GB2312"/>
        </w:rPr>
        <w:t>2.</w:t>
      </w:r>
      <w:r>
        <w:rPr>
          <w:rFonts w:hint="eastAsia" w:ascii="仿宋_GB2312"/>
        </w:rPr>
        <w:t>项目范围：根据《</w:t>
      </w:r>
      <w:r>
        <w:rPr>
          <w:rFonts w:hint="eastAsia" w:ascii="仿宋_GB2312"/>
          <w:lang w:val="en-US" w:eastAsia="zh-CN"/>
        </w:rPr>
        <w:t>关于紧急下达新型冠状病毒感染疫情应急救治能力提升项目中央预算内投资计划的通知</w:t>
      </w:r>
      <w:r>
        <w:rPr>
          <w:rFonts w:hint="eastAsia" w:ascii="仿宋_GB2312"/>
        </w:rPr>
        <w:t>》</w:t>
      </w:r>
      <w:r>
        <w:rPr>
          <w:rFonts w:hint="eastAsia" w:ascii="仿宋_GB2312"/>
          <w:lang w:eastAsia="zh-CN"/>
        </w:rPr>
        <w:t>（</w:t>
      </w:r>
      <w:r>
        <w:rPr>
          <w:rFonts w:hint="eastAsia" w:ascii="仿宋_GB2312"/>
          <w:lang w:val="en-US" w:eastAsia="zh-CN"/>
        </w:rPr>
        <w:t>乌</w:t>
      </w:r>
      <w:r>
        <w:rPr>
          <w:rFonts w:hint="eastAsia" w:ascii="仿宋_GB2312"/>
        </w:rPr>
        <w:t>发改</w:t>
      </w:r>
      <w:r>
        <w:rPr>
          <w:rFonts w:hint="eastAsia" w:ascii="仿宋_GB2312"/>
          <w:lang w:val="en-US" w:eastAsia="zh-CN"/>
        </w:rPr>
        <w:t>社会</w:t>
      </w:r>
      <w:r>
        <w:rPr>
          <w:rFonts w:hint="eastAsia" w:ascii="仿宋_GB2312"/>
        </w:rPr>
        <w:t>〔202</w:t>
      </w:r>
      <w:r>
        <w:rPr>
          <w:rFonts w:hint="default" w:ascii="仿宋_GB2312"/>
        </w:rPr>
        <w:t>3〕</w:t>
      </w:r>
      <w:r>
        <w:rPr>
          <w:rFonts w:hint="eastAsia" w:ascii="仿宋_GB2312"/>
          <w:lang w:val="en-US" w:eastAsia="zh-CN"/>
        </w:rPr>
        <w:t>43</w:t>
      </w:r>
      <w:r>
        <w:rPr>
          <w:rFonts w:hint="default" w:ascii="仿宋_GB2312"/>
        </w:rPr>
        <w:t>号</w:t>
      </w:r>
      <w:r>
        <w:rPr>
          <w:rFonts w:hint="eastAsia" w:ascii="仿宋_GB2312"/>
          <w:lang w:eastAsia="zh-CN"/>
        </w:rPr>
        <w:t>）、</w:t>
      </w:r>
      <w:r>
        <w:rPr>
          <w:rFonts w:hint="eastAsia" w:ascii="仿宋_GB2312"/>
        </w:rPr>
        <w:t>《</w:t>
      </w:r>
      <w:r>
        <w:rPr>
          <w:rFonts w:hint="eastAsia" w:ascii="仿宋_GB2312"/>
          <w:lang w:val="en-US" w:eastAsia="zh-CN"/>
        </w:rPr>
        <w:t>关于紧急下达2023年新型冠状病毒感染疫情应急救治能力提升项目中央基建投资预算的通知</w:t>
      </w:r>
      <w:r>
        <w:rPr>
          <w:rFonts w:hint="eastAsia" w:ascii="仿宋_GB2312"/>
        </w:rPr>
        <w:t>》</w:t>
      </w:r>
      <w:r>
        <w:rPr>
          <w:rFonts w:hint="eastAsia" w:ascii="仿宋_GB2312"/>
          <w:lang w:eastAsia="zh-CN"/>
        </w:rPr>
        <w:t>（</w:t>
      </w:r>
      <w:r>
        <w:rPr>
          <w:rFonts w:hint="eastAsia" w:ascii="仿宋_GB2312"/>
          <w:lang w:val="en-US" w:eastAsia="zh-CN"/>
        </w:rPr>
        <w:t>乌财建</w:t>
      </w:r>
      <w:r>
        <w:rPr>
          <w:rFonts w:hint="eastAsia" w:ascii="仿宋_GB2312"/>
        </w:rPr>
        <w:t>〔202</w:t>
      </w:r>
      <w:r>
        <w:rPr>
          <w:rFonts w:hint="default" w:ascii="仿宋_GB2312"/>
        </w:rPr>
        <w:t>3〕</w:t>
      </w:r>
      <w:r>
        <w:rPr>
          <w:rFonts w:hint="eastAsia" w:ascii="仿宋_GB2312"/>
          <w:lang w:val="en-US" w:eastAsia="zh-CN"/>
        </w:rPr>
        <w:t>53</w:t>
      </w:r>
      <w:r>
        <w:rPr>
          <w:rFonts w:hint="default" w:ascii="仿宋_GB2312"/>
        </w:rPr>
        <w:t>号</w:t>
      </w:r>
      <w:r>
        <w:rPr>
          <w:rFonts w:hint="eastAsia" w:ascii="仿宋_GB2312"/>
          <w:lang w:eastAsia="zh-CN"/>
        </w:rPr>
        <w:t>）</w:t>
      </w:r>
      <w:r>
        <w:rPr>
          <w:rFonts w:hint="eastAsia" w:ascii="仿宋_GB2312"/>
          <w:lang w:val="en-US" w:eastAsia="zh-CN"/>
        </w:rPr>
        <w:t>文件精神，我院设备科根据医院疫情防控工作需要，明确采购的医疗设备及型号，采购办根据设备科提供的医疗设备需求，依照《中华人民共和国政府采购法》相关规定进行医疗设备采购，签订医疗设备采购合同；合同签订完毕后，将全力推进设备的安装验收工作，达到设备验收合格率100%。</w:t>
      </w:r>
      <w:r>
        <w:rPr>
          <w:rFonts w:hint="default" w:cs="Calibri"/>
          <w:lang w:val="en-US" w:eastAsia="zh-CN"/>
        </w:rPr>
        <w:t>在完成上述工作后，设备科将整理完备的支付材料提交给领导进行审批。待领导审批通过后，设备科会及时将这些支付材料转交给财务科。财务科在收到材料后，将严格按照既定流程和规范，完成最终的支付操作，确保整个支付环节合法合规、准确高效</w:t>
      </w:r>
      <w:r>
        <w:rPr>
          <w:rFonts w:hint="eastAsia" w:cs="Calibri"/>
          <w:lang w:val="en-US" w:eastAsia="zh-CN"/>
        </w:rPr>
        <w:t>。</w:t>
      </w:r>
      <w:r>
        <w:rPr>
          <w:rFonts w:hint="eastAsia" w:ascii="仿宋_GB2312" w:hAnsi="仿宋"/>
          <w:szCs w:val="28"/>
          <w:lang w:val="en-US" w:eastAsia="zh-CN"/>
        </w:rPr>
        <w:t>通过购买医疗设备10批共计653万元，提升医院救治硬件设施，实现</w:t>
      </w:r>
      <w:r>
        <w:rPr>
          <w:rFonts w:hint="eastAsia" w:ascii="仿宋_GB2312"/>
          <w:lang w:val="en-US" w:eastAsia="zh-CN"/>
        </w:rPr>
        <w:t>有效提升针对新型冠状病毒感染的应急救治能力，最大程度降低患者的重症率与死亡率的目标。</w:t>
      </w:r>
    </w:p>
    <w:p w14:paraId="59027085">
      <w:pPr>
        <w:spacing w:line="360" w:lineRule="auto"/>
        <w:ind w:firstLine="560"/>
        <w:rPr>
          <w:rFonts w:hint="eastAsia" w:ascii="仿宋_GB2312"/>
        </w:rPr>
      </w:pPr>
      <w:r>
        <w:rPr>
          <w:rFonts w:hint="eastAsia" w:ascii="仿宋_GB2312"/>
          <w:lang w:val="en-US" w:eastAsia="zh-CN"/>
        </w:rPr>
        <w:t>项目申报时，我院严谨负责，注重上报资料真实完整，认真核实数据文件，为项目打牢基础。对项目绩效目标值，我院严格践行承诺，以此为行动导向。经精心规划、全员努力，稳步迈向目标。</w:t>
      </w:r>
      <w:r>
        <w:rPr>
          <w:rFonts w:hint="eastAsia" w:ascii="仿宋_GB2312"/>
          <w:szCs w:val="28"/>
        </w:rPr>
        <w:t>在对项目绩效目标监控的完成情况展开深入分析后发现，项目资金于2023年3月13日正式下达</w:t>
      </w:r>
      <w:r>
        <w:rPr>
          <w:rFonts w:hint="eastAsia" w:ascii="仿宋_GB2312"/>
          <w:szCs w:val="28"/>
          <w:lang w:eastAsia="zh-CN"/>
        </w:rPr>
        <w:t>，</w:t>
      </w:r>
      <w:r>
        <w:rPr>
          <w:rFonts w:hint="eastAsia" w:ascii="仿宋_GB2312"/>
          <w:szCs w:val="28"/>
          <w:lang w:val="en-US" w:eastAsia="zh-CN"/>
        </w:rPr>
        <w:t>当年项目资金未执行</w:t>
      </w:r>
      <w:r>
        <w:rPr>
          <w:rFonts w:hint="eastAsia" w:ascii="仿宋_GB2312"/>
          <w:szCs w:val="28"/>
          <w:lang w:eastAsia="zh-CN"/>
        </w:rPr>
        <w:t>，</w:t>
      </w:r>
      <w:r>
        <w:rPr>
          <w:rFonts w:hint="eastAsia" w:ascii="仿宋_GB2312"/>
          <w:szCs w:val="28"/>
        </w:rPr>
        <w:t>结转至2024年继续使用。</w:t>
      </w:r>
      <w:r>
        <w:rPr>
          <w:rFonts w:hint="eastAsia" w:ascii="仿宋_GB2312"/>
          <w:szCs w:val="28"/>
          <w:lang w:val="en-US" w:eastAsia="zh-CN"/>
        </w:rPr>
        <w:t>主要原因为：</w:t>
      </w:r>
      <w:r>
        <w:rPr>
          <w:rFonts w:hint="eastAsia" w:ascii="仿宋_GB2312"/>
          <w:szCs w:val="28"/>
        </w:rPr>
        <w:t>设备招标工作启动相对滞后，直至2023年底，设备合同仍未能全部签订完毕，相应设备也未能办理入库手续。这一系列因素致使项目资金在当年无法正常执行，</w:t>
      </w:r>
      <w:r>
        <w:rPr>
          <w:rFonts w:hint="eastAsia" w:ascii="仿宋_GB2312"/>
          <w:szCs w:val="28"/>
          <w:lang w:val="en-US" w:eastAsia="zh-CN"/>
        </w:rPr>
        <w:t>导致</w:t>
      </w:r>
      <w:r>
        <w:rPr>
          <w:rFonts w:hint="eastAsia" w:ascii="仿宋_GB2312"/>
          <w:szCs w:val="28"/>
        </w:rPr>
        <w:t>结转至2024年继续使用</w:t>
      </w:r>
      <w:r>
        <w:rPr>
          <w:rFonts w:hint="eastAsia" w:ascii="仿宋_GB2312"/>
        </w:rPr>
        <w:t>。</w:t>
      </w:r>
    </w:p>
    <w:p w14:paraId="7DB8B62C">
      <w:pPr>
        <w:spacing w:line="360" w:lineRule="auto"/>
        <w:ind w:firstLine="560"/>
        <w:rPr>
          <w:rFonts w:ascii="仿宋_GB2312"/>
          <w:szCs w:val="28"/>
        </w:rPr>
      </w:pPr>
      <w:r>
        <w:rPr>
          <w:rFonts w:hint="eastAsia" w:ascii="仿宋_GB2312"/>
          <w:szCs w:val="28"/>
        </w:rPr>
        <w:t>结合项目特点，对2024年关于紧急下达2023年新型冠状病毒感染疫情应急救治能力提升项目中央基建投资预算的通知</w:t>
      </w:r>
      <w:r>
        <w:rPr>
          <w:rFonts w:hint="eastAsia" w:ascii="仿宋_GB2312"/>
          <w:szCs w:val="28"/>
          <w:lang w:val="en-US" w:eastAsia="zh-CN"/>
        </w:rPr>
        <w:t>项目</w:t>
      </w:r>
      <w:r>
        <w:rPr>
          <w:rFonts w:hint="eastAsia" w:ascii="仿宋_GB2312"/>
          <w:szCs w:val="28"/>
        </w:rPr>
        <w:t>进行客观评价，最终绩效评级为“</w:t>
      </w:r>
      <w:r>
        <w:rPr>
          <w:rFonts w:hint="eastAsia" w:ascii="仿宋_GB2312"/>
          <w:szCs w:val="28"/>
          <w:lang w:val="en-US" w:eastAsia="zh-CN"/>
        </w:rPr>
        <w:t>优</w:t>
      </w:r>
      <w:r>
        <w:rPr>
          <w:rFonts w:hint="eastAsia" w:ascii="仿宋_GB2312"/>
          <w:szCs w:val="28"/>
        </w:rPr>
        <w:t>”。</w:t>
      </w:r>
    </w:p>
    <w:p w14:paraId="4BCE97F4">
      <w:pPr>
        <w:spacing w:line="360" w:lineRule="auto"/>
        <w:ind w:firstLine="560"/>
        <w:rPr>
          <w:rFonts w:hint="eastAsia" w:ascii="仿宋_GB2312"/>
        </w:rPr>
      </w:pPr>
    </w:p>
    <w:p w14:paraId="3D0387D9">
      <w:pPr>
        <w:pStyle w:val="3"/>
        <w:ind w:firstLine="643"/>
        <w:rPr>
          <w:rFonts w:ascii="仿宋" w:hAnsi="仿宋" w:eastAsia="仿宋"/>
          <w:lang w:bidi="en-US"/>
        </w:rPr>
      </w:pPr>
      <w:bookmarkStart w:id="17" w:name="_Hlk67586765"/>
      <w:bookmarkStart w:id="18" w:name="_Toc8778"/>
      <w:bookmarkStart w:id="19" w:name="_Toc67911606"/>
      <w:r>
        <w:rPr>
          <w:rFonts w:hint="eastAsia" w:ascii="仿宋" w:hAnsi="仿宋" w:eastAsia="仿宋"/>
          <w:lang w:bidi="en-US"/>
        </w:rPr>
        <w:t>（二）绩效评价原则、指标体系、方法及标准</w:t>
      </w:r>
      <w:bookmarkEnd w:id="17"/>
      <w:bookmarkEnd w:id="18"/>
      <w:bookmarkEnd w:id="19"/>
    </w:p>
    <w:p w14:paraId="242B3947">
      <w:pPr>
        <w:pStyle w:val="4"/>
        <w:ind w:firstLine="643"/>
      </w:pPr>
      <w:bookmarkStart w:id="20" w:name="_Toc27901"/>
      <w:r>
        <w:rPr>
          <w:rFonts w:hint="eastAsia"/>
        </w:rPr>
        <w:t>1</w:t>
      </w:r>
      <w:r>
        <w:t>.</w:t>
      </w:r>
      <w:r>
        <w:rPr>
          <w:rFonts w:hint="eastAsia"/>
        </w:rPr>
        <w:t>评价原则</w:t>
      </w:r>
      <w:bookmarkEnd w:id="20"/>
    </w:p>
    <w:p w14:paraId="0B98595F">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w:t>
      </w:r>
      <w:r>
        <w:rPr>
          <w:rFonts w:hint="eastAsia" w:ascii="仿宋_GB2312"/>
          <w:bCs/>
          <w:sz w:val="32"/>
          <w:szCs w:val="32"/>
          <w:lang w:eastAsia="zh-CN"/>
        </w:rPr>
        <w:t>地</w:t>
      </w:r>
      <w:r>
        <w:rPr>
          <w:rFonts w:hint="eastAsia" w:ascii="仿宋_GB2312"/>
          <w:bCs/>
          <w:sz w:val="32"/>
          <w:szCs w:val="32"/>
        </w:rPr>
        <w:t>反映。</w:t>
      </w:r>
    </w:p>
    <w:p w14:paraId="31F1EDD6">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30899A1A">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14:paraId="3F79473E">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14:paraId="4016B641">
      <w:pPr>
        <w:pStyle w:val="4"/>
        <w:ind w:firstLine="643"/>
      </w:pPr>
      <w:bookmarkStart w:id="21" w:name="_Toc16113"/>
      <w:r>
        <w:t>2.</w:t>
      </w:r>
      <w:r>
        <w:rPr>
          <w:rFonts w:hint="eastAsia"/>
        </w:rPr>
        <w:t>评价指标体系</w:t>
      </w:r>
      <w:bookmarkEnd w:id="21"/>
    </w:p>
    <w:p w14:paraId="42D57D4D">
      <w:pPr>
        <w:spacing w:line="360" w:lineRule="auto"/>
        <w:ind w:firstLine="560"/>
        <w:rPr>
          <w:rFonts w:ascii="仿宋_GB2312"/>
        </w:rPr>
      </w:pPr>
      <w:r>
        <w:rPr>
          <w:rFonts w:hint="eastAsia" w:ascii="仿宋_GB2312"/>
        </w:rPr>
        <w:t>绩效评价指标体系作为衡量绩效目标实现程度的考核工具，一般遵循以下原则：</w:t>
      </w:r>
    </w:p>
    <w:p w14:paraId="224E8000">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0442A398">
      <w:pPr>
        <w:spacing w:line="360" w:lineRule="auto"/>
        <w:ind w:firstLine="560"/>
        <w:rPr>
          <w:rFonts w:ascii="仿宋_GB2312"/>
        </w:rPr>
      </w:pPr>
      <w:r>
        <w:rPr>
          <w:rFonts w:hint="eastAsia" w:ascii="仿宋_GB2312"/>
        </w:rPr>
        <w:t>（2）重要性原则：应当优先使用最具评价对象代表性、最能反映评价要求的核心指标。</w:t>
      </w:r>
    </w:p>
    <w:p w14:paraId="3E5A4728">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029F6B69">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00CF0A06">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04E48122">
      <w:pPr>
        <w:spacing w:line="360" w:lineRule="auto"/>
        <w:ind w:firstLine="560"/>
        <w:rPr>
          <w:rFonts w:ascii="仿宋_GB2312"/>
          <w:highlight w:val="none"/>
        </w:rPr>
      </w:pPr>
      <w:r>
        <w:rPr>
          <w:rFonts w:hint="eastAsia" w:ascii="仿宋_GB2312"/>
          <w:highlight w:val="none"/>
        </w:rPr>
        <w:t>本项目的评价指标体系建立如下表所示。</w:t>
      </w:r>
    </w:p>
    <w:p w14:paraId="6951FFD4">
      <w:pPr>
        <w:spacing w:line="360" w:lineRule="auto"/>
        <w:ind w:firstLine="560"/>
        <w:rPr>
          <w:rFonts w:ascii="仿宋_GB2312"/>
        </w:rPr>
      </w:pPr>
    </w:p>
    <w:p w14:paraId="4C5ED29D">
      <w:pPr>
        <w:spacing w:line="360" w:lineRule="auto"/>
        <w:ind w:firstLine="560"/>
        <w:rPr>
          <w:rFonts w:ascii="仿宋_GB2312"/>
        </w:rPr>
      </w:pPr>
    </w:p>
    <w:p w14:paraId="09805A72">
      <w:pPr>
        <w:spacing w:line="360" w:lineRule="auto"/>
        <w:ind w:firstLine="560"/>
        <w:rPr>
          <w:rFonts w:ascii="仿宋_GB2312"/>
        </w:rPr>
        <w:sectPr>
          <w:headerReference r:id="rId11" w:type="default"/>
          <w:footerReference r:id="rId12" w:type="default"/>
          <w:pgSz w:w="11906" w:h="16838"/>
          <w:pgMar w:top="1440" w:right="1800" w:bottom="1440" w:left="1800" w:header="992" w:footer="992" w:gutter="0"/>
          <w:pgNumType w:start="1"/>
          <w:cols w:space="425" w:num="1"/>
          <w:docGrid w:type="lines" w:linePitch="381" w:charSpace="0"/>
        </w:sectPr>
      </w:pPr>
    </w:p>
    <w:p w14:paraId="7FDFF2F0">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11"/>
        <w:gridCol w:w="2789"/>
        <w:gridCol w:w="7341"/>
      </w:tblGrid>
      <w:tr w14:paraId="31D831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642A9409">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vAlign w:val="center"/>
          </w:tcPr>
          <w:p w14:paraId="1328FE14">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vAlign w:val="center"/>
          </w:tcPr>
          <w:p w14:paraId="04F55F04">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vAlign w:val="center"/>
          </w:tcPr>
          <w:p w14:paraId="507B9B91">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vAlign w:val="center"/>
          </w:tcPr>
          <w:p w14:paraId="3186006D">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071E2C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4539C6E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4F22536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71F2637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6D1F864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7DB2380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49FB9993">
            <w:pPr>
              <w:widowControl/>
              <w:ind w:firstLine="0" w:firstLineChars="0"/>
              <w:jc w:val="left"/>
              <w:rPr>
                <w:rFonts w:ascii="宋体" w:hAnsi="宋体" w:eastAsia="宋体" w:cs="宋体"/>
                <w:color w:val="000000"/>
                <w:kern w:val="0"/>
                <w:sz w:val="22"/>
              </w:rPr>
            </w:pPr>
            <w:r>
              <w:rPr>
                <w:rFonts w:hint="eastAsia" w:ascii="宋体" w:hAnsi="宋体" w:eastAsia="宋体" w:cs="宋体"/>
                <w:color w:val="auto"/>
                <w:kern w:val="0"/>
                <w:sz w:val="22"/>
              </w:rPr>
              <w:t>评价要点：</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①项目立项是否符合国家法律法规、国民经济发展规划和相关政策；</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②项目立项是否符合行业发展规划和政策要求；</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③项目立项是否与部门职责范围相符，属于部门履职所需；</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④项目是否属于公共财政支持范围，是否符合中央、地方事权支出责任划分原则；</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t>⑤项目是否与相关部门同类项目或部门内部相关项目重复。</w:t>
            </w:r>
          </w:p>
        </w:tc>
      </w:tr>
      <w:tr w14:paraId="0F9E9F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141486BC">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44EC7B14">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59211B4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0FCCB2D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6C68706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1A53F845">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7A17E4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28A5717A">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216F8AE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7F7FD18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2B906EA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748EDAA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145D1521">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0C898BAA">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3413CA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2B85AAE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4E70F60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26BC1BA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7F26BD7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5DB782E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3664423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29D1CA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66FA287E">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2A1DA77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07771FF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5E737C5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25AF65C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3EC5440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74967B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21289C68">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4FE0975A">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326A841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3332F54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519ACA6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6F47C7C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764035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5AAC0316">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397F667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5E2781E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3C1929D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3548812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04869F3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7FE0FFF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76056C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1A1B09D3">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48FC8A3A">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269E202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0198893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76B2FBA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4EF899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3BA5C131">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72668E2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5CC02DC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0F1F28A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30A749D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1E5811A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648D9EE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3E79B5A4">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3CA5464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4598E96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0E55335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1A3FA95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3778122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3C3EA9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238D6DB6">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29045D3">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0D535D6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66988AA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6C45BC3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1D5D6B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0C0B60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5A6F27F5">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vMerge w:val="restart"/>
            <w:tcBorders>
              <w:tl2br w:val="nil"/>
              <w:tr2bl w:val="nil"/>
            </w:tcBorders>
            <w:shd w:val="clear" w:color="auto" w:fill="FFFFFF"/>
            <w:vAlign w:val="center"/>
          </w:tcPr>
          <w:p w14:paraId="3553065B">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产出数量</w:t>
            </w:r>
          </w:p>
        </w:tc>
        <w:tc>
          <w:tcPr>
            <w:tcW w:w="1411" w:type="dxa"/>
            <w:tcBorders>
              <w:tl2br w:val="nil"/>
              <w:tr2bl w:val="nil"/>
            </w:tcBorders>
            <w:shd w:val="clear" w:color="auto" w:fill="FFFFFF"/>
          </w:tcPr>
          <w:p w14:paraId="36B6BE92">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基础类设备购置数</w:t>
            </w:r>
          </w:p>
        </w:tc>
        <w:tc>
          <w:tcPr>
            <w:tcW w:w="2789" w:type="dxa"/>
            <w:vMerge w:val="restart"/>
            <w:tcBorders>
              <w:tl2br w:val="nil"/>
              <w:tr2bl w:val="nil"/>
            </w:tcBorders>
            <w:shd w:val="clear" w:color="000000" w:fill="FFFFFF"/>
            <w:vAlign w:val="center"/>
          </w:tcPr>
          <w:p w14:paraId="73FEC85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751AEF5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1EC087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50DC9465">
            <w:pPr>
              <w:widowControl/>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18B0DB1B">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tcPr>
          <w:p w14:paraId="46895022">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呼吸类设备购置数</w:t>
            </w:r>
          </w:p>
        </w:tc>
        <w:tc>
          <w:tcPr>
            <w:tcW w:w="2789" w:type="dxa"/>
            <w:vMerge w:val="continue"/>
            <w:tcBorders>
              <w:tl2br w:val="nil"/>
              <w:tr2bl w:val="nil"/>
            </w:tcBorders>
            <w:shd w:val="clear" w:color="000000" w:fill="FFFFFF"/>
            <w:vAlign w:val="center"/>
          </w:tcPr>
          <w:p w14:paraId="6353DDC3">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7783C37B">
            <w:pPr>
              <w:widowControl/>
              <w:ind w:firstLine="0" w:firstLineChars="0"/>
              <w:rPr>
                <w:rFonts w:ascii="宋体" w:hAnsi="宋体" w:eastAsia="宋体" w:cs="宋体"/>
                <w:color w:val="000000"/>
                <w:kern w:val="0"/>
                <w:sz w:val="22"/>
              </w:rPr>
            </w:pPr>
          </w:p>
        </w:tc>
      </w:tr>
      <w:tr w14:paraId="39D691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2CEF1540">
            <w:pPr>
              <w:widowControl/>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38B36B03">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tcPr>
          <w:p w14:paraId="1F7F6CAA">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抢救类设备购置数</w:t>
            </w:r>
          </w:p>
        </w:tc>
        <w:tc>
          <w:tcPr>
            <w:tcW w:w="2789" w:type="dxa"/>
            <w:vMerge w:val="continue"/>
            <w:tcBorders>
              <w:tl2br w:val="nil"/>
              <w:tr2bl w:val="nil"/>
            </w:tcBorders>
            <w:shd w:val="clear" w:color="000000" w:fill="FFFFFF"/>
            <w:vAlign w:val="center"/>
          </w:tcPr>
          <w:p w14:paraId="58C905B0">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76CAB711">
            <w:pPr>
              <w:widowControl/>
              <w:ind w:firstLine="0" w:firstLineChars="0"/>
              <w:rPr>
                <w:rFonts w:ascii="宋体" w:hAnsi="宋体" w:eastAsia="宋体" w:cs="宋体"/>
                <w:color w:val="000000"/>
                <w:kern w:val="0"/>
                <w:sz w:val="22"/>
              </w:rPr>
            </w:pPr>
          </w:p>
        </w:tc>
      </w:tr>
      <w:tr w14:paraId="00F8A82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478D53CB">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tcBorders>
              <w:tl2br w:val="nil"/>
              <w:tr2bl w:val="nil"/>
            </w:tcBorders>
            <w:shd w:val="clear" w:color="auto" w:fill="FFFFFF"/>
            <w:vAlign w:val="center"/>
          </w:tcPr>
          <w:p w14:paraId="0E38F136">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产出质量</w:t>
            </w:r>
          </w:p>
        </w:tc>
        <w:tc>
          <w:tcPr>
            <w:tcW w:w="1411" w:type="dxa"/>
            <w:tcBorders>
              <w:tl2br w:val="nil"/>
              <w:tr2bl w:val="nil"/>
            </w:tcBorders>
            <w:shd w:val="clear" w:color="auto" w:fill="FFFFFF"/>
            <w:vAlign w:val="center"/>
          </w:tcPr>
          <w:p w14:paraId="5480422D">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设备验收合格率</w:t>
            </w:r>
          </w:p>
        </w:tc>
        <w:tc>
          <w:tcPr>
            <w:tcW w:w="2789" w:type="dxa"/>
            <w:tcBorders>
              <w:tl2br w:val="nil"/>
              <w:tr2bl w:val="nil"/>
            </w:tcBorders>
            <w:shd w:val="clear" w:color="000000" w:fill="FFFFFF"/>
            <w:vAlign w:val="center"/>
          </w:tcPr>
          <w:p w14:paraId="553CFCF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6A49453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3BF148C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93464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14:paraId="73350CFA">
            <w:pPr>
              <w:widowControl/>
              <w:ind w:firstLine="0" w:firstLineChars="0"/>
              <w:jc w:val="center"/>
              <w:rPr>
                <w:rFonts w:hint="eastAsia" w:ascii="宋体" w:hAnsi="宋体" w:eastAsia="宋体" w:cs="宋体"/>
                <w:color w:val="000000"/>
                <w:kern w:val="0"/>
                <w:sz w:val="22"/>
              </w:rPr>
            </w:pPr>
          </w:p>
        </w:tc>
        <w:tc>
          <w:tcPr>
            <w:tcW w:w="1199" w:type="dxa"/>
            <w:tcBorders>
              <w:tl2br w:val="nil"/>
              <w:tr2bl w:val="nil"/>
            </w:tcBorders>
            <w:shd w:val="clear" w:color="auto" w:fill="FFFFFF"/>
            <w:vAlign w:val="center"/>
          </w:tcPr>
          <w:p w14:paraId="70199736">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产出时效</w:t>
            </w:r>
          </w:p>
        </w:tc>
        <w:tc>
          <w:tcPr>
            <w:tcW w:w="1411" w:type="dxa"/>
            <w:tcBorders>
              <w:tl2br w:val="nil"/>
              <w:tr2bl w:val="nil"/>
            </w:tcBorders>
            <w:shd w:val="clear" w:color="auto" w:fill="FFFFFF"/>
            <w:vAlign w:val="center"/>
          </w:tcPr>
          <w:p w14:paraId="0923AEA3">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设备合同签订完成时间</w:t>
            </w:r>
          </w:p>
        </w:tc>
        <w:tc>
          <w:tcPr>
            <w:tcW w:w="2789" w:type="dxa"/>
            <w:tcBorders>
              <w:tl2br w:val="nil"/>
              <w:tr2bl w:val="nil"/>
            </w:tcBorders>
            <w:shd w:val="clear" w:color="000000" w:fill="FFFFFF"/>
            <w:vAlign w:val="center"/>
          </w:tcPr>
          <w:p w14:paraId="3444E1B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7DE0D44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r>
      <w:tr w14:paraId="46C143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40DAE382">
            <w:pPr>
              <w:widowControl/>
              <w:ind w:firstLine="0" w:firstLineChars="0"/>
              <w:jc w:val="center"/>
              <w:rPr>
                <w:rFonts w:hint="eastAsia"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43E86EC0">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产出成本</w:t>
            </w:r>
          </w:p>
        </w:tc>
        <w:tc>
          <w:tcPr>
            <w:tcW w:w="1411" w:type="dxa"/>
            <w:tcBorders>
              <w:tl2br w:val="nil"/>
              <w:tr2bl w:val="nil"/>
            </w:tcBorders>
            <w:shd w:val="clear" w:color="auto" w:fill="FFFFFF"/>
            <w:vAlign w:val="top"/>
          </w:tcPr>
          <w:p w14:paraId="4E4A7895">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基础类设备购置成本</w:t>
            </w:r>
          </w:p>
        </w:tc>
        <w:tc>
          <w:tcPr>
            <w:tcW w:w="2789" w:type="dxa"/>
            <w:vMerge w:val="restart"/>
            <w:tcBorders>
              <w:tl2br w:val="nil"/>
              <w:tr2bl w:val="nil"/>
            </w:tcBorders>
            <w:shd w:val="clear" w:color="000000" w:fill="FFFFFF"/>
            <w:vAlign w:val="center"/>
          </w:tcPr>
          <w:p w14:paraId="1B0A192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40591D9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14:paraId="7947F5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2E692297">
            <w:pPr>
              <w:widowControl/>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789055F">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vAlign w:val="top"/>
          </w:tcPr>
          <w:p w14:paraId="49597484">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呼吸类设备购置成本</w:t>
            </w:r>
          </w:p>
        </w:tc>
        <w:tc>
          <w:tcPr>
            <w:tcW w:w="2789" w:type="dxa"/>
            <w:vMerge w:val="continue"/>
            <w:tcBorders>
              <w:tl2br w:val="nil"/>
              <w:tr2bl w:val="nil"/>
            </w:tcBorders>
            <w:shd w:val="clear" w:color="000000" w:fill="FFFFFF"/>
            <w:vAlign w:val="center"/>
          </w:tcPr>
          <w:p w14:paraId="5951DF64">
            <w:pPr>
              <w:widowControl/>
              <w:ind w:firstLine="0" w:firstLineChars="0"/>
              <w:jc w:val="center"/>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1FA9003A">
            <w:pPr>
              <w:widowControl/>
              <w:ind w:firstLine="0" w:firstLineChars="0"/>
              <w:jc w:val="center"/>
              <w:rPr>
                <w:rFonts w:ascii="宋体" w:hAnsi="宋体" w:eastAsia="宋体" w:cs="宋体"/>
                <w:color w:val="000000"/>
                <w:kern w:val="0"/>
                <w:sz w:val="22"/>
              </w:rPr>
            </w:pPr>
          </w:p>
        </w:tc>
      </w:tr>
      <w:tr w14:paraId="7C5BF76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61D5CB35">
            <w:pPr>
              <w:widowControl/>
              <w:ind w:firstLine="0" w:firstLineChars="0"/>
              <w:jc w:val="center"/>
              <w:rPr>
                <w:rFonts w:hint="eastAsia"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69E25CA">
            <w:pPr>
              <w:widowControl/>
              <w:ind w:firstLine="0" w:firstLineChars="0"/>
              <w:jc w:val="center"/>
              <w:rPr>
                <w:rFonts w:hint="eastAsia" w:ascii="宋体" w:hAnsi="宋体" w:eastAsia="宋体" w:cs="宋体"/>
                <w:color w:val="000000"/>
                <w:kern w:val="0"/>
                <w:sz w:val="22"/>
              </w:rPr>
            </w:pPr>
          </w:p>
        </w:tc>
        <w:tc>
          <w:tcPr>
            <w:tcW w:w="1411" w:type="dxa"/>
            <w:tcBorders>
              <w:tl2br w:val="nil"/>
              <w:tr2bl w:val="nil"/>
            </w:tcBorders>
            <w:shd w:val="clear" w:color="auto" w:fill="FFFFFF"/>
            <w:vAlign w:val="top"/>
          </w:tcPr>
          <w:p w14:paraId="17F401E4">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抢救类设备购置成本</w:t>
            </w:r>
          </w:p>
        </w:tc>
        <w:tc>
          <w:tcPr>
            <w:tcW w:w="2789" w:type="dxa"/>
            <w:vMerge w:val="continue"/>
            <w:tcBorders>
              <w:tl2br w:val="nil"/>
              <w:tr2bl w:val="nil"/>
            </w:tcBorders>
            <w:shd w:val="clear" w:color="000000" w:fill="FFFFFF"/>
            <w:vAlign w:val="center"/>
          </w:tcPr>
          <w:p w14:paraId="26905404">
            <w:pPr>
              <w:widowControl/>
              <w:ind w:firstLine="0" w:firstLineChars="0"/>
              <w:jc w:val="center"/>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34CF1E02">
            <w:pPr>
              <w:widowControl/>
              <w:ind w:firstLine="0" w:firstLineChars="0"/>
              <w:jc w:val="center"/>
              <w:rPr>
                <w:rFonts w:ascii="宋体" w:hAnsi="宋体" w:eastAsia="宋体" w:cs="宋体"/>
                <w:color w:val="000000"/>
                <w:kern w:val="0"/>
                <w:sz w:val="22"/>
              </w:rPr>
            </w:pPr>
          </w:p>
        </w:tc>
      </w:tr>
      <w:tr w14:paraId="18F084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47AA68FC">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效益</w:t>
            </w:r>
          </w:p>
        </w:tc>
        <w:tc>
          <w:tcPr>
            <w:tcW w:w="1199" w:type="dxa"/>
            <w:tcBorders>
              <w:tl2br w:val="nil"/>
              <w:tr2bl w:val="nil"/>
            </w:tcBorders>
            <w:shd w:val="clear" w:color="auto" w:fill="FFFFFF"/>
            <w:vAlign w:val="center"/>
          </w:tcPr>
          <w:p w14:paraId="35B75D33">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社会效益指标</w:t>
            </w:r>
          </w:p>
        </w:tc>
        <w:tc>
          <w:tcPr>
            <w:tcW w:w="1411" w:type="dxa"/>
            <w:tcBorders>
              <w:tl2br w:val="nil"/>
              <w:tr2bl w:val="nil"/>
            </w:tcBorders>
            <w:shd w:val="clear" w:color="auto" w:fill="FFFFFF"/>
            <w:vAlign w:val="center"/>
          </w:tcPr>
          <w:p w14:paraId="76186F8C">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提高医院救治能力</w:t>
            </w:r>
          </w:p>
        </w:tc>
        <w:tc>
          <w:tcPr>
            <w:tcW w:w="2789" w:type="dxa"/>
            <w:tcBorders>
              <w:tl2br w:val="nil"/>
              <w:tr2bl w:val="nil"/>
            </w:tcBorders>
            <w:shd w:val="clear" w:color="auto" w:fill="FFFFFF"/>
            <w:vAlign w:val="center"/>
          </w:tcPr>
          <w:p w14:paraId="2765D2D4">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594F49C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59B3CD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2664466E">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满意度指标完成情况分析</w:t>
            </w:r>
          </w:p>
        </w:tc>
        <w:tc>
          <w:tcPr>
            <w:tcW w:w="1199" w:type="dxa"/>
            <w:tcBorders>
              <w:tl2br w:val="nil"/>
              <w:tr2bl w:val="nil"/>
            </w:tcBorders>
            <w:shd w:val="clear" w:color="auto" w:fill="FFFFFF"/>
            <w:vAlign w:val="center"/>
          </w:tcPr>
          <w:p w14:paraId="41A13FCF">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满意度指标</w:t>
            </w:r>
          </w:p>
        </w:tc>
        <w:tc>
          <w:tcPr>
            <w:tcW w:w="1411" w:type="dxa"/>
            <w:tcBorders>
              <w:tl2br w:val="nil"/>
              <w:tr2bl w:val="nil"/>
            </w:tcBorders>
            <w:shd w:val="clear" w:color="auto" w:fill="FFFFFF"/>
            <w:vAlign w:val="center"/>
          </w:tcPr>
          <w:p w14:paraId="0A746035">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lang w:val="en-US" w:eastAsia="zh-CN"/>
              </w:rPr>
              <w:t>患者</w:t>
            </w:r>
            <w:r>
              <w:rPr>
                <w:rFonts w:hint="eastAsia" w:ascii="宋体" w:hAnsi="宋体" w:eastAsia="宋体" w:cs="宋体"/>
                <w:color w:val="000000"/>
                <w:kern w:val="0"/>
                <w:sz w:val="22"/>
              </w:rPr>
              <w:t>满意度</w:t>
            </w:r>
          </w:p>
        </w:tc>
        <w:tc>
          <w:tcPr>
            <w:tcW w:w="2789" w:type="dxa"/>
            <w:tcBorders>
              <w:tl2br w:val="nil"/>
              <w:tr2bl w:val="nil"/>
            </w:tcBorders>
            <w:shd w:val="clear" w:color="000000" w:fill="FFFFFF"/>
            <w:vAlign w:val="center"/>
          </w:tcPr>
          <w:p w14:paraId="3AD8097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552486B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13A1DA9B">
      <w:pPr>
        <w:ind w:firstLine="0" w:firstLineChars="0"/>
        <w:jc w:val="center"/>
        <w:rPr>
          <w:rFonts w:ascii="仿宋_GB2312"/>
        </w:rPr>
      </w:pPr>
    </w:p>
    <w:p w14:paraId="79AB0163">
      <w:pPr>
        <w:ind w:firstLine="0" w:firstLineChars="0"/>
        <w:jc w:val="center"/>
        <w:rPr>
          <w:rFonts w:ascii="仿宋_GB2312"/>
        </w:rPr>
      </w:pPr>
    </w:p>
    <w:p w14:paraId="7021A8EA">
      <w:pPr>
        <w:ind w:firstLine="0" w:firstLineChars="0"/>
        <w:jc w:val="center"/>
        <w:rPr>
          <w:rFonts w:ascii="仿宋_GB2312"/>
        </w:rPr>
      </w:pPr>
    </w:p>
    <w:p w14:paraId="630BA5C2">
      <w:pPr>
        <w:ind w:firstLine="0" w:firstLineChars="0"/>
        <w:jc w:val="center"/>
        <w:rPr>
          <w:rFonts w:ascii="仿宋_GB2312"/>
        </w:rPr>
      </w:pPr>
    </w:p>
    <w:p w14:paraId="69BAFECE">
      <w:pPr>
        <w:ind w:firstLine="0" w:firstLineChars="0"/>
        <w:jc w:val="center"/>
        <w:rPr>
          <w:rFonts w:ascii="仿宋_GB2312"/>
        </w:rPr>
      </w:pPr>
    </w:p>
    <w:p w14:paraId="31B698A1">
      <w:pPr>
        <w:ind w:firstLine="0" w:firstLineChars="0"/>
        <w:jc w:val="center"/>
        <w:rPr>
          <w:rFonts w:ascii="仿宋_GB2312"/>
        </w:rPr>
        <w:sectPr>
          <w:pgSz w:w="16838" w:h="11906" w:orient="landscape"/>
          <w:pgMar w:top="1800" w:right="1440" w:bottom="1800" w:left="1440" w:header="1276" w:footer="992" w:gutter="0"/>
          <w:cols w:space="425" w:num="1"/>
          <w:docGrid w:type="lines" w:linePitch="381" w:charSpace="0"/>
        </w:sectPr>
      </w:pPr>
    </w:p>
    <w:p w14:paraId="0188EE6B">
      <w:pPr>
        <w:pStyle w:val="4"/>
        <w:ind w:firstLine="643"/>
      </w:pPr>
      <w:bookmarkStart w:id="22" w:name="_Toc21340"/>
      <w:bookmarkStart w:id="23" w:name="_Hlk67586038"/>
      <w:r>
        <w:t>3.</w:t>
      </w:r>
      <w:r>
        <w:rPr>
          <w:rFonts w:hint="eastAsia"/>
        </w:rPr>
        <w:t>评价方法</w:t>
      </w:r>
      <w:bookmarkEnd w:id="22"/>
      <w:bookmarkEnd w:id="23"/>
    </w:p>
    <w:p w14:paraId="596ECC9B">
      <w:pPr>
        <w:spacing w:line="360" w:lineRule="auto"/>
        <w:ind w:firstLine="560"/>
        <w:rPr>
          <w:rFonts w:ascii="仿宋_GB2312"/>
        </w:rPr>
      </w:pPr>
      <w:r>
        <w:rPr>
          <w:rFonts w:hint="eastAsia" w:ascii="仿宋_GB2312"/>
        </w:rPr>
        <w:t>《关于印发</w:t>
      </w:r>
      <w:r>
        <w:rPr>
          <w:rFonts w:hint="eastAsia" w:ascii="仿宋_GB2312"/>
          <w:lang w:eastAsia="zh-CN"/>
        </w:rPr>
        <w:t>〈</w:t>
      </w:r>
      <w:r>
        <w:rPr>
          <w:rFonts w:hint="eastAsia" w:ascii="仿宋_GB2312"/>
        </w:rPr>
        <w:t>项目支出绩效评价管理办法</w:t>
      </w:r>
      <w:r>
        <w:rPr>
          <w:rFonts w:hint="eastAsia" w:ascii="仿宋_GB2312"/>
          <w:lang w:eastAsia="zh-CN"/>
        </w:rPr>
        <w:t>〉</w:t>
      </w:r>
      <w:r>
        <w:rPr>
          <w:rFonts w:hint="eastAsia" w:ascii="仿宋_GB2312"/>
        </w:rPr>
        <w:t>的通知》（财预〔2020〕10号）文件指出部门评价的方法主要包括成本效益分析法、比较法、因素分析法、最低成本法、公众评判法、标杆管理法等。</w:t>
      </w:r>
    </w:p>
    <w:p w14:paraId="35EF1B41">
      <w:pPr>
        <w:spacing w:line="360" w:lineRule="auto"/>
        <w:ind w:firstLine="560"/>
        <w:rPr>
          <w:rFonts w:ascii="仿宋_GB2312"/>
        </w:rPr>
      </w:pPr>
      <w:r>
        <w:rPr>
          <w:rFonts w:hint="eastAsia" w:ascii="仿宋_GB2312"/>
        </w:rPr>
        <w:t>（1）成本效益分析法。是指将投入与产出、效益进行关联性分析的方法。</w:t>
      </w:r>
    </w:p>
    <w:p w14:paraId="3C370ADF">
      <w:pPr>
        <w:spacing w:line="360" w:lineRule="auto"/>
        <w:ind w:firstLine="560"/>
        <w:rPr>
          <w:rFonts w:hint="eastAsia" w:ascii="仿宋_GB2312"/>
        </w:rPr>
      </w:pPr>
      <w:r>
        <w:rPr>
          <w:rFonts w:hint="eastAsia" w:ascii="仿宋_GB2312"/>
        </w:rPr>
        <w:t>（2）比较法。是指将实施情况与绩效目标、历史情况、不同部门和地区同类支出情况进行比较的方法。</w:t>
      </w:r>
    </w:p>
    <w:p w14:paraId="3EC0C62C">
      <w:pPr>
        <w:spacing w:line="360" w:lineRule="auto"/>
        <w:ind w:firstLine="560"/>
        <w:rPr>
          <w:rFonts w:ascii="仿宋_GB2312"/>
        </w:rPr>
      </w:pPr>
      <w:r>
        <w:rPr>
          <w:rFonts w:hint="eastAsia" w:ascii="仿宋_GB2312"/>
        </w:rPr>
        <w:t>（3）因素分析法。是指综合分析影响绩效目标实现、实施效果的内外部因素的方法。</w:t>
      </w:r>
    </w:p>
    <w:p w14:paraId="4BDD96CB">
      <w:pPr>
        <w:spacing w:line="360" w:lineRule="auto"/>
        <w:ind w:firstLine="560"/>
        <w:rPr>
          <w:rFonts w:ascii="仿宋_GB2312"/>
        </w:rPr>
      </w:pPr>
      <w:r>
        <w:rPr>
          <w:rFonts w:hint="eastAsia" w:ascii="仿宋_GB2312"/>
        </w:rPr>
        <w:t>（4）最低成本法。是指在绩效目标确定的前提下，成本最小者为优的方法。</w:t>
      </w:r>
    </w:p>
    <w:p w14:paraId="110D4C02">
      <w:pPr>
        <w:spacing w:line="360" w:lineRule="auto"/>
        <w:ind w:firstLine="560"/>
        <w:rPr>
          <w:rFonts w:ascii="仿宋_GB2312"/>
        </w:rPr>
      </w:pPr>
      <w:r>
        <w:rPr>
          <w:rFonts w:hint="eastAsia" w:ascii="仿宋_GB2312"/>
        </w:rPr>
        <w:t>（5）公众评判法。是指通过专家评估、公众问卷及抽样调查等方式进行评判的方法。</w:t>
      </w:r>
    </w:p>
    <w:p w14:paraId="06153010">
      <w:pPr>
        <w:spacing w:line="360" w:lineRule="auto"/>
        <w:ind w:firstLine="560"/>
        <w:rPr>
          <w:rFonts w:ascii="仿宋_GB2312"/>
        </w:rPr>
      </w:pPr>
      <w:r>
        <w:rPr>
          <w:rFonts w:hint="eastAsia" w:ascii="仿宋_GB2312"/>
        </w:rPr>
        <w:t>（6）标杆管理法。是指以国内外同行业中较高的绩效水平为标杆进行评判的方法。</w:t>
      </w:r>
    </w:p>
    <w:p w14:paraId="28F68B4D">
      <w:pPr>
        <w:spacing w:line="360" w:lineRule="auto"/>
        <w:ind w:firstLine="560"/>
        <w:rPr>
          <w:rFonts w:ascii="仿宋_GB2312"/>
        </w:rPr>
      </w:pPr>
      <w:r>
        <w:rPr>
          <w:rFonts w:hint="eastAsia" w:ascii="仿宋_GB2312"/>
        </w:rPr>
        <w:t>（7）其他评价方法。</w:t>
      </w:r>
    </w:p>
    <w:p w14:paraId="1E19594C">
      <w:pPr>
        <w:spacing w:line="360" w:lineRule="auto"/>
        <w:ind w:firstLine="560"/>
        <w:rPr>
          <w:rFonts w:ascii="仿宋_GB2312"/>
        </w:rPr>
      </w:pPr>
      <w:r>
        <w:rPr>
          <w:rFonts w:hint="eastAsia" w:ascii="仿宋_GB2312"/>
        </w:rPr>
        <w:t>根据本项目（</w:t>
      </w:r>
      <w:r>
        <w:rPr>
          <w:rFonts w:hint="eastAsia" w:ascii="仿宋_GB2312" w:hAnsi="Times New Roman" w:cs="Times New Roman"/>
          <w:kern w:val="0"/>
          <w:sz w:val="32"/>
          <w:szCs w:val="32"/>
          <w:lang w:bidi="en-US"/>
        </w:rPr>
        <w:t>关于紧急下达2023年新型冠状病毒感染疫情应急救治能力提升项目中央基建投资预算的通知</w:t>
      </w:r>
      <w:r>
        <w:rPr>
          <w:rFonts w:hint="eastAsia" w:ascii="仿宋_GB2312"/>
        </w:rPr>
        <w:t>）的特点，本次评价主要采用比较法和公众评判法，对项目总预算和明细预算的内容、标准、计划是否经济合理进行深入分析，以考察实际产出和效益是否达到预期。</w:t>
      </w:r>
    </w:p>
    <w:p w14:paraId="37B1CA89">
      <w:pPr>
        <w:pStyle w:val="4"/>
        <w:ind w:firstLine="643"/>
      </w:pPr>
      <w:bookmarkStart w:id="24" w:name="_Toc22003"/>
      <w:r>
        <w:t>4.</w:t>
      </w:r>
      <w:r>
        <w:rPr>
          <w:rFonts w:hint="eastAsia"/>
        </w:rPr>
        <w:t>评价标准</w:t>
      </w:r>
      <w:bookmarkEnd w:id="24"/>
    </w:p>
    <w:p w14:paraId="4DD39213">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35A516C6">
      <w:pPr>
        <w:spacing w:line="360" w:lineRule="auto"/>
        <w:ind w:firstLine="560"/>
        <w:rPr>
          <w:rFonts w:ascii="仿宋_GB2312"/>
        </w:rPr>
      </w:pPr>
      <w:r>
        <w:rPr>
          <w:rFonts w:hint="eastAsia" w:ascii="仿宋_GB2312"/>
        </w:rPr>
        <w:t>（1）计划标准。指以预先制定的目标、计划、预算、定额等作为评价标准。</w:t>
      </w:r>
    </w:p>
    <w:p w14:paraId="238545F9">
      <w:pPr>
        <w:spacing w:line="360" w:lineRule="auto"/>
        <w:ind w:firstLine="560"/>
        <w:rPr>
          <w:rFonts w:ascii="仿宋_GB2312"/>
        </w:rPr>
      </w:pPr>
      <w:r>
        <w:rPr>
          <w:rFonts w:hint="eastAsia" w:ascii="仿宋_GB2312"/>
        </w:rPr>
        <w:t>（2）行业标准。指参照国家公布的行业指标数据制定的评价标准。</w:t>
      </w:r>
    </w:p>
    <w:p w14:paraId="037D6F8D">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71275C4A">
      <w:pPr>
        <w:spacing w:line="360" w:lineRule="auto"/>
        <w:ind w:firstLine="560"/>
        <w:rPr>
          <w:rFonts w:ascii="仿宋_GB2312"/>
        </w:rPr>
      </w:pPr>
      <w:r>
        <w:rPr>
          <w:rFonts w:hint="eastAsia" w:ascii="仿宋_GB2312"/>
        </w:rPr>
        <w:t>在上述评价标准的基础上，本次评价依据以下文件为重要指导和准绳：</w:t>
      </w:r>
    </w:p>
    <w:p w14:paraId="238B5D78">
      <w:pPr>
        <w:spacing w:line="360" w:lineRule="auto"/>
        <w:ind w:firstLine="560"/>
        <w:rPr>
          <w:rFonts w:ascii="仿宋_GB2312"/>
        </w:rPr>
      </w:pPr>
      <w:r>
        <w:rPr>
          <w:rFonts w:hint="eastAsia" w:ascii="黑体" w:hAnsi="黑体" w:eastAsia="黑体" w:cs="Times New Roman"/>
          <w:szCs w:val="28"/>
        </w:rPr>
        <w:t>·</w:t>
      </w:r>
      <w:r>
        <w:rPr>
          <w:rFonts w:hint="eastAsia" w:ascii="仿宋_GB2312"/>
        </w:rPr>
        <w:t>《</w:t>
      </w:r>
      <w:r>
        <w:rPr>
          <w:rFonts w:hint="eastAsia" w:ascii="仿宋_GB2312"/>
          <w:lang w:eastAsia="zh-CN"/>
        </w:rPr>
        <w:t>中共中央、国务院</w:t>
      </w:r>
      <w:r>
        <w:rPr>
          <w:rFonts w:hint="eastAsia" w:ascii="仿宋_GB2312"/>
        </w:rPr>
        <w:t>关于全面实施预算绩效管理的意见》（中发〔2018〕34号）</w:t>
      </w:r>
    </w:p>
    <w:p w14:paraId="1FC384E4">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w:t>
      </w:r>
      <w:r>
        <w:rPr>
          <w:rFonts w:hint="eastAsia" w:ascii="仿宋_GB2312"/>
          <w:lang w:eastAsia="zh-CN"/>
        </w:rPr>
        <w:t>〈</w:t>
      </w:r>
      <w:r>
        <w:rPr>
          <w:rFonts w:hint="eastAsia" w:ascii="仿宋_GB2312"/>
        </w:rPr>
        <w:t>乌鲁木齐市本级部门预算绩效目标管理暂行办法</w:t>
      </w:r>
      <w:r>
        <w:rPr>
          <w:rFonts w:hint="eastAsia" w:ascii="仿宋_GB2312"/>
          <w:lang w:eastAsia="zh-CN"/>
        </w:rPr>
        <w:t>〉</w:t>
      </w:r>
      <w:r>
        <w:rPr>
          <w:rFonts w:hint="eastAsia" w:ascii="仿宋_GB2312"/>
        </w:rPr>
        <w:t>的通知》（乌财预〔2018〕56号）</w:t>
      </w:r>
    </w:p>
    <w:p w14:paraId="482E3D4C">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43E22DBD">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《项目支出绩效评价管理办法》（财预〔2020〕10号）</w:t>
      </w:r>
    </w:p>
    <w:p w14:paraId="71F530DE">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w:t>
      </w:r>
      <w:r>
        <w:rPr>
          <w:rFonts w:hint="eastAsia" w:ascii="仿宋_GB2312"/>
          <w:lang w:val="en-US" w:eastAsia="zh-CN"/>
        </w:rPr>
        <w:t>关于紧急下达新型冠状病毒感染疫情应急救治能力提升项目中央预算内投资计划的通知</w:t>
      </w:r>
      <w:r>
        <w:rPr>
          <w:rFonts w:hint="eastAsia" w:ascii="仿宋_GB2312"/>
        </w:rPr>
        <w:t>》</w:t>
      </w:r>
      <w:r>
        <w:rPr>
          <w:rFonts w:hint="eastAsia" w:ascii="仿宋_GB2312"/>
          <w:lang w:eastAsia="zh-CN"/>
        </w:rPr>
        <w:t>（</w:t>
      </w:r>
      <w:r>
        <w:rPr>
          <w:rFonts w:hint="eastAsia" w:ascii="仿宋_GB2312"/>
          <w:lang w:val="en-US" w:eastAsia="zh-CN"/>
        </w:rPr>
        <w:t>乌</w:t>
      </w:r>
      <w:r>
        <w:rPr>
          <w:rFonts w:hint="eastAsia" w:ascii="仿宋_GB2312"/>
        </w:rPr>
        <w:t>发改</w:t>
      </w:r>
      <w:r>
        <w:rPr>
          <w:rFonts w:hint="eastAsia" w:ascii="仿宋_GB2312"/>
          <w:lang w:val="en-US" w:eastAsia="zh-CN"/>
        </w:rPr>
        <w:t>社会</w:t>
      </w:r>
      <w:r>
        <w:rPr>
          <w:rFonts w:hint="eastAsia" w:ascii="仿宋_GB2312"/>
        </w:rPr>
        <w:t>〔202</w:t>
      </w:r>
      <w:r>
        <w:rPr>
          <w:rFonts w:hint="default" w:ascii="仿宋_GB2312"/>
        </w:rPr>
        <w:t>3〕</w:t>
      </w:r>
      <w:r>
        <w:rPr>
          <w:rFonts w:hint="eastAsia" w:ascii="仿宋_GB2312"/>
          <w:lang w:val="en-US" w:eastAsia="zh-CN"/>
        </w:rPr>
        <w:t>43</w:t>
      </w:r>
      <w:r>
        <w:rPr>
          <w:rFonts w:hint="default" w:ascii="仿宋_GB2312"/>
        </w:rPr>
        <w:t>号</w:t>
      </w:r>
      <w:r>
        <w:rPr>
          <w:rFonts w:hint="eastAsia" w:ascii="仿宋_GB2312"/>
          <w:lang w:eastAsia="zh-CN"/>
        </w:rPr>
        <w:t>）</w:t>
      </w:r>
    </w:p>
    <w:p w14:paraId="643576D5">
      <w:pPr>
        <w:spacing w:line="360" w:lineRule="auto"/>
        <w:ind w:firstLine="560"/>
        <w:rPr>
          <w:rFonts w:hint="eastAsia" w:ascii="黑体" w:hAnsi="黑体" w:eastAsia="黑体" w:cs="Times New Roman"/>
          <w:szCs w:val="28"/>
        </w:rPr>
      </w:pPr>
      <w:r>
        <w:rPr>
          <w:rFonts w:hint="eastAsia" w:ascii="黑体" w:hAnsi="黑体" w:eastAsia="黑体" w:cs="Times New Roman"/>
          <w:szCs w:val="28"/>
        </w:rPr>
        <w:t>·</w:t>
      </w:r>
      <w:r>
        <w:rPr>
          <w:rFonts w:hint="eastAsia" w:ascii="仿宋_GB2312"/>
        </w:rPr>
        <w:t>《</w:t>
      </w:r>
      <w:r>
        <w:rPr>
          <w:rFonts w:hint="eastAsia" w:ascii="仿宋_GB2312"/>
          <w:lang w:val="en-US" w:eastAsia="zh-CN"/>
        </w:rPr>
        <w:t>关于紧急下达2023年新型冠状病毒感染疫情应急救治能力提升项目中央基建投资预算的通知</w:t>
      </w:r>
      <w:r>
        <w:rPr>
          <w:rFonts w:hint="eastAsia" w:ascii="仿宋_GB2312"/>
        </w:rPr>
        <w:t>》</w:t>
      </w:r>
      <w:r>
        <w:rPr>
          <w:rFonts w:hint="eastAsia" w:ascii="仿宋_GB2312"/>
          <w:lang w:eastAsia="zh-CN"/>
        </w:rPr>
        <w:t>（</w:t>
      </w:r>
      <w:r>
        <w:rPr>
          <w:rFonts w:hint="eastAsia" w:ascii="仿宋_GB2312"/>
          <w:lang w:val="en-US" w:eastAsia="zh-CN"/>
        </w:rPr>
        <w:t>乌财建</w:t>
      </w:r>
      <w:r>
        <w:rPr>
          <w:rFonts w:hint="eastAsia" w:ascii="仿宋_GB2312"/>
        </w:rPr>
        <w:t>〔202</w:t>
      </w:r>
      <w:r>
        <w:rPr>
          <w:rFonts w:hint="default" w:ascii="仿宋_GB2312"/>
        </w:rPr>
        <w:t>3〕</w:t>
      </w:r>
      <w:r>
        <w:rPr>
          <w:rFonts w:hint="eastAsia" w:ascii="仿宋_GB2312"/>
          <w:lang w:val="en-US" w:eastAsia="zh-CN"/>
        </w:rPr>
        <w:t>53</w:t>
      </w:r>
      <w:r>
        <w:rPr>
          <w:rFonts w:hint="default" w:ascii="仿宋_GB2312"/>
        </w:rPr>
        <w:t>号</w:t>
      </w:r>
      <w:r>
        <w:rPr>
          <w:rFonts w:hint="eastAsia" w:ascii="仿宋_GB2312"/>
          <w:lang w:eastAsia="zh-CN"/>
        </w:rPr>
        <w:t>）</w:t>
      </w:r>
    </w:p>
    <w:p w14:paraId="66286599">
      <w:pPr>
        <w:spacing w:line="360" w:lineRule="auto"/>
        <w:ind w:firstLine="560"/>
        <w:rPr>
          <w:rFonts w:ascii="仿宋_GB2312"/>
        </w:rPr>
      </w:pPr>
      <w:r>
        <w:rPr>
          <w:rFonts w:hint="eastAsia" w:ascii="黑体" w:hAnsi="黑体" w:eastAsia="黑体" w:cs="Times New Roman"/>
          <w:szCs w:val="28"/>
        </w:rPr>
        <w:t>·</w:t>
      </w:r>
      <w:r>
        <w:rPr>
          <w:rFonts w:hint="eastAsia" w:ascii="仿宋_GB2312"/>
          <w:lang w:val="en-US" w:eastAsia="zh-CN"/>
        </w:rPr>
        <w:t>《乌鲁木齐市财政专项资金使用跟踪反馈管理暂行办法》（乌财预〔2018〕41号</w:t>
      </w:r>
      <w:r>
        <w:rPr>
          <w:rFonts w:hint="eastAsia" w:ascii="仿宋_GB2312"/>
          <w:lang w:eastAsia="zh-CN"/>
        </w:rPr>
        <w:t>）</w:t>
      </w:r>
      <w:r>
        <w:rPr>
          <w:rFonts w:ascii="仿宋_GB2312"/>
        </w:rPr>
        <w:t xml:space="preserve"> </w:t>
      </w:r>
    </w:p>
    <w:p w14:paraId="78CA33F3">
      <w:pPr>
        <w:pStyle w:val="3"/>
        <w:ind w:firstLine="643"/>
        <w:rPr>
          <w:rFonts w:ascii="仿宋" w:hAnsi="仿宋" w:eastAsia="仿宋"/>
          <w:lang w:bidi="en-US"/>
        </w:rPr>
      </w:pPr>
      <w:bookmarkStart w:id="25" w:name="_Toc12951"/>
      <w:bookmarkStart w:id="26" w:name="_Toc67911607"/>
      <w:r>
        <w:rPr>
          <w:rFonts w:hint="eastAsia" w:ascii="仿宋" w:hAnsi="仿宋" w:eastAsia="仿宋"/>
          <w:lang w:bidi="en-US"/>
        </w:rPr>
        <w:t>（三）绩效评价工作过程</w:t>
      </w:r>
      <w:bookmarkEnd w:id="25"/>
      <w:bookmarkEnd w:id="26"/>
    </w:p>
    <w:p w14:paraId="01BDD4E4">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7"/>
          <w:rFonts w:ascii="仿宋_GB2312"/>
        </w:rPr>
        <w:footnoteReference w:id="0"/>
      </w:r>
      <w:r>
        <w:rPr>
          <w:rFonts w:hint="eastAsia" w:ascii="仿宋_GB2312"/>
        </w:rPr>
        <w:t>、材料审核分析、现场核查评价、综合分析评价及报告撰写，评价项目实施情况，展现资金使用效益。</w:t>
      </w:r>
    </w:p>
    <w:p w14:paraId="7520E181">
      <w:pPr>
        <w:pStyle w:val="2"/>
        <w:ind w:firstLine="0" w:firstLineChars="0"/>
        <w:jc w:val="left"/>
        <w:rPr>
          <w:rFonts w:ascii="仿宋" w:hAnsi="仿宋" w:eastAsia="仿宋"/>
          <w:sz w:val="36"/>
          <w:szCs w:val="36"/>
          <w:lang w:bidi="en-US"/>
        </w:rPr>
      </w:pPr>
      <w:bookmarkStart w:id="27" w:name="_Toc67911608"/>
      <w:bookmarkStart w:id="28" w:name="_Toc17317"/>
      <w:r>
        <w:rPr>
          <w:rFonts w:hint="eastAsia" w:ascii="仿宋" w:hAnsi="仿宋" w:eastAsia="仿宋"/>
          <w:sz w:val="36"/>
          <w:szCs w:val="36"/>
          <w:lang w:bidi="en-US"/>
        </w:rPr>
        <w:t>三、综合评价情况及评价结论</w:t>
      </w:r>
      <w:bookmarkEnd w:id="27"/>
      <w:bookmarkEnd w:id="28"/>
    </w:p>
    <w:p w14:paraId="2A7BA942">
      <w:pPr>
        <w:pStyle w:val="3"/>
        <w:ind w:firstLine="643"/>
        <w:rPr>
          <w:rFonts w:ascii="仿宋" w:hAnsi="仿宋" w:eastAsia="仿宋"/>
          <w:lang w:bidi="en-US"/>
        </w:rPr>
      </w:pPr>
      <w:bookmarkStart w:id="29" w:name="_Toc67911609"/>
      <w:bookmarkStart w:id="30" w:name="_Toc24315"/>
      <w:r>
        <w:rPr>
          <w:rFonts w:hint="eastAsia" w:ascii="仿宋" w:hAnsi="仿宋" w:eastAsia="仿宋"/>
          <w:lang w:bidi="en-US"/>
        </w:rPr>
        <w:t>（一）评价结论</w:t>
      </w:r>
      <w:bookmarkEnd w:id="29"/>
      <w:bookmarkEnd w:id="30"/>
    </w:p>
    <w:p w14:paraId="59E61BC7">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结合项目特点，制定符合项目实际的绩效评价指标体系及评分标准，通过数据采集、问卷调查及访谈等形式，对2024年关于紧急下达2023年新型冠状病毒感染疫情应急救治能力提升项目中央基建投资预算的通知</w:t>
      </w:r>
      <w:r>
        <w:rPr>
          <w:rFonts w:hint="eastAsia" w:ascii="仿宋_GB2312"/>
          <w:szCs w:val="28"/>
          <w:lang w:val="en-US" w:eastAsia="zh-CN"/>
        </w:rPr>
        <w:t>项目</w:t>
      </w:r>
      <w:r>
        <w:rPr>
          <w:rFonts w:hint="eastAsia" w:ascii="仿宋_GB2312"/>
          <w:szCs w:val="28"/>
        </w:rPr>
        <w:t>进行客观评价，最终评分结果为：总分为</w:t>
      </w:r>
      <w:r>
        <w:rPr>
          <w:rFonts w:hint="eastAsia" w:ascii="仿宋_GB2312"/>
          <w:szCs w:val="28"/>
          <w:lang w:val="en-US" w:eastAsia="zh-CN"/>
        </w:rPr>
        <w:t>100</w:t>
      </w:r>
      <w:r>
        <w:rPr>
          <w:rFonts w:hint="eastAsia" w:ascii="仿宋_GB2312"/>
          <w:szCs w:val="28"/>
        </w:rPr>
        <w:t>分，绩效评级为“</w:t>
      </w:r>
      <w:r>
        <w:rPr>
          <w:rFonts w:hint="eastAsia" w:ascii="仿宋_GB2312"/>
          <w:szCs w:val="28"/>
          <w:lang w:val="en-US" w:eastAsia="zh-CN"/>
        </w:rPr>
        <w:t>优</w:t>
      </w:r>
      <w:r>
        <w:rPr>
          <w:rFonts w:hint="eastAsia" w:ascii="仿宋_GB2312"/>
          <w:szCs w:val="28"/>
        </w:rPr>
        <w:t>”</w:t>
      </w:r>
      <w:r>
        <w:rPr>
          <w:rStyle w:val="17"/>
          <w:rFonts w:ascii="仿宋_GB2312"/>
          <w:szCs w:val="28"/>
        </w:rPr>
        <w:footnoteReference w:id="1"/>
      </w:r>
      <w:r>
        <w:rPr>
          <w:rFonts w:hint="eastAsia" w:ascii="仿宋_GB2312"/>
          <w:szCs w:val="28"/>
        </w:rPr>
        <w:t>。</w:t>
      </w:r>
    </w:p>
    <w:p w14:paraId="12661032">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14:paraId="619D4612">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3"/>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206843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776ABA6C">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vAlign w:val="center"/>
          </w:tcPr>
          <w:p w14:paraId="43C5F4B0">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vAlign w:val="center"/>
          </w:tcPr>
          <w:p w14:paraId="2B5E5961">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vAlign w:val="center"/>
          </w:tcPr>
          <w:p w14:paraId="4C24502A">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vAlign w:val="center"/>
          </w:tcPr>
          <w:p w14:paraId="375A3D3D">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vAlign w:val="center"/>
          </w:tcPr>
          <w:p w14:paraId="7FA48E42">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671F2F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389EA52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6054126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1437325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6C4BE36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1631BABA">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4D8B8EAD">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4843B8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88848D8">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08B39C3">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638AA75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601404C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4236A4ED">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52B2792D">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2635D2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9395B5F">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36BA5F2D">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4638952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26DB75F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57970077">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1B1ED1F6">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2D1E06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4B3D290">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0A1F8C3">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66861B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7237695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2B86839A">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6B73A679">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004E71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91FFE64">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0219677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6450C3B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0C5BA57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3B7D754D">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28CE7B2A">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6E7E9E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77D4DC7">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0276067">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7D8AD6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2E6862A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19F58F77">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0458161B">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3768B8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593B9049">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4ACB9EEB">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074E533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1950EDE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147DE9EF">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05D22F6E">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1B3CD8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7F05996">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51DE931">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6EC73F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36FA3AD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673B8018">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5</w:t>
            </w:r>
          </w:p>
        </w:tc>
        <w:tc>
          <w:tcPr>
            <w:tcW w:w="1039" w:type="dxa"/>
            <w:tcBorders>
              <w:tl2br w:val="nil"/>
              <w:tr2bl w:val="nil"/>
            </w:tcBorders>
            <w:shd w:val="clear" w:color="auto" w:fill="FFFFFF"/>
            <w:vAlign w:val="center"/>
          </w:tcPr>
          <w:p w14:paraId="7DABAF24">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1147C2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56C79AC">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53492CD">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1510EBF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571095A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0B0109D1">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641A8017">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29EB09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C88A56A">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1121A18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02CD97E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526D896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2BFBA365">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491A7ED6">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327D19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DB4C3B4">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09B34FB">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D6031F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76D69F6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01615F4F">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792DE746">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6001D0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1D5217E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14:paraId="4573413A">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产出数量</w:t>
            </w:r>
          </w:p>
        </w:tc>
        <w:tc>
          <w:tcPr>
            <w:tcW w:w="2693" w:type="dxa"/>
            <w:tcBorders>
              <w:tl2br w:val="nil"/>
              <w:tr2bl w:val="nil"/>
            </w:tcBorders>
            <w:shd w:val="clear" w:color="auto" w:fill="FFFFFF"/>
          </w:tcPr>
          <w:p w14:paraId="44D92314">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基础类设备购置数</w:t>
            </w:r>
          </w:p>
        </w:tc>
        <w:tc>
          <w:tcPr>
            <w:tcW w:w="898" w:type="dxa"/>
            <w:tcBorders>
              <w:tl2br w:val="nil"/>
              <w:tr2bl w:val="nil"/>
            </w:tcBorders>
            <w:shd w:val="clear" w:color="000000" w:fill="FFFFFF"/>
            <w:vAlign w:val="center"/>
          </w:tcPr>
          <w:p w14:paraId="64357BEF">
            <w:pPr>
              <w:widowControl/>
              <w:ind w:firstLine="0" w:firstLineChars="0"/>
              <w:jc w:val="center"/>
              <w:rPr>
                <w:rFonts w:ascii="仿宋_GB2312" w:hAnsi="宋体" w:cs="宋体"/>
                <w:kern w:val="0"/>
                <w:sz w:val="24"/>
                <w:szCs w:val="24"/>
              </w:rPr>
            </w:pPr>
            <w:r>
              <w:rPr>
                <w:rFonts w:ascii="仿宋_GB2312" w:hAnsi="宋体" w:cs="宋体"/>
                <w:kern w:val="0"/>
                <w:sz w:val="24"/>
                <w:szCs w:val="24"/>
              </w:rPr>
              <w:t>3</w:t>
            </w:r>
          </w:p>
        </w:tc>
        <w:tc>
          <w:tcPr>
            <w:tcW w:w="898" w:type="dxa"/>
            <w:tcBorders>
              <w:tl2br w:val="nil"/>
              <w:tr2bl w:val="nil"/>
            </w:tcBorders>
            <w:shd w:val="clear" w:color="000000" w:fill="FFFFFF"/>
            <w:vAlign w:val="center"/>
          </w:tcPr>
          <w:p w14:paraId="53E67437">
            <w:pPr>
              <w:widowControl/>
              <w:ind w:firstLine="0" w:firstLineChars="0"/>
              <w:jc w:val="center"/>
              <w:rPr>
                <w:rFonts w:ascii="仿宋_GB2312" w:hAnsi="宋体" w:eastAsia="仿宋_GB2312" w:cs="宋体"/>
                <w:kern w:val="0"/>
                <w:sz w:val="24"/>
                <w:szCs w:val="24"/>
                <w:lang w:val="en-US" w:eastAsia="zh-CN" w:bidi="ar-SA"/>
              </w:rPr>
            </w:pPr>
            <w:r>
              <w:rPr>
                <w:rFonts w:ascii="仿宋_GB2312" w:hAnsi="宋体" w:cs="宋体"/>
                <w:kern w:val="0"/>
                <w:sz w:val="24"/>
                <w:szCs w:val="24"/>
              </w:rPr>
              <w:t>3</w:t>
            </w:r>
          </w:p>
        </w:tc>
        <w:tc>
          <w:tcPr>
            <w:tcW w:w="1039" w:type="dxa"/>
            <w:tcBorders>
              <w:tl2br w:val="nil"/>
              <w:tr2bl w:val="nil"/>
            </w:tcBorders>
            <w:shd w:val="clear" w:color="000000" w:fill="FFFFFF"/>
            <w:vAlign w:val="center"/>
          </w:tcPr>
          <w:p w14:paraId="0274524E">
            <w:pPr>
              <w:widowControl/>
              <w:ind w:firstLine="0" w:firstLineChars="0"/>
              <w:jc w:val="center"/>
              <w:rPr>
                <w:rFonts w:ascii="仿宋_GB2312" w:hAnsi="宋体" w:eastAsia="仿宋_GB2312" w:cs="宋体"/>
                <w:kern w:val="0"/>
                <w:sz w:val="24"/>
                <w:szCs w:val="24"/>
                <w:highlight w:val="yellow"/>
                <w:lang w:val="en-US" w:eastAsia="zh-CN" w:bidi="ar-SA"/>
              </w:rPr>
            </w:pPr>
            <w:r>
              <w:rPr>
                <w:rFonts w:hint="eastAsia" w:ascii="仿宋_GB2312" w:hAnsi="宋体" w:cs="宋体"/>
                <w:kern w:val="0"/>
                <w:sz w:val="24"/>
                <w:szCs w:val="24"/>
              </w:rPr>
              <w:t>100%</w:t>
            </w:r>
          </w:p>
        </w:tc>
      </w:tr>
      <w:tr w14:paraId="0E9BFC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02E484B7">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F4F32B2">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tcPr>
          <w:p w14:paraId="4BB8006C">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呼吸类设备购置数</w:t>
            </w:r>
          </w:p>
        </w:tc>
        <w:tc>
          <w:tcPr>
            <w:tcW w:w="898" w:type="dxa"/>
            <w:tcBorders>
              <w:tl2br w:val="nil"/>
              <w:tr2bl w:val="nil"/>
            </w:tcBorders>
            <w:shd w:val="clear" w:color="000000" w:fill="FFFFFF"/>
            <w:vAlign w:val="center"/>
          </w:tcPr>
          <w:p w14:paraId="12A68C9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1A5BE73">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0012724C">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715B1A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4D47E0A6">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F1A1845">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tcPr>
          <w:p w14:paraId="4D9EE940">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抢救类设备购置数</w:t>
            </w:r>
          </w:p>
        </w:tc>
        <w:tc>
          <w:tcPr>
            <w:tcW w:w="898" w:type="dxa"/>
            <w:tcBorders>
              <w:tl2br w:val="nil"/>
              <w:tr2bl w:val="nil"/>
            </w:tcBorders>
            <w:shd w:val="clear" w:color="000000" w:fill="FFFFFF"/>
            <w:vAlign w:val="center"/>
          </w:tcPr>
          <w:p w14:paraId="1992EA6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4A31C71D">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5B322AC2">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526361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079B992">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071FC055">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3926CCFB">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设备</w:t>
            </w:r>
            <w:r>
              <w:rPr>
                <w:rFonts w:hint="eastAsia" w:ascii="仿宋_GB2312" w:hAnsi="宋体" w:cs="宋体"/>
                <w:kern w:val="0"/>
                <w:sz w:val="24"/>
                <w:szCs w:val="24"/>
              </w:rPr>
              <w:t>验收合格率</w:t>
            </w:r>
          </w:p>
        </w:tc>
        <w:tc>
          <w:tcPr>
            <w:tcW w:w="898" w:type="dxa"/>
            <w:tcBorders>
              <w:tl2br w:val="nil"/>
              <w:tr2bl w:val="nil"/>
            </w:tcBorders>
            <w:shd w:val="clear" w:color="000000" w:fill="FFFFFF"/>
            <w:vAlign w:val="center"/>
          </w:tcPr>
          <w:p w14:paraId="60C0D15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14:paraId="7ECF570D">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w:t>
            </w:r>
            <w:r>
              <w:rPr>
                <w:rFonts w:ascii="仿宋_GB2312" w:hAnsi="宋体" w:cs="宋体"/>
                <w:kern w:val="0"/>
                <w:sz w:val="24"/>
                <w:szCs w:val="24"/>
              </w:rPr>
              <w:t>0</w:t>
            </w:r>
          </w:p>
        </w:tc>
        <w:tc>
          <w:tcPr>
            <w:tcW w:w="1039" w:type="dxa"/>
            <w:tcBorders>
              <w:tl2br w:val="nil"/>
              <w:tr2bl w:val="nil"/>
            </w:tcBorders>
            <w:shd w:val="clear" w:color="000000" w:fill="FFFFFF"/>
            <w:vAlign w:val="center"/>
          </w:tcPr>
          <w:p w14:paraId="6825AE41">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591022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1566CFFD">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3B841104">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产出时效</w:t>
            </w:r>
          </w:p>
        </w:tc>
        <w:tc>
          <w:tcPr>
            <w:tcW w:w="2693" w:type="dxa"/>
            <w:tcBorders>
              <w:tl2br w:val="nil"/>
              <w:tr2bl w:val="nil"/>
            </w:tcBorders>
            <w:shd w:val="clear" w:color="auto" w:fill="FFFFFF"/>
            <w:vAlign w:val="center"/>
          </w:tcPr>
          <w:p w14:paraId="61423DE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lang w:val="en-US" w:eastAsia="zh-CN"/>
              </w:rPr>
              <w:t>设备合同签订完成时间</w:t>
            </w:r>
          </w:p>
        </w:tc>
        <w:tc>
          <w:tcPr>
            <w:tcW w:w="898" w:type="dxa"/>
            <w:tcBorders>
              <w:tl2br w:val="nil"/>
              <w:tr2bl w:val="nil"/>
            </w:tcBorders>
            <w:shd w:val="clear" w:color="000000" w:fill="FFFFFF"/>
            <w:vAlign w:val="center"/>
          </w:tcPr>
          <w:p w14:paraId="33535574">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445EAEAC">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3C2AEB1B">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72618E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2762945E">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263186A2">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产出成本</w:t>
            </w:r>
          </w:p>
        </w:tc>
        <w:tc>
          <w:tcPr>
            <w:tcW w:w="2693" w:type="dxa"/>
            <w:tcBorders>
              <w:tl2br w:val="nil"/>
              <w:tr2bl w:val="nil"/>
            </w:tcBorders>
            <w:shd w:val="clear" w:color="auto" w:fill="FFFFFF"/>
            <w:vAlign w:val="top"/>
          </w:tcPr>
          <w:p w14:paraId="1551C372">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基础类设备购置成本</w:t>
            </w:r>
          </w:p>
        </w:tc>
        <w:tc>
          <w:tcPr>
            <w:tcW w:w="898" w:type="dxa"/>
            <w:tcBorders>
              <w:tl2br w:val="nil"/>
              <w:tr2bl w:val="nil"/>
            </w:tcBorders>
            <w:shd w:val="clear" w:color="000000" w:fill="FFFFFF"/>
            <w:vAlign w:val="center"/>
          </w:tcPr>
          <w:p w14:paraId="68841E9B">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898" w:type="dxa"/>
            <w:tcBorders>
              <w:tl2br w:val="nil"/>
              <w:tr2bl w:val="nil"/>
            </w:tcBorders>
            <w:shd w:val="clear" w:color="000000" w:fill="FFFFFF"/>
            <w:vAlign w:val="center"/>
          </w:tcPr>
          <w:p w14:paraId="31CF865A">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14:paraId="4F579B0A">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6621BC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181B08CD">
            <w:pPr>
              <w:widowControl/>
              <w:ind w:firstLine="0" w:firstLineChars="0"/>
              <w:jc w:val="center"/>
            </w:pPr>
          </w:p>
        </w:tc>
        <w:tc>
          <w:tcPr>
            <w:tcW w:w="1984" w:type="dxa"/>
            <w:vMerge w:val="continue"/>
            <w:tcBorders>
              <w:tl2br w:val="nil"/>
              <w:tr2bl w:val="nil"/>
            </w:tcBorders>
            <w:shd w:val="clear" w:color="auto" w:fill="FFFFFF"/>
            <w:vAlign w:val="center"/>
          </w:tcPr>
          <w:p w14:paraId="59F983F1">
            <w:pPr>
              <w:widowControl/>
              <w:ind w:firstLine="0" w:firstLineChars="0"/>
              <w:jc w:val="center"/>
              <w:rPr>
                <w:rFonts w:hint="eastAsia" w:ascii="仿宋_GB2312" w:hAnsi="宋体" w:cs="宋体"/>
                <w:kern w:val="0"/>
                <w:sz w:val="24"/>
                <w:szCs w:val="24"/>
                <w:lang w:val="en-US" w:eastAsia="zh-CN"/>
              </w:rPr>
            </w:pPr>
          </w:p>
        </w:tc>
        <w:tc>
          <w:tcPr>
            <w:tcW w:w="2693" w:type="dxa"/>
            <w:tcBorders>
              <w:tl2br w:val="nil"/>
              <w:tr2bl w:val="nil"/>
            </w:tcBorders>
            <w:shd w:val="clear" w:color="auto" w:fill="FFFFFF"/>
            <w:vAlign w:val="top"/>
          </w:tcPr>
          <w:p w14:paraId="56701D95">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呼吸类设备购置成本</w:t>
            </w:r>
          </w:p>
        </w:tc>
        <w:tc>
          <w:tcPr>
            <w:tcW w:w="898" w:type="dxa"/>
            <w:tcBorders>
              <w:tl2br w:val="nil"/>
              <w:tr2bl w:val="nil"/>
            </w:tcBorders>
            <w:shd w:val="clear" w:color="000000" w:fill="FFFFFF"/>
            <w:vAlign w:val="center"/>
          </w:tcPr>
          <w:p w14:paraId="66BCA78E">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3</w:t>
            </w:r>
          </w:p>
        </w:tc>
        <w:tc>
          <w:tcPr>
            <w:tcW w:w="898" w:type="dxa"/>
            <w:tcBorders>
              <w:tl2br w:val="nil"/>
              <w:tr2bl w:val="nil"/>
            </w:tcBorders>
            <w:shd w:val="clear" w:color="000000" w:fill="FFFFFF"/>
            <w:vAlign w:val="center"/>
          </w:tcPr>
          <w:p w14:paraId="0AACB128">
            <w:pPr>
              <w:widowControl/>
              <w:ind w:firstLine="0" w:firstLineChars="0"/>
              <w:jc w:val="center"/>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lang w:val="en-US" w:eastAsia="zh-CN"/>
              </w:rPr>
              <w:t>3</w:t>
            </w:r>
          </w:p>
        </w:tc>
        <w:tc>
          <w:tcPr>
            <w:tcW w:w="1039" w:type="dxa"/>
            <w:tcBorders>
              <w:tl2br w:val="nil"/>
              <w:tr2bl w:val="nil"/>
            </w:tcBorders>
            <w:shd w:val="clear" w:color="000000" w:fill="FFFFFF"/>
            <w:vAlign w:val="center"/>
          </w:tcPr>
          <w:p w14:paraId="4B49BD96">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332900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3D9CA0AC">
            <w:pPr>
              <w:widowControl/>
              <w:ind w:firstLine="0" w:firstLineChars="0"/>
              <w:jc w:val="center"/>
              <w:rPr>
                <w:rFonts w:hint="eastAsia" w:ascii="宋体" w:hAnsi="宋体" w:eastAsia="宋体" w:cs="宋体"/>
                <w:color w:val="000000"/>
                <w:kern w:val="0"/>
                <w:sz w:val="22"/>
              </w:rPr>
            </w:pPr>
          </w:p>
        </w:tc>
        <w:tc>
          <w:tcPr>
            <w:tcW w:w="1984" w:type="dxa"/>
            <w:vMerge w:val="continue"/>
            <w:tcBorders>
              <w:tl2br w:val="nil"/>
              <w:tr2bl w:val="nil"/>
            </w:tcBorders>
            <w:shd w:val="clear" w:color="auto" w:fill="FFFFFF"/>
            <w:vAlign w:val="center"/>
          </w:tcPr>
          <w:p w14:paraId="7486BF27">
            <w:pPr>
              <w:widowControl/>
              <w:ind w:firstLine="0" w:firstLineChars="0"/>
              <w:jc w:val="center"/>
              <w:rPr>
                <w:rFonts w:hint="eastAsia" w:ascii="仿宋_GB2312" w:hAnsi="宋体" w:cs="宋体"/>
                <w:kern w:val="0"/>
                <w:sz w:val="24"/>
                <w:szCs w:val="24"/>
                <w:lang w:val="en-US" w:eastAsia="zh-CN"/>
              </w:rPr>
            </w:pPr>
          </w:p>
        </w:tc>
        <w:tc>
          <w:tcPr>
            <w:tcW w:w="2693" w:type="dxa"/>
            <w:tcBorders>
              <w:tl2br w:val="nil"/>
              <w:tr2bl w:val="nil"/>
            </w:tcBorders>
            <w:shd w:val="clear" w:color="auto" w:fill="FFFFFF"/>
            <w:vAlign w:val="top"/>
          </w:tcPr>
          <w:p w14:paraId="766E62B0">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抢救类设备购置成本</w:t>
            </w:r>
          </w:p>
        </w:tc>
        <w:tc>
          <w:tcPr>
            <w:tcW w:w="898" w:type="dxa"/>
            <w:tcBorders>
              <w:tl2br w:val="nil"/>
              <w:tr2bl w:val="nil"/>
            </w:tcBorders>
            <w:shd w:val="clear" w:color="000000" w:fill="FFFFFF"/>
            <w:vAlign w:val="center"/>
          </w:tcPr>
          <w:p w14:paraId="52A163ED">
            <w:pPr>
              <w:widowControl/>
              <w:ind w:firstLine="0" w:firstLineChars="0"/>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4</w:t>
            </w:r>
          </w:p>
        </w:tc>
        <w:tc>
          <w:tcPr>
            <w:tcW w:w="898" w:type="dxa"/>
            <w:tcBorders>
              <w:tl2br w:val="nil"/>
              <w:tr2bl w:val="nil"/>
            </w:tcBorders>
            <w:shd w:val="clear" w:color="000000" w:fill="FFFFFF"/>
            <w:vAlign w:val="center"/>
          </w:tcPr>
          <w:p w14:paraId="34E4EEE4">
            <w:pPr>
              <w:widowControl/>
              <w:ind w:firstLine="0" w:firstLineChars="0"/>
              <w:jc w:val="center"/>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lang w:val="en-US" w:eastAsia="zh-CN"/>
              </w:rPr>
              <w:t>4</w:t>
            </w:r>
          </w:p>
        </w:tc>
        <w:tc>
          <w:tcPr>
            <w:tcW w:w="1039" w:type="dxa"/>
            <w:tcBorders>
              <w:tl2br w:val="nil"/>
              <w:tr2bl w:val="nil"/>
            </w:tcBorders>
            <w:shd w:val="clear" w:color="000000" w:fill="FFFFFF"/>
            <w:vAlign w:val="center"/>
          </w:tcPr>
          <w:p w14:paraId="1CA09658">
            <w:pPr>
              <w:widowControl/>
              <w:ind w:firstLine="0" w:firstLineChars="0"/>
              <w:jc w:val="center"/>
              <w:rPr>
                <w:rFonts w:hint="eastAsia"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69C575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19287DC9">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14:paraId="3E4562C8">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项目效益</w:t>
            </w:r>
          </w:p>
        </w:tc>
        <w:tc>
          <w:tcPr>
            <w:tcW w:w="2693" w:type="dxa"/>
            <w:tcBorders>
              <w:tl2br w:val="nil"/>
              <w:tr2bl w:val="nil"/>
            </w:tcBorders>
            <w:shd w:val="clear" w:color="auto" w:fill="FFFFFF"/>
            <w:vAlign w:val="center"/>
          </w:tcPr>
          <w:p w14:paraId="0A87B722">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提高医院救治能力</w:t>
            </w:r>
          </w:p>
        </w:tc>
        <w:tc>
          <w:tcPr>
            <w:tcW w:w="898" w:type="dxa"/>
            <w:tcBorders>
              <w:tl2br w:val="nil"/>
              <w:tr2bl w:val="nil"/>
            </w:tcBorders>
            <w:shd w:val="clear" w:color="auto" w:fill="FFFFFF"/>
            <w:vAlign w:val="center"/>
          </w:tcPr>
          <w:p w14:paraId="54C7AC45">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15</w:t>
            </w:r>
          </w:p>
        </w:tc>
        <w:tc>
          <w:tcPr>
            <w:tcW w:w="898" w:type="dxa"/>
            <w:tcBorders>
              <w:tl2br w:val="nil"/>
              <w:tr2bl w:val="nil"/>
            </w:tcBorders>
            <w:shd w:val="clear" w:color="auto" w:fill="FFFFFF"/>
            <w:vAlign w:val="center"/>
          </w:tcPr>
          <w:p w14:paraId="6D1D2497">
            <w:pPr>
              <w:widowControl/>
              <w:ind w:firstLine="0" w:firstLineChars="0"/>
              <w:jc w:val="center"/>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15</w:t>
            </w:r>
          </w:p>
        </w:tc>
        <w:tc>
          <w:tcPr>
            <w:tcW w:w="1039" w:type="dxa"/>
            <w:tcBorders>
              <w:tl2br w:val="nil"/>
              <w:tr2bl w:val="nil"/>
            </w:tcBorders>
            <w:shd w:val="clear" w:color="auto" w:fill="FFFFFF"/>
            <w:vAlign w:val="center"/>
          </w:tcPr>
          <w:p w14:paraId="112516FD">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r w14:paraId="6A7D96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0B14E5B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满意度指标完成情况分析</w:t>
            </w:r>
          </w:p>
        </w:tc>
        <w:tc>
          <w:tcPr>
            <w:tcW w:w="1984" w:type="dxa"/>
            <w:tcBorders>
              <w:tl2br w:val="nil"/>
              <w:tr2bl w:val="nil"/>
            </w:tcBorders>
            <w:shd w:val="clear" w:color="auto" w:fill="FFFFFF"/>
            <w:vAlign w:val="center"/>
          </w:tcPr>
          <w:p w14:paraId="7624AA3C">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满意度指标</w:t>
            </w:r>
          </w:p>
        </w:tc>
        <w:tc>
          <w:tcPr>
            <w:tcW w:w="2693" w:type="dxa"/>
            <w:tcBorders>
              <w:tl2br w:val="nil"/>
              <w:tr2bl w:val="nil"/>
            </w:tcBorders>
            <w:shd w:val="clear" w:color="auto" w:fill="FFFFFF"/>
            <w:vAlign w:val="center"/>
          </w:tcPr>
          <w:p w14:paraId="6FD774FA">
            <w:pPr>
              <w:widowControl/>
              <w:ind w:firstLine="0" w:firstLineChars="0"/>
              <w:jc w:val="center"/>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患者满意度</w:t>
            </w:r>
          </w:p>
        </w:tc>
        <w:tc>
          <w:tcPr>
            <w:tcW w:w="898" w:type="dxa"/>
            <w:tcBorders>
              <w:tl2br w:val="nil"/>
              <w:tr2bl w:val="nil"/>
            </w:tcBorders>
            <w:shd w:val="clear" w:color="000000" w:fill="FFFFFF"/>
            <w:vAlign w:val="center"/>
          </w:tcPr>
          <w:p w14:paraId="2D50CC0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659F0B2D">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5</w:t>
            </w:r>
          </w:p>
        </w:tc>
        <w:tc>
          <w:tcPr>
            <w:tcW w:w="1039" w:type="dxa"/>
            <w:tcBorders>
              <w:tl2br w:val="nil"/>
              <w:tr2bl w:val="nil"/>
            </w:tcBorders>
            <w:shd w:val="clear" w:color="auto" w:fill="FFFFFF"/>
            <w:vAlign w:val="center"/>
          </w:tcPr>
          <w:p w14:paraId="5FDCD3BD">
            <w:pPr>
              <w:widowControl/>
              <w:ind w:firstLine="0" w:firstLineChars="0"/>
              <w:jc w:val="center"/>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100%</w:t>
            </w:r>
          </w:p>
        </w:tc>
      </w:tr>
    </w:tbl>
    <w:p w14:paraId="095F9768">
      <w:pPr>
        <w:pStyle w:val="3"/>
        <w:ind w:firstLine="643"/>
        <w:rPr>
          <w:rFonts w:ascii="仿宋" w:hAnsi="仿宋" w:eastAsia="仿宋"/>
          <w:lang w:bidi="en-US"/>
        </w:rPr>
      </w:pPr>
      <w:bookmarkStart w:id="31" w:name="_Toc5924"/>
      <w:bookmarkStart w:id="32" w:name="_Toc67911610"/>
      <w:r>
        <w:rPr>
          <w:rFonts w:hint="eastAsia" w:ascii="仿宋" w:hAnsi="仿宋" w:eastAsia="仿宋"/>
          <w:lang w:bidi="en-US"/>
        </w:rPr>
        <w:t>（二）主要绩效</w:t>
      </w:r>
      <w:bookmarkEnd w:id="31"/>
      <w:bookmarkEnd w:id="32"/>
    </w:p>
    <w:p w14:paraId="09DE4189">
      <w:pPr>
        <w:spacing w:line="360" w:lineRule="auto"/>
        <w:ind w:firstLine="548" w:firstLineChars="196"/>
        <w:rPr>
          <w:rFonts w:hint="default" w:ascii="仿宋_GB2312" w:eastAsia="仿宋_GB2312"/>
          <w:bCs/>
          <w:szCs w:val="28"/>
          <w:highlight w:val="yellow"/>
          <w:lang w:val="en-US" w:eastAsia="zh-CN"/>
        </w:rPr>
      </w:pPr>
      <w:r>
        <w:rPr>
          <w:rFonts w:hint="eastAsia" w:ascii="仿宋_GB2312"/>
          <w:bCs/>
          <w:szCs w:val="28"/>
        </w:rPr>
        <w:t>该项目资金</w:t>
      </w:r>
      <w:r>
        <w:rPr>
          <w:rFonts w:hint="eastAsia" w:ascii="仿宋_GB2312"/>
          <w:bCs/>
          <w:szCs w:val="28"/>
          <w:lang w:val="en-US" w:eastAsia="zh-CN"/>
        </w:rPr>
        <w:t>市</w:t>
      </w:r>
      <w:r>
        <w:rPr>
          <w:rFonts w:hint="eastAsia" w:ascii="仿宋_GB2312"/>
          <w:bCs/>
          <w:szCs w:val="28"/>
        </w:rPr>
        <w:t>财政及时拨付，单</w:t>
      </w:r>
      <w:r>
        <w:rPr>
          <w:rFonts w:hint="eastAsia" w:ascii="仿宋_GB2312"/>
          <w:bCs/>
          <w:szCs w:val="28"/>
          <w:highlight w:val="none"/>
        </w:rPr>
        <w:t>位在此次评价期间内，有序完成设定目标的部分工作任务，</w:t>
      </w:r>
      <w:r>
        <w:rPr>
          <w:rFonts w:hint="eastAsia" w:ascii="仿宋_GB2312"/>
          <w:bCs/>
          <w:szCs w:val="28"/>
          <w:highlight w:val="none"/>
          <w:lang w:val="en-US" w:eastAsia="zh-CN"/>
        </w:rPr>
        <w:t>共计采购医疗设备10批，其中基础类设备8批，呼吸类设备1批，抢救类设备1批，所有设备均已安装验收，合格率达100%，按时支付设备购置款项653万，确保了项目的顺利推进。投入使用后，发挥了极为重要的作用，有效提升了医院针对新型冠状病毒感染的应急救治能力，在实际医疗工作中最大程度地降低了患者的重症率与死亡率，为守护患者生命健康筑牢了坚实防线。</w:t>
      </w:r>
    </w:p>
    <w:p w14:paraId="0E5481FD">
      <w:pPr>
        <w:pStyle w:val="2"/>
        <w:ind w:firstLine="0" w:firstLineChars="0"/>
        <w:jc w:val="left"/>
        <w:rPr>
          <w:rFonts w:ascii="仿宋" w:hAnsi="仿宋" w:eastAsia="仿宋"/>
          <w:sz w:val="36"/>
          <w:szCs w:val="36"/>
          <w:lang w:bidi="en-US"/>
        </w:rPr>
      </w:pPr>
      <w:bookmarkStart w:id="33" w:name="_Toc67911611"/>
      <w:bookmarkStart w:id="34" w:name="_Toc12058"/>
      <w:r>
        <w:rPr>
          <w:rFonts w:hint="eastAsia" w:ascii="仿宋" w:hAnsi="仿宋" w:eastAsia="仿宋"/>
          <w:sz w:val="36"/>
          <w:szCs w:val="36"/>
          <w:lang w:bidi="en-US"/>
        </w:rPr>
        <w:t>四、绩效评价指标分析</w:t>
      </w:r>
      <w:bookmarkEnd w:id="33"/>
      <w:bookmarkEnd w:id="34"/>
    </w:p>
    <w:p w14:paraId="2E314CC6">
      <w:pPr>
        <w:pStyle w:val="3"/>
        <w:ind w:firstLine="643"/>
        <w:rPr>
          <w:rFonts w:ascii="仿宋" w:hAnsi="仿宋" w:eastAsia="仿宋"/>
          <w:lang w:bidi="en-US"/>
        </w:rPr>
      </w:pPr>
      <w:bookmarkStart w:id="35" w:name="_Toc18715"/>
      <w:bookmarkStart w:id="36" w:name="_Toc67911612"/>
      <w:r>
        <w:rPr>
          <w:rFonts w:hint="eastAsia" w:ascii="仿宋" w:hAnsi="仿宋" w:eastAsia="仿宋"/>
          <w:lang w:bidi="en-US"/>
        </w:rPr>
        <w:t>（一）项目决策情况</w:t>
      </w:r>
      <w:bookmarkEnd w:id="35"/>
      <w:bookmarkEnd w:id="36"/>
    </w:p>
    <w:p w14:paraId="554CB4CA">
      <w:pPr>
        <w:spacing w:line="360" w:lineRule="auto"/>
        <w:ind w:firstLine="560"/>
        <w:rPr>
          <w:rFonts w:ascii="仿宋_GB2312"/>
          <w:szCs w:val="28"/>
        </w:rPr>
      </w:pPr>
      <w:r>
        <w:rPr>
          <w:rFonts w:hint="eastAsia" w:ascii="仿宋_GB2312"/>
          <w:szCs w:val="28"/>
        </w:rPr>
        <w:t>项目决算指标由</w:t>
      </w:r>
      <w:r>
        <w:rPr>
          <w:rFonts w:hint="eastAsia" w:ascii="仿宋_GB2312"/>
          <w:szCs w:val="28"/>
          <w:lang w:val="en-US" w:eastAsia="zh-CN"/>
        </w:rPr>
        <w:t>3</w:t>
      </w:r>
      <w:r>
        <w:rPr>
          <w:rFonts w:hint="eastAsia" w:ascii="仿宋_GB2312"/>
          <w:szCs w:val="28"/>
        </w:rPr>
        <w:t>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47DA52B1">
      <w:pPr>
        <w:pStyle w:val="4"/>
        <w:ind w:firstLine="643"/>
      </w:pPr>
      <w:bookmarkStart w:id="37" w:name="_Toc11232"/>
      <w:r>
        <w:t>1.</w:t>
      </w:r>
      <w:r>
        <w:rPr>
          <w:rFonts w:hint="eastAsia"/>
        </w:rPr>
        <w:t>项目立项</w:t>
      </w:r>
      <w:bookmarkEnd w:id="37"/>
    </w:p>
    <w:p w14:paraId="1B7D5484">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w:t>
      </w:r>
      <w:r>
        <w:rPr>
          <w:rFonts w:hint="eastAsia" w:ascii="仿宋_GB2312"/>
        </w:rPr>
        <w:t>《</w:t>
      </w:r>
      <w:r>
        <w:rPr>
          <w:rFonts w:hint="eastAsia" w:ascii="仿宋_GB2312"/>
          <w:lang w:val="en-US" w:eastAsia="zh-CN"/>
        </w:rPr>
        <w:t>关于紧急下达新型冠状病毒感染疫情应急救治能力提升项目中央预算内投资计划的通知</w:t>
      </w:r>
      <w:r>
        <w:rPr>
          <w:rFonts w:hint="eastAsia" w:ascii="仿宋_GB2312"/>
        </w:rPr>
        <w:t>》</w:t>
      </w:r>
      <w:r>
        <w:rPr>
          <w:rFonts w:hint="eastAsia" w:ascii="仿宋_GB2312"/>
          <w:lang w:eastAsia="zh-CN"/>
        </w:rPr>
        <w:t>（</w:t>
      </w:r>
      <w:r>
        <w:rPr>
          <w:rFonts w:hint="eastAsia" w:ascii="仿宋_GB2312"/>
          <w:lang w:val="en-US" w:eastAsia="zh-CN"/>
        </w:rPr>
        <w:t>乌</w:t>
      </w:r>
      <w:r>
        <w:rPr>
          <w:rFonts w:hint="eastAsia" w:ascii="仿宋_GB2312"/>
        </w:rPr>
        <w:t>发改</w:t>
      </w:r>
      <w:r>
        <w:rPr>
          <w:rFonts w:hint="eastAsia" w:ascii="仿宋_GB2312"/>
          <w:lang w:val="en-US" w:eastAsia="zh-CN"/>
        </w:rPr>
        <w:t>社会</w:t>
      </w:r>
      <w:r>
        <w:rPr>
          <w:rFonts w:hint="eastAsia" w:ascii="仿宋_GB2312"/>
        </w:rPr>
        <w:t>〔202</w:t>
      </w:r>
      <w:r>
        <w:rPr>
          <w:rFonts w:hint="default" w:ascii="仿宋_GB2312"/>
        </w:rPr>
        <w:t>3〕</w:t>
      </w:r>
      <w:r>
        <w:rPr>
          <w:rFonts w:hint="eastAsia" w:ascii="仿宋_GB2312"/>
          <w:lang w:val="en-US" w:eastAsia="zh-CN"/>
        </w:rPr>
        <w:t>43</w:t>
      </w:r>
      <w:r>
        <w:rPr>
          <w:rFonts w:hint="default" w:ascii="仿宋_GB2312"/>
        </w:rPr>
        <w:t>号</w:t>
      </w:r>
      <w:r>
        <w:rPr>
          <w:rFonts w:hint="eastAsia" w:ascii="仿宋_GB2312"/>
          <w:lang w:eastAsia="zh-CN"/>
        </w:rPr>
        <w:t>）</w:t>
      </w:r>
      <w:r>
        <w:rPr>
          <w:rFonts w:hint="eastAsia" w:ascii="仿宋_GB2312"/>
          <w:lang w:val="en-US" w:eastAsia="zh-CN"/>
        </w:rPr>
        <w:t>及</w:t>
      </w:r>
      <w:r>
        <w:rPr>
          <w:rFonts w:hint="eastAsia" w:ascii="仿宋_GB2312"/>
        </w:rPr>
        <w:t>《</w:t>
      </w:r>
      <w:r>
        <w:rPr>
          <w:rFonts w:hint="eastAsia" w:ascii="仿宋_GB2312"/>
          <w:lang w:val="en-US" w:eastAsia="zh-CN"/>
        </w:rPr>
        <w:t>关于紧急下达2023年新型冠状病毒感染疫情应急救治能力提升项目中央基建投资预算的通知</w:t>
      </w:r>
      <w:r>
        <w:rPr>
          <w:rFonts w:hint="eastAsia" w:ascii="仿宋_GB2312"/>
        </w:rPr>
        <w:t>》</w:t>
      </w:r>
      <w:r>
        <w:rPr>
          <w:rFonts w:hint="eastAsia" w:ascii="仿宋_GB2312"/>
          <w:lang w:eastAsia="zh-CN"/>
        </w:rPr>
        <w:t>（</w:t>
      </w:r>
      <w:r>
        <w:rPr>
          <w:rFonts w:hint="eastAsia" w:ascii="仿宋_GB2312"/>
          <w:lang w:val="en-US" w:eastAsia="zh-CN"/>
        </w:rPr>
        <w:t>乌财建</w:t>
      </w:r>
      <w:r>
        <w:rPr>
          <w:rFonts w:hint="eastAsia" w:ascii="仿宋_GB2312"/>
        </w:rPr>
        <w:t>〔202</w:t>
      </w:r>
      <w:r>
        <w:rPr>
          <w:rFonts w:hint="default" w:ascii="仿宋_GB2312"/>
        </w:rPr>
        <w:t>3〕</w:t>
      </w:r>
      <w:r>
        <w:rPr>
          <w:rFonts w:hint="eastAsia" w:ascii="仿宋_GB2312"/>
          <w:lang w:val="en-US" w:eastAsia="zh-CN"/>
        </w:rPr>
        <w:t>53</w:t>
      </w:r>
      <w:r>
        <w:rPr>
          <w:rFonts w:hint="default" w:ascii="仿宋_GB2312"/>
        </w:rPr>
        <w:t>号</w:t>
      </w:r>
      <w:r>
        <w:rPr>
          <w:rFonts w:hint="eastAsia" w:ascii="仿宋_GB2312"/>
          <w:lang w:eastAsia="zh-CN"/>
        </w:rPr>
        <w:t>）</w:t>
      </w:r>
      <w:r>
        <w:rPr>
          <w:rFonts w:hint="eastAsia" w:ascii="仿宋_GB2312"/>
          <w:szCs w:val="28"/>
        </w:rPr>
        <w:t>要求。同时，项目与部门职责范围相符，属</w:t>
      </w:r>
      <w:r>
        <w:rPr>
          <w:rFonts w:hint="eastAsia" w:ascii="仿宋_GB2312"/>
          <w:szCs w:val="28"/>
          <w:lang w:val="en-US" w:eastAsia="zh-CN"/>
        </w:rPr>
        <w:t>于</w:t>
      </w:r>
      <w:bookmarkStart w:id="63" w:name="_GoBack"/>
      <w:bookmarkEnd w:id="63"/>
      <w:r>
        <w:rPr>
          <w:rFonts w:hint="eastAsia" w:ascii="仿宋_GB2312"/>
          <w:szCs w:val="28"/>
        </w:rPr>
        <w:t>部门履职所需。此外，本项目属于公共财政支持范围，符合中央、地方事权支出责任划分原则。因此，立项依据充分，得4分。</w:t>
      </w:r>
    </w:p>
    <w:p w14:paraId="14ACFAE5">
      <w:pPr>
        <w:spacing w:line="360" w:lineRule="auto"/>
        <w:ind w:firstLine="562"/>
        <w:rPr>
          <w:rFonts w:ascii="仿宋_GB2312"/>
          <w:szCs w:val="28"/>
        </w:rPr>
      </w:pPr>
      <w:r>
        <w:rPr>
          <w:rFonts w:hint="eastAsia" w:ascii="仿宋_GB2312"/>
          <w:b/>
          <w:bCs/>
          <w:szCs w:val="28"/>
        </w:rPr>
        <w:t>立项程序规范性</w:t>
      </w:r>
      <w:r>
        <w:rPr>
          <w:rFonts w:hint="eastAsia" w:ascii="仿宋_GB2312"/>
          <w:b/>
          <w:bCs/>
          <w:szCs w:val="28"/>
          <w:lang w:eastAsia="zh-CN"/>
        </w:rPr>
        <w:t>：</w:t>
      </w:r>
      <w:r>
        <w:rPr>
          <w:rFonts w:hint="eastAsia"/>
        </w:rPr>
        <w:t xml:space="preserve"> </w:t>
      </w:r>
      <w:r>
        <w:rPr>
          <w:rFonts w:hint="eastAsia" w:ascii="仿宋_GB2312"/>
          <w:szCs w:val="28"/>
        </w:rPr>
        <w:t>项目按照《关于印发</w:t>
      </w:r>
      <w:r>
        <w:rPr>
          <w:rFonts w:hint="eastAsia" w:ascii="仿宋_GB2312"/>
          <w:szCs w:val="28"/>
          <w:lang w:eastAsia="zh-CN"/>
        </w:rPr>
        <w:t>〈</w:t>
      </w:r>
      <w:r>
        <w:rPr>
          <w:rFonts w:hint="eastAsia" w:ascii="仿宋_GB2312"/>
          <w:szCs w:val="28"/>
        </w:rPr>
        <w:t>乌鲁木齐市本级部门预算绩效目标管理暂行办法</w:t>
      </w:r>
      <w:r>
        <w:rPr>
          <w:rFonts w:hint="eastAsia" w:ascii="仿宋_GB2312"/>
          <w:szCs w:val="28"/>
          <w:lang w:eastAsia="zh-CN"/>
        </w:rPr>
        <w:t>〉</w:t>
      </w:r>
      <w:r>
        <w:rPr>
          <w:rFonts w:hint="eastAsia" w:ascii="仿宋_GB2312"/>
          <w:szCs w:val="28"/>
        </w:rPr>
        <w:t>的通知》（乌财预〔2018〕56号）、《项目支出绩效评价管理办法》（财预〔2020〕10号）规定的程序申请设立，审批文件、材料符合相关要求，故立项程序规范，得4分。</w:t>
      </w:r>
    </w:p>
    <w:p w14:paraId="5C379FC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14:paraId="145F5137">
      <w:pPr>
        <w:pStyle w:val="4"/>
        <w:ind w:firstLine="643"/>
      </w:pPr>
      <w:bookmarkStart w:id="38" w:name="_Toc11754"/>
      <w:r>
        <w:rPr>
          <w:rFonts w:hint="eastAsia"/>
        </w:rPr>
        <w:t>2</w:t>
      </w:r>
      <w:r>
        <w:t>.</w:t>
      </w:r>
      <w:r>
        <w:rPr>
          <w:rFonts w:hint="eastAsia"/>
        </w:rPr>
        <w:t>绩效目标</w:t>
      </w:r>
      <w:bookmarkEnd w:id="38"/>
    </w:p>
    <w:p w14:paraId="6C39D87F">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highlight w:val="none"/>
        </w:rPr>
        <w:t>本项目的绩效目标按照产出、效益和满意度构建绩效评价指标，</w:t>
      </w:r>
      <w:r>
        <w:rPr>
          <w:rFonts w:hint="eastAsia" w:ascii="仿宋_GB2312"/>
          <w:szCs w:val="28"/>
        </w:rPr>
        <w:t>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49B3EA29">
      <w:pPr>
        <w:autoSpaceDE w:val="0"/>
        <w:spacing w:line="600" w:lineRule="exact"/>
        <w:ind w:firstLine="562"/>
        <w:rPr>
          <w:rFonts w:hint="eastAsia" w:ascii="仿宋_GB2312" w:hAnsi="仿宋" w:cs="宋体"/>
          <w:kern w:val="0"/>
          <w:szCs w:val="28"/>
          <w:highlight w:val="none"/>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其中，目标已细化为具体的绩效指标，可通过数量指标、质量指标、时效指标和成本指标予以量化</w:t>
      </w:r>
      <w:r>
        <w:rPr>
          <w:rFonts w:hint="eastAsia" w:ascii="仿宋_GB2312" w:hAnsi="仿宋" w:cs="宋体"/>
          <w:kern w:val="0"/>
          <w:szCs w:val="28"/>
          <w:lang w:eastAsia="zh-CN"/>
        </w:rPr>
        <w:t>（</w:t>
      </w:r>
      <w:r>
        <w:rPr>
          <w:rFonts w:hint="eastAsia" w:ascii="仿宋_GB2312" w:hAnsi="仿宋" w:cs="宋体"/>
          <w:kern w:val="0"/>
          <w:szCs w:val="28"/>
          <w:lang w:val="en-US" w:eastAsia="zh-CN"/>
        </w:rPr>
        <w:t>基础类设备购置数、呼吸类设备购置数、抢救类设备购置数、设备验收合格率、设备合同签订完成时间、基础类设备购置成本、呼吸类设备购置成本、抢救类设备购置成本、提高医院救治能力、患者满意</w:t>
      </w:r>
      <w:r>
        <w:rPr>
          <w:rFonts w:hint="eastAsia" w:ascii="仿宋_GB2312" w:hAnsi="仿宋" w:cs="宋体"/>
          <w:kern w:val="0"/>
          <w:szCs w:val="28"/>
          <w:highlight w:val="none"/>
          <w:lang w:val="en-US" w:eastAsia="zh-CN"/>
        </w:rPr>
        <w:t>度）</w:t>
      </w:r>
      <w:r>
        <w:rPr>
          <w:rFonts w:hint="eastAsia" w:ascii="仿宋_GB2312" w:hAnsi="仿宋" w:cs="宋体"/>
          <w:kern w:val="0"/>
          <w:szCs w:val="28"/>
          <w:highlight w:val="none"/>
        </w:rPr>
        <w:t>，并具有确切的评价标准，且指标设定均与目标相关。各项指标均能在现实条件下收集到相关数据进行佐证（</w:t>
      </w:r>
      <w:r>
        <w:rPr>
          <w:rFonts w:hint="eastAsia" w:ascii="仿宋_GB2312" w:hAnsi="仿宋" w:cs="宋体"/>
          <w:kern w:val="0"/>
          <w:szCs w:val="28"/>
          <w:highlight w:val="none"/>
          <w:lang w:val="en-US" w:eastAsia="zh-CN"/>
        </w:rPr>
        <w:t>通过向院采购办收集采购合同；院设备科收集设备验收报告，以及财务科收集付款的银行回单</w:t>
      </w:r>
      <w:r>
        <w:rPr>
          <w:rFonts w:hint="eastAsia" w:ascii="仿宋_GB2312" w:hAnsi="仿宋" w:cs="宋体"/>
          <w:kern w:val="0"/>
          <w:szCs w:val="28"/>
          <w:highlight w:val="none"/>
        </w:rPr>
        <w:t>），并与当年项目年度计划相对应，故绩效目标明确性指标得分3分。</w:t>
      </w:r>
    </w:p>
    <w:p w14:paraId="6A1057CF">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1A9D7B05">
      <w:pPr>
        <w:pStyle w:val="4"/>
        <w:ind w:firstLine="643"/>
      </w:pPr>
      <w:bookmarkStart w:id="39" w:name="_Toc12973"/>
      <w:r>
        <w:rPr>
          <w:rFonts w:hint="eastAsia"/>
        </w:rPr>
        <w:t>3.资金投入</w:t>
      </w:r>
      <w:bookmarkEnd w:id="39"/>
    </w:p>
    <w:p w14:paraId="69A9CD6D">
      <w:pPr>
        <w:autoSpaceDE w:val="0"/>
        <w:spacing w:line="600" w:lineRule="exact"/>
        <w:ind w:firstLine="562"/>
        <w:rPr>
          <w:rFonts w:hint="default" w:ascii="仿宋_GB2312"/>
          <w:highlight w:val="none"/>
          <w:lang w:val="en-US" w:eastAsia="zh-CN"/>
        </w:rPr>
      </w:pPr>
      <w:r>
        <w:rPr>
          <w:rFonts w:hint="eastAsia" w:ascii="仿宋_GB2312" w:hAnsi="仿宋" w:cs="宋体"/>
          <w:b/>
          <w:kern w:val="0"/>
          <w:szCs w:val="28"/>
        </w:rPr>
        <w:t>预算编制科学性：</w:t>
      </w:r>
      <w:r>
        <w:rPr>
          <w:rFonts w:hint="eastAsia" w:ascii="仿宋_GB2312"/>
          <w:highlight w:val="none"/>
          <w:lang w:val="en-US" w:eastAsia="zh-CN"/>
        </w:rPr>
        <w:t>我院组织院内专家及设备科根据医院疫情防控及患者救治工作需要，经讨论，最终确认拟采购基础类设备8批329台、抢救类设备1批4台以及呼吸类设备1批4台，采购金额经采购部门根据市场行情定价及多家单位市场询价最终拟确认采购金额为653万元</w:t>
      </w:r>
    </w:p>
    <w:p w14:paraId="1611D2DF">
      <w:pPr>
        <w:autoSpaceDE w:val="0"/>
        <w:spacing w:line="600" w:lineRule="exact"/>
        <w:ind w:firstLine="562"/>
        <w:rPr>
          <w:rFonts w:hint="eastAsia" w:ascii="仿宋_GB2312" w:hAnsi="仿宋" w:cs="宋体"/>
          <w:kern w:val="0"/>
          <w:szCs w:val="28"/>
          <w:highlight w:val="none"/>
        </w:rPr>
      </w:pPr>
      <w:r>
        <w:rPr>
          <w:rFonts w:hint="eastAsia" w:ascii="仿宋_GB2312"/>
          <w:bCs/>
          <w:szCs w:val="28"/>
          <w:highlight w:val="none"/>
        </w:rPr>
        <w:t>并上级部门审核核定通过后按照</w:t>
      </w:r>
      <w:r>
        <w:rPr>
          <w:rFonts w:hint="eastAsia" w:ascii="仿宋_GB2312"/>
          <w:highlight w:val="none"/>
        </w:rPr>
        <w:t>《</w:t>
      </w:r>
      <w:r>
        <w:rPr>
          <w:rFonts w:hint="eastAsia" w:ascii="仿宋_GB2312"/>
          <w:highlight w:val="none"/>
          <w:lang w:val="en-US" w:eastAsia="zh-CN"/>
        </w:rPr>
        <w:t>关于紧急下达2023年新型冠状病毒感染疫情应急救治能力提升项目中央基建投资预算的通知</w:t>
      </w:r>
      <w:r>
        <w:rPr>
          <w:rFonts w:hint="eastAsia" w:ascii="仿宋_GB2312"/>
          <w:highlight w:val="none"/>
        </w:rPr>
        <w:t>》</w:t>
      </w:r>
      <w:r>
        <w:rPr>
          <w:rFonts w:hint="eastAsia" w:ascii="仿宋_GB2312"/>
          <w:highlight w:val="none"/>
          <w:lang w:eastAsia="zh-CN"/>
        </w:rPr>
        <w:t>（</w:t>
      </w:r>
      <w:r>
        <w:rPr>
          <w:rFonts w:hint="eastAsia" w:ascii="仿宋_GB2312"/>
          <w:highlight w:val="none"/>
          <w:lang w:val="en-US" w:eastAsia="zh-CN"/>
        </w:rPr>
        <w:t>乌财建</w:t>
      </w:r>
      <w:r>
        <w:rPr>
          <w:rFonts w:hint="eastAsia" w:ascii="仿宋_GB2312"/>
          <w:highlight w:val="none"/>
        </w:rPr>
        <w:t>〔202</w:t>
      </w:r>
      <w:r>
        <w:rPr>
          <w:rFonts w:hint="default" w:ascii="仿宋_GB2312"/>
          <w:highlight w:val="none"/>
        </w:rPr>
        <w:t>3〕</w:t>
      </w:r>
      <w:r>
        <w:rPr>
          <w:rFonts w:hint="eastAsia" w:ascii="仿宋_GB2312"/>
          <w:highlight w:val="none"/>
          <w:lang w:val="en-US" w:eastAsia="zh-CN"/>
        </w:rPr>
        <w:t>53</w:t>
      </w:r>
      <w:r>
        <w:rPr>
          <w:rFonts w:hint="default" w:ascii="仿宋_GB2312"/>
          <w:highlight w:val="none"/>
        </w:rPr>
        <w:t>号</w:t>
      </w:r>
      <w:r>
        <w:rPr>
          <w:rFonts w:hint="eastAsia" w:ascii="仿宋_GB2312"/>
          <w:highlight w:val="none"/>
          <w:lang w:eastAsia="zh-CN"/>
        </w:rPr>
        <w:t>）</w:t>
      </w:r>
      <w:r>
        <w:rPr>
          <w:rFonts w:hint="eastAsia" w:ascii="仿宋_GB2312"/>
          <w:highlight w:val="none"/>
          <w:lang w:val="en-US" w:eastAsia="zh-CN"/>
        </w:rPr>
        <w:t>执行</w:t>
      </w:r>
      <w:r>
        <w:rPr>
          <w:rFonts w:hint="eastAsia" w:ascii="仿宋_GB2312" w:hAnsi="仿宋" w:cs="宋体"/>
          <w:b/>
          <w:kern w:val="0"/>
          <w:szCs w:val="28"/>
          <w:highlight w:val="none"/>
        </w:rPr>
        <w:t>。</w:t>
      </w:r>
      <w:r>
        <w:rPr>
          <w:rFonts w:hint="eastAsia" w:ascii="仿宋_GB2312" w:hAnsi="仿宋" w:cs="宋体"/>
          <w:kern w:val="0"/>
          <w:szCs w:val="28"/>
          <w:highlight w:val="none"/>
        </w:rPr>
        <w:t>故预算编制科学性指标得分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14:paraId="6AA0D558">
      <w:pPr>
        <w:spacing w:line="360" w:lineRule="auto"/>
        <w:ind w:firstLine="562"/>
      </w:pPr>
      <w:r>
        <w:rPr>
          <w:rFonts w:hint="eastAsia"/>
          <w:b/>
          <w:bCs/>
        </w:rPr>
        <w:t>资金</w:t>
      </w:r>
      <w:r>
        <w:rPr>
          <w:rFonts w:hint="eastAsia"/>
          <w:b/>
          <w:bCs/>
          <w:highlight w:val="none"/>
        </w:rPr>
        <w:t>分配合理性</w:t>
      </w:r>
      <w:r>
        <w:rPr>
          <w:rFonts w:hint="eastAsia"/>
          <w:highlight w:val="none"/>
        </w:rPr>
        <w:t>：</w:t>
      </w:r>
      <w:r>
        <w:rPr>
          <w:rFonts w:hint="eastAsia" w:ascii="仿宋_GB2312"/>
          <w:highlight w:val="none"/>
          <w:lang w:val="en-US" w:eastAsia="zh-CN"/>
        </w:rPr>
        <w:t>我院根据设备科拟定设备需求及最终确定的采购计划，将所有设备明细根据设备所属类型将设备进行归纳分类，划分资金明细为：医疗设备基础类设备8批共计562.30万元，呼吸类设备70.11万元，抢救类设备20.59万元，共计653万元。</w:t>
      </w:r>
      <w:r>
        <w:rPr>
          <w:rFonts w:hint="eastAsia" w:ascii="仿宋_GB2312"/>
          <w:highlight w:val="none"/>
        </w:rPr>
        <w:t>该项目运作后，资金分配与项目实施相适应</w:t>
      </w:r>
      <w:r>
        <w:rPr>
          <w:rFonts w:hint="eastAsia" w:ascii="仿宋_GB2312"/>
          <w:highlight w:val="none"/>
          <w:lang w:val="en-US" w:eastAsia="zh-CN"/>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465E8EF0">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7DF6D658">
      <w:pPr>
        <w:pStyle w:val="3"/>
        <w:ind w:firstLine="643"/>
        <w:rPr>
          <w:rFonts w:ascii="仿宋" w:hAnsi="仿宋" w:eastAsia="仿宋"/>
          <w:lang w:bidi="en-US"/>
        </w:rPr>
      </w:pPr>
      <w:bookmarkStart w:id="40" w:name="_Toc67911613"/>
      <w:bookmarkStart w:id="41" w:name="_Toc9710"/>
      <w:r>
        <w:rPr>
          <w:rFonts w:hint="eastAsia" w:ascii="仿宋" w:hAnsi="仿宋" w:eastAsia="仿宋"/>
          <w:lang w:bidi="en-US"/>
        </w:rPr>
        <w:t>（二）项目过程情况</w:t>
      </w:r>
      <w:bookmarkEnd w:id="40"/>
      <w:bookmarkEnd w:id="41"/>
    </w:p>
    <w:p w14:paraId="3638E97F">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36905459">
      <w:pPr>
        <w:pStyle w:val="4"/>
        <w:ind w:firstLine="643"/>
      </w:pPr>
      <w:bookmarkStart w:id="42" w:name="_Toc8451"/>
      <w:r>
        <w:t>1.</w:t>
      </w:r>
      <w:r>
        <w:rPr>
          <w:rFonts w:hint="eastAsia"/>
        </w:rPr>
        <w:t>资金管理</w:t>
      </w:r>
      <w:bookmarkEnd w:id="42"/>
    </w:p>
    <w:p w14:paraId="5F1D603B">
      <w:pPr>
        <w:spacing w:line="360" w:lineRule="auto"/>
        <w:ind w:firstLine="562"/>
        <w:rPr>
          <w:rFonts w:ascii="仿宋_GB2312"/>
          <w:szCs w:val="28"/>
        </w:rPr>
      </w:pPr>
      <w:r>
        <w:rPr>
          <w:rFonts w:hint="eastAsia" w:ascii="仿宋_GB2312"/>
          <w:b/>
          <w:bCs/>
          <w:szCs w:val="28"/>
        </w:rPr>
        <w:t>资金到位率：</w:t>
      </w:r>
      <w:r>
        <w:rPr>
          <w:rFonts w:hint="eastAsia" w:ascii="仿宋_GB2312"/>
        </w:rPr>
        <w:t>该项目资金</w:t>
      </w:r>
      <w:r>
        <w:rPr>
          <w:rFonts w:hint="eastAsia" w:ascii="仿宋_GB2312"/>
          <w:lang w:val="en-US" w:eastAsia="zh-CN"/>
        </w:rPr>
        <w:t>使用上年结转资金</w:t>
      </w:r>
      <w:r>
        <w:rPr>
          <w:rFonts w:hint="eastAsia" w:ascii="仿宋_GB2312"/>
        </w:rPr>
        <w:t>，</w:t>
      </w:r>
      <w:r>
        <w:rPr>
          <w:rFonts w:hint="eastAsia" w:ascii="仿宋_GB2312"/>
          <w:lang w:val="en-US" w:eastAsia="zh-CN"/>
        </w:rPr>
        <w:t>年初预算数为653万元，资金实际</w:t>
      </w:r>
      <w:r>
        <w:rPr>
          <w:rFonts w:hint="eastAsia" w:ascii="仿宋_GB2312"/>
        </w:rPr>
        <w:t>到位</w:t>
      </w:r>
      <w:r>
        <w:rPr>
          <w:rFonts w:hint="eastAsia" w:ascii="仿宋_GB2312"/>
          <w:lang w:val="en-US" w:eastAsia="zh-CN"/>
        </w:rPr>
        <w:t>653</w:t>
      </w:r>
      <w:r>
        <w:rPr>
          <w:rFonts w:hint="eastAsia" w:ascii="仿宋_GB2312"/>
        </w:rPr>
        <w:t>万元，</w:t>
      </w:r>
      <w:r>
        <w:rPr>
          <w:rFonts w:hint="eastAsia" w:ascii="仿宋_GB2312" w:hAnsi="仿宋" w:cs="宋体"/>
          <w:kern w:val="0"/>
          <w:szCs w:val="28"/>
        </w:rPr>
        <w:t>资金到位率为100%</w:t>
      </w:r>
      <w:r>
        <w:rPr>
          <w:rFonts w:hint="eastAsia" w:ascii="仿宋_GB2312"/>
        </w:rPr>
        <w:t>。</w:t>
      </w:r>
      <w:r>
        <w:rPr>
          <w:rFonts w:hint="eastAsia" w:ascii="仿宋_GB2312" w:hAnsi="仿宋" w:cs="宋体"/>
          <w:kern w:val="0"/>
          <w:szCs w:val="28"/>
        </w:rPr>
        <w:t>故资金到位率指标得分</w:t>
      </w:r>
      <w:r>
        <w:rPr>
          <w:rFonts w:hint="eastAsia" w:ascii="仿宋_GB2312" w:hAnsi="仿宋" w:cs="宋体"/>
          <w:kern w:val="0"/>
          <w:szCs w:val="28"/>
          <w:lang w:val="en-US" w:eastAsia="zh-CN"/>
        </w:rPr>
        <w:t>5</w:t>
      </w:r>
      <w:r>
        <w:rPr>
          <w:rFonts w:hint="eastAsia" w:ascii="仿宋_GB2312" w:hAnsi="仿宋" w:cs="宋体"/>
          <w:kern w:val="0"/>
          <w:szCs w:val="28"/>
        </w:rPr>
        <w:t>分。</w:t>
      </w:r>
    </w:p>
    <w:p w14:paraId="70A20E8D">
      <w:pPr>
        <w:spacing w:line="360" w:lineRule="auto"/>
        <w:ind w:firstLine="560"/>
        <w:rPr>
          <w:rFonts w:ascii="仿宋_GB2312"/>
          <w:szCs w:val="28"/>
        </w:rPr>
      </w:pPr>
    </w:p>
    <w:p w14:paraId="5D74F048">
      <w:pPr>
        <w:spacing w:line="360" w:lineRule="auto"/>
        <w:ind w:firstLine="562"/>
        <w:rPr>
          <w:rFonts w:ascii="仿宋_GB2312"/>
          <w:szCs w:val="28"/>
        </w:rPr>
      </w:pPr>
      <w:r>
        <w:rPr>
          <w:rFonts w:hint="eastAsia" w:ascii="仿宋_GB2312"/>
          <w:b/>
          <w:bCs/>
          <w:szCs w:val="28"/>
        </w:rPr>
        <w:t>预算执行率：</w:t>
      </w:r>
      <w:r>
        <w:rPr>
          <w:rFonts w:hint="eastAsia" w:ascii="仿宋_GB2312"/>
        </w:rPr>
        <w:t>该项目资金在202</w:t>
      </w:r>
      <w:r>
        <w:rPr>
          <w:rFonts w:hint="eastAsia" w:ascii="仿宋_GB2312"/>
          <w:lang w:val="en-US" w:eastAsia="zh-CN"/>
        </w:rPr>
        <w:t>4</w:t>
      </w:r>
      <w:r>
        <w:rPr>
          <w:rFonts w:hint="eastAsia" w:ascii="仿宋_GB2312"/>
        </w:rPr>
        <w:t>年</w:t>
      </w:r>
      <w:r>
        <w:rPr>
          <w:rFonts w:hint="eastAsia" w:ascii="仿宋_GB2312"/>
          <w:lang w:val="en-US" w:eastAsia="zh-CN"/>
        </w:rPr>
        <w:t>6</w:t>
      </w:r>
      <w:r>
        <w:rPr>
          <w:rFonts w:hint="eastAsia" w:ascii="仿宋_GB2312"/>
        </w:rPr>
        <w:t>月</w:t>
      </w:r>
      <w:r>
        <w:rPr>
          <w:rFonts w:hint="eastAsia" w:ascii="仿宋_GB2312"/>
          <w:lang w:val="en-US" w:eastAsia="zh-CN"/>
        </w:rPr>
        <w:t>支付给吉安布绮贸易有限公司等8家设备供应商，支付资金217.10万元；</w:t>
      </w:r>
      <w:r>
        <w:rPr>
          <w:rFonts w:hint="eastAsia" w:ascii="仿宋_GB2312"/>
        </w:rPr>
        <w:t>202</w:t>
      </w:r>
      <w:r>
        <w:rPr>
          <w:rFonts w:hint="eastAsia" w:ascii="仿宋_GB2312"/>
          <w:lang w:val="en-US" w:eastAsia="zh-CN"/>
        </w:rPr>
        <w:t>4</w:t>
      </w:r>
      <w:r>
        <w:rPr>
          <w:rFonts w:hint="eastAsia" w:ascii="仿宋_GB2312"/>
        </w:rPr>
        <w:t>年</w:t>
      </w:r>
      <w:r>
        <w:rPr>
          <w:rFonts w:hint="eastAsia" w:ascii="仿宋_GB2312"/>
          <w:lang w:val="en-US" w:eastAsia="zh-CN"/>
        </w:rPr>
        <w:t>8</w:t>
      </w:r>
      <w:r>
        <w:rPr>
          <w:rFonts w:hint="eastAsia" w:ascii="仿宋_GB2312"/>
        </w:rPr>
        <w:t>月</w:t>
      </w:r>
      <w:r>
        <w:rPr>
          <w:rFonts w:hint="eastAsia" w:ascii="仿宋_GB2312"/>
          <w:lang w:val="en-US" w:eastAsia="zh-CN"/>
        </w:rPr>
        <w:t>支付给新疆依晨医疗科技有限公司等7家设备供应商，支付资金105万元；</w:t>
      </w:r>
      <w:r>
        <w:rPr>
          <w:rFonts w:hint="eastAsia" w:ascii="仿宋_GB2312"/>
        </w:rPr>
        <w:t>202</w:t>
      </w:r>
      <w:r>
        <w:rPr>
          <w:rFonts w:hint="eastAsia" w:ascii="仿宋_GB2312"/>
          <w:lang w:val="en-US" w:eastAsia="zh-CN"/>
        </w:rPr>
        <w:t>4</w:t>
      </w:r>
      <w:r>
        <w:rPr>
          <w:rFonts w:hint="eastAsia" w:ascii="仿宋_GB2312"/>
        </w:rPr>
        <w:t>年</w:t>
      </w:r>
      <w:r>
        <w:rPr>
          <w:rFonts w:hint="eastAsia" w:ascii="仿宋_GB2312"/>
          <w:lang w:val="en-US" w:eastAsia="zh-CN"/>
        </w:rPr>
        <w:t>11</w:t>
      </w:r>
      <w:r>
        <w:rPr>
          <w:rFonts w:hint="eastAsia" w:ascii="仿宋_GB2312"/>
        </w:rPr>
        <w:t>月</w:t>
      </w:r>
      <w:r>
        <w:rPr>
          <w:rFonts w:hint="eastAsia" w:ascii="仿宋_GB2312"/>
          <w:lang w:val="en-US" w:eastAsia="zh-CN"/>
        </w:rPr>
        <w:t>支付给新疆依晨医疗科技有限公司等8家设备供应商，支付资金330.90万元。2024年项目支出共计653万元，</w:t>
      </w:r>
      <w:r>
        <w:rPr>
          <w:rFonts w:hint="eastAsia" w:ascii="仿宋_GB2312"/>
          <w:bCs/>
          <w:szCs w:val="28"/>
        </w:rPr>
        <w:t>预算执行率为100%</w:t>
      </w:r>
      <w:r>
        <w:rPr>
          <w:rFonts w:hint="eastAsia" w:ascii="仿宋_GB2312"/>
          <w:bCs/>
          <w:szCs w:val="28"/>
          <w:lang w:eastAsia="zh-CN"/>
        </w:rPr>
        <w:t>，</w:t>
      </w:r>
      <w:r>
        <w:rPr>
          <w:rFonts w:hint="eastAsia" w:ascii="仿宋_GB2312"/>
          <w:szCs w:val="28"/>
        </w:rPr>
        <w:t>故预算执行率得分为</w:t>
      </w:r>
      <w:r>
        <w:rPr>
          <w:rFonts w:hint="eastAsia" w:ascii="仿宋_GB2312"/>
          <w:szCs w:val="28"/>
          <w:lang w:val="en-US" w:eastAsia="zh-CN"/>
        </w:rPr>
        <w:t>5</w:t>
      </w:r>
      <w:r>
        <w:rPr>
          <w:rFonts w:hint="eastAsia" w:ascii="仿宋_GB2312"/>
          <w:szCs w:val="28"/>
        </w:rPr>
        <w:t>分。</w:t>
      </w:r>
    </w:p>
    <w:p w14:paraId="2CE1463C">
      <w:pPr>
        <w:spacing w:line="360" w:lineRule="auto"/>
        <w:ind w:firstLine="562"/>
        <w:rPr>
          <w:rFonts w:ascii="仿宋_GB2312"/>
          <w:b/>
          <w:bCs/>
          <w:szCs w:val="28"/>
        </w:rPr>
      </w:pPr>
    </w:p>
    <w:p w14:paraId="01908E5E">
      <w:pPr>
        <w:spacing w:line="360" w:lineRule="auto"/>
        <w:ind w:firstLine="562"/>
        <w:rPr>
          <w:rFonts w:ascii="仿宋_GB2312"/>
          <w:szCs w:val="28"/>
        </w:rPr>
      </w:pPr>
      <w:r>
        <w:rPr>
          <w:rFonts w:hint="eastAsia" w:ascii="仿宋_GB2312"/>
          <w:b/>
          <w:bCs/>
          <w:szCs w:val="28"/>
        </w:rPr>
        <w:t>资金使用合规性：</w:t>
      </w:r>
      <w:r>
        <w:rPr>
          <w:rFonts w:hint="eastAsia" w:ascii="仿宋_GB2312"/>
        </w:rPr>
        <w:t>本项目资金的使用符合国家财经法规和财务管理制度以及有关专项资金管理办法的规定。项目资金严格按照根据《中华人民共和国预算法》，</w:t>
      </w:r>
      <w:r>
        <w:rPr>
          <w:rFonts w:hint="eastAsia" w:ascii="仿宋_GB2312"/>
          <w:lang w:val="en-US" w:eastAsia="zh-CN"/>
        </w:rPr>
        <w:t>根据我院《专项资金管理制度》按照项目资金的使用范围及经费标准，由相关科室核实审定项目资金使用额度，经办人需提供合理合规的发票、发票查验单、相关佐证资料，预算支出审批单等附件，按照审批流程签批后交财务办理付款。并</w:t>
      </w:r>
      <w:r>
        <w:rPr>
          <w:rFonts w:hint="eastAsia" w:ascii="仿宋_GB2312"/>
        </w:rPr>
        <w:t>加强对项目资金的预算执行及日常监督管理，确保每个项目按照规定的用途实施。资金拨付坚持按项目、预算、进度、指定用途拨款，确保财政专项资金规范使用。同时，资金的拨付有完整的审批程序和手续，符合项目预算批复或合同规定的用途，不存在截留、挤占、挪用、虚列支出等情况</w:t>
      </w:r>
      <w:r>
        <w:rPr>
          <w:rFonts w:hint="eastAsia" w:ascii="仿宋_GB2312"/>
          <w:szCs w:val="28"/>
        </w:rPr>
        <w:t>。故资金使用合规性得分为3分。</w:t>
      </w:r>
    </w:p>
    <w:p w14:paraId="46E79E95">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13</w:t>
      </w:r>
      <w:r>
        <w:rPr>
          <w:rFonts w:hint="eastAsia" w:ascii="仿宋_GB2312" w:hAnsi="仿宋" w:cs="宋体"/>
          <w:b/>
          <w:kern w:val="0"/>
          <w:szCs w:val="28"/>
        </w:rPr>
        <w:t>分。</w:t>
      </w:r>
    </w:p>
    <w:p w14:paraId="1CA9C8AF">
      <w:pPr>
        <w:pStyle w:val="4"/>
        <w:ind w:firstLine="643"/>
      </w:pPr>
      <w:bookmarkStart w:id="43" w:name="_Toc25831"/>
      <w:r>
        <w:t>2.</w:t>
      </w:r>
      <w:r>
        <w:rPr>
          <w:rFonts w:hint="eastAsia"/>
        </w:rPr>
        <w:t>组织实施</w:t>
      </w:r>
      <w:bookmarkEnd w:id="43"/>
    </w:p>
    <w:p w14:paraId="2B891B18">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w:t>
      </w:r>
      <w:r>
        <w:rPr>
          <w:rFonts w:hint="eastAsia" w:ascii="仿宋_GB2312"/>
        </w:rPr>
        <w:t>乌鲁木齐市友谊医院已制定相应的财务和业务管理制度（财务管理制度、财务收、支审批制度、经费支出审批流程细则、预算管理制度、专项资金管理制度），加强会计日常核算和监督，加强资金的预算、控制、分析和检查工作，做好项目财务管理基础工作；且制度合法、合规、完整，为项目顺利实施提供重要保障</w:t>
      </w:r>
      <w:r>
        <w:rPr>
          <w:rFonts w:hint="eastAsia" w:ascii="仿宋_GB2312"/>
          <w:lang w:eastAsia="zh-CN"/>
        </w:rPr>
        <w:t>，</w:t>
      </w:r>
      <w:r>
        <w:rPr>
          <w:rFonts w:hint="eastAsia" w:ascii="仿宋_GB2312"/>
          <w:szCs w:val="28"/>
        </w:rPr>
        <w:t>故管理制度健全性得分为3分。</w:t>
      </w:r>
    </w:p>
    <w:p w14:paraId="3C0AD378">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w:t>
      </w:r>
      <w:r>
        <w:rPr>
          <w:rFonts w:hint="eastAsia" w:ascii="仿宋_GB2312"/>
          <w:szCs w:val="28"/>
          <w:lang w:val="en-US" w:eastAsia="zh-CN"/>
        </w:rPr>
        <w:t>乌鲁木齐市友谊医院</w:t>
      </w:r>
      <w:r>
        <w:rPr>
          <w:rFonts w:hint="eastAsia" w:ascii="仿宋_GB2312"/>
          <w:szCs w:val="28"/>
        </w:rPr>
        <w:t>严格遵守相关法律法规和相关管理规定，项目调整及支出调整手续完备，整体管理合理有序，项目完成后，及时将</w:t>
      </w:r>
      <w:r>
        <w:rPr>
          <w:rFonts w:hint="eastAsia" w:ascii="仿宋_GB2312"/>
          <w:szCs w:val="28"/>
          <w:lang w:val="en-US" w:eastAsia="zh-CN"/>
        </w:rPr>
        <w:t>采购计划书、合同、发票、验收报告、</w:t>
      </w:r>
      <w:r>
        <w:rPr>
          <w:rFonts w:hint="eastAsia" w:ascii="仿宋_GB2312"/>
          <w:szCs w:val="28"/>
        </w:rPr>
        <w:t>固定资产入库单</w:t>
      </w:r>
      <w:r>
        <w:rPr>
          <w:rFonts w:hint="eastAsia" w:ascii="仿宋_GB2312"/>
          <w:szCs w:val="28"/>
          <w:lang w:val="en-US" w:eastAsia="zh-CN"/>
        </w:rPr>
        <w:t>、国库支付回单、</w:t>
      </w:r>
      <w:r>
        <w:rPr>
          <w:rFonts w:hint="eastAsia" w:ascii="仿宋_GB2312"/>
          <w:szCs w:val="28"/>
        </w:rPr>
        <w:t>会计凭证等相关资料分类归档，制度执行有效。故制度执行有效性指标得分</w:t>
      </w:r>
      <w:r>
        <w:rPr>
          <w:rFonts w:ascii="仿宋_GB2312"/>
          <w:szCs w:val="28"/>
        </w:rPr>
        <w:t>4</w:t>
      </w:r>
      <w:r>
        <w:rPr>
          <w:rFonts w:hint="eastAsia" w:ascii="仿宋_GB2312"/>
          <w:szCs w:val="28"/>
        </w:rPr>
        <w:t>分。</w:t>
      </w:r>
    </w:p>
    <w:p w14:paraId="7FADB38B">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bookmarkEnd w:id="44"/>
    </w:p>
    <w:p w14:paraId="48BC9B1A">
      <w:pPr>
        <w:pStyle w:val="3"/>
        <w:ind w:firstLine="643"/>
        <w:rPr>
          <w:rFonts w:ascii="仿宋" w:hAnsi="仿宋" w:eastAsia="仿宋"/>
          <w:lang w:bidi="en-US"/>
        </w:rPr>
      </w:pPr>
      <w:bookmarkStart w:id="45" w:name="_Toc67911614"/>
      <w:bookmarkStart w:id="46" w:name="_Toc7871"/>
      <w:r>
        <w:rPr>
          <w:rFonts w:hint="eastAsia" w:ascii="仿宋" w:hAnsi="仿宋" w:eastAsia="仿宋"/>
          <w:lang w:bidi="en-US"/>
        </w:rPr>
        <w:t>（三）项目产出情况</w:t>
      </w:r>
      <w:bookmarkEnd w:id="45"/>
      <w:bookmarkEnd w:id="46"/>
    </w:p>
    <w:p w14:paraId="27A6A7A5">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hint="eastAsia" w:ascii="仿宋_GB2312"/>
          <w:szCs w:val="28"/>
          <w:lang w:val="en-US" w:eastAsia="zh-CN"/>
        </w:rPr>
        <w:t>8</w:t>
      </w:r>
      <w:r>
        <w:rPr>
          <w:rFonts w:hint="eastAsia" w:ascii="仿宋_GB2312"/>
          <w:szCs w:val="28"/>
        </w:rPr>
        <w:t>个三级指标构成，权重为</w:t>
      </w:r>
      <w:r>
        <w:rPr>
          <w:rFonts w:ascii="仿宋_GB2312"/>
          <w:szCs w:val="28"/>
        </w:rPr>
        <w:t>40</w:t>
      </w:r>
      <w:r>
        <w:rPr>
          <w:rFonts w:hint="eastAsia" w:ascii="仿宋_GB2312"/>
          <w:szCs w:val="28"/>
        </w:rPr>
        <w:t>分，实际得分</w:t>
      </w:r>
      <w:r>
        <w:rPr>
          <w:rFonts w:hint="eastAsia" w:ascii="仿宋_GB2312"/>
          <w:szCs w:val="28"/>
          <w:lang w:val="en-US" w:eastAsia="zh-CN"/>
        </w:rPr>
        <w:t>40</w:t>
      </w:r>
      <w:r>
        <w:rPr>
          <w:rFonts w:hint="eastAsia" w:ascii="仿宋_GB2312"/>
          <w:szCs w:val="28"/>
        </w:rPr>
        <w:t>分。</w:t>
      </w:r>
    </w:p>
    <w:p w14:paraId="6E6013C1">
      <w:pPr>
        <w:pStyle w:val="4"/>
        <w:ind w:firstLine="643"/>
      </w:pPr>
      <w:bookmarkStart w:id="47" w:name="_Toc12767"/>
      <w:r>
        <w:rPr>
          <w:rFonts w:hint="eastAsia"/>
        </w:rPr>
        <w:t>1</w:t>
      </w:r>
      <w:r>
        <w:t>.</w:t>
      </w:r>
      <w:r>
        <w:rPr>
          <w:rFonts w:hint="eastAsia"/>
        </w:rPr>
        <w:t>产出数量</w:t>
      </w:r>
      <w:bookmarkEnd w:id="47"/>
    </w:p>
    <w:p w14:paraId="4F11FDCA">
      <w:pPr>
        <w:spacing w:line="360" w:lineRule="auto"/>
        <w:ind w:firstLine="560"/>
        <w:rPr>
          <w:rFonts w:ascii="仿宋_GB2312"/>
          <w:szCs w:val="28"/>
        </w:rPr>
      </w:pPr>
      <w:r>
        <w:rPr>
          <w:rFonts w:hint="eastAsia" w:ascii="仿宋_GB2312"/>
          <w:bCs/>
          <w:szCs w:val="28"/>
        </w:rPr>
        <w:t>数量指标 “</w:t>
      </w:r>
      <w:r>
        <w:rPr>
          <w:rFonts w:hint="eastAsia" w:ascii="仿宋_GB2312"/>
          <w:bCs/>
          <w:szCs w:val="28"/>
          <w:lang w:val="en-US" w:eastAsia="zh-CN"/>
        </w:rPr>
        <w:t>基础类设备购置数</w:t>
      </w:r>
      <w:r>
        <w:rPr>
          <w:rFonts w:hint="eastAsia" w:ascii="仿宋_GB2312"/>
          <w:bCs/>
          <w:szCs w:val="28"/>
        </w:rPr>
        <w:t>”的目标值是</w:t>
      </w:r>
      <w:r>
        <w:rPr>
          <w:rFonts w:hint="eastAsia" w:ascii="仿宋_GB2312"/>
          <w:bCs/>
          <w:szCs w:val="28"/>
          <w:lang w:val="en-US" w:eastAsia="zh-CN"/>
        </w:rPr>
        <w:t>8批</w:t>
      </w:r>
      <w:r>
        <w:rPr>
          <w:rFonts w:hint="eastAsia" w:ascii="仿宋_GB2312"/>
          <w:bCs/>
          <w:szCs w:val="28"/>
        </w:rPr>
        <w:t>，2024</w:t>
      </w:r>
      <w:r>
        <w:rPr>
          <w:rFonts w:ascii="仿宋_GB2312"/>
          <w:bCs/>
          <w:szCs w:val="28"/>
        </w:rPr>
        <w:t>年度我单位实际完成</w:t>
      </w:r>
      <w:r>
        <w:rPr>
          <w:rFonts w:hint="eastAsia" w:ascii="仿宋_GB2312"/>
          <w:bCs/>
          <w:szCs w:val="28"/>
          <w:lang w:val="en-US" w:eastAsia="zh-CN"/>
        </w:rPr>
        <w:t>8批</w:t>
      </w:r>
      <w:r>
        <w:rPr>
          <w:rFonts w:hint="eastAsia" w:ascii="仿宋_GB2312"/>
          <w:bCs/>
          <w:szCs w:val="28"/>
        </w:rPr>
        <w:t>，</w:t>
      </w: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3</w:t>
      </w:r>
      <w:r>
        <w:rPr>
          <w:rFonts w:hint="eastAsia" w:ascii="仿宋_GB2312"/>
          <w:szCs w:val="28"/>
        </w:rPr>
        <w:t>分。</w:t>
      </w:r>
    </w:p>
    <w:p w14:paraId="40581E89">
      <w:pPr>
        <w:spacing w:line="360" w:lineRule="auto"/>
        <w:ind w:firstLine="560"/>
        <w:rPr>
          <w:rFonts w:ascii="仿宋_GB2312"/>
          <w:bCs/>
          <w:szCs w:val="28"/>
        </w:rPr>
      </w:pPr>
      <w:r>
        <w:rPr>
          <w:rFonts w:hint="eastAsia" w:ascii="仿宋_GB2312"/>
          <w:bCs/>
          <w:szCs w:val="28"/>
        </w:rPr>
        <w:t>数量指标“</w:t>
      </w:r>
      <w:r>
        <w:rPr>
          <w:rFonts w:hint="eastAsia" w:ascii="仿宋_GB2312"/>
          <w:bCs/>
          <w:szCs w:val="28"/>
          <w:lang w:val="en-US" w:eastAsia="zh-CN"/>
        </w:rPr>
        <w:t>呼吸类设备购置数</w:t>
      </w:r>
      <w:r>
        <w:rPr>
          <w:rFonts w:hint="eastAsia" w:ascii="仿宋_GB2312"/>
          <w:bCs/>
          <w:szCs w:val="28"/>
        </w:rPr>
        <w:t>”的目标值是</w:t>
      </w:r>
      <w:r>
        <w:rPr>
          <w:rFonts w:hint="eastAsia" w:ascii="仿宋_GB2312"/>
          <w:bCs/>
          <w:szCs w:val="28"/>
          <w:lang w:val="en-US" w:eastAsia="zh-CN"/>
        </w:rPr>
        <w:t>1批</w:t>
      </w:r>
      <w:r>
        <w:rPr>
          <w:rFonts w:hint="eastAsia" w:ascii="仿宋_GB2312"/>
          <w:bCs/>
          <w:szCs w:val="28"/>
        </w:rPr>
        <w:t>，</w:t>
      </w:r>
      <w:r>
        <w:rPr>
          <w:rFonts w:ascii="仿宋_GB2312"/>
          <w:bCs/>
          <w:szCs w:val="28"/>
        </w:rPr>
        <w:t>2024年度我单位实际完成</w:t>
      </w:r>
      <w:r>
        <w:rPr>
          <w:rFonts w:hint="eastAsia" w:ascii="仿宋_GB2312"/>
          <w:bCs/>
          <w:szCs w:val="28"/>
          <w:lang w:val="en-US" w:eastAsia="zh-CN"/>
        </w:rPr>
        <w:t>1批，</w:t>
      </w: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3</w:t>
      </w:r>
      <w:r>
        <w:rPr>
          <w:rFonts w:hint="eastAsia" w:ascii="仿宋_GB2312"/>
          <w:szCs w:val="28"/>
        </w:rPr>
        <w:t>分。</w:t>
      </w:r>
    </w:p>
    <w:p w14:paraId="14B89522">
      <w:pPr>
        <w:spacing w:line="360" w:lineRule="auto"/>
        <w:ind w:firstLine="560"/>
        <w:rPr>
          <w:rFonts w:ascii="仿宋_GB2312"/>
          <w:szCs w:val="28"/>
        </w:rPr>
      </w:pPr>
      <w:r>
        <w:rPr>
          <w:rFonts w:hint="eastAsia" w:ascii="仿宋_GB2312"/>
          <w:bCs/>
          <w:szCs w:val="28"/>
        </w:rPr>
        <w:t>数量指标“</w:t>
      </w:r>
      <w:r>
        <w:rPr>
          <w:rFonts w:hint="eastAsia" w:ascii="仿宋_GB2312"/>
          <w:bCs/>
          <w:szCs w:val="28"/>
          <w:lang w:val="en-US" w:eastAsia="zh-CN"/>
        </w:rPr>
        <w:t>抢救类设备购置数</w:t>
      </w:r>
      <w:r>
        <w:rPr>
          <w:rFonts w:hint="eastAsia" w:ascii="仿宋_GB2312"/>
          <w:bCs/>
          <w:szCs w:val="28"/>
        </w:rPr>
        <w:t>”的目标值是</w:t>
      </w:r>
      <w:r>
        <w:rPr>
          <w:rFonts w:hint="eastAsia" w:ascii="仿宋_GB2312"/>
          <w:bCs/>
          <w:szCs w:val="28"/>
          <w:lang w:val="en-US" w:eastAsia="zh-CN"/>
        </w:rPr>
        <w:t>1批</w:t>
      </w:r>
      <w:r>
        <w:rPr>
          <w:rFonts w:hint="eastAsia" w:ascii="仿宋_GB2312"/>
          <w:bCs/>
          <w:szCs w:val="28"/>
        </w:rPr>
        <w:t>，</w:t>
      </w:r>
      <w:r>
        <w:rPr>
          <w:rFonts w:ascii="仿宋_GB2312"/>
          <w:bCs/>
          <w:szCs w:val="28"/>
        </w:rPr>
        <w:t>2024年度我单位实际完成</w:t>
      </w:r>
      <w:r>
        <w:rPr>
          <w:rFonts w:hint="eastAsia" w:ascii="仿宋_GB2312"/>
          <w:bCs/>
          <w:szCs w:val="28"/>
          <w:lang w:val="en-US" w:eastAsia="zh-CN"/>
        </w:rPr>
        <w:t>1批，</w:t>
      </w: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4</w:t>
      </w:r>
      <w:r>
        <w:rPr>
          <w:rFonts w:hint="eastAsia" w:ascii="仿宋_GB2312"/>
          <w:szCs w:val="28"/>
        </w:rPr>
        <w:t>分。</w:t>
      </w:r>
    </w:p>
    <w:p w14:paraId="63B5EED8">
      <w:pPr>
        <w:spacing w:line="360" w:lineRule="auto"/>
        <w:ind w:firstLine="560"/>
        <w:rPr>
          <w:rFonts w:ascii="仿宋_GB2312"/>
          <w:bCs/>
          <w:szCs w:val="28"/>
        </w:rPr>
      </w:pPr>
      <w:r>
        <w:rPr>
          <w:rFonts w:ascii="仿宋_GB2312"/>
          <w:szCs w:val="28"/>
        </w:rPr>
        <w:t>综上，数量指标得分为</w:t>
      </w:r>
      <w:r>
        <w:rPr>
          <w:rFonts w:hint="eastAsia" w:ascii="仿宋_GB2312"/>
          <w:szCs w:val="28"/>
          <w:lang w:val="en-US" w:eastAsia="zh-CN"/>
        </w:rPr>
        <w:t>10</w:t>
      </w:r>
      <w:r>
        <w:rPr>
          <w:rFonts w:ascii="仿宋_GB2312"/>
          <w:szCs w:val="28"/>
        </w:rPr>
        <w:t>分。</w:t>
      </w:r>
    </w:p>
    <w:p w14:paraId="4F9EA11E">
      <w:pPr>
        <w:pStyle w:val="4"/>
        <w:ind w:firstLine="643"/>
      </w:pPr>
      <w:bookmarkStart w:id="48" w:name="_Toc757"/>
      <w:r>
        <w:rPr>
          <w:rFonts w:hint="eastAsia"/>
        </w:rPr>
        <w:t>2</w:t>
      </w:r>
      <w:r>
        <w:t>.</w:t>
      </w:r>
      <w:r>
        <w:rPr>
          <w:rFonts w:hint="eastAsia"/>
        </w:rPr>
        <w:t>产出质量</w:t>
      </w:r>
      <w:bookmarkEnd w:id="48"/>
    </w:p>
    <w:p w14:paraId="01B5B005">
      <w:pPr>
        <w:spacing w:line="360" w:lineRule="auto"/>
        <w:ind w:firstLine="562"/>
        <w:rPr>
          <w:rFonts w:ascii="仿宋_GB2312"/>
          <w:szCs w:val="28"/>
        </w:rPr>
      </w:pPr>
      <w:r>
        <w:rPr>
          <w:rFonts w:hint="eastAsia" w:ascii="仿宋_GB2312"/>
          <w:b/>
          <w:bCs/>
          <w:szCs w:val="28"/>
          <w:lang w:val="en-US" w:eastAsia="zh-CN"/>
        </w:rPr>
        <w:t>设备验收合格率</w:t>
      </w:r>
      <w:r>
        <w:rPr>
          <w:rFonts w:hint="eastAsia" w:ascii="仿宋_GB2312"/>
          <w:b/>
          <w:bCs/>
          <w:szCs w:val="28"/>
        </w:rPr>
        <w:t>：</w:t>
      </w:r>
      <w:r>
        <w:rPr>
          <w:rFonts w:hint="eastAsia" w:ascii="仿宋_GB2312"/>
          <w:szCs w:val="28"/>
          <w:lang w:val="en-US" w:eastAsia="zh-CN"/>
        </w:rPr>
        <w:t>“设备验收合格率”的目标值为100%，我院收到设备后，由设备科跟进后续设备安装验收工作，设备验收合格率达100%，故产出质量</w:t>
      </w:r>
      <w:r>
        <w:rPr>
          <w:rFonts w:hint="eastAsia" w:ascii="仿宋_GB2312"/>
          <w:szCs w:val="28"/>
        </w:rPr>
        <w:t>得分为</w:t>
      </w:r>
      <w:r>
        <w:rPr>
          <w:rFonts w:hint="eastAsia" w:ascii="仿宋_GB2312"/>
          <w:szCs w:val="28"/>
          <w:lang w:val="en-US" w:eastAsia="zh-CN"/>
        </w:rPr>
        <w:t>10</w:t>
      </w:r>
      <w:r>
        <w:rPr>
          <w:rFonts w:hint="eastAsia" w:ascii="仿宋_GB2312"/>
          <w:szCs w:val="28"/>
        </w:rPr>
        <w:t>分。</w:t>
      </w:r>
    </w:p>
    <w:p w14:paraId="6FC77633">
      <w:pPr>
        <w:pStyle w:val="4"/>
        <w:ind w:firstLine="643"/>
      </w:pPr>
      <w:bookmarkStart w:id="49" w:name="_Toc19200"/>
      <w:r>
        <w:rPr>
          <w:rFonts w:hint="eastAsia"/>
        </w:rPr>
        <w:t>3</w:t>
      </w:r>
      <w:r>
        <w:t>.</w:t>
      </w:r>
      <w:r>
        <w:rPr>
          <w:rFonts w:hint="eastAsia"/>
        </w:rPr>
        <w:t>产出时效</w:t>
      </w:r>
      <w:bookmarkEnd w:id="49"/>
    </w:p>
    <w:p w14:paraId="2440386D">
      <w:pPr>
        <w:spacing w:line="360" w:lineRule="auto"/>
        <w:ind w:firstLine="562"/>
        <w:rPr>
          <w:rFonts w:ascii="仿宋_GB2312"/>
          <w:szCs w:val="28"/>
        </w:rPr>
      </w:pPr>
      <w:r>
        <w:rPr>
          <w:rFonts w:hint="eastAsia" w:ascii="仿宋_GB2312"/>
          <w:b/>
          <w:bCs/>
          <w:szCs w:val="28"/>
        </w:rPr>
        <w:t>完成及时性：</w:t>
      </w:r>
      <w:r>
        <w:rPr>
          <w:rFonts w:hint="eastAsia" w:ascii="仿宋_GB2312"/>
          <w:szCs w:val="28"/>
          <w:lang w:val="en-US" w:eastAsia="zh-CN"/>
        </w:rPr>
        <w:t>“设备合同签订完成时间”的目标值设定为2024年3月。截至2024年3月31日，我院总计10批设备均已顺利完成合同签订工作，实际的设备合同签订完成时间确定为2024年3月。</w:t>
      </w:r>
      <w:r>
        <w:rPr>
          <w:rFonts w:hint="eastAsia" w:ascii="仿宋_GB2312"/>
          <w:szCs w:val="28"/>
        </w:rPr>
        <w:t>故完成及时性得分为</w:t>
      </w:r>
      <w:r>
        <w:rPr>
          <w:rFonts w:hint="eastAsia" w:ascii="仿宋_GB2312"/>
          <w:szCs w:val="28"/>
          <w:lang w:val="en-US" w:eastAsia="zh-CN"/>
        </w:rPr>
        <w:t>10</w:t>
      </w:r>
      <w:r>
        <w:rPr>
          <w:rFonts w:hint="eastAsia" w:ascii="仿宋_GB2312"/>
          <w:szCs w:val="28"/>
        </w:rPr>
        <w:t>分。</w:t>
      </w:r>
    </w:p>
    <w:p w14:paraId="53527892">
      <w:pPr>
        <w:pStyle w:val="4"/>
        <w:ind w:firstLine="643"/>
      </w:pPr>
      <w:bookmarkStart w:id="50" w:name="_Toc28910"/>
      <w:bookmarkStart w:id="51" w:name="_Toc67911615"/>
      <w:r>
        <w:rPr>
          <w:rFonts w:hint="eastAsia"/>
        </w:rPr>
        <w:t>4</w:t>
      </w:r>
      <w:r>
        <w:t>.</w:t>
      </w:r>
      <w:r>
        <w:rPr>
          <w:rFonts w:hint="eastAsia"/>
        </w:rPr>
        <w:t>产出成本</w:t>
      </w:r>
      <w:bookmarkEnd w:id="50"/>
      <w:bookmarkEnd w:id="51"/>
    </w:p>
    <w:p w14:paraId="55D7876A">
      <w:pPr>
        <w:spacing w:line="360" w:lineRule="auto"/>
        <w:ind w:firstLine="562"/>
        <w:rPr>
          <w:rFonts w:ascii="仿宋_GB2312"/>
          <w:b/>
          <w:bCs/>
          <w:szCs w:val="28"/>
        </w:rPr>
      </w:pPr>
      <w:r>
        <w:rPr>
          <w:rFonts w:hint="eastAsia" w:ascii="仿宋_GB2312"/>
          <w:b/>
          <w:bCs/>
          <w:szCs w:val="28"/>
        </w:rPr>
        <w:t>经济成本</w:t>
      </w:r>
      <w:r>
        <w:rPr>
          <w:rFonts w:ascii="仿宋_GB2312"/>
          <w:b/>
          <w:bCs/>
          <w:szCs w:val="28"/>
        </w:rPr>
        <w:t>：</w:t>
      </w:r>
      <w:r>
        <w:rPr>
          <w:rFonts w:hint="eastAsia" w:ascii="仿宋_GB2312"/>
          <w:b/>
          <w:bCs/>
          <w:szCs w:val="28"/>
          <w:lang w:val="en-US" w:eastAsia="zh-CN"/>
        </w:rPr>
        <w:t>基础类设备购置成本</w:t>
      </w:r>
      <w:r>
        <w:rPr>
          <w:rFonts w:hint="eastAsia" w:ascii="仿宋_GB2312"/>
          <w:b/>
          <w:bCs/>
          <w:szCs w:val="28"/>
        </w:rPr>
        <w:t>：</w:t>
      </w:r>
      <w:r>
        <w:rPr>
          <w:rFonts w:hint="eastAsia" w:ascii="仿宋_GB2312"/>
          <w:bCs/>
          <w:szCs w:val="28"/>
        </w:rPr>
        <w:t>实际支出</w:t>
      </w:r>
      <w:r>
        <w:rPr>
          <w:rFonts w:hint="eastAsia" w:ascii="仿宋_GB2312"/>
          <w:bCs/>
          <w:szCs w:val="28"/>
          <w:lang w:val="en-US" w:eastAsia="zh-CN"/>
        </w:rPr>
        <w:t>562.30</w:t>
      </w:r>
      <w:r>
        <w:rPr>
          <w:rFonts w:hint="eastAsia" w:ascii="仿宋_GB2312"/>
          <w:bCs/>
          <w:szCs w:val="28"/>
        </w:rPr>
        <w:t>万元，无超支情况</w:t>
      </w:r>
      <w:r>
        <w:rPr>
          <w:rFonts w:hint="eastAsia" w:ascii="仿宋_GB2312"/>
          <w:bCs/>
          <w:szCs w:val="28"/>
          <w:lang w:eastAsia="zh-CN"/>
        </w:rPr>
        <w:t>，</w:t>
      </w:r>
      <w:r>
        <w:rPr>
          <w:rFonts w:hint="eastAsia" w:ascii="仿宋_GB2312"/>
          <w:bCs/>
          <w:szCs w:val="28"/>
        </w:rPr>
        <w:t>得分为</w:t>
      </w:r>
      <w:r>
        <w:rPr>
          <w:rFonts w:hint="eastAsia" w:ascii="仿宋_GB2312"/>
          <w:bCs/>
          <w:szCs w:val="28"/>
          <w:lang w:val="en-US" w:eastAsia="zh-CN"/>
        </w:rPr>
        <w:t>3分</w:t>
      </w:r>
      <w:r>
        <w:rPr>
          <w:rFonts w:hint="eastAsia" w:ascii="仿宋_GB2312"/>
          <w:bCs/>
          <w:szCs w:val="28"/>
          <w:lang w:eastAsia="zh-CN"/>
        </w:rPr>
        <w:t>；</w:t>
      </w:r>
      <w:r>
        <w:rPr>
          <w:rFonts w:hint="eastAsia" w:ascii="仿宋_GB2312"/>
          <w:b/>
          <w:bCs/>
          <w:szCs w:val="28"/>
          <w:lang w:val="en-US" w:eastAsia="zh-CN"/>
        </w:rPr>
        <w:t>呼吸类设备购置成本</w:t>
      </w:r>
      <w:r>
        <w:rPr>
          <w:rFonts w:hint="eastAsia" w:ascii="仿宋_GB2312"/>
          <w:b/>
          <w:bCs/>
          <w:szCs w:val="28"/>
        </w:rPr>
        <w:t>：</w:t>
      </w:r>
      <w:r>
        <w:rPr>
          <w:rFonts w:hint="eastAsia" w:ascii="仿宋_GB2312"/>
          <w:bCs/>
          <w:szCs w:val="28"/>
        </w:rPr>
        <w:t>实际支出</w:t>
      </w:r>
      <w:r>
        <w:rPr>
          <w:rFonts w:hint="eastAsia" w:ascii="仿宋_GB2312"/>
          <w:bCs/>
          <w:szCs w:val="28"/>
          <w:lang w:val="en-US" w:eastAsia="zh-CN"/>
        </w:rPr>
        <w:t>70.11</w:t>
      </w:r>
      <w:r>
        <w:rPr>
          <w:rFonts w:hint="eastAsia" w:ascii="仿宋_GB2312"/>
          <w:bCs/>
          <w:szCs w:val="28"/>
        </w:rPr>
        <w:t>万元，无超支情况</w:t>
      </w:r>
      <w:r>
        <w:rPr>
          <w:rFonts w:hint="eastAsia" w:ascii="仿宋_GB2312"/>
          <w:bCs/>
          <w:szCs w:val="28"/>
          <w:lang w:eastAsia="zh-CN"/>
        </w:rPr>
        <w:t>，</w:t>
      </w:r>
      <w:r>
        <w:rPr>
          <w:rFonts w:hint="eastAsia" w:ascii="仿宋_GB2312"/>
          <w:bCs/>
          <w:szCs w:val="28"/>
        </w:rPr>
        <w:t>得分为</w:t>
      </w:r>
      <w:r>
        <w:rPr>
          <w:rFonts w:hint="eastAsia" w:ascii="仿宋_GB2312"/>
          <w:bCs/>
          <w:szCs w:val="28"/>
          <w:lang w:val="en-US" w:eastAsia="zh-CN"/>
        </w:rPr>
        <w:t>3分</w:t>
      </w:r>
      <w:r>
        <w:rPr>
          <w:rFonts w:hint="eastAsia" w:ascii="仿宋_GB2312"/>
          <w:bCs/>
          <w:szCs w:val="28"/>
          <w:lang w:eastAsia="zh-CN"/>
        </w:rPr>
        <w:t>；</w:t>
      </w:r>
      <w:r>
        <w:rPr>
          <w:rFonts w:hint="eastAsia" w:ascii="仿宋_GB2312"/>
          <w:b/>
          <w:bCs/>
          <w:szCs w:val="28"/>
          <w:lang w:val="en-US" w:eastAsia="zh-CN"/>
        </w:rPr>
        <w:t>抢救类设备购置成本</w:t>
      </w:r>
      <w:r>
        <w:rPr>
          <w:rFonts w:hint="eastAsia" w:ascii="仿宋_GB2312"/>
          <w:b/>
          <w:bCs/>
          <w:szCs w:val="28"/>
        </w:rPr>
        <w:t>：</w:t>
      </w:r>
      <w:r>
        <w:rPr>
          <w:rFonts w:hint="eastAsia" w:ascii="仿宋_GB2312"/>
          <w:bCs/>
          <w:szCs w:val="28"/>
        </w:rPr>
        <w:t>实际支出</w:t>
      </w:r>
      <w:r>
        <w:rPr>
          <w:rFonts w:hint="eastAsia" w:ascii="仿宋_GB2312"/>
          <w:bCs/>
          <w:szCs w:val="28"/>
          <w:lang w:val="en-US" w:eastAsia="zh-CN"/>
        </w:rPr>
        <w:t>20.59</w:t>
      </w:r>
      <w:r>
        <w:rPr>
          <w:rFonts w:hint="eastAsia" w:ascii="仿宋_GB2312"/>
          <w:bCs/>
          <w:szCs w:val="28"/>
        </w:rPr>
        <w:t>万元，无超支情况</w:t>
      </w:r>
      <w:r>
        <w:rPr>
          <w:rFonts w:hint="eastAsia" w:ascii="仿宋_GB2312"/>
          <w:bCs/>
          <w:szCs w:val="28"/>
          <w:lang w:eastAsia="zh-CN"/>
        </w:rPr>
        <w:t>，</w:t>
      </w:r>
      <w:r>
        <w:rPr>
          <w:rFonts w:hint="eastAsia" w:ascii="仿宋_GB2312"/>
          <w:bCs/>
          <w:szCs w:val="28"/>
        </w:rPr>
        <w:t>得分为</w:t>
      </w:r>
      <w:r>
        <w:rPr>
          <w:rFonts w:hint="eastAsia" w:ascii="仿宋_GB2312"/>
          <w:bCs/>
          <w:szCs w:val="28"/>
          <w:lang w:val="en-US" w:eastAsia="zh-CN"/>
        </w:rPr>
        <w:t>3分</w:t>
      </w:r>
      <w:r>
        <w:rPr>
          <w:rFonts w:hint="eastAsia" w:ascii="仿宋_GB2312"/>
          <w:bCs/>
          <w:szCs w:val="28"/>
          <w:lang w:eastAsia="zh-CN"/>
        </w:rPr>
        <w:t>；</w:t>
      </w:r>
      <w:r>
        <w:rPr>
          <w:rFonts w:hint="eastAsia" w:ascii="仿宋_GB2312"/>
          <w:bCs/>
          <w:szCs w:val="28"/>
        </w:rPr>
        <w:t>项目资金全部完成，得分为</w:t>
      </w:r>
      <w:r>
        <w:rPr>
          <w:rFonts w:hint="eastAsia" w:ascii="仿宋_GB2312"/>
          <w:bCs/>
          <w:szCs w:val="28"/>
          <w:lang w:val="en-US" w:eastAsia="zh-CN"/>
        </w:rPr>
        <w:t>10分</w:t>
      </w:r>
      <w:r>
        <w:rPr>
          <w:rFonts w:ascii="仿宋_GB2312"/>
          <w:bCs/>
          <w:szCs w:val="28"/>
        </w:rPr>
        <w:t>。</w:t>
      </w:r>
    </w:p>
    <w:p w14:paraId="3DB85D1C">
      <w:pPr>
        <w:pStyle w:val="3"/>
        <w:ind w:firstLine="643"/>
        <w:rPr>
          <w:rFonts w:ascii="仿宋" w:hAnsi="仿宋" w:eastAsia="仿宋"/>
          <w:lang w:bidi="en-US"/>
        </w:rPr>
      </w:pPr>
      <w:bookmarkStart w:id="52" w:name="_Toc13608"/>
      <w:r>
        <w:rPr>
          <w:rFonts w:ascii="仿宋" w:hAnsi="仿宋" w:eastAsia="仿宋"/>
          <w:lang w:bidi="en-US"/>
        </w:rPr>
        <w:t>（四）项目效益</w:t>
      </w:r>
      <w:bookmarkEnd w:id="52"/>
    </w:p>
    <w:p w14:paraId="24324FAB">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w:t>
      </w:r>
      <w:r>
        <w:rPr>
          <w:rFonts w:hint="eastAsia" w:ascii="仿宋_GB2312"/>
          <w:szCs w:val="28"/>
          <w:lang w:val="en-US" w:eastAsia="zh-CN"/>
        </w:rPr>
        <w:t>1</w:t>
      </w:r>
      <w:r>
        <w:rPr>
          <w:rFonts w:hint="eastAsia" w:ascii="仿宋_GB2312"/>
          <w:szCs w:val="28"/>
        </w:rPr>
        <w:t>个三级指标构成，权重为</w:t>
      </w:r>
      <w:r>
        <w:rPr>
          <w:rFonts w:hint="eastAsia" w:ascii="仿宋_GB2312"/>
          <w:szCs w:val="28"/>
          <w:lang w:val="en-US" w:eastAsia="zh-CN"/>
        </w:rPr>
        <w:t>15</w:t>
      </w:r>
      <w:r>
        <w:rPr>
          <w:rFonts w:hint="eastAsia" w:ascii="仿宋_GB2312"/>
          <w:szCs w:val="28"/>
        </w:rPr>
        <w:t>分，实际得分</w:t>
      </w:r>
      <w:r>
        <w:rPr>
          <w:rFonts w:hint="eastAsia" w:ascii="仿宋_GB2312"/>
          <w:szCs w:val="28"/>
          <w:lang w:val="en-US" w:eastAsia="zh-CN"/>
        </w:rPr>
        <w:t>15</w:t>
      </w:r>
      <w:r>
        <w:rPr>
          <w:rFonts w:hint="eastAsia" w:ascii="仿宋_GB2312"/>
          <w:szCs w:val="28"/>
        </w:rPr>
        <w:t>分。</w:t>
      </w:r>
      <w:r>
        <w:rPr>
          <w:rFonts w:ascii="仿宋_GB2312"/>
          <w:szCs w:val="28"/>
        </w:rPr>
        <w:t xml:space="preserve"> </w:t>
      </w:r>
    </w:p>
    <w:p w14:paraId="4FD4A5E9">
      <w:pPr>
        <w:spacing w:line="360" w:lineRule="auto"/>
        <w:ind w:firstLine="562"/>
        <w:rPr>
          <w:rFonts w:ascii="仿宋_GB2312"/>
          <w:b/>
          <w:bCs/>
          <w:szCs w:val="28"/>
        </w:rPr>
      </w:pPr>
      <w:r>
        <w:rPr>
          <w:rFonts w:hint="eastAsia" w:ascii="仿宋_GB2312"/>
          <w:b/>
          <w:bCs/>
          <w:szCs w:val="28"/>
        </w:rPr>
        <w:t>（1）实施效益</w:t>
      </w:r>
    </w:p>
    <w:p w14:paraId="52545E8D">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4C01A939">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w:t>
      </w:r>
      <w:r>
        <w:rPr>
          <w:rFonts w:hint="eastAsia" w:ascii="仿宋_GB2312"/>
          <w:szCs w:val="28"/>
          <w:lang w:val="en-US" w:eastAsia="zh-CN"/>
        </w:rPr>
        <w:t>提高医院救治能力</w:t>
      </w:r>
      <w:r>
        <w:rPr>
          <w:rFonts w:hint="eastAsia" w:ascii="仿宋_GB2312"/>
          <w:szCs w:val="28"/>
        </w:rPr>
        <w:t>”，指标值：</w:t>
      </w:r>
      <w:r>
        <w:rPr>
          <w:rFonts w:hint="eastAsia" w:ascii="仿宋_GB2312"/>
          <w:szCs w:val="28"/>
          <w:lang w:val="en-US" w:eastAsia="zh-CN"/>
        </w:rPr>
        <w:t>有效提高</w:t>
      </w:r>
      <w:r>
        <w:rPr>
          <w:rFonts w:hint="eastAsia" w:ascii="仿宋_GB2312"/>
          <w:szCs w:val="28"/>
        </w:rPr>
        <w:t>，实际完成值：达成年度指标。本项目的实施</w:t>
      </w:r>
      <w:r>
        <w:rPr>
          <w:rFonts w:hint="eastAsia" w:ascii="仿宋_GB2312"/>
          <w:lang w:val="en-US" w:eastAsia="zh-CN"/>
        </w:rPr>
        <w:t>基于医院在疫情防控工作中的实际需求，设备科展开了全面且细致的梳理工作，精准甄别并清晰明确了所需采购的医疗设备及其具体型号，</w:t>
      </w:r>
      <w:r>
        <w:rPr>
          <w:rFonts w:hint="eastAsia" w:ascii="仿宋_GB2312" w:hAnsi="仿宋"/>
          <w:szCs w:val="28"/>
          <w:lang w:val="en-US" w:eastAsia="zh-CN"/>
        </w:rPr>
        <w:t>通过购买医疗设备，提升医院救治硬件设施，</w:t>
      </w:r>
      <w:r>
        <w:rPr>
          <w:rFonts w:hint="eastAsia" w:ascii="仿宋_GB2312"/>
          <w:lang w:val="en-US" w:eastAsia="zh-CN"/>
        </w:rPr>
        <w:t>有效提升针对新型冠状病毒感染的应急救治能力，最大程度降低患者的重症率与死亡率。</w:t>
      </w:r>
    </w:p>
    <w:p w14:paraId="2EC2D17C">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655A5483">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15</w:t>
      </w:r>
      <w:r>
        <w:rPr>
          <w:rFonts w:hint="eastAsia" w:ascii="仿宋_GB2312" w:hAnsi="仿宋" w:cs="宋体"/>
          <w:b/>
          <w:kern w:val="0"/>
          <w:szCs w:val="28"/>
        </w:rPr>
        <w:t>分，得分</w:t>
      </w:r>
      <w:r>
        <w:rPr>
          <w:rFonts w:hint="eastAsia" w:ascii="仿宋_GB2312" w:hAnsi="仿宋" w:cs="宋体"/>
          <w:b/>
          <w:kern w:val="0"/>
          <w:szCs w:val="28"/>
          <w:lang w:val="en-US" w:eastAsia="zh-CN"/>
        </w:rPr>
        <w:t>15</w:t>
      </w:r>
      <w:r>
        <w:rPr>
          <w:rFonts w:hint="eastAsia" w:ascii="仿宋_GB2312" w:hAnsi="仿宋" w:cs="宋体"/>
          <w:b/>
          <w:kern w:val="0"/>
          <w:szCs w:val="28"/>
        </w:rPr>
        <w:t>分。</w:t>
      </w:r>
    </w:p>
    <w:p w14:paraId="1F60E3ED">
      <w:pPr>
        <w:pStyle w:val="3"/>
        <w:ind w:firstLine="643"/>
        <w:rPr>
          <w:rFonts w:ascii="仿宋" w:hAnsi="仿宋" w:eastAsia="仿宋"/>
          <w:lang w:bidi="en-US"/>
        </w:rPr>
      </w:pPr>
      <w:bookmarkStart w:id="53" w:name="_Toc30169"/>
      <w:r>
        <w:rPr>
          <w:rFonts w:hint="eastAsia" w:ascii="仿宋" w:hAnsi="仿宋" w:eastAsia="仿宋"/>
          <w:lang w:bidi="en-US"/>
        </w:rPr>
        <w:t>（五）</w:t>
      </w:r>
      <w:r>
        <w:rPr>
          <w:rFonts w:ascii="仿宋" w:hAnsi="仿宋" w:eastAsia="仿宋"/>
          <w:lang w:bidi="en-US"/>
        </w:rPr>
        <w:t>满意度指标完成情况分析</w:t>
      </w:r>
      <w:bookmarkEnd w:id="53"/>
    </w:p>
    <w:p w14:paraId="26F795C7">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5D120449">
      <w:pPr>
        <w:spacing w:line="360" w:lineRule="auto"/>
        <w:ind w:firstLine="562"/>
        <w:rPr>
          <w:rFonts w:ascii="仿宋_GB2312"/>
          <w:szCs w:val="28"/>
        </w:rPr>
      </w:pPr>
      <w:r>
        <w:rPr>
          <w:rFonts w:hint="eastAsia" w:ascii="仿宋_GB2312"/>
          <w:b/>
          <w:bCs/>
          <w:szCs w:val="28"/>
        </w:rPr>
        <w:t>群众满意度：</w:t>
      </w:r>
      <w:r>
        <w:rPr>
          <w:rFonts w:hint="eastAsia" w:ascii="仿宋_GB2312"/>
          <w:szCs w:val="28"/>
          <w:lang w:val="en-US" w:eastAsia="zh-CN"/>
        </w:rPr>
        <w:t>评价指标“患者满意度”，指标值：≥98%，实际完成值：98.99%。通过设置问卷调查的方式进行考评评价，共计调查样本总量为1951个样本，有效调查问卷1951份。其</w:t>
      </w:r>
      <w:r>
        <w:rPr>
          <w:rFonts w:hint="eastAsia" w:ascii="仿宋_GB2312"/>
          <w:szCs w:val="28"/>
        </w:rPr>
        <w:t>中，统计“202</w:t>
      </w:r>
      <w:r>
        <w:rPr>
          <w:rFonts w:hint="eastAsia" w:ascii="仿宋_GB2312"/>
          <w:szCs w:val="28"/>
          <w:lang w:val="en-US" w:eastAsia="zh-CN"/>
        </w:rPr>
        <w:t>4</w:t>
      </w:r>
      <w:r>
        <w:rPr>
          <w:rFonts w:hint="eastAsia" w:ascii="仿宋_GB2312"/>
          <w:szCs w:val="28"/>
        </w:rPr>
        <w:t>年</w:t>
      </w:r>
      <w:r>
        <w:rPr>
          <w:rFonts w:hint="eastAsia" w:ascii="仿宋_GB2312"/>
          <w:szCs w:val="28"/>
          <w:lang w:val="en-US" w:eastAsia="zh-CN"/>
        </w:rPr>
        <w:t>患者</w:t>
      </w:r>
      <w:r>
        <w:rPr>
          <w:rFonts w:hint="eastAsia" w:ascii="仿宋_GB2312"/>
          <w:szCs w:val="28"/>
        </w:rPr>
        <w:t>满意度调查表”的平均值为</w:t>
      </w:r>
      <w:r>
        <w:rPr>
          <w:rFonts w:hint="eastAsia" w:ascii="仿宋_GB2312"/>
          <w:szCs w:val="28"/>
          <w:lang w:val="en-US" w:eastAsia="zh-CN"/>
        </w:rPr>
        <w:t>98.99</w:t>
      </w:r>
      <w:r>
        <w:rPr>
          <w:rFonts w:hint="eastAsia" w:ascii="仿宋_GB2312"/>
          <w:szCs w:val="28"/>
        </w:rPr>
        <w:t>%。故满意度指标得分为</w:t>
      </w:r>
      <w:r>
        <w:rPr>
          <w:rFonts w:hint="eastAsia" w:ascii="仿宋_GB2312"/>
          <w:szCs w:val="28"/>
          <w:lang w:val="en-US" w:eastAsia="zh-CN"/>
        </w:rPr>
        <w:t>10</w:t>
      </w:r>
      <w:r>
        <w:rPr>
          <w:rFonts w:hint="eastAsia" w:ascii="仿宋_GB2312"/>
          <w:szCs w:val="28"/>
        </w:rPr>
        <w:t>分。</w:t>
      </w:r>
    </w:p>
    <w:p w14:paraId="0A982035">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5</w:t>
      </w:r>
      <w:r>
        <w:rPr>
          <w:rFonts w:hint="eastAsia" w:ascii="仿宋_GB2312" w:hAnsi="仿宋" w:cs="宋体"/>
          <w:b/>
          <w:kern w:val="0"/>
          <w:szCs w:val="28"/>
        </w:rPr>
        <w:t>分，得分</w:t>
      </w:r>
      <w:r>
        <w:rPr>
          <w:rFonts w:hint="eastAsia" w:ascii="仿宋_GB2312" w:hAnsi="仿宋" w:cs="宋体"/>
          <w:b/>
          <w:kern w:val="0"/>
          <w:szCs w:val="28"/>
          <w:lang w:val="en-US" w:eastAsia="zh-CN"/>
        </w:rPr>
        <w:t>5</w:t>
      </w:r>
      <w:r>
        <w:rPr>
          <w:rFonts w:hint="eastAsia" w:ascii="仿宋_GB2312" w:hAnsi="仿宋" w:cs="宋体"/>
          <w:b/>
          <w:kern w:val="0"/>
          <w:szCs w:val="28"/>
        </w:rPr>
        <w:t>分。</w:t>
      </w:r>
    </w:p>
    <w:p w14:paraId="4BC9D2A8">
      <w:pPr>
        <w:pStyle w:val="2"/>
        <w:ind w:firstLine="0" w:firstLineChars="0"/>
        <w:jc w:val="left"/>
        <w:rPr>
          <w:rFonts w:ascii="仿宋" w:hAnsi="仿宋" w:eastAsia="仿宋"/>
          <w:sz w:val="36"/>
          <w:szCs w:val="36"/>
          <w:lang w:bidi="en-US"/>
        </w:rPr>
      </w:pPr>
      <w:bookmarkStart w:id="54" w:name="_Toc67911617"/>
      <w:bookmarkStart w:id="55" w:name="_Toc15701"/>
      <w:r>
        <w:rPr>
          <w:rFonts w:hint="eastAsia" w:ascii="仿宋" w:hAnsi="仿宋" w:eastAsia="仿宋"/>
          <w:sz w:val="36"/>
          <w:szCs w:val="36"/>
          <w:lang w:bidi="en-US"/>
        </w:rPr>
        <w:t>五、主要经验及做法、存在的问题及原因分析</w:t>
      </w:r>
      <w:bookmarkEnd w:id="54"/>
      <w:bookmarkEnd w:id="55"/>
    </w:p>
    <w:p w14:paraId="68A85BBE">
      <w:pPr>
        <w:pStyle w:val="3"/>
        <w:ind w:firstLine="643"/>
        <w:rPr>
          <w:rFonts w:ascii="仿宋" w:hAnsi="仿宋" w:eastAsia="仿宋"/>
          <w:lang w:bidi="en-US"/>
        </w:rPr>
      </w:pPr>
      <w:bookmarkStart w:id="56" w:name="_Toc29991"/>
      <w:bookmarkStart w:id="57" w:name="_Toc67911618"/>
      <w:r>
        <w:rPr>
          <w:rFonts w:hint="eastAsia" w:ascii="仿宋" w:hAnsi="仿宋" w:eastAsia="仿宋"/>
          <w:lang w:bidi="en-US"/>
        </w:rPr>
        <w:t>（一）主要经验及做法</w:t>
      </w:r>
      <w:bookmarkEnd w:id="56"/>
      <w:bookmarkEnd w:id="57"/>
    </w:p>
    <w:p w14:paraId="5E5E6F6F">
      <w:pPr>
        <w:autoSpaceDE w:val="0"/>
        <w:spacing w:line="600" w:lineRule="exact"/>
        <w:ind w:firstLine="562"/>
        <w:rPr>
          <w:rFonts w:ascii="仿宋_GB2312" w:hAnsi="仿宋" w:cs="宋体"/>
          <w:b/>
          <w:kern w:val="0"/>
          <w:szCs w:val="28"/>
        </w:rPr>
      </w:pPr>
      <w:r>
        <w:rPr>
          <w:rFonts w:hint="eastAsia" w:ascii="仿宋_GB2312" w:hAnsi="仿宋" w:cs="宋体"/>
          <w:b/>
          <w:kern w:val="0"/>
          <w:szCs w:val="28"/>
        </w:rPr>
        <w:t>1.在项目建设方面：</w:t>
      </w:r>
    </w:p>
    <w:p w14:paraId="162FE523">
      <w:pPr>
        <w:autoSpaceDE w:val="0"/>
        <w:spacing w:line="600" w:lineRule="exact"/>
        <w:ind w:firstLine="562"/>
        <w:rPr>
          <w:rFonts w:hint="eastAsia" w:ascii="仿宋_GB2312"/>
          <w:szCs w:val="28"/>
          <w:lang w:val="en-US" w:eastAsia="zh-CN"/>
        </w:rPr>
      </w:pPr>
      <w:r>
        <w:rPr>
          <w:rFonts w:hint="eastAsia" w:ascii="仿宋_GB2312"/>
          <w:szCs w:val="28"/>
          <w:lang w:val="en-US" w:eastAsia="zh-CN"/>
        </w:rPr>
        <w:t>在项目申报进程中，我院始终秉持严谨负责的态度，高度重视上报资料的真实性与完整性。从每一个数据的核实到每一份文件的审核，都力求做到真实有效、毫无遗漏，以确保为项目推进奠定坚实可靠的基础。同时，对于项目绩效目标表所设定的目标值，我院严格履行承诺，将其作为行动的指南和努力的方向。通过精心规划、合理安排以及全体人员的共同努力，稳步朝着既定目标迈进。鉴于医院疫情防控工作的实际需求，我院精准明确了所需采购的医疗设备及其具体型号。设备科凭借专业的知识和丰富的经验，全面梳理并详细提供了医疗设备需求清单。在此基础上，采购办严格依照《中华人民共和国政府采购法》的相关规定，有条不紊地开展医疗设备采购工作。从采购流程的规范执行到供应商的严格筛选，从合同条款的细致拟定到采购环节的全程监督，每一步都严格把关，确保采购工作合法合规、公正透明。  通过各部门之间的紧密协作与高效配合，我院全力保障项目能够按照预定计划顺利推进，确保项目如期完成，让项目目标早日得以实现，为医院的发展以及疫情防控工作提供有力支持。</w:t>
      </w:r>
    </w:p>
    <w:p w14:paraId="67D980F9">
      <w:pPr>
        <w:autoSpaceDE w:val="0"/>
        <w:spacing w:line="600" w:lineRule="exact"/>
        <w:ind w:firstLine="562"/>
        <w:rPr>
          <w:rFonts w:ascii="仿宋_GB2312" w:hAnsi="仿宋" w:cs="宋体"/>
          <w:b/>
          <w:kern w:val="0"/>
          <w:szCs w:val="28"/>
        </w:rPr>
      </w:pPr>
      <w:r>
        <w:rPr>
          <w:rFonts w:hint="eastAsia" w:ascii="仿宋_GB2312" w:hAnsi="仿宋" w:cs="宋体"/>
          <w:b/>
          <w:kern w:val="0"/>
          <w:szCs w:val="28"/>
          <w:lang w:eastAsia="zh-CN"/>
        </w:rPr>
        <w:t>2.</w:t>
      </w:r>
      <w:r>
        <w:rPr>
          <w:rFonts w:hint="eastAsia" w:ascii="仿宋_GB2312" w:hAnsi="仿宋" w:cs="宋体"/>
          <w:b/>
          <w:kern w:val="0"/>
          <w:szCs w:val="28"/>
        </w:rPr>
        <w:t>在经费支出方面：</w:t>
      </w:r>
    </w:p>
    <w:p w14:paraId="7C7EEF76">
      <w:pPr>
        <w:spacing w:line="360" w:lineRule="auto"/>
        <w:ind w:firstLine="560"/>
        <w:rPr>
          <w:rFonts w:ascii="仿宋_GB2312"/>
          <w:szCs w:val="28"/>
          <w:highlight w:val="yellow"/>
        </w:rPr>
      </w:pPr>
      <w:r>
        <w:rPr>
          <w:rFonts w:hint="eastAsia" w:ascii="仿宋_GB2312"/>
          <w:szCs w:val="28"/>
          <w:highlight w:val="none"/>
        </w:rPr>
        <w:t>采取了如下措施：明确经费支出严格按照年初预算执行，做到严格控制、公开透明、科学合理，无故不得突破年初预算确定的经费数额。各项支出严格执行年度经费支出计划，不得预算外开支，实行财务事前监督，所有经费支出必须履行申请、审核、审批手续。专项业务工作项目支出，需由经办部门提出书面申请，部门负责人审核签字，财务部门对支出指标进行审核，提交财务部门负责人审核，经支出部门主管局长审批，财务部门负责人审核，报财务主管局长批准列支。</w:t>
      </w:r>
    </w:p>
    <w:p w14:paraId="10B07000">
      <w:pPr>
        <w:autoSpaceDE w:val="0"/>
        <w:spacing w:line="600" w:lineRule="exact"/>
        <w:ind w:firstLine="562"/>
        <w:rPr>
          <w:rFonts w:ascii="仿宋_GB2312" w:hAnsi="仿宋" w:cs="宋体"/>
          <w:b/>
          <w:kern w:val="0"/>
          <w:szCs w:val="28"/>
        </w:rPr>
      </w:pPr>
    </w:p>
    <w:p w14:paraId="32502C48">
      <w:pPr>
        <w:pStyle w:val="3"/>
        <w:ind w:firstLine="643"/>
        <w:rPr>
          <w:rFonts w:ascii="仿宋" w:hAnsi="仿宋" w:eastAsia="仿宋"/>
          <w:lang w:bidi="en-US"/>
        </w:rPr>
      </w:pPr>
      <w:bookmarkStart w:id="58" w:name="_Toc25102"/>
      <w:r>
        <w:rPr>
          <w:rFonts w:hint="eastAsia" w:ascii="仿宋" w:hAnsi="仿宋" w:eastAsia="仿宋"/>
          <w:lang w:bidi="en-US"/>
        </w:rPr>
        <w:t>（二）存在的问题及原因分析</w:t>
      </w:r>
      <w:bookmarkEnd w:id="58"/>
    </w:p>
    <w:p w14:paraId="07434D13">
      <w:pPr>
        <w:spacing w:line="360" w:lineRule="auto"/>
        <w:ind w:firstLine="560"/>
        <w:rPr>
          <w:rFonts w:hint="eastAsia" w:ascii="仿宋_GB2312"/>
          <w:szCs w:val="28"/>
          <w:highlight w:val="none"/>
        </w:rPr>
      </w:pPr>
      <w:r>
        <w:rPr>
          <w:rFonts w:hint="eastAsia" w:ascii="仿宋_GB2312"/>
          <w:szCs w:val="28"/>
          <w:highlight w:val="none"/>
        </w:rPr>
        <w:t>在对项目绩效目标监控的完成情况展开深入分析后发现，项目资金于2023年3月13日正式下达</w:t>
      </w:r>
      <w:r>
        <w:rPr>
          <w:rFonts w:hint="eastAsia" w:ascii="仿宋_GB2312"/>
          <w:szCs w:val="28"/>
          <w:highlight w:val="none"/>
          <w:lang w:eastAsia="zh-CN"/>
        </w:rPr>
        <w:t>，</w:t>
      </w:r>
      <w:r>
        <w:rPr>
          <w:rFonts w:hint="eastAsia" w:ascii="仿宋_GB2312"/>
          <w:szCs w:val="28"/>
          <w:highlight w:val="none"/>
          <w:lang w:val="en-US" w:eastAsia="zh-CN"/>
        </w:rPr>
        <w:t>当年项目资金未执行</w:t>
      </w:r>
      <w:r>
        <w:rPr>
          <w:rFonts w:hint="eastAsia" w:ascii="仿宋_GB2312"/>
          <w:szCs w:val="28"/>
          <w:highlight w:val="none"/>
          <w:lang w:eastAsia="zh-CN"/>
        </w:rPr>
        <w:t>，</w:t>
      </w:r>
      <w:r>
        <w:rPr>
          <w:rFonts w:hint="eastAsia" w:ascii="仿宋_GB2312"/>
          <w:szCs w:val="28"/>
          <w:highlight w:val="none"/>
        </w:rPr>
        <w:t>结转至2024年继续使用。</w:t>
      </w:r>
      <w:r>
        <w:rPr>
          <w:rFonts w:hint="eastAsia" w:ascii="仿宋_GB2312"/>
          <w:szCs w:val="28"/>
          <w:highlight w:val="none"/>
          <w:lang w:val="en-US" w:eastAsia="zh-CN"/>
        </w:rPr>
        <w:t>主要原因为：</w:t>
      </w:r>
      <w:r>
        <w:rPr>
          <w:rFonts w:hint="eastAsia" w:ascii="仿宋_GB2312"/>
          <w:szCs w:val="28"/>
          <w:highlight w:val="none"/>
        </w:rPr>
        <w:t>设备招标工作启动相对滞后，直至2023年底，设备合同仍未能全部签订完毕，相应设备也未能办理入库手续。这一系列因素致使项目资金在当年无法正常执行，</w:t>
      </w:r>
      <w:r>
        <w:rPr>
          <w:rFonts w:hint="eastAsia" w:ascii="仿宋_GB2312"/>
          <w:szCs w:val="28"/>
          <w:highlight w:val="none"/>
          <w:lang w:val="en-US" w:eastAsia="zh-CN"/>
        </w:rPr>
        <w:t>导致</w:t>
      </w:r>
      <w:r>
        <w:rPr>
          <w:rFonts w:hint="eastAsia" w:ascii="仿宋_GB2312"/>
          <w:szCs w:val="28"/>
          <w:highlight w:val="none"/>
        </w:rPr>
        <w:t>结转至2024年继续使用。</w:t>
      </w:r>
    </w:p>
    <w:p w14:paraId="3A7BF570">
      <w:pPr>
        <w:spacing w:line="360" w:lineRule="auto"/>
        <w:ind w:firstLine="560"/>
        <w:rPr>
          <w:rFonts w:hint="default" w:ascii="仿宋_GB2312"/>
          <w:szCs w:val="28"/>
          <w:highlight w:val="none"/>
          <w:lang w:val="en-US" w:eastAsia="zh-CN"/>
        </w:rPr>
      </w:pPr>
      <w:r>
        <w:rPr>
          <w:rFonts w:hint="eastAsia" w:ascii="仿宋_GB2312"/>
          <w:szCs w:val="28"/>
          <w:highlight w:val="none"/>
          <w:lang w:val="en-US" w:eastAsia="zh-CN"/>
        </w:rPr>
        <w:t>项目资金付款缓慢，项目合同于2024年3月签订完毕，最终与2024年11月资金支付，各科室工作配合衔接不够，导致资金支付缓慢。</w:t>
      </w:r>
    </w:p>
    <w:p w14:paraId="3A42BFCD">
      <w:pPr>
        <w:pStyle w:val="2"/>
        <w:numPr>
          <w:ilvl w:val="0"/>
          <w:numId w:val="1"/>
        </w:numPr>
        <w:ind w:firstLine="0" w:firstLineChars="0"/>
        <w:jc w:val="left"/>
        <w:rPr>
          <w:rFonts w:ascii="仿宋" w:hAnsi="仿宋" w:eastAsia="仿宋"/>
          <w:sz w:val="36"/>
          <w:szCs w:val="36"/>
          <w:lang w:bidi="en-US"/>
        </w:rPr>
      </w:pPr>
      <w:bookmarkStart w:id="59" w:name="_Toc67911620"/>
      <w:bookmarkStart w:id="60" w:name="_Toc24752"/>
      <w:bookmarkStart w:id="61" w:name="_Toc67911619"/>
      <w:r>
        <w:rPr>
          <w:rFonts w:hint="eastAsia" w:ascii="仿宋" w:hAnsi="仿宋" w:eastAsia="仿宋"/>
          <w:sz w:val="36"/>
          <w:szCs w:val="36"/>
          <w:lang w:bidi="en-US"/>
        </w:rPr>
        <w:t>有关建议</w:t>
      </w:r>
      <w:bookmarkEnd w:id="59"/>
      <w:bookmarkEnd w:id="60"/>
    </w:p>
    <w:p w14:paraId="3EA1F2ED">
      <w:pPr>
        <w:numPr>
          <w:ilvl w:val="0"/>
          <w:numId w:val="2"/>
        </w:numPr>
        <w:spacing w:line="360" w:lineRule="auto"/>
        <w:ind w:firstLine="560"/>
        <w:rPr>
          <w:rFonts w:hint="eastAsia" w:ascii="仿宋_GB2312"/>
          <w:szCs w:val="28"/>
        </w:rPr>
      </w:pPr>
      <w:r>
        <w:rPr>
          <w:rFonts w:hint="eastAsia" w:ascii="仿宋_GB2312"/>
          <w:szCs w:val="28"/>
        </w:rPr>
        <w:t>建章立制，强化专项资金的监督。要对项目实施和资金使用进行全程跟踪监督，督促项目实施部门加强管理，定期报告资金使用情况和项目实施情况，增加项目资金使用的透明度。同时，要建立长期有效的专项资金监督管理新体系，确保专项资金用到实处，实现效益最大化。制定项目实施方案。明确相关科室在专项资金使用、管理中的分工，建立项目申报、招投标、实施、采购、验收，评价等一系列实施流程，并严格执行。所有项目资金从分配到使用都要明确，做到资金、项目、文号对应，归档备查，以明确资金流向和使用情况，防止截留、挪用现象的发生。</w:t>
      </w:r>
    </w:p>
    <w:p w14:paraId="339D9C27">
      <w:pPr>
        <w:numPr>
          <w:ilvl w:val="0"/>
          <w:numId w:val="2"/>
        </w:numPr>
        <w:spacing w:line="360" w:lineRule="auto"/>
        <w:ind w:firstLine="560"/>
        <w:rPr>
          <w:rFonts w:hint="default" w:ascii="仿宋_GB2312"/>
          <w:szCs w:val="28"/>
          <w:lang w:val="en-US" w:eastAsia="zh-CN"/>
        </w:rPr>
      </w:pPr>
      <w:r>
        <w:rPr>
          <w:rFonts w:hint="eastAsia" w:ascii="仿宋_GB2312"/>
          <w:szCs w:val="28"/>
          <w:lang w:val="en-US" w:eastAsia="zh-CN"/>
        </w:rPr>
        <w:t>加强项目资金管理，按时开展项目资金使用推进会，及时督促项目负责人加快项目执行进度，督促相关科室人员配合项目负责人提供佐证材料，保证项目资金能够及时完成支付。</w:t>
      </w:r>
    </w:p>
    <w:p w14:paraId="56A70705">
      <w:pPr>
        <w:pStyle w:val="2"/>
        <w:ind w:firstLine="0" w:firstLineChars="0"/>
        <w:jc w:val="left"/>
        <w:rPr>
          <w:rFonts w:ascii="仿宋" w:hAnsi="仿宋" w:eastAsia="仿宋"/>
          <w:sz w:val="36"/>
          <w:szCs w:val="36"/>
          <w:lang w:bidi="en-US"/>
        </w:rPr>
      </w:pPr>
      <w:bookmarkStart w:id="62" w:name="_Toc19830"/>
      <w:r>
        <w:rPr>
          <w:rFonts w:hint="eastAsia" w:ascii="仿宋" w:hAnsi="仿宋" w:eastAsia="仿宋"/>
          <w:sz w:val="36"/>
          <w:szCs w:val="36"/>
          <w:lang w:bidi="en-US"/>
        </w:rPr>
        <w:t>七、其他需要说明的问题</w:t>
      </w:r>
      <w:bookmarkEnd w:id="61"/>
      <w:bookmarkEnd w:id="62"/>
    </w:p>
    <w:p w14:paraId="2047C926">
      <w:pPr>
        <w:spacing w:line="360" w:lineRule="auto"/>
        <w:ind w:firstLine="560"/>
        <w:rPr>
          <w:rFonts w:hint="default" w:ascii="仿宋_GB2312" w:eastAsia="仿宋_GB2312"/>
          <w:szCs w:val="28"/>
          <w:highlight w:val="none"/>
          <w:lang w:val="en-US" w:eastAsia="zh-CN"/>
        </w:rPr>
      </w:pPr>
      <w:r>
        <w:rPr>
          <w:rFonts w:hint="eastAsia" w:ascii="仿宋_GB2312"/>
          <w:szCs w:val="28"/>
          <w:highlight w:val="none"/>
        </w:rPr>
        <w:t>在项目执行过程中，经全面核查与评估，相关管理机制与实施成效均符合规范要求。首先，项目支出政策设计与实施路径经过科学论证，紧密结合当前深化财政改革的实际需求，通过前期需求调研、专家论证及可行性分析，确保了政策框架的科学性和可操作性。其次，项目安排严格遵循立项规划目标，执行过程中通过动态监测和阶段性评估，未发现偏离项目初衷或资金用途的情况，充分体现了政策执行的精准性和目标导向性。同时，项目申报与审核机制形成闭环管理，建立了涵盖申报材料预审、多部门联合评审、资金分配公示等环节的规范化流程，有效保障了项目准入的公平性和透明度。此外，通过建立资金使用动态监控机制、定期开展专项审计及风险排查，项目实施全周期未发现虚报项目内容、套取财政资金等违规行为，切实维护了财政资金的安全性和使用效益。以上管理措施的系统实施，为项目合规运行和预期目标达成提供了坚实保障。</w:t>
      </w:r>
    </w:p>
    <w:p w14:paraId="3EAE2747">
      <w:pPr>
        <w:spacing w:line="360" w:lineRule="auto"/>
        <w:ind w:firstLine="560"/>
        <w:rPr>
          <w:rFonts w:ascii="仿宋_GB2312"/>
          <w:szCs w:val="28"/>
        </w:rPr>
      </w:pPr>
    </w:p>
    <w:p w14:paraId="601DFC49">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0000000000000000000"/>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D05B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8464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3D792">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0424636"/>
      <w:docPartObj>
        <w:docPartGallery w:val="autotext"/>
      </w:docPartObj>
    </w:sdtPr>
    <w:sdtEndPr>
      <w:rPr>
        <w:rFonts w:hint="eastAsia" w:ascii="仿宋_GB2312" w:eastAsia="仿宋_GB2312"/>
        <w:sz w:val="21"/>
        <w:szCs w:val="21"/>
      </w:rPr>
    </w:sdtEndPr>
    <w:sdtContent>
      <w:p w14:paraId="134A48E6">
        <w:pPr>
          <w:pStyle w:val="8"/>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11</w:t>
        </w:r>
        <w:r>
          <w:rPr>
            <w:rFonts w:hint="eastAsia" w:ascii="仿宋_GB2312" w:eastAsia="仿宋_GB2312"/>
            <w:sz w:val="21"/>
            <w:szCs w:val="21"/>
          </w:rPr>
          <w:fldChar w:fldCharType="end"/>
        </w:r>
      </w:p>
    </w:sdtContent>
  </w:sdt>
  <w:p w14:paraId="3A6C822D">
    <w:pPr>
      <w:pStyle w:val="8"/>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2319248"/>
      <w:docPartObj>
        <w:docPartGallery w:val="autotext"/>
      </w:docPartObj>
    </w:sdtPr>
    <w:sdtEndPr>
      <w:rPr>
        <w:rFonts w:hint="eastAsia" w:ascii="仿宋_GB2312" w:eastAsia="仿宋_GB2312"/>
        <w:sz w:val="21"/>
        <w:szCs w:val="21"/>
      </w:rPr>
    </w:sdtEndPr>
    <w:sdtContent>
      <w:p w14:paraId="60CBC82A">
        <w:pPr>
          <w:pStyle w:val="8"/>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19</w:t>
        </w:r>
        <w:r>
          <w:rPr>
            <w:rFonts w:hint="eastAsia" w:ascii="仿宋_GB2312" w:eastAsia="仿宋_GB2312"/>
            <w:sz w:val="21"/>
            <w:szCs w:val="21"/>
          </w:rPr>
          <w:fldChar w:fldCharType="end"/>
        </w:r>
      </w:p>
    </w:sdtContent>
  </w:sdt>
  <w:p w14:paraId="143EA4A4">
    <w:pPr>
      <w:pStyle w:val="8"/>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6E15D096">
      <w:pPr>
        <w:pStyle w:val="11"/>
        <w:ind w:firstLine="0" w:firstLineChars="0"/>
        <w:jc w:val="both"/>
        <w:rPr>
          <w:rFonts w:ascii="仿宋_GB2312"/>
        </w:rPr>
      </w:pPr>
      <w:r>
        <w:rPr>
          <w:rStyle w:val="17"/>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1EF01271">
      <w:pPr>
        <w:pStyle w:val="11"/>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3AB71">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6E4B1">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2AF21">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3D49E">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B663D">
    <w:pPr>
      <w:pStyle w:val="9"/>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111D34"/>
    <w:multiLevelType w:val="singleLevel"/>
    <w:tmpl w:val="93111D34"/>
    <w:lvl w:ilvl="0" w:tentative="0">
      <w:start w:val="6"/>
      <w:numFmt w:val="chineseCounting"/>
      <w:suff w:val="nothing"/>
      <w:lvlText w:val="%1、"/>
      <w:lvlJc w:val="left"/>
      <w:rPr>
        <w:rFonts w:hint="eastAsia"/>
      </w:rPr>
    </w:lvl>
  </w:abstractNum>
  <w:abstractNum w:abstractNumId="1">
    <w:nsid w:val="6A920777"/>
    <w:multiLevelType w:val="singleLevel"/>
    <w:tmpl w:val="6A92077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1NDhiYzc2ODJhMjMxMGFjZjRiNmM4Yjg0OTFhMTgifQ=="/>
  </w:docVars>
  <w:rsids>
    <w:rsidRoot w:val="00000000"/>
    <w:rsid w:val="464D28B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autoRedefine/>
    <w:unhideWhenUsed/>
    <w:qFormat/>
    <w:uiPriority w:val="39"/>
    <w:pPr>
      <w:ind w:left="840" w:leftChars="400"/>
    </w:pPr>
  </w:style>
  <w:style w:type="paragraph" w:styleId="6">
    <w:name w:val="Date"/>
    <w:basedOn w:val="1"/>
    <w:next w:val="1"/>
    <w:link w:val="23"/>
    <w:semiHidden/>
    <w:unhideWhenUsed/>
    <w:qFormat/>
    <w:uiPriority w:val="99"/>
    <w:pPr>
      <w:ind w:left="100" w:leftChars="2500"/>
    </w:pPr>
  </w:style>
  <w:style w:type="paragraph" w:styleId="7">
    <w:name w:val="Balloon Text"/>
    <w:basedOn w:val="1"/>
    <w:link w:val="32"/>
    <w:semiHidden/>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0">
    <w:name w:val="toc 1"/>
    <w:basedOn w:val="1"/>
    <w:next w:val="1"/>
    <w:autoRedefine/>
    <w:unhideWhenUsed/>
    <w:qFormat/>
    <w:uiPriority w:val="39"/>
  </w:style>
  <w:style w:type="paragraph" w:styleId="11">
    <w:name w:val="footnote text"/>
    <w:basedOn w:val="1"/>
    <w:link w:val="25"/>
    <w:semiHidden/>
    <w:unhideWhenUsed/>
    <w:qFormat/>
    <w:uiPriority w:val="99"/>
    <w:pPr>
      <w:snapToGrid w:val="0"/>
      <w:jc w:val="left"/>
    </w:pPr>
    <w:rPr>
      <w:sz w:val="18"/>
      <w:szCs w:val="18"/>
    </w:rPr>
  </w:style>
  <w:style w:type="paragraph" w:styleId="12">
    <w:name w:val="toc 2"/>
    <w:basedOn w:val="1"/>
    <w:next w:val="1"/>
    <w:autoRedefine/>
    <w:unhideWhenUsed/>
    <w:qFormat/>
    <w:uiPriority w:val="39"/>
    <w:pPr>
      <w:ind w:left="420" w:leftChars="2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footnote reference"/>
    <w:basedOn w:val="15"/>
    <w:semiHidden/>
    <w:unhideWhenUsed/>
    <w:qFormat/>
    <w:uiPriority w:val="99"/>
    <w:rPr>
      <w:vertAlign w:val="superscript"/>
    </w:rPr>
  </w:style>
  <w:style w:type="paragraph" w:customStyle="1" w:styleId="18">
    <w:name w:val="Comment Text"/>
    <w:basedOn w:val="1"/>
    <w:link w:val="30"/>
    <w:unhideWhenUsed/>
    <w:qFormat/>
    <w:uiPriority w:val="99"/>
    <w:pPr>
      <w:jc w:val="left"/>
    </w:pPr>
  </w:style>
  <w:style w:type="paragraph" w:customStyle="1" w:styleId="19">
    <w:name w:val="Comment Subject"/>
    <w:basedOn w:val="18"/>
    <w:next w:val="18"/>
    <w:link w:val="31"/>
    <w:semiHidden/>
    <w:unhideWhenUsed/>
    <w:qFormat/>
    <w:uiPriority w:val="99"/>
    <w:rPr>
      <w:b/>
      <w:bCs/>
    </w:rPr>
  </w:style>
  <w:style w:type="character" w:customStyle="1" w:styleId="20">
    <w:name w:val="Comment Reference"/>
    <w:basedOn w:val="15"/>
    <w:semiHidden/>
    <w:unhideWhenUsed/>
    <w:qFormat/>
    <w:uiPriority w:val="99"/>
    <w:rPr>
      <w:sz w:val="21"/>
      <w:szCs w:val="21"/>
    </w:rPr>
  </w:style>
  <w:style w:type="character" w:customStyle="1" w:styleId="21">
    <w:name w:val="页眉 Char"/>
    <w:basedOn w:val="15"/>
    <w:link w:val="9"/>
    <w:qFormat/>
    <w:uiPriority w:val="99"/>
    <w:rPr>
      <w:sz w:val="18"/>
      <w:szCs w:val="18"/>
    </w:rPr>
  </w:style>
  <w:style w:type="character" w:customStyle="1" w:styleId="22">
    <w:name w:val="页脚 Char"/>
    <w:basedOn w:val="15"/>
    <w:link w:val="8"/>
    <w:qFormat/>
    <w:uiPriority w:val="99"/>
    <w:rPr>
      <w:sz w:val="18"/>
      <w:szCs w:val="18"/>
    </w:rPr>
  </w:style>
  <w:style w:type="character" w:customStyle="1" w:styleId="23">
    <w:name w:val="日期 Char"/>
    <w:basedOn w:val="15"/>
    <w:link w:val="6"/>
    <w:semiHidden/>
    <w:qFormat/>
    <w:uiPriority w:val="99"/>
    <w:rPr>
      <w:rFonts w:ascii="Calibri" w:hAnsi="Calibri" w:eastAsia="仿宋_GB2312" w:cs="黑体"/>
      <w:sz w:val="28"/>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character" w:customStyle="1" w:styleId="25">
    <w:name w:val="脚注文本 Char"/>
    <w:basedOn w:val="15"/>
    <w:link w:val="11"/>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5"/>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5"/>
    <w:link w:val="18"/>
    <w:qFormat/>
    <w:uiPriority w:val="99"/>
    <w:rPr>
      <w:rFonts w:ascii="Calibri" w:hAnsi="Calibri" w:eastAsia="仿宋_GB2312" w:cs="黑体"/>
      <w:sz w:val="28"/>
    </w:rPr>
  </w:style>
  <w:style w:type="character" w:customStyle="1" w:styleId="31">
    <w:name w:val="批注主题 Char"/>
    <w:basedOn w:val="30"/>
    <w:link w:val="19"/>
    <w:semiHidden/>
    <w:qFormat/>
    <w:uiPriority w:val="99"/>
    <w:rPr>
      <w:rFonts w:ascii="Calibri" w:hAnsi="Calibri" w:eastAsia="仿宋_GB2312" w:cs="黑体"/>
      <w:b/>
      <w:bCs/>
      <w:sz w:val="28"/>
    </w:rPr>
  </w:style>
  <w:style w:type="character" w:customStyle="1" w:styleId="32">
    <w:name w:val="批注框文本 Char"/>
    <w:basedOn w:val="15"/>
    <w:link w:val="7"/>
    <w:semiHidden/>
    <w:qFormat/>
    <w:uiPriority w:val="99"/>
    <w:rPr>
      <w:rFonts w:ascii="Calibri" w:hAnsi="Calibri" w:eastAsia="仿宋_GB2312" w:cs="黑体"/>
      <w:sz w:val="18"/>
      <w:szCs w:val="18"/>
    </w:rPr>
  </w:style>
  <w:style w:type="character" w:customStyle="1" w:styleId="33">
    <w:name w:val="标题 3 Char"/>
    <w:basedOn w:val="15"/>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eyJoZGlkIjoiZmNiNWI5MzRjNjFlYzM5ZGFiMTc0ZjQzMjkzZmIxMjQiLCJ1c2VySWQiOiIyMjk2MTY1NDQifQ==</vt:lpwstr>
  </property>
  <property fmtid="{D5CDD505-2E9C-101B-9397-08002B2CF9AE}" pid="3" name="KSOProductBuildVer">
    <vt:lpwstr>2052-12.8.2.1119</vt:lpwstr>
  </property>
  <property fmtid="{D5CDD505-2E9C-101B-9397-08002B2CF9AE}" pid="4" name="ICV">
    <vt:lpwstr>119C343D230648EC8EC0494ABE600BBC_13</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eyJoZGlkIjoiZWE5M2E4OTRkNmEwYTUyNjM2Mzg3NThiMTA5NmIzZWUiLCJ1c2VySWQiOiI0OTMxMTE3MjUifQ==</vt:lpwstr>
  </property>
  <property fmtid="{D5CDD505-2E9C-101B-9397-08002B2CF9AE}" pid="3" name="KSOProductBuildVer">
    <vt:lpwstr>2052-12.1.0.21915</vt:lpwstr>
  </property>
  <property fmtid="{D5CDD505-2E9C-101B-9397-08002B2CF9AE}" pid="4" name="ICV">
    <vt:lpwstr>6A3E9ED2D5A94BF0AC75E2A2766E5311_13</vt:lpwstr>
  </property>
</Properties>
</file>

<file path=customXml/itemProps1.xml><?xml version="1.0" encoding="utf-8"?>
<ds:datastoreItem xmlns:ds="http://schemas.openxmlformats.org/officeDocument/2006/customXml" ds:itemID="{76db358e-a826-45e3-9b74-3fce965edffe}">
  <ds:schemaRefs/>
</ds:datastoreItem>
</file>

<file path=customXml/itemProps2.xml><?xml version="1.0" encoding="utf-8"?>
<ds:datastoreItem xmlns:ds="http://schemas.openxmlformats.org/officeDocument/2006/customXml" ds:itemID="{06dceb12-5b40-48e5-b7c8-62bed8468a1e}">
  <ds:schemaRefs/>
</ds:datastoreItem>
</file>

<file path=docProps/app.xml><?xml version="1.0" encoding="utf-8"?>
<Properties xmlns="http://schemas.openxmlformats.org/officeDocument/2006/extended-properties" xmlns:vt="http://schemas.openxmlformats.org/officeDocument/2006/docPropsVTypes">
  <Template>Normal</Template>
  <Pages>31</Pages>
  <Words>474</Words>
  <Characters>524</Characters>
  <Lines>82</Lines>
  <Paragraphs>23</Paragraphs>
  <TotalTime>5</TotalTime>
  <ScaleCrop>false</ScaleCrop>
  <LinksUpToDate>false</LinksUpToDate>
  <CharactersWithSpaces>567</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2025-04-25T15:26:00Z</dcterms:created>
  <dc:creator>张 宇</dc:creator>
  <cp:lastModifiedBy>麦尔排提</cp:lastModifiedBy>
  <cp:lastPrinted>2023-04-11T10:57:00Z</cp:lastPrinted>
  <dcterms:modified xsi:type="dcterms:W3CDTF">2025-10-09T04:02:32Z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eyJoZGlkIjoiNmMyYTkzMjhiZWUyMjI4OTRmMWQ0MDI5NDMwYTViNzQiLCJ1c2VySWQiOiIxODQwMDM4MDQifQ==</vt:lpwstr>
  </property>
  <property fmtid="{D5CDD505-2E9C-101B-9397-08002B2CF9AE}" pid="3" name="KSOProductBuildVer">
    <vt:lpwstr>2052-12.1.0.22089</vt:lpwstr>
  </property>
  <property fmtid="{D5CDD505-2E9C-101B-9397-08002B2CF9AE}" pid="4" name="ICV">
    <vt:lpwstr>6A3E9ED2D5A94BF0AC75E2A2766E5311_13</vt:lpwstr>
  </property>
</Properties>
</file>