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98C58">
      <w:pPr>
        <w:spacing w:line="480" w:lineRule="auto"/>
        <w:ind w:firstLine="0" w:firstLineChars="0"/>
        <w:rPr>
          <w:rFonts w:ascii="Times New Roman" w:hAnsi="Times New Roman" w:eastAsia="黑体" w:cs="Times New Roman"/>
          <w:b/>
          <w:kern w:val="0"/>
          <w:sz w:val="50"/>
          <w:szCs w:val="50"/>
          <w:lang w:bidi="en-US"/>
        </w:rPr>
      </w:pPr>
    </w:p>
    <w:p w14:paraId="604D8502">
      <w:pPr>
        <w:spacing w:line="480" w:lineRule="auto"/>
        <w:ind w:firstLine="0" w:firstLineChars="0"/>
        <w:rPr>
          <w:rFonts w:ascii="Times New Roman" w:hAnsi="Times New Roman" w:eastAsia="黑体" w:cs="Times New Roman"/>
          <w:b/>
          <w:kern w:val="0"/>
          <w:sz w:val="50"/>
          <w:szCs w:val="50"/>
          <w:lang w:bidi="en-US"/>
        </w:rPr>
      </w:pPr>
    </w:p>
    <w:p w14:paraId="1CE4CB9C">
      <w:pPr>
        <w:spacing w:line="480" w:lineRule="auto"/>
        <w:ind w:firstLine="0" w:firstLineChars="0"/>
        <w:jc w:val="center"/>
        <w:rPr>
          <w:rFonts w:ascii="Times New Roman" w:hAnsi="Times New Roman" w:eastAsia="黑体" w:cs="Times New Roman"/>
          <w:b/>
          <w:kern w:val="0"/>
          <w:sz w:val="50"/>
          <w:szCs w:val="50"/>
          <w:lang w:bidi="en-US"/>
        </w:rPr>
      </w:pPr>
    </w:p>
    <w:p w14:paraId="4566D81C">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7BC905CE">
      <w:pPr>
        <w:spacing w:line="480" w:lineRule="auto"/>
        <w:ind w:firstLine="0" w:firstLineChars="0"/>
        <w:jc w:val="center"/>
        <w:rPr>
          <w:rFonts w:ascii="Times New Roman" w:hAnsi="Times New Roman" w:eastAsia="黑体" w:cs="Times New Roman"/>
          <w:b/>
          <w:kern w:val="0"/>
          <w:sz w:val="50"/>
          <w:szCs w:val="50"/>
          <w:lang w:bidi="en-US"/>
        </w:rPr>
      </w:pPr>
    </w:p>
    <w:p w14:paraId="190D8CD4">
      <w:pPr>
        <w:spacing w:line="480" w:lineRule="auto"/>
        <w:ind w:firstLine="0" w:firstLineChars="0"/>
        <w:jc w:val="center"/>
        <w:rPr>
          <w:rFonts w:ascii="Times New Roman" w:hAnsi="Times New Roman" w:eastAsia="黑体" w:cs="Times New Roman"/>
          <w:b/>
          <w:kern w:val="0"/>
          <w:sz w:val="50"/>
          <w:szCs w:val="50"/>
          <w:lang w:bidi="en-US"/>
        </w:rPr>
      </w:pPr>
    </w:p>
    <w:p w14:paraId="09008EEC">
      <w:pPr>
        <w:spacing w:line="480" w:lineRule="auto"/>
        <w:ind w:firstLine="0" w:firstLineChars="0"/>
        <w:jc w:val="center"/>
        <w:rPr>
          <w:rFonts w:hint="eastAsia" w:ascii="Times New Roman" w:hAnsi="Times New Roman" w:eastAsia="黑体" w:cs="Times New Roman"/>
          <w:b/>
          <w:kern w:val="0"/>
          <w:sz w:val="50"/>
          <w:szCs w:val="50"/>
          <w:lang w:eastAsia="zh-CN" w:bidi="en-US"/>
        </w:rPr>
      </w:pPr>
    </w:p>
    <w:p w14:paraId="32054FD9">
      <w:pPr>
        <w:spacing w:line="480" w:lineRule="auto"/>
        <w:ind w:firstLine="0" w:firstLineChars="0"/>
        <w:jc w:val="center"/>
        <w:rPr>
          <w:rFonts w:ascii="Times New Roman" w:hAnsi="Times New Roman" w:eastAsia="黑体" w:cs="Times New Roman"/>
          <w:b/>
          <w:kern w:val="0"/>
          <w:sz w:val="50"/>
          <w:szCs w:val="50"/>
          <w:lang w:bidi="en-US"/>
        </w:rPr>
      </w:pPr>
    </w:p>
    <w:p w14:paraId="59565F51">
      <w:pPr>
        <w:spacing w:line="480" w:lineRule="auto"/>
        <w:ind w:firstLine="0" w:firstLineChars="0"/>
        <w:jc w:val="center"/>
        <w:rPr>
          <w:rFonts w:ascii="Times New Roman" w:hAnsi="Times New Roman" w:eastAsia="黑体" w:cs="Times New Roman"/>
          <w:b/>
          <w:kern w:val="0"/>
          <w:sz w:val="50"/>
          <w:szCs w:val="50"/>
          <w:lang w:bidi="en-US"/>
        </w:rPr>
      </w:pPr>
    </w:p>
    <w:p w14:paraId="60F07F17">
      <w:pPr>
        <w:spacing w:line="480" w:lineRule="auto"/>
        <w:ind w:firstLine="0" w:firstLineChars="0"/>
        <w:jc w:val="center"/>
        <w:rPr>
          <w:rFonts w:ascii="Times New Roman" w:hAnsi="Times New Roman" w:eastAsia="黑体" w:cs="Times New Roman"/>
          <w:b/>
          <w:kern w:val="0"/>
          <w:sz w:val="50"/>
          <w:szCs w:val="50"/>
          <w:lang w:bidi="en-US"/>
        </w:rPr>
      </w:pPr>
    </w:p>
    <w:p w14:paraId="077068FA">
      <w:pPr>
        <w:spacing w:line="480" w:lineRule="auto"/>
        <w:ind w:firstLine="0" w:firstLineChars="0"/>
        <w:jc w:val="center"/>
        <w:rPr>
          <w:rFonts w:ascii="仿宋_GB2312" w:hAnsi="Times New Roman" w:cs="Times New Roman"/>
          <w:kern w:val="0"/>
          <w:sz w:val="30"/>
          <w:szCs w:val="30"/>
          <w:lang w:bidi="en-US"/>
        </w:rPr>
      </w:pPr>
    </w:p>
    <w:p w14:paraId="3ADC08EA">
      <w:pPr>
        <w:spacing w:line="480" w:lineRule="auto"/>
        <w:ind w:left="3064" w:leftChars="570" w:hanging="1468" w:hangingChars="459"/>
        <w:jc w:val="left"/>
        <w:rPr>
          <w:rFonts w:hint="eastAsia" w:ascii="仿宋_GB2312" w:hAnsi="Times New Roman" w:cs="Times New Roman"/>
          <w:kern w:val="0"/>
          <w:sz w:val="32"/>
          <w:szCs w:val="32"/>
          <w:lang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eastAsia="zh-CN" w:bidi="en-US"/>
        </w:rPr>
        <w:t xml:space="preserve">关于拨付第九批疫情防控补助资金（医务人员临时性工作补助）的通知 </w:t>
      </w:r>
    </w:p>
    <w:p w14:paraId="7B9FBD4A">
      <w:pPr>
        <w:spacing w:line="480" w:lineRule="auto"/>
        <w:ind w:left="3339" w:leftChars="556" w:hanging="1782" w:hangingChars="557"/>
        <w:jc w:val="left"/>
        <w:rPr>
          <w:rFonts w:hint="eastAsia" w:ascii="仿宋_GB2312" w:hAnsi="Times New Roman" w:cs="Times New Roman"/>
          <w:kern w:val="0"/>
          <w:sz w:val="32"/>
          <w:szCs w:val="32"/>
          <w:lang w:eastAsia="zh-CN"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eastAsia="zh-CN" w:bidi="en-US"/>
        </w:rPr>
        <w:t>乌鲁木齐市第一人民医院（乌鲁木齐儿童医院）</w:t>
      </w:r>
    </w:p>
    <w:p w14:paraId="45E12DC1">
      <w:pPr>
        <w:spacing w:line="480" w:lineRule="auto"/>
        <w:ind w:left="280" w:leftChars="100" w:firstLine="1091" w:firstLineChars="3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eastAsia="zh-CN" w:bidi="en-US"/>
        </w:rPr>
        <w:t>乌鲁木齐市卫生健康委员会</w:t>
      </w:r>
    </w:p>
    <w:p w14:paraId="19AE7A88">
      <w:pPr>
        <w:spacing w:line="480" w:lineRule="auto"/>
        <w:ind w:firstLine="1411" w:firstLineChars="441"/>
        <w:jc w:val="left"/>
        <w:rPr>
          <w:rFonts w:ascii="仿宋_GB2312" w:hAnsi="Times New Roman" w:cs="Times New Roman"/>
          <w:kern w:val="0"/>
          <w:sz w:val="32"/>
          <w:szCs w:val="32"/>
          <w:lang w:bidi="en-US"/>
        </w:rPr>
      </w:pPr>
    </w:p>
    <w:p w14:paraId="7D0FE3E4">
      <w:pPr>
        <w:spacing w:line="480" w:lineRule="auto"/>
        <w:ind w:firstLine="0" w:firstLineChars="0"/>
        <w:rPr>
          <w:rFonts w:ascii="黑体" w:hAnsi="Times New Roman" w:eastAsia="黑体" w:cs="Times New Roman"/>
          <w:b/>
          <w:kern w:val="0"/>
          <w:sz w:val="32"/>
          <w:szCs w:val="32"/>
          <w:lang w:bidi="en-US"/>
        </w:rPr>
      </w:pPr>
    </w:p>
    <w:p w14:paraId="2F74CECC">
      <w:pPr>
        <w:spacing w:line="480" w:lineRule="auto"/>
        <w:ind w:firstLine="0" w:firstLineChars="0"/>
        <w:rPr>
          <w:rFonts w:ascii="黑体" w:hAnsi="Times New Roman" w:eastAsia="黑体" w:cs="Times New Roman"/>
          <w:b/>
          <w:kern w:val="0"/>
          <w:sz w:val="32"/>
          <w:szCs w:val="32"/>
          <w:lang w:bidi="en-US"/>
        </w:rPr>
      </w:pPr>
    </w:p>
    <w:p w14:paraId="5A6A78BE">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w:t>
      </w:r>
      <w:r>
        <w:rPr>
          <w:rFonts w:hint="eastAsia" w:ascii="仿宋_GB2312" w:hAnsi="Times New Roman" w:cs="Times New Roman"/>
          <w:kern w:val="0"/>
          <w:sz w:val="32"/>
          <w:szCs w:val="32"/>
          <w:lang w:val="en-US" w:eastAsia="zh-CN" w:bidi="en-US"/>
        </w:rPr>
        <w:t>4</w:t>
      </w:r>
      <w:r>
        <w:rPr>
          <w:rFonts w:hint="eastAsia" w:ascii="仿宋_GB2312" w:hAnsi="Times New Roman" w:cs="Times New Roman"/>
          <w:kern w:val="0"/>
          <w:sz w:val="32"/>
          <w:szCs w:val="32"/>
          <w:lang w:bidi="en-US"/>
        </w:rPr>
        <w:t>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1EA5AEF0">
      <w:pPr>
        <w:spacing w:line="480" w:lineRule="auto"/>
        <w:ind w:firstLine="0" w:firstLineChars="0"/>
        <w:jc w:val="center"/>
        <w:rPr>
          <w:rFonts w:ascii="仿宋_GB2312" w:hAnsi="Times New Roman" w:cs="Times New Roman"/>
          <w:kern w:val="0"/>
          <w:sz w:val="32"/>
          <w:szCs w:val="32"/>
          <w:lang w:bidi="en-US"/>
        </w:rPr>
      </w:pPr>
    </w:p>
    <w:p w14:paraId="57BD7745">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2EB548A7">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4D7F53FA">
          <w:pPr>
            <w:pStyle w:val="30"/>
            <w:ind w:firstLine="560"/>
            <w:jc w:val="center"/>
          </w:pPr>
          <w:r>
            <w:rPr>
              <w:lang w:val="zh-CN"/>
            </w:rPr>
            <w:t>目录</w:t>
          </w:r>
        </w:p>
        <w:p w14:paraId="539D65EB">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9"/>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5B4045D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9"/>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7E4D191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9"/>
            </w:rPr>
            <w:t>1</w:t>
          </w:r>
          <w:r>
            <w:rPr>
              <w:rStyle w:val="19"/>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01940F9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9"/>
            </w:rPr>
            <w:t>2.</w:t>
          </w:r>
          <w:r>
            <w:rPr>
              <w:rStyle w:val="19"/>
              <w:rFonts w:hint="eastAsia"/>
            </w:rPr>
            <w:t>资金投入和使用情况</w:t>
          </w:r>
          <w:r>
            <w:tab/>
          </w:r>
          <w:r>
            <w:fldChar w:fldCharType="begin"/>
          </w:r>
          <w:r>
            <w:instrText xml:space="preserve"> PAGEREF _Toc165277223 \h </w:instrText>
          </w:r>
          <w:r>
            <w:fldChar w:fldCharType="separate"/>
          </w:r>
          <w:r>
            <w:t>2</w:t>
          </w:r>
          <w:r>
            <w:fldChar w:fldCharType="end"/>
          </w:r>
          <w:r>
            <w:fldChar w:fldCharType="end"/>
          </w:r>
        </w:p>
        <w:p w14:paraId="1903ED9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9"/>
              <w:rFonts w:hint="eastAsia" w:ascii="仿宋" w:hAnsi="仿宋" w:eastAsia="仿宋"/>
              <w:lang w:bidi="en-US"/>
            </w:rPr>
            <w:t>（二）项目绩效目标：</w:t>
          </w:r>
          <w:r>
            <w:tab/>
          </w:r>
          <w:r>
            <w:fldChar w:fldCharType="begin"/>
          </w:r>
          <w:r>
            <w:instrText xml:space="preserve"> PAGEREF _Toc165277224 \h </w:instrText>
          </w:r>
          <w:r>
            <w:fldChar w:fldCharType="separate"/>
          </w:r>
          <w:r>
            <w:t>3</w:t>
          </w:r>
          <w:r>
            <w:fldChar w:fldCharType="end"/>
          </w:r>
          <w:r>
            <w:fldChar w:fldCharType="end"/>
          </w:r>
        </w:p>
        <w:p w14:paraId="1A85EFFB">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9"/>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4</w:t>
          </w:r>
          <w:r>
            <w:fldChar w:fldCharType="end"/>
          </w:r>
          <w:r>
            <w:fldChar w:fldCharType="end"/>
          </w:r>
        </w:p>
        <w:p w14:paraId="7F3A432C">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9"/>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4</w:t>
          </w:r>
          <w:r>
            <w:fldChar w:fldCharType="end"/>
          </w:r>
          <w:r>
            <w:fldChar w:fldCharType="end"/>
          </w:r>
        </w:p>
        <w:p w14:paraId="127341A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9"/>
            </w:rPr>
            <w:t>1.</w:t>
          </w:r>
          <w:r>
            <w:rPr>
              <w:rStyle w:val="19"/>
              <w:rFonts w:hint="eastAsia"/>
            </w:rPr>
            <w:t>绩效评价完整性</w:t>
          </w:r>
          <w:r>
            <w:tab/>
          </w:r>
          <w:r>
            <w:fldChar w:fldCharType="begin"/>
          </w:r>
          <w:r>
            <w:instrText xml:space="preserve"> PAGEREF _Toc165277227 \h </w:instrText>
          </w:r>
          <w:r>
            <w:fldChar w:fldCharType="separate"/>
          </w:r>
          <w:r>
            <w:t>4</w:t>
          </w:r>
          <w:r>
            <w:fldChar w:fldCharType="end"/>
          </w:r>
          <w:r>
            <w:fldChar w:fldCharType="end"/>
          </w:r>
        </w:p>
        <w:p w14:paraId="08E4C43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9"/>
            </w:rPr>
            <w:t>2.</w:t>
          </w:r>
          <w:r>
            <w:rPr>
              <w:rStyle w:val="19"/>
              <w:rFonts w:hint="eastAsia"/>
            </w:rPr>
            <w:t>评价目的</w:t>
          </w:r>
          <w:r>
            <w:tab/>
          </w:r>
          <w:r>
            <w:fldChar w:fldCharType="begin"/>
          </w:r>
          <w:r>
            <w:instrText xml:space="preserve"> PAGEREF _Toc165277228 \h </w:instrText>
          </w:r>
          <w:r>
            <w:fldChar w:fldCharType="separate"/>
          </w:r>
          <w:r>
            <w:t>5</w:t>
          </w:r>
          <w:r>
            <w:fldChar w:fldCharType="end"/>
          </w:r>
          <w:r>
            <w:fldChar w:fldCharType="end"/>
          </w:r>
        </w:p>
        <w:p w14:paraId="4A13417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9"/>
            </w:rPr>
            <w:t>3.</w:t>
          </w:r>
          <w:r>
            <w:rPr>
              <w:rStyle w:val="19"/>
              <w:rFonts w:hint="eastAsia"/>
            </w:rPr>
            <w:t>评价对象</w:t>
          </w:r>
          <w:r>
            <w:tab/>
          </w:r>
          <w:r>
            <w:fldChar w:fldCharType="begin"/>
          </w:r>
          <w:r>
            <w:instrText xml:space="preserve"> PAGEREF _Toc165277229 \h </w:instrText>
          </w:r>
          <w:r>
            <w:fldChar w:fldCharType="separate"/>
          </w:r>
          <w:r>
            <w:t>5</w:t>
          </w:r>
          <w:r>
            <w:fldChar w:fldCharType="end"/>
          </w:r>
          <w:r>
            <w:fldChar w:fldCharType="end"/>
          </w:r>
        </w:p>
        <w:p w14:paraId="3CC43408">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9"/>
            </w:rPr>
            <w:t>4.</w:t>
          </w:r>
          <w:r>
            <w:rPr>
              <w:rStyle w:val="19"/>
              <w:rFonts w:hint="eastAsia"/>
            </w:rPr>
            <w:t>绩效评价范围</w:t>
          </w:r>
          <w:r>
            <w:tab/>
          </w:r>
          <w:r>
            <w:fldChar w:fldCharType="begin"/>
          </w:r>
          <w:r>
            <w:instrText xml:space="preserve"> PAGEREF _Toc165277230 \h </w:instrText>
          </w:r>
          <w:r>
            <w:fldChar w:fldCharType="separate"/>
          </w:r>
          <w:r>
            <w:t>5</w:t>
          </w:r>
          <w:r>
            <w:fldChar w:fldCharType="end"/>
          </w:r>
          <w:r>
            <w:fldChar w:fldCharType="end"/>
          </w:r>
        </w:p>
        <w:p w14:paraId="077205F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9"/>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6</w:t>
          </w:r>
          <w:r>
            <w:fldChar w:fldCharType="end"/>
          </w:r>
          <w:r>
            <w:fldChar w:fldCharType="end"/>
          </w:r>
        </w:p>
        <w:p w14:paraId="5619565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9"/>
            </w:rPr>
            <w:t>1.</w:t>
          </w:r>
          <w:r>
            <w:rPr>
              <w:rStyle w:val="19"/>
              <w:rFonts w:hint="eastAsia"/>
            </w:rPr>
            <w:t>评价原则</w:t>
          </w:r>
          <w:r>
            <w:tab/>
          </w:r>
          <w:r>
            <w:fldChar w:fldCharType="begin"/>
          </w:r>
          <w:r>
            <w:instrText xml:space="preserve"> PAGEREF _Toc165277232 \h </w:instrText>
          </w:r>
          <w:r>
            <w:fldChar w:fldCharType="separate"/>
          </w:r>
          <w:r>
            <w:t>6</w:t>
          </w:r>
          <w:r>
            <w:fldChar w:fldCharType="end"/>
          </w:r>
          <w:r>
            <w:fldChar w:fldCharType="end"/>
          </w:r>
        </w:p>
        <w:p w14:paraId="4A3B009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9"/>
            </w:rPr>
            <w:t>2.</w:t>
          </w:r>
          <w:r>
            <w:rPr>
              <w:rStyle w:val="19"/>
              <w:rFonts w:hint="eastAsia"/>
            </w:rPr>
            <w:t>评价指标体系</w:t>
          </w:r>
          <w:r>
            <w:tab/>
          </w:r>
          <w:r>
            <w:fldChar w:fldCharType="begin"/>
          </w:r>
          <w:r>
            <w:instrText xml:space="preserve"> PAGEREF _Toc165277233 \h </w:instrText>
          </w:r>
          <w:r>
            <w:fldChar w:fldCharType="separate"/>
          </w:r>
          <w:r>
            <w:t>6</w:t>
          </w:r>
          <w:r>
            <w:fldChar w:fldCharType="end"/>
          </w:r>
          <w:r>
            <w:fldChar w:fldCharType="end"/>
          </w:r>
        </w:p>
        <w:p w14:paraId="2F73849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9"/>
            </w:rPr>
            <w:t>3.</w:t>
          </w:r>
          <w:r>
            <w:rPr>
              <w:rStyle w:val="19"/>
              <w:rFonts w:hint="eastAsia"/>
            </w:rPr>
            <w:t>评价方法</w:t>
          </w:r>
          <w:r>
            <w:tab/>
          </w:r>
          <w:r>
            <w:fldChar w:fldCharType="begin"/>
          </w:r>
          <w:r>
            <w:instrText xml:space="preserve"> PAGEREF _Toc165277234 \h </w:instrText>
          </w:r>
          <w:r>
            <w:fldChar w:fldCharType="separate"/>
          </w:r>
          <w:r>
            <w:t>13</w:t>
          </w:r>
          <w:r>
            <w:fldChar w:fldCharType="end"/>
          </w:r>
          <w:r>
            <w:fldChar w:fldCharType="end"/>
          </w:r>
        </w:p>
        <w:p w14:paraId="07D7F97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9"/>
            </w:rPr>
            <w:t>4.</w:t>
          </w:r>
          <w:r>
            <w:rPr>
              <w:rStyle w:val="19"/>
              <w:rFonts w:hint="eastAsia"/>
            </w:rPr>
            <w:t>评价标准</w:t>
          </w:r>
          <w:r>
            <w:tab/>
          </w:r>
          <w:r>
            <w:fldChar w:fldCharType="begin"/>
          </w:r>
          <w:r>
            <w:instrText xml:space="preserve"> PAGEREF _Toc165277235 \h </w:instrText>
          </w:r>
          <w:r>
            <w:fldChar w:fldCharType="separate"/>
          </w:r>
          <w:r>
            <w:t>14</w:t>
          </w:r>
          <w:r>
            <w:fldChar w:fldCharType="end"/>
          </w:r>
          <w:r>
            <w:fldChar w:fldCharType="end"/>
          </w:r>
        </w:p>
        <w:p w14:paraId="486FDE9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9"/>
              <w:rFonts w:hint="eastAsia" w:ascii="仿宋" w:hAnsi="仿宋" w:eastAsia="仿宋"/>
              <w:lang w:bidi="en-US"/>
            </w:rPr>
            <w:t>（三）绩效评价工作过程</w:t>
          </w:r>
          <w:r>
            <w:tab/>
          </w:r>
          <w:r>
            <w:fldChar w:fldCharType="begin"/>
          </w:r>
          <w:r>
            <w:instrText xml:space="preserve"> PAGEREF _Toc165277236 \h </w:instrText>
          </w:r>
          <w:r>
            <w:fldChar w:fldCharType="separate"/>
          </w:r>
          <w:r>
            <w:t>15</w:t>
          </w:r>
          <w:r>
            <w:fldChar w:fldCharType="end"/>
          </w:r>
          <w:r>
            <w:fldChar w:fldCharType="end"/>
          </w:r>
        </w:p>
        <w:p w14:paraId="2F5155B6">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9"/>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15</w:t>
          </w:r>
          <w:r>
            <w:fldChar w:fldCharType="end"/>
          </w:r>
          <w:r>
            <w:fldChar w:fldCharType="end"/>
          </w:r>
        </w:p>
        <w:p w14:paraId="0FE8F355">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9"/>
              <w:rFonts w:hint="eastAsia" w:ascii="仿宋" w:hAnsi="仿宋" w:eastAsia="仿宋"/>
              <w:lang w:bidi="en-US"/>
            </w:rPr>
            <w:t>（一）评价结论</w:t>
          </w:r>
          <w:r>
            <w:tab/>
          </w:r>
          <w:r>
            <w:fldChar w:fldCharType="begin"/>
          </w:r>
          <w:r>
            <w:instrText xml:space="preserve"> PAGEREF _Toc165277238 \h </w:instrText>
          </w:r>
          <w:r>
            <w:fldChar w:fldCharType="separate"/>
          </w:r>
          <w:r>
            <w:t>15</w:t>
          </w:r>
          <w:r>
            <w:fldChar w:fldCharType="end"/>
          </w:r>
          <w:r>
            <w:fldChar w:fldCharType="end"/>
          </w:r>
        </w:p>
        <w:p w14:paraId="50797E2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9"/>
              <w:rFonts w:hint="eastAsia" w:ascii="仿宋" w:hAnsi="仿宋" w:eastAsia="仿宋"/>
              <w:lang w:bidi="en-US"/>
            </w:rPr>
            <w:t>（二）主要绩效</w:t>
          </w:r>
          <w:r>
            <w:tab/>
          </w:r>
          <w:r>
            <w:fldChar w:fldCharType="begin"/>
          </w:r>
          <w:r>
            <w:instrText xml:space="preserve"> PAGEREF _Toc165277239 \h </w:instrText>
          </w:r>
          <w:r>
            <w:fldChar w:fldCharType="separate"/>
          </w:r>
          <w:r>
            <w:t>17</w:t>
          </w:r>
          <w:r>
            <w:fldChar w:fldCharType="end"/>
          </w:r>
          <w:r>
            <w:fldChar w:fldCharType="end"/>
          </w:r>
        </w:p>
        <w:p w14:paraId="0BDA3412">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9"/>
              <w:rFonts w:hint="eastAsia" w:ascii="仿宋" w:hAnsi="仿宋" w:eastAsia="仿宋"/>
              <w:lang w:bidi="en-US"/>
            </w:rPr>
            <w:t>四、绩效评价指标分析</w:t>
          </w:r>
          <w:r>
            <w:tab/>
          </w:r>
          <w:r>
            <w:fldChar w:fldCharType="begin"/>
          </w:r>
          <w:r>
            <w:instrText xml:space="preserve"> PAGEREF _Toc165277240 \h </w:instrText>
          </w:r>
          <w:r>
            <w:fldChar w:fldCharType="separate"/>
          </w:r>
          <w:r>
            <w:t>17</w:t>
          </w:r>
          <w:r>
            <w:fldChar w:fldCharType="end"/>
          </w:r>
          <w:r>
            <w:fldChar w:fldCharType="end"/>
          </w:r>
        </w:p>
        <w:p w14:paraId="07DA3D3C">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9"/>
              <w:rFonts w:hint="eastAsia" w:ascii="仿宋" w:hAnsi="仿宋" w:eastAsia="仿宋"/>
              <w:lang w:bidi="en-US"/>
            </w:rPr>
            <w:t>（一）项目决策情况</w:t>
          </w:r>
          <w:r>
            <w:tab/>
          </w:r>
          <w:r>
            <w:fldChar w:fldCharType="begin"/>
          </w:r>
          <w:r>
            <w:instrText xml:space="preserve"> PAGEREF _Toc165277241 \h </w:instrText>
          </w:r>
          <w:r>
            <w:fldChar w:fldCharType="separate"/>
          </w:r>
          <w:r>
            <w:t>17</w:t>
          </w:r>
          <w:r>
            <w:fldChar w:fldCharType="end"/>
          </w:r>
          <w:r>
            <w:fldChar w:fldCharType="end"/>
          </w:r>
        </w:p>
        <w:p w14:paraId="74E3A16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9"/>
            </w:rPr>
            <w:t>1.</w:t>
          </w:r>
          <w:r>
            <w:rPr>
              <w:rStyle w:val="19"/>
              <w:rFonts w:hint="eastAsia"/>
            </w:rPr>
            <w:t>项目立项</w:t>
          </w:r>
          <w:r>
            <w:tab/>
          </w:r>
          <w:r>
            <w:fldChar w:fldCharType="begin"/>
          </w:r>
          <w:r>
            <w:instrText xml:space="preserve"> PAGEREF _Toc165277242 \h </w:instrText>
          </w:r>
          <w:r>
            <w:fldChar w:fldCharType="separate"/>
          </w:r>
          <w:r>
            <w:t>17</w:t>
          </w:r>
          <w:r>
            <w:fldChar w:fldCharType="end"/>
          </w:r>
          <w:r>
            <w:fldChar w:fldCharType="end"/>
          </w:r>
        </w:p>
        <w:p w14:paraId="3566195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9"/>
            </w:rPr>
            <w:t>2.</w:t>
          </w:r>
          <w:r>
            <w:rPr>
              <w:rStyle w:val="19"/>
              <w:rFonts w:hint="eastAsia"/>
            </w:rPr>
            <w:t>绩效目标</w:t>
          </w:r>
          <w:r>
            <w:tab/>
          </w:r>
          <w:r>
            <w:fldChar w:fldCharType="begin"/>
          </w:r>
          <w:r>
            <w:instrText xml:space="preserve"> PAGEREF _Toc165277243 \h </w:instrText>
          </w:r>
          <w:r>
            <w:fldChar w:fldCharType="separate"/>
          </w:r>
          <w:r>
            <w:t>18</w:t>
          </w:r>
          <w:r>
            <w:fldChar w:fldCharType="end"/>
          </w:r>
          <w:r>
            <w:fldChar w:fldCharType="end"/>
          </w:r>
        </w:p>
        <w:p w14:paraId="43107548">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9"/>
            </w:rPr>
            <w:t>3.</w:t>
          </w:r>
          <w:r>
            <w:rPr>
              <w:rStyle w:val="19"/>
              <w:rFonts w:hint="eastAsia"/>
            </w:rPr>
            <w:t>资金投入</w:t>
          </w:r>
          <w:r>
            <w:tab/>
          </w:r>
          <w:r>
            <w:fldChar w:fldCharType="begin"/>
          </w:r>
          <w:r>
            <w:instrText xml:space="preserve"> PAGEREF _Toc165277244 \h </w:instrText>
          </w:r>
          <w:r>
            <w:fldChar w:fldCharType="separate"/>
          </w:r>
          <w:r>
            <w:t>19</w:t>
          </w:r>
          <w:r>
            <w:fldChar w:fldCharType="end"/>
          </w:r>
          <w:r>
            <w:fldChar w:fldCharType="end"/>
          </w:r>
        </w:p>
        <w:p w14:paraId="05FCEFF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9"/>
              <w:rFonts w:hint="eastAsia" w:ascii="仿宋" w:hAnsi="仿宋" w:eastAsia="仿宋"/>
              <w:lang w:bidi="en-US"/>
            </w:rPr>
            <w:t>（二）项目过程情况</w:t>
          </w:r>
          <w:r>
            <w:tab/>
          </w:r>
          <w:r>
            <w:fldChar w:fldCharType="begin"/>
          </w:r>
          <w:r>
            <w:instrText xml:space="preserve"> PAGEREF _Toc165277245 \h </w:instrText>
          </w:r>
          <w:r>
            <w:fldChar w:fldCharType="separate"/>
          </w:r>
          <w:r>
            <w:t>20</w:t>
          </w:r>
          <w:r>
            <w:fldChar w:fldCharType="end"/>
          </w:r>
          <w:r>
            <w:fldChar w:fldCharType="end"/>
          </w:r>
        </w:p>
        <w:p w14:paraId="27734746">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9"/>
            </w:rPr>
            <w:t>1.</w:t>
          </w:r>
          <w:r>
            <w:rPr>
              <w:rStyle w:val="19"/>
              <w:rFonts w:hint="eastAsia"/>
            </w:rPr>
            <w:t>资金管理</w:t>
          </w:r>
          <w:r>
            <w:tab/>
          </w:r>
          <w:r>
            <w:fldChar w:fldCharType="begin"/>
          </w:r>
          <w:r>
            <w:instrText xml:space="preserve"> PAGEREF _Toc165277246 \h </w:instrText>
          </w:r>
          <w:r>
            <w:fldChar w:fldCharType="separate"/>
          </w:r>
          <w:r>
            <w:t>20</w:t>
          </w:r>
          <w:r>
            <w:fldChar w:fldCharType="end"/>
          </w:r>
          <w:r>
            <w:fldChar w:fldCharType="end"/>
          </w:r>
        </w:p>
        <w:p w14:paraId="3D8F4B8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9"/>
            </w:rPr>
            <w:t>2.</w:t>
          </w:r>
          <w:r>
            <w:rPr>
              <w:rStyle w:val="19"/>
              <w:rFonts w:hint="eastAsia"/>
            </w:rPr>
            <w:t>组织实施</w:t>
          </w:r>
          <w:r>
            <w:tab/>
          </w:r>
          <w:r>
            <w:fldChar w:fldCharType="begin"/>
          </w:r>
          <w:r>
            <w:instrText xml:space="preserve"> PAGEREF _Toc165277247 \h </w:instrText>
          </w:r>
          <w:r>
            <w:fldChar w:fldCharType="separate"/>
          </w:r>
          <w:r>
            <w:t>21</w:t>
          </w:r>
          <w:r>
            <w:fldChar w:fldCharType="end"/>
          </w:r>
          <w:r>
            <w:fldChar w:fldCharType="end"/>
          </w:r>
        </w:p>
        <w:p w14:paraId="3DBB000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9"/>
              <w:rFonts w:hint="eastAsia" w:ascii="仿宋" w:hAnsi="仿宋" w:eastAsia="仿宋"/>
              <w:lang w:bidi="en-US"/>
            </w:rPr>
            <w:t>（三）项目产出情况</w:t>
          </w:r>
          <w:r>
            <w:tab/>
          </w:r>
          <w:r>
            <w:fldChar w:fldCharType="begin"/>
          </w:r>
          <w:r>
            <w:instrText xml:space="preserve"> PAGEREF _Toc165277248 \h </w:instrText>
          </w:r>
          <w:r>
            <w:fldChar w:fldCharType="separate"/>
          </w:r>
          <w:r>
            <w:t>21</w:t>
          </w:r>
          <w:r>
            <w:fldChar w:fldCharType="end"/>
          </w:r>
          <w:r>
            <w:fldChar w:fldCharType="end"/>
          </w:r>
        </w:p>
        <w:p w14:paraId="332D701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9"/>
            </w:rPr>
            <w:t>1.</w:t>
          </w:r>
          <w:r>
            <w:rPr>
              <w:rStyle w:val="19"/>
              <w:rFonts w:hint="eastAsia"/>
            </w:rPr>
            <w:t>产出数量</w:t>
          </w:r>
          <w:r>
            <w:tab/>
          </w:r>
          <w:r>
            <w:fldChar w:fldCharType="begin"/>
          </w:r>
          <w:r>
            <w:instrText xml:space="preserve"> PAGEREF _Toc165277249 \h </w:instrText>
          </w:r>
          <w:r>
            <w:fldChar w:fldCharType="separate"/>
          </w:r>
          <w:r>
            <w:t>22</w:t>
          </w:r>
          <w:r>
            <w:fldChar w:fldCharType="end"/>
          </w:r>
          <w:r>
            <w:fldChar w:fldCharType="end"/>
          </w:r>
        </w:p>
        <w:p w14:paraId="6D455C15">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9"/>
            </w:rPr>
            <w:t>2.</w:t>
          </w:r>
          <w:r>
            <w:rPr>
              <w:rStyle w:val="19"/>
              <w:rFonts w:hint="eastAsia"/>
            </w:rPr>
            <w:t>产出质量</w:t>
          </w:r>
          <w:r>
            <w:tab/>
          </w:r>
          <w:r>
            <w:fldChar w:fldCharType="begin"/>
          </w:r>
          <w:r>
            <w:instrText xml:space="preserve"> PAGEREF _Toc165277250 \h </w:instrText>
          </w:r>
          <w:r>
            <w:fldChar w:fldCharType="separate"/>
          </w:r>
          <w:r>
            <w:t>22</w:t>
          </w:r>
          <w:r>
            <w:fldChar w:fldCharType="end"/>
          </w:r>
          <w:r>
            <w:fldChar w:fldCharType="end"/>
          </w:r>
        </w:p>
        <w:p w14:paraId="0D70E7C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9"/>
            </w:rPr>
            <w:t>3.</w:t>
          </w:r>
          <w:r>
            <w:rPr>
              <w:rStyle w:val="19"/>
              <w:rFonts w:hint="eastAsia"/>
            </w:rPr>
            <w:t>产出时效</w:t>
          </w:r>
          <w:r>
            <w:tab/>
          </w:r>
          <w:r>
            <w:fldChar w:fldCharType="begin"/>
          </w:r>
          <w:r>
            <w:instrText xml:space="preserve"> PAGEREF _Toc165277251 \h </w:instrText>
          </w:r>
          <w:r>
            <w:fldChar w:fldCharType="separate"/>
          </w:r>
          <w:r>
            <w:t>22</w:t>
          </w:r>
          <w:r>
            <w:fldChar w:fldCharType="end"/>
          </w:r>
          <w:r>
            <w:fldChar w:fldCharType="end"/>
          </w:r>
        </w:p>
        <w:p w14:paraId="00322CB6">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9"/>
            </w:rPr>
            <w:t>4.</w:t>
          </w:r>
          <w:r>
            <w:rPr>
              <w:rStyle w:val="19"/>
              <w:rFonts w:hint="eastAsia"/>
            </w:rPr>
            <w:t>产出成本</w:t>
          </w:r>
          <w:r>
            <w:tab/>
          </w:r>
          <w:r>
            <w:fldChar w:fldCharType="begin"/>
          </w:r>
          <w:r>
            <w:instrText xml:space="preserve"> PAGEREF _Toc165277252 \h </w:instrText>
          </w:r>
          <w:r>
            <w:fldChar w:fldCharType="separate"/>
          </w:r>
          <w:r>
            <w:t>23</w:t>
          </w:r>
          <w:r>
            <w:fldChar w:fldCharType="end"/>
          </w:r>
          <w:r>
            <w:fldChar w:fldCharType="end"/>
          </w:r>
        </w:p>
        <w:p w14:paraId="58D2384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9"/>
              <w:rFonts w:hint="eastAsia" w:ascii="仿宋" w:hAnsi="仿宋" w:eastAsia="仿宋"/>
              <w:lang w:bidi="en-US"/>
            </w:rPr>
            <w:t>（四）项目效益情况</w:t>
          </w:r>
          <w:r>
            <w:tab/>
          </w:r>
          <w:r>
            <w:fldChar w:fldCharType="begin"/>
          </w:r>
          <w:r>
            <w:instrText xml:space="preserve"> PAGEREF _Toc165277253 \h </w:instrText>
          </w:r>
          <w:r>
            <w:fldChar w:fldCharType="separate"/>
          </w:r>
          <w:r>
            <w:t>23</w:t>
          </w:r>
          <w:r>
            <w:fldChar w:fldCharType="end"/>
          </w:r>
          <w:r>
            <w:fldChar w:fldCharType="end"/>
          </w:r>
        </w:p>
        <w:p w14:paraId="3B40142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9"/>
            </w:rPr>
            <w:t>1.</w:t>
          </w:r>
          <w:r>
            <w:rPr>
              <w:rStyle w:val="19"/>
              <w:rFonts w:hint="eastAsia"/>
            </w:rPr>
            <w:t>项目效益</w:t>
          </w:r>
          <w:r>
            <w:tab/>
          </w:r>
          <w:r>
            <w:fldChar w:fldCharType="begin"/>
          </w:r>
          <w:r>
            <w:instrText xml:space="preserve"> PAGEREF _Toc165277254 \h </w:instrText>
          </w:r>
          <w:r>
            <w:fldChar w:fldCharType="separate"/>
          </w:r>
          <w:r>
            <w:t>23</w:t>
          </w:r>
          <w:r>
            <w:fldChar w:fldCharType="end"/>
          </w:r>
          <w:r>
            <w:fldChar w:fldCharType="end"/>
          </w:r>
        </w:p>
        <w:p w14:paraId="37C7491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9"/>
            </w:rPr>
            <w:t xml:space="preserve">2. </w:t>
          </w:r>
          <w:r>
            <w:rPr>
              <w:rStyle w:val="19"/>
              <w:rFonts w:hint="eastAsia"/>
            </w:rPr>
            <w:t>满意度指标完成情况分析</w:t>
          </w:r>
          <w:r>
            <w:tab/>
          </w:r>
          <w:r>
            <w:fldChar w:fldCharType="begin"/>
          </w:r>
          <w:r>
            <w:instrText xml:space="preserve"> PAGEREF _Toc165277255 \h </w:instrText>
          </w:r>
          <w:r>
            <w:fldChar w:fldCharType="separate"/>
          </w:r>
          <w:r>
            <w:t>24</w:t>
          </w:r>
          <w:r>
            <w:fldChar w:fldCharType="end"/>
          </w:r>
          <w:r>
            <w:fldChar w:fldCharType="end"/>
          </w:r>
        </w:p>
        <w:p w14:paraId="3048A0B5">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9"/>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25</w:t>
          </w:r>
          <w:r>
            <w:fldChar w:fldCharType="end"/>
          </w:r>
          <w:r>
            <w:fldChar w:fldCharType="end"/>
          </w:r>
        </w:p>
        <w:p w14:paraId="7006214C">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9"/>
              <w:rFonts w:hint="eastAsia" w:ascii="仿宋" w:hAnsi="仿宋" w:eastAsia="仿宋"/>
              <w:lang w:bidi="en-US"/>
            </w:rPr>
            <w:t>（一）主要经验及做法</w:t>
          </w:r>
          <w:r>
            <w:tab/>
          </w:r>
          <w:r>
            <w:fldChar w:fldCharType="begin"/>
          </w:r>
          <w:r>
            <w:instrText xml:space="preserve"> PAGEREF _Toc165277257 \h </w:instrText>
          </w:r>
          <w:r>
            <w:fldChar w:fldCharType="separate"/>
          </w:r>
          <w:r>
            <w:t>25</w:t>
          </w:r>
          <w:r>
            <w:fldChar w:fldCharType="end"/>
          </w:r>
          <w:r>
            <w:fldChar w:fldCharType="end"/>
          </w:r>
        </w:p>
        <w:p w14:paraId="386A34C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9"/>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25</w:t>
          </w:r>
          <w:r>
            <w:fldChar w:fldCharType="end"/>
          </w:r>
          <w:r>
            <w:fldChar w:fldCharType="end"/>
          </w:r>
        </w:p>
        <w:p w14:paraId="1A62376A">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9"/>
              <w:rFonts w:hint="eastAsia" w:ascii="仿宋" w:hAnsi="仿宋" w:eastAsia="仿宋"/>
              <w:lang w:bidi="en-US"/>
            </w:rPr>
            <w:t>六、有关建议</w:t>
          </w:r>
          <w:r>
            <w:tab/>
          </w:r>
          <w:r>
            <w:fldChar w:fldCharType="begin"/>
          </w:r>
          <w:r>
            <w:instrText xml:space="preserve"> PAGEREF _Toc165277259 \h </w:instrText>
          </w:r>
          <w:r>
            <w:fldChar w:fldCharType="separate"/>
          </w:r>
          <w:r>
            <w:t>26</w:t>
          </w:r>
          <w:r>
            <w:fldChar w:fldCharType="end"/>
          </w:r>
          <w:r>
            <w:fldChar w:fldCharType="end"/>
          </w:r>
        </w:p>
        <w:p w14:paraId="599AAA20">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9"/>
              <w:rFonts w:hint="eastAsia" w:ascii="仿宋" w:hAnsi="仿宋" w:eastAsia="仿宋"/>
              <w:lang w:bidi="en-US"/>
            </w:rPr>
            <w:t>七、其他需要说明的问题</w:t>
          </w:r>
          <w:r>
            <w:tab/>
          </w:r>
          <w:r>
            <w:fldChar w:fldCharType="begin"/>
          </w:r>
          <w:r>
            <w:instrText xml:space="preserve"> PAGEREF _Toc165277260 \h </w:instrText>
          </w:r>
          <w:r>
            <w:fldChar w:fldCharType="separate"/>
          </w:r>
          <w:r>
            <w:t>27</w:t>
          </w:r>
          <w:r>
            <w:fldChar w:fldCharType="end"/>
          </w:r>
          <w:r>
            <w:fldChar w:fldCharType="end"/>
          </w:r>
        </w:p>
        <w:p w14:paraId="35DAFB8F">
          <w:pPr>
            <w:ind w:firstLine="562"/>
          </w:pPr>
          <w:r>
            <w:rPr>
              <w:b/>
              <w:bCs/>
              <w:lang w:val="zh-CN"/>
            </w:rPr>
            <w:fldChar w:fldCharType="end"/>
          </w:r>
        </w:p>
      </w:sdtContent>
    </w:sdt>
    <w:p w14:paraId="339169A9">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79B7222E">
      <w:pPr>
        <w:pStyle w:val="2"/>
        <w:ind w:firstLine="0" w:firstLineChars="0"/>
        <w:jc w:val="left"/>
        <w:rPr>
          <w:rFonts w:ascii="仿宋" w:hAnsi="仿宋" w:eastAsia="仿宋"/>
          <w:sz w:val="36"/>
          <w:szCs w:val="36"/>
          <w:lang w:bidi="en-US"/>
        </w:rPr>
      </w:pPr>
      <w:bookmarkStart w:id="0" w:name="_Toc67911601"/>
      <w:bookmarkStart w:id="1" w:name="_Toc165277220"/>
      <w:r>
        <w:rPr>
          <w:rFonts w:hint="eastAsia" w:ascii="仿宋" w:hAnsi="仿宋" w:eastAsia="仿宋"/>
          <w:sz w:val="36"/>
          <w:szCs w:val="36"/>
          <w:lang w:bidi="en-US"/>
        </w:rPr>
        <w:t>一、基本情况</w:t>
      </w:r>
      <w:bookmarkEnd w:id="0"/>
      <w:bookmarkEnd w:id="1"/>
    </w:p>
    <w:p w14:paraId="235199F1">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14:paraId="1179153B">
      <w:pPr>
        <w:pStyle w:val="4"/>
        <w:ind w:firstLine="643"/>
      </w:pPr>
      <w:bookmarkStart w:id="4" w:name="_Toc165277222"/>
      <w:r>
        <w:rPr>
          <w:rFonts w:hint="eastAsia"/>
        </w:rPr>
        <w:t>1．项目背景、主要内容及实施情况</w:t>
      </w:r>
      <w:bookmarkEnd w:id="4"/>
    </w:p>
    <w:p w14:paraId="273EE38D">
      <w:pPr>
        <w:spacing w:line="360" w:lineRule="auto"/>
        <w:ind w:firstLine="560"/>
        <w:rPr>
          <w:rFonts w:hint="eastAsia" w:ascii="仿宋_GB2312"/>
          <w:lang w:eastAsia="zh-CN"/>
        </w:rPr>
      </w:pPr>
      <w:r>
        <w:rPr>
          <w:rFonts w:hint="eastAsia" w:ascii="仿宋_GB2312"/>
        </w:rPr>
        <w:t>该项目实施背景：为贯彻落实党中央、国务院，自治区党委、人民政府决策部署，进一步支持做好我区新阶段疫情防控工作，根据《关于完善医务人员临时性工作补助有关政策的通知》(财社〔2023〕4号)，经自治区人民政府同意，就自治区医务人员临时性工作补助政策有关事项</w:t>
      </w:r>
      <w:r>
        <w:rPr>
          <w:rFonts w:hint="eastAsia" w:ascii="仿宋_GB2312"/>
          <w:lang w:eastAsia="zh-CN"/>
        </w:rPr>
        <w:t>，</w:t>
      </w:r>
      <w:r>
        <w:rPr>
          <w:rFonts w:hint="eastAsia" w:ascii="仿宋_GB2312"/>
        </w:rPr>
        <w:t>根据国家和自治区要求，适当延长“乙类甲管”期间对医务人员的临时性工作补助政策实施期限。将2022年12月7日至2023年3月31日设为过渡期，</w:t>
      </w:r>
      <w:r>
        <w:rPr>
          <w:rFonts w:hint="eastAsia" w:ascii="仿宋_GB2312"/>
          <w:lang w:eastAsia="zh-CN"/>
        </w:rPr>
        <w:t>对</w:t>
      </w:r>
      <w:r>
        <w:rPr>
          <w:rFonts w:hint="eastAsia" w:ascii="仿宋_GB2312"/>
        </w:rPr>
        <w:t>过渡期内</w:t>
      </w:r>
      <w:r>
        <w:rPr>
          <w:rFonts w:hint="eastAsia" w:ascii="仿宋_GB2312"/>
          <w:lang w:eastAsia="zh-CN"/>
        </w:rPr>
        <w:t>符合补助要求的医务人员按照标准划分类别并发放临时性补助</w:t>
      </w:r>
      <w:r>
        <w:rPr>
          <w:rFonts w:hint="eastAsia" w:ascii="仿宋_GB2312"/>
          <w:lang w:val="en-US" w:eastAsia="zh-CN"/>
        </w:rPr>
        <w:t>,</w:t>
      </w:r>
      <w:r>
        <w:rPr>
          <w:rFonts w:hint="eastAsia"/>
          <w:sz w:val="28"/>
          <w:szCs w:val="28"/>
        </w:rPr>
        <w:t>确保党中央、国务院保护关心爱护一线医务人员政策措施落到实处</w:t>
      </w:r>
      <w:r>
        <w:rPr>
          <w:rFonts w:hint="eastAsia" w:ascii="仿宋_GB2312"/>
          <w:lang w:eastAsia="zh-CN"/>
        </w:rPr>
        <w:t>。</w:t>
      </w:r>
    </w:p>
    <w:p w14:paraId="27DE7FFF">
      <w:pPr>
        <w:spacing w:line="360" w:lineRule="auto"/>
        <w:ind w:firstLine="560"/>
        <w:rPr>
          <w:rFonts w:hint="eastAsia" w:ascii="仿宋_GB2312"/>
        </w:rPr>
      </w:pPr>
      <w:r>
        <w:rPr>
          <w:rFonts w:ascii="仿宋_GB2312"/>
        </w:rPr>
        <w:t>项目</w:t>
      </w:r>
      <w:r>
        <w:rPr>
          <w:rFonts w:hint="eastAsia" w:ascii="仿宋_GB2312"/>
        </w:rPr>
        <w:t>2</w:t>
      </w:r>
      <w:r>
        <w:rPr>
          <w:rFonts w:ascii="仿宋_GB2312"/>
        </w:rPr>
        <w:t>023年的主要实施内容：①</w:t>
      </w:r>
      <w:r>
        <w:rPr>
          <w:rFonts w:hint="eastAsia" w:ascii="仿宋_GB2312"/>
        </w:rPr>
        <w:t>将2022年12月7日至2023年3月31日设为过渡期，过渡期内对直接参与疫情防控救治的发热门诊、急诊、呼吸科病房、感染科病房、重症病房内的相关医护人员，120急救人员，以及血站一线采血人员，每人每天补助 300元(对在重症病房内工作的医护人员，按实际工作天数的 1.5 倍计算);对其他按照当地政府统一部署，卫生健康部门调派或者医疗卫生机构要求参与疫情防控救治的相关医务人员，每人每天补助200元。②各级医疗卫生机构分别在1月31日、2月28日、3月31日将本月应当发放医务人员临时性工作补助的人员名单、标准、工作天数、发放金额等情况进行公示，公示期不少于3天，其中:1月31日公示2022年12月7日-2023年1月30日应当发放情况;2月28日公示2023年1月31日-2月27日应当发放情况;3月31日公示2023年2月28日-3月31日应当发放情况。公示期满后,各级医疗卫生机构填写医务人员临时性工作补助发放统计表报同级卫生健康部门审核。各级卫生健康部门应当在3内日完成审核，报同级人力资源社会保障、财政部门审定。</w:t>
      </w:r>
    </w:p>
    <w:p w14:paraId="48EC0F4D">
      <w:pPr>
        <w:spacing w:line="360" w:lineRule="auto"/>
        <w:ind w:firstLine="560"/>
        <w:rPr>
          <w:rFonts w:hint="eastAsia" w:ascii="仿宋_GB2312" w:eastAsia="仿宋_GB2312"/>
          <w:lang w:val="en-US" w:eastAsia="zh-CN"/>
        </w:rPr>
      </w:pPr>
      <w:r>
        <w:rPr>
          <w:rFonts w:hint="eastAsia" w:ascii="仿宋_GB2312"/>
        </w:rPr>
        <w:t>③经各级医疗卫生机构对在2022年12月7日至2023年1月30日期间应当发放医务人员临时性工作补助的人员名单、标准、工作天数、发放金额等情况进行公示后，已报同级卫生健康部门审核完毕;并由各级卫生健康部门报同级人力资源社会保障、财政部门审定完成</w:t>
      </w:r>
      <w:r>
        <w:rPr>
          <w:rFonts w:hint="eastAsia" w:ascii="仿宋_GB2312"/>
          <w:lang w:eastAsia="zh-CN"/>
        </w:rPr>
        <w:t>。</w:t>
      </w:r>
    </w:p>
    <w:p w14:paraId="562AC8D6">
      <w:pPr>
        <w:spacing w:line="360" w:lineRule="auto"/>
        <w:ind w:left="0" w:leftChars="0" w:firstLine="560" w:firstLineChars="200"/>
        <w:rPr>
          <w:rFonts w:hint="default" w:ascii="仿宋_GB2312"/>
          <w:highlight w:val="none"/>
          <w:lang w:val="en-US" w:eastAsia="zh-CN"/>
        </w:rPr>
      </w:pPr>
      <w:r>
        <w:rPr>
          <w:rFonts w:hint="eastAsia" w:ascii="仿宋_GB2312"/>
        </w:rPr>
        <w:t>2023年当年完成情况</w:t>
      </w:r>
      <w:r>
        <w:rPr>
          <w:rFonts w:hint="eastAsia" w:ascii="仿宋_GB2312"/>
          <w:lang w:eastAsia="zh-CN"/>
        </w:rPr>
        <w:t>：</w:t>
      </w:r>
      <w:r>
        <w:rPr>
          <w:rFonts w:hint="eastAsia" w:ascii="仿宋_GB2312"/>
          <w:highlight w:val="none"/>
        </w:rPr>
        <w:t>①</w:t>
      </w:r>
      <w:r>
        <w:rPr>
          <w:rFonts w:hint="eastAsia" w:ascii="仿宋_GB2312"/>
          <w:highlight w:val="none"/>
          <w:lang w:eastAsia="zh-CN"/>
        </w:rPr>
        <w:t>我单位经统计本次第九批疫情防控补助资金项目中，满足“</w:t>
      </w:r>
      <w:r>
        <w:rPr>
          <w:rFonts w:hint="eastAsia" w:ascii="仿宋_GB2312"/>
        </w:rPr>
        <w:t>直接参与疫情防控救治的发热门诊、急诊、呼吸科病房、感染科病房、重症病房内的相关医护人员，120急救人员，以及血站一线采血人员</w:t>
      </w:r>
      <w:r>
        <w:rPr>
          <w:rFonts w:hint="eastAsia" w:ascii="仿宋_GB2312"/>
          <w:lang w:eastAsia="zh-CN"/>
        </w:rPr>
        <w:t>”</w:t>
      </w:r>
      <w:r>
        <w:rPr>
          <w:rFonts w:hint="eastAsia" w:ascii="仿宋_GB2312"/>
          <w:highlight w:val="none"/>
          <w:lang w:eastAsia="zh-CN"/>
        </w:rPr>
        <w:t>的发放标准共涉及</w:t>
      </w:r>
      <w:r>
        <w:rPr>
          <w:rFonts w:hint="eastAsia" w:ascii="仿宋_GB2312"/>
          <w:highlight w:val="none"/>
          <w:lang w:val="en-US" w:eastAsia="zh-CN"/>
        </w:rPr>
        <w:t>1116人，总计发放金额462.27万元。</w:t>
      </w:r>
      <w:r>
        <w:rPr>
          <w:rFonts w:ascii="仿宋_GB2312"/>
          <w:highlight w:val="none"/>
        </w:rPr>
        <w:t>②</w:t>
      </w:r>
      <w:r>
        <w:rPr>
          <w:rFonts w:hint="eastAsia" w:ascii="仿宋_GB2312"/>
          <w:highlight w:val="none"/>
          <w:lang w:val="en-US" w:eastAsia="zh-CN"/>
        </w:rPr>
        <w:t>我单位于2023年4月17日向医疗人员发放临时性工作补贴完全发放到位，落实激励保障工作，加大对医务人员的关心关爱力度，积极为他们全身心投入医疗救治和疫情防控工作创造良好条件。</w:t>
      </w:r>
    </w:p>
    <w:p w14:paraId="77710F07">
      <w:pPr>
        <w:pStyle w:val="4"/>
        <w:ind w:firstLine="643"/>
      </w:pPr>
      <w:bookmarkStart w:id="5" w:name="_Toc165277223"/>
      <w:r>
        <w:rPr>
          <w:rFonts w:hint="eastAsia"/>
        </w:rPr>
        <w:t>2</w:t>
      </w:r>
      <w:r>
        <w:t>.资金投入和使用情况</w:t>
      </w:r>
      <w:bookmarkEnd w:id="5"/>
    </w:p>
    <w:p w14:paraId="6E3E9C25">
      <w:pPr>
        <w:spacing w:line="360" w:lineRule="auto"/>
        <w:ind w:firstLine="560"/>
        <w:rPr>
          <w:rStyle w:val="20"/>
        </w:rPr>
      </w:pPr>
      <w:r>
        <w:rPr>
          <w:rFonts w:hint="eastAsia" w:ascii="仿宋_GB2312"/>
        </w:rPr>
        <w:t>该项目资金投入情况：经乌财社〔2023〕37号</w:t>
      </w:r>
      <w:r>
        <w:rPr>
          <w:rFonts w:hint="eastAsia" w:ascii="仿宋_GB2312"/>
          <w:lang w:eastAsia="zh-CN"/>
        </w:rPr>
        <w:t>《</w:t>
      </w:r>
      <w:r>
        <w:rPr>
          <w:rFonts w:hint="eastAsia" w:ascii="仿宋_GB2312"/>
        </w:rPr>
        <w:t>关于拨付2023年第九批疫情防控补助资金(第一批医务人员临时性工作补助资金)的通知</w:t>
      </w:r>
      <w:r>
        <w:rPr>
          <w:rFonts w:hint="eastAsia" w:ascii="仿宋_GB2312"/>
          <w:lang w:eastAsia="zh-CN"/>
        </w:rPr>
        <w:t>》文件</w:t>
      </w:r>
      <w:r>
        <w:rPr>
          <w:rFonts w:hint="eastAsia" w:ascii="仿宋_GB2312"/>
        </w:rPr>
        <w:t>批准，项目系</w:t>
      </w:r>
      <w:r>
        <w:rPr>
          <w:rFonts w:ascii="仿宋_GB2312"/>
        </w:rPr>
        <w:t>2023</w:t>
      </w:r>
      <w:r>
        <w:rPr>
          <w:rFonts w:hint="eastAsia" w:ascii="仿宋_GB2312"/>
        </w:rPr>
        <w:t>年</w:t>
      </w:r>
      <w:r>
        <w:rPr>
          <w:rFonts w:hint="eastAsia" w:ascii="仿宋_GB2312"/>
          <w:lang w:eastAsia="zh-CN"/>
        </w:rPr>
        <w:t>市级资金</w:t>
      </w:r>
      <w:r>
        <w:rPr>
          <w:rFonts w:hint="eastAsia" w:ascii="仿宋_GB2312"/>
          <w:lang w:val="en-US" w:eastAsia="zh-CN"/>
        </w:rPr>
        <w:t>142.54万元、</w:t>
      </w:r>
      <w:r>
        <w:rPr>
          <w:rFonts w:hint="eastAsia" w:ascii="仿宋_GB2312"/>
          <w:highlight w:val="none"/>
        </w:rPr>
        <w:t>自治区资</w:t>
      </w:r>
      <w:r>
        <w:rPr>
          <w:rFonts w:hint="eastAsia" w:ascii="仿宋_GB2312"/>
        </w:rPr>
        <w:t>金</w:t>
      </w:r>
      <w:r>
        <w:rPr>
          <w:rFonts w:hint="eastAsia" w:ascii="仿宋_GB2312"/>
          <w:lang w:val="en-US" w:eastAsia="zh-CN"/>
        </w:rPr>
        <w:t>319.73万元</w:t>
      </w:r>
      <w:r>
        <w:rPr>
          <w:rFonts w:hint="eastAsia" w:ascii="仿宋_GB2312"/>
        </w:rPr>
        <w:t>，共安排预算</w:t>
      </w:r>
      <w:r>
        <w:rPr>
          <w:rFonts w:hint="eastAsia" w:ascii="仿宋_GB2312"/>
          <w:lang w:val="en-US" w:eastAsia="zh-CN"/>
        </w:rPr>
        <w:t>462.27</w:t>
      </w:r>
      <w:r>
        <w:rPr>
          <w:rFonts w:hint="eastAsia" w:ascii="仿宋_GB2312"/>
        </w:rPr>
        <w:t>万元，于202</w:t>
      </w:r>
      <w:r>
        <w:rPr>
          <w:rFonts w:ascii="仿宋_GB2312"/>
        </w:rPr>
        <w:t>3</w:t>
      </w:r>
      <w:r>
        <w:rPr>
          <w:rFonts w:hint="eastAsia" w:ascii="仿宋_GB2312"/>
        </w:rPr>
        <w:t>年年中追加部分预算批复项目，年中资金调整情况</w:t>
      </w:r>
      <w:r>
        <w:rPr>
          <w:rFonts w:hint="eastAsia" w:ascii="仿宋_GB2312"/>
          <w:lang w:eastAsia="zh-CN"/>
        </w:rPr>
        <w:t>按照资金</w:t>
      </w:r>
      <w:r>
        <w:rPr>
          <w:rFonts w:hint="eastAsia" w:ascii="仿宋_GB2312"/>
          <w:highlight w:val="none"/>
          <w:lang w:eastAsia="zh-CN"/>
        </w:rPr>
        <w:t>发放标准，及时的准确的发放给各个医务人员</w:t>
      </w:r>
      <w:r>
        <w:rPr>
          <w:rFonts w:hint="eastAsia" w:ascii="仿宋_GB2312"/>
        </w:rPr>
        <w:t>。</w:t>
      </w:r>
    </w:p>
    <w:p w14:paraId="56248542">
      <w:pPr>
        <w:spacing w:line="360" w:lineRule="auto"/>
        <w:ind w:firstLine="560"/>
        <w:rPr>
          <w:rFonts w:ascii="仿宋_GB2312"/>
        </w:rPr>
      </w:pPr>
      <w:r>
        <w:rPr>
          <w:rFonts w:hint="eastAsia" w:ascii="仿宋_GB2312"/>
        </w:rPr>
        <w:t>该项目资金使用情况</w:t>
      </w:r>
      <w:r>
        <w:rPr>
          <w:rFonts w:hint="eastAsia" w:ascii="仿宋_GB2312"/>
          <w:lang w:eastAsia="zh-CN"/>
        </w:rPr>
        <w:t>：我单位在该</w:t>
      </w:r>
      <w:r>
        <w:rPr>
          <w:rFonts w:hint="eastAsia" w:ascii="仿宋_GB2312"/>
        </w:rPr>
        <w:t>第九批疫情防控补助资金</w:t>
      </w:r>
      <w:r>
        <w:rPr>
          <w:rFonts w:hint="eastAsia" w:ascii="仿宋_GB2312"/>
          <w:lang w:eastAsia="zh-CN"/>
        </w:rPr>
        <w:t>总共安排预算</w:t>
      </w:r>
      <w:r>
        <w:rPr>
          <w:rFonts w:hint="eastAsia" w:ascii="仿宋_GB2312"/>
          <w:lang w:val="en-US" w:eastAsia="zh-CN"/>
        </w:rPr>
        <w:t>462.27万元，</w:t>
      </w:r>
      <w:r>
        <w:rPr>
          <w:rFonts w:hint="eastAsia" w:ascii="仿宋_GB2312"/>
          <w:highlight w:val="none"/>
          <w:lang w:eastAsia="zh-CN"/>
        </w:rPr>
        <w:t>专项用于我单位2022年12月7日至2023年1月30日期间按规定发放医务人员临时性工作补助，经统计，</w:t>
      </w:r>
      <w:r>
        <w:rPr>
          <w:rFonts w:hint="eastAsia" w:ascii="仿宋_GB2312"/>
          <w:highlight w:val="none"/>
          <w:lang w:val="en-US" w:eastAsia="zh-CN"/>
        </w:rPr>
        <w:t>一类重症危重症累计发放人数176人，累计发放金额104.9万元，一类普通病区累计发放人数697人，累计发放金额322.03万元，二类普通病区累计发放人数243人，累计发放金额35.34万元，</w:t>
      </w:r>
      <w:r>
        <w:rPr>
          <w:rFonts w:hint="eastAsia" w:ascii="仿宋_GB2312"/>
          <w:highlight w:val="none"/>
          <w:lang w:eastAsia="zh-CN"/>
        </w:rPr>
        <w:t>我单位满足发放标准共涉及</w:t>
      </w:r>
      <w:r>
        <w:rPr>
          <w:rFonts w:hint="eastAsia" w:ascii="仿宋_GB2312"/>
          <w:highlight w:val="none"/>
          <w:lang w:val="en-US" w:eastAsia="zh-CN"/>
        </w:rPr>
        <w:t>1116人，总计发放金额462.27万元，于2023年4月17日将临时性工作补贴向医疗人员全部发放到位，预算执行率100%。</w:t>
      </w:r>
    </w:p>
    <w:p w14:paraId="3D0C4AA4">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14:paraId="7C045F59">
      <w:pPr>
        <w:spacing w:line="360" w:lineRule="auto"/>
        <w:ind w:firstLine="560"/>
        <w:rPr>
          <w:rFonts w:ascii="仿宋_GB2312" w:hAnsi="仿宋"/>
          <w:szCs w:val="28"/>
        </w:rPr>
      </w:pPr>
      <w:r>
        <w:rPr>
          <w:rFonts w:hint="eastAsia" w:ascii="仿宋_GB2312" w:hAnsi="仿宋"/>
          <w:szCs w:val="28"/>
        </w:rPr>
        <w:t>本项目依据《中共中央国务院关于全面实施预算绩效管理的意见》（中发〔2018〕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443102F5">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当年一次性项目。</w:t>
      </w:r>
    </w:p>
    <w:p w14:paraId="0C1FC87C">
      <w:pPr>
        <w:spacing w:line="360" w:lineRule="auto"/>
        <w:ind w:firstLine="560"/>
        <w:rPr>
          <w:rFonts w:ascii="仿宋_GB2312" w:hAnsi="仿宋"/>
          <w:szCs w:val="28"/>
        </w:rPr>
      </w:pPr>
      <w:r>
        <w:rPr>
          <w:rFonts w:hint="eastAsia" w:ascii="仿宋_GB2312" w:hAnsi="仿宋"/>
          <w:szCs w:val="28"/>
        </w:rPr>
        <w:t>该项目总体绩效目标：</w:t>
      </w:r>
      <w:r>
        <w:rPr>
          <w:rFonts w:hint="eastAsia" w:ascii="仿宋_GB2312" w:hAnsi="仿宋"/>
          <w:szCs w:val="28"/>
          <w:lang w:eastAsia="zh-CN"/>
        </w:rPr>
        <w:t>我单位本次发放第九批疫情防控补助资金</w:t>
      </w:r>
      <w:r>
        <w:rPr>
          <w:rFonts w:hint="eastAsia" w:ascii="仿宋_GB2312"/>
          <w:highlight w:val="none"/>
          <w:lang w:eastAsia="zh-CN"/>
        </w:rPr>
        <w:t>共涉及</w:t>
      </w:r>
      <w:r>
        <w:rPr>
          <w:rFonts w:hint="eastAsia" w:ascii="仿宋_GB2312"/>
          <w:highlight w:val="none"/>
          <w:lang w:val="en-US" w:eastAsia="zh-CN"/>
        </w:rPr>
        <w:t>1116人，总计发放金额462.27万元，</w:t>
      </w:r>
      <w:r>
        <w:rPr>
          <w:rFonts w:hint="eastAsia" w:ascii="仿宋_GB2312"/>
          <w:highlight w:val="none"/>
          <w:lang w:eastAsia="zh-CN"/>
        </w:rPr>
        <w:t>专项用于我单位2022年12月7日至2023年1月30日期间按规定发放医务人员临时性工作</w:t>
      </w:r>
      <w:r>
        <w:rPr>
          <w:rFonts w:hint="eastAsia" w:ascii="仿宋_GB2312"/>
          <w:highlight w:val="none"/>
          <w:lang w:val="en-US" w:eastAsia="zh-CN"/>
        </w:rPr>
        <w:t>补助，其中，一类重症危重症累计发放人数176人，一类普通病区累计发放人数697人，二类普通病区累计发放人数243人。</w:t>
      </w:r>
      <w:r>
        <w:rPr>
          <w:rFonts w:hint="eastAsia" w:ascii="仿宋_GB2312" w:hAnsi="仿宋"/>
          <w:szCs w:val="28"/>
        </w:rPr>
        <w:t>向医疗人员发放临时性工作补贴，落实激励保障工作，加大对医务人员的关心关爱力度，积极为他们全身心投入医疗救治和疫情防控工作创造良好条件。认真贯彻文件精神，严格按照要求明确审核发放流程。认真履行主体责任，及时把补助资金发放到医务人员手中。</w:t>
      </w:r>
    </w:p>
    <w:p w14:paraId="47741694">
      <w:pPr>
        <w:pStyle w:val="2"/>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14:paraId="6E5A9C1C">
      <w:pPr>
        <w:pStyle w:val="3"/>
        <w:ind w:firstLine="643"/>
        <w:rPr>
          <w:rFonts w:ascii="仿宋" w:hAnsi="仿宋" w:eastAsia="仿宋"/>
          <w:lang w:bidi="en-US"/>
        </w:rPr>
      </w:pPr>
      <w:bookmarkStart w:id="11" w:name="_Toc67911605"/>
      <w:bookmarkStart w:id="12" w:name="_Toc165277226"/>
      <w:r>
        <w:rPr>
          <w:rFonts w:hint="eastAsia" w:ascii="仿宋" w:hAnsi="仿宋" w:eastAsia="仿宋"/>
          <w:lang w:bidi="en-US"/>
        </w:rPr>
        <w:t>（一）绩效评价目的、对象和范围</w:t>
      </w:r>
      <w:bookmarkEnd w:id="11"/>
      <w:bookmarkEnd w:id="12"/>
    </w:p>
    <w:p w14:paraId="348C77AF">
      <w:pPr>
        <w:pStyle w:val="4"/>
        <w:ind w:firstLine="643"/>
      </w:pPr>
      <w:bookmarkStart w:id="13" w:name="_Toc165277227"/>
      <w:r>
        <w:rPr>
          <w:rFonts w:hint="eastAsia"/>
        </w:rPr>
        <w:t>1</w:t>
      </w:r>
      <w:r>
        <w:t>.绩效评价完整性</w:t>
      </w:r>
      <w:bookmarkEnd w:id="13"/>
    </w:p>
    <w:p w14:paraId="38F01792">
      <w:pPr>
        <w:spacing w:line="360" w:lineRule="auto"/>
        <w:ind w:firstLine="560"/>
        <w:rPr>
          <w:rFonts w:hint="eastAsia" w:ascii="仿宋_GB2312" w:hAnsi="仿宋"/>
          <w:szCs w:val="28"/>
          <w:lang w:eastAsia="zh-CN"/>
        </w:rPr>
      </w:pPr>
      <w:r>
        <w:rPr>
          <w:rFonts w:hint="eastAsia" w:ascii="仿宋_GB2312" w:hAnsi="仿宋"/>
          <w:szCs w:val="28"/>
          <w:lang w:val="en-US" w:eastAsia="zh-CN"/>
        </w:rPr>
        <w:t>该单位</w:t>
      </w:r>
      <w:r>
        <w:rPr>
          <w:rFonts w:hint="eastAsia" w:ascii="仿宋_GB2312" w:hAnsi="仿宋"/>
          <w:szCs w:val="28"/>
          <w:lang w:eastAsia="zh-CN"/>
        </w:rPr>
        <w:t>按照《关于完善医务人员临时性工作补助有关政策的通知》(财社</w:t>
      </w:r>
      <w:r>
        <w:rPr>
          <w:rFonts w:hint="eastAsia" w:ascii="仿宋_GB2312"/>
        </w:rPr>
        <w:t>〔2023〕</w:t>
      </w:r>
      <w:r>
        <w:rPr>
          <w:rFonts w:hint="eastAsia" w:ascii="仿宋_GB2312" w:hAnsi="仿宋"/>
          <w:szCs w:val="28"/>
          <w:lang w:eastAsia="zh-CN"/>
        </w:rPr>
        <w:t>4号)的要求，根据市卫健委汇总审核后向我单位提供的《新疆维吾尔自治区防疫一线工作人员临时性工作补助发放汇总表》以及《新疆维吾尔自治区防疫一线工作人员临时性工作补助发放汇总表》,将2022年12月7日至2023年1月30日期间我单位需发放临时性工作补助的</w:t>
      </w:r>
      <w:r>
        <w:rPr>
          <w:rFonts w:hint="eastAsia" w:ascii="仿宋_GB2312"/>
          <w:highlight w:val="none"/>
          <w:lang w:val="en-US" w:eastAsia="zh-CN"/>
        </w:rPr>
        <w:t>1116名医务人员，按照下拨的金额462.27万元如期如实发放到位，所有凭证能够真实获取，可靠的反映该项目的实施内容</w:t>
      </w:r>
      <w:r>
        <w:rPr>
          <w:rFonts w:hint="eastAsia" w:ascii="仿宋_GB2312" w:hAnsi="仿宋"/>
          <w:szCs w:val="28"/>
          <w:lang w:eastAsia="zh-CN"/>
        </w:rPr>
        <w:t>。</w:t>
      </w:r>
    </w:p>
    <w:p w14:paraId="0EE33A79">
      <w:pPr>
        <w:pStyle w:val="4"/>
        <w:ind w:firstLine="643"/>
      </w:pPr>
      <w:bookmarkStart w:id="14" w:name="_Toc165277228"/>
      <w:r>
        <w:t>2</w:t>
      </w:r>
      <w:r>
        <w:rPr>
          <w:rFonts w:hint="eastAsia"/>
        </w:rPr>
        <w:t>.评价目的</w:t>
      </w:r>
      <w:bookmarkEnd w:id="14"/>
    </w:p>
    <w:p w14:paraId="684F64A2">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w:t>
      </w:r>
      <w:r>
        <w:rPr>
          <w:rFonts w:hint="eastAsia" w:ascii="仿宋_GB2312"/>
          <w:highlight w:val="none"/>
        </w:rPr>
        <w:t>解</w:t>
      </w:r>
      <w:r>
        <w:rPr>
          <w:rFonts w:hint="eastAsia" w:ascii="仿宋_GB2312"/>
          <w:highlight w:val="none"/>
          <w:lang w:val="en-US" w:eastAsia="zh-CN"/>
        </w:rPr>
        <w:t>第九批疫情补助资金</w:t>
      </w:r>
      <w:r>
        <w:rPr>
          <w:rFonts w:hint="eastAsia" w:ascii="仿宋_GB2312"/>
          <w:highlight w:val="none"/>
        </w:rPr>
        <w:t>项目实施情况，并考察项目实施过程和效果。（2）通过评价，客观公正反映项目立项科学性、项目管理规范性、项目实施有效</w:t>
      </w:r>
      <w:r>
        <w:rPr>
          <w:rFonts w:hint="eastAsia" w:ascii="仿宋_GB2312"/>
        </w:rPr>
        <w:t>性和项目效果，总结项目实施的经验，发现项目实施过程中存在的问题，提出合理化建议，为完善项目管理和相关部门决策提供参考依据，并提高财政资金使用效益。</w:t>
      </w:r>
    </w:p>
    <w:p w14:paraId="2312C82D">
      <w:pPr>
        <w:pStyle w:val="4"/>
        <w:ind w:firstLine="643"/>
      </w:pPr>
      <w:bookmarkStart w:id="15" w:name="_Toc165277229"/>
      <w:r>
        <w:t>3</w:t>
      </w:r>
      <w:r>
        <w:rPr>
          <w:rFonts w:hint="eastAsia"/>
        </w:rPr>
        <w:t>.评价对象</w:t>
      </w:r>
      <w:bookmarkEnd w:id="15"/>
    </w:p>
    <w:p w14:paraId="7693E347">
      <w:pPr>
        <w:spacing w:line="360" w:lineRule="auto"/>
        <w:ind w:firstLine="560"/>
        <w:rPr>
          <w:rFonts w:ascii="仿宋_GB2312"/>
        </w:rPr>
      </w:pPr>
      <w:r>
        <w:rPr>
          <w:rFonts w:hint="eastAsia" w:ascii="仿宋_GB2312"/>
        </w:rPr>
        <w:t>（1）绩效评价的对象：关于拨付2023年第九批疫情防控补助资金(第一批医务人员临时性工作补助资金)的通知</w:t>
      </w:r>
    </w:p>
    <w:p w14:paraId="6F9BECB4">
      <w:pPr>
        <w:pStyle w:val="4"/>
        <w:ind w:firstLine="643"/>
      </w:pPr>
      <w:bookmarkStart w:id="16" w:name="_Toc165277230"/>
      <w:r>
        <w:rPr>
          <w:rFonts w:hint="eastAsia"/>
        </w:rPr>
        <w:t>4</w:t>
      </w:r>
      <w:r>
        <w:t>.</w:t>
      </w:r>
      <w:r>
        <w:rPr>
          <w:rFonts w:hint="eastAsia"/>
        </w:rPr>
        <w:t>绩效评价范围</w:t>
      </w:r>
      <w:bookmarkEnd w:id="16"/>
    </w:p>
    <w:p w14:paraId="1EB8FD52">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589249E5">
      <w:pPr>
        <w:spacing w:line="360" w:lineRule="auto"/>
        <w:ind w:firstLine="560"/>
        <w:rPr>
          <w:rFonts w:ascii="仿宋_GB2312"/>
          <w:highlight w:val="none"/>
        </w:rPr>
      </w:pPr>
      <w:r>
        <w:rPr>
          <w:rFonts w:ascii="仿宋_GB2312"/>
        </w:rPr>
        <w:t>2.</w:t>
      </w:r>
      <w:r>
        <w:rPr>
          <w:rFonts w:hint="eastAsia" w:ascii="仿宋_GB2312"/>
        </w:rPr>
        <w:t>项目范围：</w:t>
      </w:r>
      <w:r>
        <w:rPr>
          <w:rFonts w:hint="eastAsia" w:ascii="仿宋_GB2312"/>
          <w:highlight w:val="none"/>
        </w:rPr>
        <w:t>乌财社〔2023〕37号</w:t>
      </w:r>
      <w:r>
        <w:rPr>
          <w:rFonts w:hint="eastAsia" w:ascii="仿宋_GB2312"/>
          <w:highlight w:val="none"/>
          <w:lang w:val="en-US" w:eastAsia="zh-CN"/>
        </w:rPr>
        <w:t>-</w:t>
      </w:r>
      <w:r>
        <w:rPr>
          <w:rFonts w:hint="eastAsia" w:ascii="仿宋_GB2312"/>
          <w:highlight w:val="none"/>
          <w:lang w:eastAsia="zh-CN"/>
        </w:rPr>
        <w:t>《</w:t>
      </w:r>
      <w:r>
        <w:rPr>
          <w:rFonts w:hint="eastAsia" w:ascii="仿宋_GB2312"/>
          <w:highlight w:val="none"/>
        </w:rPr>
        <w:t>关于拨付2023年第九批疫情防控补助资金(第一批医务人员临时性工作补助资金)的通知</w:t>
      </w:r>
      <w:r>
        <w:rPr>
          <w:rFonts w:hint="eastAsia" w:ascii="仿宋_GB2312"/>
          <w:highlight w:val="none"/>
          <w:lang w:eastAsia="zh-CN"/>
        </w:rPr>
        <w:t>》，共涉及</w:t>
      </w:r>
      <w:r>
        <w:rPr>
          <w:rFonts w:hint="eastAsia" w:ascii="仿宋_GB2312"/>
          <w:highlight w:val="none"/>
          <w:lang w:val="en-US" w:eastAsia="zh-CN"/>
        </w:rPr>
        <w:t>1116人，总计发放金额462.27万元，</w:t>
      </w:r>
      <w:r>
        <w:rPr>
          <w:rFonts w:hint="eastAsia" w:ascii="仿宋_GB2312" w:hAnsi="仿宋"/>
          <w:szCs w:val="28"/>
          <w:highlight w:val="none"/>
        </w:rPr>
        <w:t>向医疗人员发放临时性工作补贴，落实激励保障工作，加大对医务人员的关心关爱力度，积极为他们全身心投入医疗救治和疫情防控工作创造良好条件。</w:t>
      </w:r>
      <w:r>
        <w:rPr>
          <w:rFonts w:hint="eastAsia" w:ascii="仿宋_GB2312" w:hAnsi="仿宋"/>
          <w:szCs w:val="28"/>
          <w:highlight w:val="none"/>
          <w:lang w:eastAsia="zh-CN"/>
        </w:rPr>
        <w:t>我院自评工作开展顺利，全部指标都能达到完全预期。</w:t>
      </w:r>
    </w:p>
    <w:p w14:paraId="51EF211A">
      <w:pPr>
        <w:pStyle w:val="3"/>
        <w:ind w:firstLine="643"/>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14:paraId="0DCBF4FB">
      <w:pPr>
        <w:pStyle w:val="4"/>
        <w:ind w:firstLine="643"/>
      </w:pPr>
      <w:bookmarkStart w:id="20" w:name="_Toc165277232"/>
      <w:r>
        <w:rPr>
          <w:rFonts w:hint="eastAsia"/>
        </w:rPr>
        <w:t>1</w:t>
      </w:r>
      <w:r>
        <w:t>.</w:t>
      </w:r>
      <w:r>
        <w:rPr>
          <w:rFonts w:hint="eastAsia"/>
        </w:rPr>
        <w:t>评价原则</w:t>
      </w:r>
      <w:bookmarkEnd w:id="20"/>
    </w:p>
    <w:p w14:paraId="3D0FC0C4">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14:paraId="591B37BF">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7BC8C5E7">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4A55752A">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0EA0B32C">
      <w:pPr>
        <w:pStyle w:val="4"/>
        <w:ind w:firstLine="643"/>
      </w:pPr>
      <w:bookmarkStart w:id="21" w:name="_Toc165277233"/>
      <w:r>
        <w:t>2.</w:t>
      </w:r>
      <w:r>
        <w:rPr>
          <w:rFonts w:hint="eastAsia"/>
        </w:rPr>
        <w:t>评价指标体系</w:t>
      </w:r>
      <w:bookmarkEnd w:id="21"/>
    </w:p>
    <w:p w14:paraId="5ADC5CA9">
      <w:pPr>
        <w:spacing w:line="360" w:lineRule="auto"/>
        <w:ind w:firstLine="560"/>
        <w:rPr>
          <w:rFonts w:ascii="仿宋_GB2312"/>
        </w:rPr>
      </w:pPr>
      <w:r>
        <w:rPr>
          <w:rFonts w:hint="eastAsia" w:ascii="仿宋_GB2312"/>
        </w:rPr>
        <w:t>绩效评价指标体系作为衡量绩效目标实现程度的考核工具，一般遵循以下原则：</w:t>
      </w:r>
    </w:p>
    <w:p w14:paraId="09A00427">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341FC42F">
      <w:pPr>
        <w:spacing w:line="360" w:lineRule="auto"/>
        <w:ind w:firstLine="560"/>
        <w:rPr>
          <w:rFonts w:ascii="仿宋_GB2312"/>
        </w:rPr>
      </w:pPr>
      <w:r>
        <w:rPr>
          <w:rFonts w:hint="eastAsia" w:ascii="仿宋_GB2312"/>
        </w:rPr>
        <w:t>（2）重要性原则：应当优先使用最具评价对象代表性、最能反映评价要求的核心指标。</w:t>
      </w:r>
    </w:p>
    <w:p w14:paraId="65AEDCFB">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2E588B1C">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2C849FF2">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524FE5CA">
      <w:pPr>
        <w:spacing w:line="360" w:lineRule="auto"/>
        <w:ind w:firstLine="560"/>
        <w:rPr>
          <w:rFonts w:ascii="仿宋_GB2312"/>
          <w:highlight w:val="none"/>
        </w:rPr>
      </w:pPr>
      <w:r>
        <w:rPr>
          <w:rFonts w:hint="eastAsia" w:ascii="仿宋_GB2312"/>
          <w:highlight w:val="none"/>
        </w:rPr>
        <w:t>本项目的评价指标体系建立如下表所示。</w:t>
      </w:r>
    </w:p>
    <w:p w14:paraId="0784A21C">
      <w:pPr>
        <w:spacing w:line="360" w:lineRule="auto"/>
        <w:ind w:firstLine="560"/>
        <w:rPr>
          <w:rFonts w:ascii="仿宋_GB2312"/>
        </w:rPr>
      </w:pPr>
    </w:p>
    <w:p w14:paraId="476BF20B">
      <w:pPr>
        <w:spacing w:line="360" w:lineRule="auto"/>
        <w:ind w:firstLine="560"/>
        <w:rPr>
          <w:rFonts w:ascii="仿宋_GB2312"/>
        </w:rPr>
      </w:pPr>
    </w:p>
    <w:p w14:paraId="1874F074">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7C69DDDF">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591"/>
        <w:gridCol w:w="2609"/>
        <w:gridCol w:w="7341"/>
      </w:tblGrid>
      <w:tr w14:paraId="6A8F46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21980DA1">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19E24509">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591" w:type="dxa"/>
            <w:tcBorders>
              <w:tl2br w:val="nil"/>
              <w:tr2bl w:val="nil"/>
            </w:tcBorders>
            <w:shd w:val="clear" w:color="auto" w:fill="D0CECE" w:themeFill="background2" w:themeFillShade="E6"/>
            <w:vAlign w:val="center"/>
          </w:tcPr>
          <w:p w14:paraId="43674B6F">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609" w:type="dxa"/>
            <w:tcBorders>
              <w:tl2br w:val="nil"/>
              <w:tr2bl w:val="nil"/>
            </w:tcBorders>
            <w:shd w:val="clear" w:color="auto" w:fill="D0CECE" w:themeFill="background2" w:themeFillShade="E6"/>
            <w:vAlign w:val="center"/>
          </w:tcPr>
          <w:p w14:paraId="2B6C45C1">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7FFAD09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68132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79EA54C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6264B67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591" w:type="dxa"/>
            <w:tcBorders>
              <w:tl2br w:val="nil"/>
              <w:tr2bl w:val="nil"/>
            </w:tcBorders>
            <w:shd w:val="clear" w:color="auto" w:fill="FFFFFF"/>
            <w:vAlign w:val="center"/>
          </w:tcPr>
          <w:p w14:paraId="4084AE8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22A8944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609" w:type="dxa"/>
            <w:tcBorders>
              <w:tl2br w:val="nil"/>
              <w:tr2bl w:val="nil"/>
            </w:tcBorders>
            <w:shd w:val="clear" w:color="auto" w:fill="FFFFFF"/>
            <w:vAlign w:val="center"/>
          </w:tcPr>
          <w:p w14:paraId="02B0F6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62FED7B2">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14:paraId="7F5EE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619E1F8A">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CB2C7AF">
            <w:pPr>
              <w:widowControl/>
              <w:ind w:firstLine="0" w:firstLineChars="0"/>
              <w:jc w:val="center"/>
              <w:rPr>
                <w:rFonts w:ascii="宋体" w:hAnsi="宋体" w:eastAsia="宋体" w:cs="宋体"/>
                <w:color w:val="000000"/>
                <w:kern w:val="0"/>
                <w:sz w:val="22"/>
              </w:rPr>
            </w:pPr>
          </w:p>
        </w:tc>
        <w:tc>
          <w:tcPr>
            <w:tcW w:w="1591" w:type="dxa"/>
            <w:tcBorders>
              <w:tl2br w:val="nil"/>
              <w:tr2bl w:val="nil"/>
            </w:tcBorders>
            <w:shd w:val="clear" w:color="auto" w:fill="FFFFFF"/>
            <w:vAlign w:val="center"/>
          </w:tcPr>
          <w:p w14:paraId="3EF558B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2AF6A72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609" w:type="dxa"/>
            <w:tcBorders>
              <w:tl2br w:val="nil"/>
              <w:tr2bl w:val="nil"/>
            </w:tcBorders>
            <w:shd w:val="clear" w:color="auto" w:fill="FFFFFF"/>
            <w:vAlign w:val="center"/>
          </w:tcPr>
          <w:p w14:paraId="36F247C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3E615F98">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239811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6CA1016C">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4980D2A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591" w:type="dxa"/>
            <w:tcBorders>
              <w:tl2br w:val="nil"/>
              <w:tr2bl w:val="nil"/>
            </w:tcBorders>
            <w:shd w:val="clear" w:color="auto" w:fill="FFFFFF"/>
            <w:vAlign w:val="center"/>
          </w:tcPr>
          <w:p w14:paraId="6308FE6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15DE1BD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609" w:type="dxa"/>
            <w:tcBorders>
              <w:tl2br w:val="nil"/>
              <w:tr2bl w:val="nil"/>
            </w:tcBorders>
            <w:shd w:val="clear" w:color="000000" w:fill="FFFFFF"/>
            <w:vAlign w:val="center"/>
          </w:tcPr>
          <w:p w14:paraId="6E5C8DA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FD65DD2">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34D9B367">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48FDC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343AD9A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3702CBD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591" w:type="dxa"/>
            <w:tcBorders>
              <w:tl2br w:val="nil"/>
              <w:tr2bl w:val="nil"/>
            </w:tcBorders>
            <w:shd w:val="clear" w:color="auto" w:fill="FFFFFF"/>
            <w:vAlign w:val="center"/>
          </w:tcPr>
          <w:p w14:paraId="092B73C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5E3D488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609" w:type="dxa"/>
            <w:tcBorders>
              <w:tl2br w:val="nil"/>
              <w:tr2bl w:val="nil"/>
            </w:tcBorders>
            <w:shd w:val="clear" w:color="000000" w:fill="FFFFFF"/>
            <w:vAlign w:val="center"/>
          </w:tcPr>
          <w:p w14:paraId="6D8282E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B1C03A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2F729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12CFD8BD">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5E6B019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591" w:type="dxa"/>
            <w:tcBorders>
              <w:tl2br w:val="nil"/>
              <w:tr2bl w:val="nil"/>
            </w:tcBorders>
            <w:shd w:val="clear" w:color="auto" w:fill="FFFFFF"/>
            <w:vAlign w:val="center"/>
          </w:tcPr>
          <w:p w14:paraId="2409AE7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47D548A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609" w:type="dxa"/>
            <w:tcBorders>
              <w:tl2br w:val="nil"/>
              <w:tr2bl w:val="nil"/>
            </w:tcBorders>
            <w:shd w:val="clear" w:color="auto" w:fill="FFFFFF"/>
            <w:vAlign w:val="center"/>
          </w:tcPr>
          <w:p w14:paraId="3B1D910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4EB1EBB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723462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0DBF4E6B">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863E96B">
            <w:pPr>
              <w:widowControl/>
              <w:ind w:firstLine="0" w:firstLineChars="0"/>
              <w:jc w:val="center"/>
              <w:rPr>
                <w:rFonts w:ascii="宋体" w:hAnsi="宋体" w:eastAsia="宋体" w:cs="宋体"/>
                <w:color w:val="000000"/>
                <w:kern w:val="0"/>
                <w:sz w:val="22"/>
              </w:rPr>
            </w:pPr>
          </w:p>
        </w:tc>
        <w:tc>
          <w:tcPr>
            <w:tcW w:w="1591" w:type="dxa"/>
            <w:tcBorders>
              <w:tl2br w:val="nil"/>
              <w:tr2bl w:val="nil"/>
            </w:tcBorders>
            <w:shd w:val="clear" w:color="auto" w:fill="FFFFFF"/>
            <w:vAlign w:val="center"/>
          </w:tcPr>
          <w:p w14:paraId="626F24C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69EFE72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609" w:type="dxa"/>
            <w:tcBorders>
              <w:tl2br w:val="nil"/>
              <w:tr2bl w:val="nil"/>
            </w:tcBorders>
            <w:shd w:val="clear" w:color="auto" w:fill="FFFFFF"/>
            <w:vAlign w:val="center"/>
          </w:tcPr>
          <w:p w14:paraId="15D80B1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54A9D63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7863E7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59035D87">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6D4C41C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591" w:type="dxa"/>
            <w:tcBorders>
              <w:tl2br w:val="nil"/>
              <w:tr2bl w:val="nil"/>
            </w:tcBorders>
            <w:shd w:val="clear" w:color="auto" w:fill="FFFFFF"/>
            <w:vAlign w:val="center"/>
          </w:tcPr>
          <w:p w14:paraId="33A7F5D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609" w:type="dxa"/>
            <w:tcBorders>
              <w:tl2br w:val="nil"/>
              <w:tr2bl w:val="nil"/>
            </w:tcBorders>
            <w:shd w:val="clear" w:color="000000" w:fill="FFFFFF"/>
            <w:vAlign w:val="center"/>
          </w:tcPr>
          <w:p w14:paraId="0BC928F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09D52A0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775384C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16D16FF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05948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76928CD">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3D899C1A">
            <w:pPr>
              <w:ind w:firstLine="0" w:firstLineChars="0"/>
              <w:jc w:val="center"/>
              <w:rPr>
                <w:rFonts w:ascii="宋体" w:hAnsi="宋体" w:eastAsia="宋体" w:cs="宋体"/>
                <w:color w:val="000000"/>
                <w:kern w:val="0"/>
                <w:sz w:val="22"/>
              </w:rPr>
            </w:pPr>
          </w:p>
        </w:tc>
        <w:tc>
          <w:tcPr>
            <w:tcW w:w="1591" w:type="dxa"/>
            <w:tcBorders>
              <w:tl2br w:val="nil"/>
              <w:tr2bl w:val="nil"/>
            </w:tcBorders>
            <w:shd w:val="clear" w:color="auto" w:fill="FFFFFF"/>
            <w:vAlign w:val="center"/>
          </w:tcPr>
          <w:p w14:paraId="2EDACBB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609" w:type="dxa"/>
            <w:tcBorders>
              <w:tl2br w:val="nil"/>
              <w:tr2bl w:val="nil"/>
            </w:tcBorders>
            <w:shd w:val="clear" w:color="auto" w:fill="FFFFFF"/>
            <w:vAlign w:val="center"/>
          </w:tcPr>
          <w:p w14:paraId="680B3FC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00DF47C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5B0EFC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5BFA74CB">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19B292E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591" w:type="dxa"/>
            <w:tcBorders>
              <w:tl2br w:val="nil"/>
              <w:tr2bl w:val="nil"/>
            </w:tcBorders>
            <w:shd w:val="clear" w:color="auto" w:fill="FFFFFF"/>
            <w:vAlign w:val="center"/>
          </w:tcPr>
          <w:p w14:paraId="00B734C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4381DB5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609" w:type="dxa"/>
            <w:tcBorders>
              <w:tl2br w:val="nil"/>
              <w:tr2bl w:val="nil"/>
            </w:tcBorders>
            <w:shd w:val="clear" w:color="000000" w:fill="FFFFFF"/>
            <w:vAlign w:val="center"/>
          </w:tcPr>
          <w:p w14:paraId="2F5BF70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334B5A0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3DC00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4092C157">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4490B27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591" w:type="dxa"/>
            <w:tcBorders>
              <w:tl2br w:val="nil"/>
              <w:tr2bl w:val="nil"/>
            </w:tcBorders>
            <w:shd w:val="clear" w:color="auto" w:fill="FFFFFF"/>
            <w:vAlign w:val="center"/>
          </w:tcPr>
          <w:p w14:paraId="3F51D26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5400A34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609" w:type="dxa"/>
            <w:tcBorders>
              <w:tl2br w:val="nil"/>
              <w:tr2bl w:val="nil"/>
            </w:tcBorders>
            <w:shd w:val="clear" w:color="000000" w:fill="FFFFFF"/>
            <w:vAlign w:val="center"/>
          </w:tcPr>
          <w:p w14:paraId="6511F48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41C694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44F6B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2CEC5EEA">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F9BE0F2">
            <w:pPr>
              <w:widowControl/>
              <w:ind w:firstLine="0" w:firstLineChars="0"/>
              <w:jc w:val="center"/>
              <w:rPr>
                <w:rFonts w:ascii="宋体" w:hAnsi="宋体" w:eastAsia="宋体" w:cs="宋体"/>
                <w:color w:val="000000"/>
                <w:kern w:val="0"/>
                <w:sz w:val="22"/>
              </w:rPr>
            </w:pPr>
          </w:p>
        </w:tc>
        <w:tc>
          <w:tcPr>
            <w:tcW w:w="1591" w:type="dxa"/>
            <w:tcBorders>
              <w:tl2br w:val="nil"/>
              <w:tr2bl w:val="nil"/>
            </w:tcBorders>
            <w:shd w:val="clear" w:color="auto" w:fill="FFFFFF"/>
            <w:vAlign w:val="center"/>
          </w:tcPr>
          <w:p w14:paraId="1DFC41C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268785D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609" w:type="dxa"/>
            <w:tcBorders>
              <w:tl2br w:val="nil"/>
              <w:tr2bl w:val="nil"/>
            </w:tcBorders>
            <w:shd w:val="clear" w:color="000000" w:fill="FFFFFF"/>
            <w:vAlign w:val="center"/>
          </w:tcPr>
          <w:p w14:paraId="65A7943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4DFA3E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040B0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02" w:hRule="atLeast"/>
          <w:jc w:val="center"/>
        </w:trPr>
        <w:tc>
          <w:tcPr>
            <w:tcW w:w="1155" w:type="dxa"/>
            <w:tcBorders>
              <w:tl2br w:val="nil"/>
              <w:tr2bl w:val="nil"/>
            </w:tcBorders>
            <w:shd w:val="clear" w:color="auto" w:fill="FFFFFF"/>
            <w:vAlign w:val="center"/>
          </w:tcPr>
          <w:p w14:paraId="197FA68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14:paraId="5BE0004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591" w:type="dxa"/>
            <w:tcBorders>
              <w:tl2br w:val="nil"/>
              <w:tr2bl w:val="nil"/>
            </w:tcBorders>
            <w:shd w:val="clear" w:color="auto" w:fill="FFFFFF"/>
            <w:vAlign w:val="center"/>
          </w:tcPr>
          <w:p w14:paraId="6669D05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临时性工作补贴发放人数</w:t>
            </w:r>
          </w:p>
        </w:tc>
        <w:tc>
          <w:tcPr>
            <w:tcW w:w="2609" w:type="dxa"/>
            <w:tcBorders>
              <w:tl2br w:val="nil"/>
              <w:tr2bl w:val="nil"/>
            </w:tcBorders>
            <w:shd w:val="clear" w:color="000000" w:fill="FFFFFF"/>
            <w:vAlign w:val="center"/>
          </w:tcPr>
          <w:p w14:paraId="6EA8AC9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6632287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77C98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081BA0A7">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14:paraId="655F566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591" w:type="dxa"/>
            <w:tcBorders>
              <w:tl2br w:val="nil"/>
              <w:tr2bl w:val="nil"/>
            </w:tcBorders>
            <w:shd w:val="clear" w:color="auto" w:fill="FFFFFF"/>
            <w:vAlign w:val="center"/>
          </w:tcPr>
          <w:p w14:paraId="63C52132">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rPr>
              <w:t>补助标准执行率（%）</w:t>
            </w:r>
          </w:p>
        </w:tc>
        <w:tc>
          <w:tcPr>
            <w:tcW w:w="2609" w:type="dxa"/>
            <w:tcBorders>
              <w:tl2br w:val="nil"/>
              <w:tr2bl w:val="nil"/>
            </w:tcBorders>
            <w:shd w:val="clear" w:color="000000" w:fill="FFFFFF"/>
            <w:vAlign w:val="center"/>
          </w:tcPr>
          <w:p w14:paraId="1E04175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29853F3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05D40A3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53B5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14:paraId="6BED087C">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14:paraId="1F3EF52A">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591" w:type="dxa"/>
            <w:tcBorders>
              <w:tl2br w:val="nil"/>
              <w:tr2bl w:val="nil"/>
            </w:tcBorders>
            <w:shd w:val="clear" w:color="auto" w:fill="FFFFFF"/>
            <w:vAlign w:val="center"/>
          </w:tcPr>
          <w:p w14:paraId="626BF57E">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rPr>
              <w:t>补助发放及时率（%）</w:t>
            </w:r>
          </w:p>
        </w:tc>
        <w:tc>
          <w:tcPr>
            <w:tcW w:w="2609" w:type="dxa"/>
            <w:tcBorders>
              <w:tl2br w:val="nil"/>
              <w:tr2bl w:val="nil"/>
            </w:tcBorders>
            <w:shd w:val="clear" w:color="000000" w:fill="FFFFFF"/>
            <w:vAlign w:val="center"/>
          </w:tcPr>
          <w:p w14:paraId="774C407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4683AD1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14:paraId="3778C6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56CAE473">
            <w:pPr>
              <w:widowControl/>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343F631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591" w:type="dxa"/>
            <w:tcBorders>
              <w:tl2br w:val="nil"/>
              <w:tr2bl w:val="nil"/>
            </w:tcBorders>
            <w:shd w:val="clear" w:color="auto" w:fill="FFFFFF"/>
            <w:vAlign w:val="center"/>
          </w:tcPr>
          <w:p w14:paraId="77244311">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第一类补助发放标准</w:t>
            </w:r>
          </w:p>
        </w:tc>
        <w:tc>
          <w:tcPr>
            <w:tcW w:w="2609" w:type="dxa"/>
            <w:vMerge w:val="restart"/>
            <w:tcBorders>
              <w:tl2br w:val="nil"/>
              <w:tr2bl w:val="nil"/>
            </w:tcBorders>
            <w:shd w:val="clear" w:color="000000" w:fill="FFFFFF"/>
            <w:vAlign w:val="center"/>
          </w:tcPr>
          <w:p w14:paraId="756EA4E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1BC2348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1BC942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4C0DEDA9">
            <w:pPr>
              <w:widowControl/>
              <w:ind w:firstLine="0" w:firstLineChars="0"/>
              <w:jc w:val="center"/>
            </w:pPr>
          </w:p>
        </w:tc>
        <w:tc>
          <w:tcPr>
            <w:tcW w:w="1199" w:type="dxa"/>
            <w:vMerge w:val="continue"/>
            <w:tcBorders>
              <w:tl2br w:val="nil"/>
              <w:tr2bl w:val="nil"/>
            </w:tcBorders>
            <w:shd w:val="clear" w:color="auto" w:fill="FFFFFF"/>
            <w:vAlign w:val="center"/>
          </w:tcPr>
          <w:p w14:paraId="35BE7EFD">
            <w:pPr>
              <w:widowControl/>
              <w:ind w:firstLine="0" w:firstLineChars="0"/>
              <w:jc w:val="center"/>
            </w:pPr>
          </w:p>
        </w:tc>
        <w:tc>
          <w:tcPr>
            <w:tcW w:w="1591" w:type="dxa"/>
            <w:tcBorders>
              <w:tl2br w:val="nil"/>
              <w:tr2bl w:val="nil"/>
            </w:tcBorders>
            <w:shd w:val="clear" w:color="auto" w:fill="FFFFFF"/>
            <w:vAlign w:val="center"/>
          </w:tcPr>
          <w:p w14:paraId="538E90B4">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第二类补助发放标准</w:t>
            </w:r>
          </w:p>
        </w:tc>
        <w:tc>
          <w:tcPr>
            <w:tcW w:w="2609" w:type="dxa"/>
            <w:vMerge w:val="continue"/>
            <w:tcBorders>
              <w:tl2br w:val="nil"/>
              <w:tr2bl w:val="nil"/>
            </w:tcBorders>
            <w:shd w:val="clear" w:color="000000" w:fill="FFFFFF"/>
            <w:vAlign w:val="center"/>
          </w:tcPr>
          <w:p w14:paraId="4970C2A7">
            <w:pPr>
              <w:widowControl/>
              <w:ind w:firstLine="0" w:firstLineChars="0"/>
              <w:jc w:val="center"/>
              <w:rPr>
                <w:rFonts w:ascii="Arial" w:hAnsi="Arial" w:eastAsia="宋体" w:cs="Arial"/>
                <w:i w:val="0"/>
                <w:iCs w:val="0"/>
                <w:caps w:val="0"/>
                <w:color w:val="2B2B2B"/>
                <w:spacing w:val="0"/>
                <w:sz w:val="19"/>
                <w:szCs w:val="19"/>
                <w:shd w:val="clear" w:fill="EDEDED"/>
              </w:rPr>
            </w:pPr>
          </w:p>
        </w:tc>
        <w:tc>
          <w:tcPr>
            <w:tcW w:w="7341" w:type="dxa"/>
            <w:vMerge w:val="continue"/>
            <w:tcBorders>
              <w:tl2br w:val="nil"/>
              <w:tr2bl w:val="nil"/>
            </w:tcBorders>
            <w:shd w:val="clear" w:color="000000" w:fill="FFFFFF"/>
            <w:vAlign w:val="center"/>
          </w:tcPr>
          <w:p w14:paraId="44F0B21B">
            <w:pPr>
              <w:widowControl/>
              <w:ind w:firstLine="0" w:firstLineChars="0"/>
              <w:jc w:val="center"/>
              <w:rPr>
                <w:rFonts w:ascii="Arial" w:hAnsi="Arial" w:eastAsia="宋体" w:cs="Arial"/>
                <w:i w:val="0"/>
                <w:iCs w:val="0"/>
                <w:caps w:val="0"/>
                <w:color w:val="2B2B2B"/>
                <w:spacing w:val="0"/>
                <w:sz w:val="19"/>
                <w:szCs w:val="19"/>
                <w:shd w:val="clear" w:fill="EDEDED"/>
              </w:rPr>
            </w:pPr>
          </w:p>
        </w:tc>
      </w:tr>
      <w:tr w14:paraId="428B5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6A19F6B3">
            <w:pPr>
              <w:widowControl/>
              <w:ind w:firstLine="0" w:firstLineChars="0"/>
              <w:jc w:val="center"/>
              <w:rPr>
                <w:rFonts w:ascii="Arial" w:hAnsi="Arial" w:eastAsia="宋体" w:cs="Arial"/>
                <w:i w:val="0"/>
                <w:iCs w:val="0"/>
                <w:caps w:val="0"/>
                <w:color w:val="2B2B2B"/>
                <w:spacing w:val="0"/>
                <w:sz w:val="19"/>
                <w:szCs w:val="19"/>
                <w:shd w:val="clear" w:fill="EDEDED"/>
              </w:rPr>
            </w:pPr>
          </w:p>
        </w:tc>
        <w:tc>
          <w:tcPr>
            <w:tcW w:w="1199" w:type="dxa"/>
            <w:vMerge w:val="continue"/>
            <w:tcBorders>
              <w:tl2br w:val="nil"/>
              <w:tr2bl w:val="nil"/>
            </w:tcBorders>
            <w:shd w:val="clear" w:color="auto" w:fill="FFFFFF"/>
            <w:vAlign w:val="center"/>
          </w:tcPr>
          <w:p w14:paraId="058587EC">
            <w:pPr>
              <w:widowControl/>
              <w:ind w:firstLine="0" w:firstLineChars="0"/>
              <w:jc w:val="center"/>
              <w:rPr>
                <w:rFonts w:ascii="Arial" w:hAnsi="Arial" w:eastAsia="宋体" w:cs="Arial"/>
                <w:i w:val="0"/>
                <w:iCs w:val="0"/>
                <w:caps w:val="0"/>
                <w:color w:val="2B2B2B"/>
                <w:spacing w:val="0"/>
                <w:sz w:val="19"/>
                <w:szCs w:val="19"/>
                <w:shd w:val="clear" w:fill="EDEDED"/>
              </w:rPr>
            </w:pPr>
          </w:p>
        </w:tc>
        <w:tc>
          <w:tcPr>
            <w:tcW w:w="1591" w:type="dxa"/>
            <w:tcBorders>
              <w:tl2br w:val="nil"/>
              <w:tr2bl w:val="nil"/>
            </w:tcBorders>
            <w:shd w:val="clear" w:color="auto" w:fill="FFFFFF"/>
            <w:vAlign w:val="center"/>
          </w:tcPr>
          <w:p w14:paraId="2A3819ED">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临时性工作补贴发放成本</w:t>
            </w:r>
          </w:p>
        </w:tc>
        <w:tc>
          <w:tcPr>
            <w:tcW w:w="2609" w:type="dxa"/>
            <w:vMerge w:val="continue"/>
            <w:tcBorders>
              <w:tl2br w:val="nil"/>
              <w:tr2bl w:val="nil"/>
            </w:tcBorders>
            <w:shd w:val="clear" w:color="000000" w:fill="FFFFFF"/>
            <w:vAlign w:val="center"/>
          </w:tcPr>
          <w:p w14:paraId="228C1CCD">
            <w:pPr>
              <w:widowControl/>
              <w:ind w:firstLine="0" w:firstLineChars="0"/>
              <w:jc w:val="center"/>
              <w:rPr>
                <w:rFonts w:ascii="Arial" w:hAnsi="Arial" w:eastAsia="宋体" w:cs="Arial"/>
                <w:i w:val="0"/>
                <w:iCs w:val="0"/>
                <w:caps w:val="0"/>
                <w:color w:val="2B2B2B"/>
                <w:spacing w:val="0"/>
                <w:sz w:val="19"/>
                <w:szCs w:val="19"/>
                <w:shd w:val="clear" w:fill="EDEDED"/>
              </w:rPr>
            </w:pPr>
          </w:p>
        </w:tc>
        <w:tc>
          <w:tcPr>
            <w:tcW w:w="7341" w:type="dxa"/>
            <w:vMerge w:val="continue"/>
            <w:tcBorders>
              <w:tl2br w:val="nil"/>
              <w:tr2bl w:val="nil"/>
            </w:tcBorders>
            <w:shd w:val="clear" w:color="000000" w:fill="FFFFFF"/>
            <w:vAlign w:val="center"/>
          </w:tcPr>
          <w:p w14:paraId="69B97194">
            <w:pPr>
              <w:widowControl/>
              <w:ind w:firstLine="0" w:firstLineChars="0"/>
              <w:jc w:val="center"/>
              <w:rPr>
                <w:rFonts w:ascii="Arial" w:hAnsi="Arial" w:eastAsia="宋体" w:cs="Arial"/>
                <w:i w:val="0"/>
                <w:iCs w:val="0"/>
                <w:caps w:val="0"/>
                <w:color w:val="2B2B2B"/>
                <w:spacing w:val="0"/>
                <w:sz w:val="19"/>
                <w:szCs w:val="19"/>
                <w:shd w:val="clear" w:fill="EDEDED"/>
              </w:rPr>
            </w:pPr>
          </w:p>
        </w:tc>
      </w:tr>
      <w:tr w14:paraId="6BD0F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5" w:hRule="atLeast"/>
          <w:jc w:val="center"/>
        </w:trPr>
        <w:tc>
          <w:tcPr>
            <w:tcW w:w="1155" w:type="dxa"/>
            <w:tcBorders>
              <w:tl2br w:val="nil"/>
              <w:tr2bl w:val="nil"/>
            </w:tcBorders>
            <w:shd w:val="clear" w:color="auto" w:fill="FFFFFF"/>
            <w:vAlign w:val="center"/>
          </w:tcPr>
          <w:p w14:paraId="7EB3B80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14:paraId="242F00CC">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p w14:paraId="5BF6EF1C">
            <w:pPr>
              <w:widowControl/>
              <w:ind w:firstLine="0" w:firstLineChars="0"/>
              <w:jc w:val="center"/>
              <w:rPr>
                <w:rFonts w:ascii="宋体" w:hAnsi="宋体" w:eastAsia="宋体" w:cs="宋体"/>
                <w:color w:val="000000"/>
                <w:kern w:val="0"/>
                <w:sz w:val="22"/>
                <w:highlight w:val="none"/>
              </w:rPr>
            </w:pPr>
          </w:p>
        </w:tc>
        <w:tc>
          <w:tcPr>
            <w:tcW w:w="1591" w:type="dxa"/>
            <w:tcBorders>
              <w:tl2br w:val="nil"/>
              <w:tr2bl w:val="nil"/>
            </w:tcBorders>
            <w:shd w:val="clear" w:color="auto" w:fill="FFFFFF"/>
            <w:vAlign w:val="center"/>
          </w:tcPr>
          <w:p w14:paraId="628EC13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提高医务人员工作积极性</w:t>
            </w:r>
          </w:p>
        </w:tc>
        <w:tc>
          <w:tcPr>
            <w:tcW w:w="2609" w:type="dxa"/>
            <w:tcBorders>
              <w:tl2br w:val="nil"/>
              <w:tr2bl w:val="nil"/>
            </w:tcBorders>
            <w:shd w:val="clear" w:color="auto" w:fill="FFFFFF"/>
            <w:vAlign w:val="center"/>
          </w:tcPr>
          <w:p w14:paraId="125F24C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68B40803">
            <w:pPr>
              <w:widowControl/>
              <w:ind w:firstLine="0" w:firstLineChars="0"/>
              <w:jc w:val="both"/>
              <w:rPr>
                <w:rFonts w:hint="eastAsia"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p w14:paraId="522D13ED">
            <w:pPr>
              <w:widowControl/>
              <w:ind w:firstLine="0" w:firstLineChars="0"/>
              <w:jc w:val="both"/>
              <w:rPr>
                <w:rFonts w:ascii="宋体" w:hAnsi="宋体" w:eastAsia="宋体" w:cs="宋体"/>
                <w:color w:val="000000"/>
                <w:kern w:val="0"/>
                <w:sz w:val="22"/>
              </w:rPr>
            </w:pPr>
          </w:p>
        </w:tc>
      </w:tr>
      <w:tr w14:paraId="6770B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65C07483">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14:paraId="75CAAF87">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591" w:type="dxa"/>
            <w:tcBorders>
              <w:tl2br w:val="nil"/>
              <w:tr2bl w:val="nil"/>
            </w:tcBorders>
            <w:shd w:val="clear" w:color="auto" w:fill="FFFFFF"/>
            <w:vAlign w:val="center"/>
          </w:tcPr>
          <w:p w14:paraId="36937EC6">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highlight w:val="none"/>
                <w:lang w:eastAsia="zh-CN"/>
              </w:rPr>
              <w:t>医务人员</w:t>
            </w:r>
            <w:r>
              <w:rPr>
                <w:rFonts w:hint="eastAsia" w:ascii="宋体" w:hAnsi="宋体" w:eastAsia="宋体" w:cs="宋体"/>
                <w:color w:val="000000"/>
                <w:kern w:val="0"/>
                <w:sz w:val="22"/>
                <w:highlight w:val="none"/>
              </w:rPr>
              <w:t>满意度</w:t>
            </w:r>
          </w:p>
        </w:tc>
        <w:tc>
          <w:tcPr>
            <w:tcW w:w="2609" w:type="dxa"/>
            <w:tcBorders>
              <w:tl2br w:val="nil"/>
              <w:tr2bl w:val="nil"/>
            </w:tcBorders>
            <w:shd w:val="clear" w:color="000000" w:fill="FFFFFF"/>
            <w:vAlign w:val="center"/>
          </w:tcPr>
          <w:p w14:paraId="71DDF41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1247224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36398DF0">
      <w:pPr>
        <w:ind w:firstLine="0" w:firstLineChars="0"/>
        <w:jc w:val="center"/>
        <w:rPr>
          <w:rFonts w:ascii="仿宋_GB2312"/>
        </w:rPr>
      </w:pPr>
    </w:p>
    <w:p w14:paraId="1D71C708">
      <w:pPr>
        <w:ind w:firstLine="0" w:firstLineChars="0"/>
        <w:jc w:val="center"/>
        <w:rPr>
          <w:rFonts w:ascii="仿宋_GB2312"/>
        </w:rPr>
      </w:pPr>
    </w:p>
    <w:p w14:paraId="68F79581">
      <w:pPr>
        <w:ind w:firstLine="0" w:firstLineChars="0"/>
        <w:jc w:val="center"/>
        <w:rPr>
          <w:rFonts w:ascii="仿宋_GB2312"/>
        </w:rPr>
      </w:pPr>
    </w:p>
    <w:p w14:paraId="09F2616B">
      <w:pPr>
        <w:ind w:firstLine="0" w:firstLineChars="0"/>
        <w:jc w:val="center"/>
        <w:rPr>
          <w:rFonts w:ascii="仿宋_GB2312"/>
        </w:rPr>
      </w:pPr>
    </w:p>
    <w:p w14:paraId="5D56B8F0">
      <w:pPr>
        <w:ind w:firstLine="0" w:firstLineChars="0"/>
        <w:jc w:val="center"/>
        <w:rPr>
          <w:rFonts w:ascii="仿宋_GB2312"/>
        </w:rPr>
      </w:pPr>
    </w:p>
    <w:p w14:paraId="3468EDDC">
      <w:pPr>
        <w:ind w:firstLine="0" w:firstLineChars="0"/>
        <w:jc w:val="center"/>
        <w:rPr>
          <w:rFonts w:ascii="仿宋_GB2312"/>
        </w:rPr>
      </w:pPr>
    </w:p>
    <w:p w14:paraId="341A7F82">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70B09E00">
      <w:pPr>
        <w:pStyle w:val="4"/>
        <w:ind w:firstLine="643"/>
      </w:pPr>
      <w:bookmarkStart w:id="22" w:name="_Toc165277234"/>
      <w:bookmarkStart w:id="23" w:name="_Hlk67586038"/>
      <w:r>
        <w:t>3.</w:t>
      </w:r>
      <w:r>
        <w:rPr>
          <w:rFonts w:hint="eastAsia"/>
        </w:rPr>
        <w:t>评价方法</w:t>
      </w:r>
      <w:bookmarkEnd w:id="22"/>
    </w:p>
    <w:bookmarkEnd w:id="23"/>
    <w:p w14:paraId="5FF60356">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4C6A59DA">
      <w:pPr>
        <w:spacing w:line="360" w:lineRule="auto"/>
        <w:ind w:firstLine="560"/>
        <w:rPr>
          <w:rFonts w:ascii="仿宋_GB2312"/>
        </w:rPr>
      </w:pPr>
      <w:r>
        <w:rPr>
          <w:rFonts w:hint="eastAsia" w:ascii="仿宋_GB2312"/>
        </w:rPr>
        <w:t>（1）成本效益分析法。是指将投入与产出、效益进行关联性分析的方法。</w:t>
      </w:r>
    </w:p>
    <w:p w14:paraId="7497981A">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62539131">
      <w:pPr>
        <w:spacing w:line="360" w:lineRule="auto"/>
        <w:ind w:firstLine="560"/>
        <w:rPr>
          <w:rFonts w:ascii="仿宋_GB2312"/>
        </w:rPr>
      </w:pPr>
      <w:r>
        <w:rPr>
          <w:rFonts w:hint="eastAsia" w:ascii="仿宋_GB2312"/>
        </w:rPr>
        <w:t>（3）因素分析法。是指综合分析影响绩效目标实现、实施效果的内外部因素的方法。</w:t>
      </w:r>
    </w:p>
    <w:p w14:paraId="3F6165CB">
      <w:pPr>
        <w:spacing w:line="360" w:lineRule="auto"/>
        <w:ind w:firstLine="560"/>
        <w:rPr>
          <w:rFonts w:ascii="仿宋_GB2312"/>
        </w:rPr>
      </w:pPr>
      <w:r>
        <w:rPr>
          <w:rFonts w:hint="eastAsia" w:ascii="仿宋_GB2312"/>
        </w:rPr>
        <w:t>（4）最低成本法。是指在绩效目标确定的前提下，成本最小者为优的方法。</w:t>
      </w:r>
    </w:p>
    <w:p w14:paraId="27155AAD">
      <w:pPr>
        <w:spacing w:line="360" w:lineRule="auto"/>
        <w:ind w:firstLine="560"/>
        <w:rPr>
          <w:rFonts w:ascii="仿宋_GB2312"/>
        </w:rPr>
      </w:pPr>
      <w:r>
        <w:rPr>
          <w:rFonts w:hint="eastAsia" w:ascii="仿宋_GB2312"/>
        </w:rPr>
        <w:t>（5）公众评判法。是指通过专家评估、公众问卷及抽样调查等方式进行评判的方法。</w:t>
      </w:r>
    </w:p>
    <w:p w14:paraId="296D3658">
      <w:pPr>
        <w:spacing w:line="360" w:lineRule="auto"/>
        <w:ind w:firstLine="560"/>
        <w:rPr>
          <w:rFonts w:ascii="仿宋_GB2312"/>
        </w:rPr>
      </w:pPr>
      <w:r>
        <w:rPr>
          <w:rFonts w:hint="eastAsia" w:ascii="仿宋_GB2312"/>
        </w:rPr>
        <w:t>（6）标杆管理法。是指以国内外同行业中较高的绩效水平为标杆进行评判的方法。</w:t>
      </w:r>
    </w:p>
    <w:p w14:paraId="17440A96">
      <w:pPr>
        <w:spacing w:line="360" w:lineRule="auto"/>
        <w:ind w:firstLine="560"/>
        <w:rPr>
          <w:rFonts w:ascii="仿宋_GB2312"/>
        </w:rPr>
      </w:pPr>
      <w:r>
        <w:rPr>
          <w:rFonts w:hint="eastAsia" w:ascii="仿宋_GB2312"/>
        </w:rPr>
        <w:t>（7）其他评价方法。</w:t>
      </w:r>
    </w:p>
    <w:p w14:paraId="22AF5083">
      <w:pPr>
        <w:spacing w:line="360" w:lineRule="auto"/>
        <w:ind w:firstLine="560"/>
        <w:rPr>
          <w:rFonts w:ascii="仿宋_GB2312"/>
        </w:rPr>
      </w:pPr>
      <w:r>
        <w:rPr>
          <w:rFonts w:hint="eastAsia" w:ascii="仿宋_GB2312"/>
        </w:rPr>
        <w:t>根据本项目（乌财社〔2023〕37号</w:t>
      </w:r>
      <w:r>
        <w:rPr>
          <w:rFonts w:hint="eastAsia" w:ascii="仿宋_GB2312"/>
          <w:lang w:val="en-US" w:eastAsia="zh-CN"/>
        </w:rPr>
        <w:t>-</w:t>
      </w:r>
      <w:r>
        <w:rPr>
          <w:rFonts w:hint="eastAsia" w:ascii="仿宋_GB2312"/>
          <w:lang w:eastAsia="zh-CN"/>
        </w:rPr>
        <w:t>《</w:t>
      </w:r>
      <w:r>
        <w:rPr>
          <w:rFonts w:hint="eastAsia" w:ascii="仿宋_GB2312"/>
        </w:rPr>
        <w:t>关于拨付2023年第九批疫情防控补助资金(第一批医务人员临时性工作补助资金)的通知</w:t>
      </w:r>
      <w:r>
        <w:rPr>
          <w:rFonts w:hint="eastAsia" w:ascii="仿宋_GB2312"/>
          <w:lang w:eastAsia="zh-CN"/>
        </w:rPr>
        <w:t>》</w:t>
      </w:r>
      <w:r>
        <w:rPr>
          <w:rFonts w:hint="eastAsia" w:ascii="仿宋_GB2312"/>
        </w:rPr>
        <w:t>）的特点，本次评价主要采用比较法</w:t>
      </w:r>
      <w:r>
        <w:rPr>
          <w:rFonts w:hint="eastAsia" w:ascii="仿宋_GB2312"/>
          <w:lang w:val="en-US" w:eastAsia="zh-CN"/>
        </w:rPr>
        <w:t>和公众评判法</w:t>
      </w:r>
      <w:r>
        <w:rPr>
          <w:rFonts w:hint="eastAsia" w:ascii="仿宋_GB2312"/>
        </w:rPr>
        <w:t>，对项目总预算和明细预算的内容、标准、计划是否经济合理进行深入分析，以考察实际产出和效益是否达到预期。</w:t>
      </w:r>
    </w:p>
    <w:p w14:paraId="44A78F00">
      <w:pPr>
        <w:pStyle w:val="4"/>
        <w:ind w:firstLine="643"/>
      </w:pPr>
      <w:bookmarkStart w:id="24" w:name="_Toc165277235"/>
      <w:r>
        <w:t>4.</w:t>
      </w:r>
      <w:r>
        <w:rPr>
          <w:rFonts w:hint="eastAsia"/>
        </w:rPr>
        <w:t>评价标准</w:t>
      </w:r>
      <w:bookmarkEnd w:id="24"/>
    </w:p>
    <w:p w14:paraId="63C6FF3D">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074C694A">
      <w:pPr>
        <w:spacing w:line="360" w:lineRule="auto"/>
        <w:ind w:firstLine="560"/>
        <w:rPr>
          <w:rFonts w:ascii="仿宋_GB2312"/>
        </w:rPr>
      </w:pPr>
      <w:r>
        <w:rPr>
          <w:rFonts w:hint="eastAsia" w:ascii="仿宋_GB2312"/>
        </w:rPr>
        <w:t>（1）计划标准。指以预先制定的目标、计划、预算、定额等作为评价标准。</w:t>
      </w:r>
    </w:p>
    <w:p w14:paraId="2773D91F">
      <w:pPr>
        <w:spacing w:line="360" w:lineRule="auto"/>
        <w:ind w:firstLine="560"/>
        <w:rPr>
          <w:rFonts w:ascii="仿宋_GB2312"/>
        </w:rPr>
      </w:pPr>
      <w:r>
        <w:rPr>
          <w:rFonts w:hint="eastAsia" w:ascii="仿宋_GB2312"/>
        </w:rPr>
        <w:t>（2）行业标准。指参照国家公布的行业指标数据制定的评价标准。</w:t>
      </w:r>
    </w:p>
    <w:p w14:paraId="266AA9DE">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2F9D757F">
      <w:pPr>
        <w:spacing w:line="360" w:lineRule="auto"/>
        <w:ind w:firstLine="560"/>
        <w:rPr>
          <w:rFonts w:ascii="仿宋_GB2312"/>
        </w:rPr>
      </w:pPr>
      <w:r>
        <w:rPr>
          <w:rFonts w:hint="eastAsia" w:ascii="仿宋_GB2312"/>
        </w:rPr>
        <w:t>在上述评价标准的基础上，本次评价依据以下文件为重要指导和准绳：</w:t>
      </w:r>
    </w:p>
    <w:p w14:paraId="7F5D0694">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40ABCD50">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45008FA0">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1FA1BC60">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4FD98486">
      <w:pPr>
        <w:spacing w:line="360" w:lineRule="auto"/>
        <w:ind w:firstLine="560"/>
        <w:rPr>
          <w:rFonts w:hint="eastAsia" w:ascii="仿宋_GB2312"/>
        </w:rPr>
      </w:pPr>
      <w:r>
        <w:rPr>
          <w:rFonts w:hint="eastAsia" w:ascii="仿宋_GB2312"/>
          <w:lang w:val="en-US" w:eastAsia="zh-CN"/>
        </w:rPr>
        <w:t>·</w:t>
      </w:r>
      <w:r>
        <w:rPr>
          <w:rFonts w:hint="eastAsia" w:ascii="仿宋_GB2312"/>
        </w:rPr>
        <w:t>《关于拨付2023年自治区医务人员临时性工作补助资金(第一批)的通知》(新财社〔2023〕8号)</w:t>
      </w:r>
    </w:p>
    <w:p w14:paraId="3EC1D06A">
      <w:pPr>
        <w:spacing w:line="360" w:lineRule="auto"/>
        <w:ind w:firstLine="560"/>
        <w:rPr>
          <w:rFonts w:ascii="仿宋_GB2312"/>
        </w:rPr>
      </w:pPr>
      <w:r>
        <w:rPr>
          <w:rFonts w:hint="eastAsia" w:ascii="仿宋_GB2312"/>
          <w:lang w:val="en-US" w:eastAsia="zh-CN"/>
        </w:rPr>
        <w:t>·</w:t>
      </w:r>
      <w:r>
        <w:rPr>
          <w:rFonts w:hint="eastAsia" w:ascii="仿宋_GB2312"/>
        </w:rPr>
        <w:t>《关于完善自治区医务人员临时性工作补助有关政策的通知》(新财社〔2023〕9号)</w:t>
      </w:r>
      <w:r>
        <w:rPr>
          <w:rFonts w:ascii="仿宋_GB2312"/>
        </w:rPr>
        <w:t xml:space="preserve"> </w:t>
      </w:r>
    </w:p>
    <w:p w14:paraId="33B13547">
      <w:pPr>
        <w:spacing w:line="360" w:lineRule="auto"/>
        <w:ind w:firstLine="560"/>
        <w:rPr>
          <w:rFonts w:hint="eastAsia" w:ascii="仿宋_GB2312"/>
        </w:rPr>
      </w:pPr>
      <w:r>
        <w:rPr>
          <w:rFonts w:hint="eastAsia" w:ascii="仿宋_GB2312"/>
          <w:lang w:val="en-US" w:eastAsia="zh-CN"/>
        </w:rPr>
        <w:t>·</w:t>
      </w:r>
      <w:r>
        <w:rPr>
          <w:rFonts w:hint="eastAsia" w:ascii="仿宋_GB2312"/>
        </w:rPr>
        <w:t>《关于向各区(县)和市级相关医疗机构安排医务人员临时性工作补助资金(第一批)的请示》(乌财社〔2023〕27号)</w:t>
      </w:r>
    </w:p>
    <w:p w14:paraId="22E403FE">
      <w:pPr>
        <w:spacing w:line="360" w:lineRule="auto"/>
        <w:ind w:firstLine="560"/>
        <w:rPr>
          <w:rFonts w:hint="eastAsia" w:ascii="仿宋_GB2312"/>
        </w:rPr>
      </w:pPr>
      <w:r>
        <w:rPr>
          <w:rFonts w:hint="eastAsia" w:ascii="仿宋_GB2312"/>
          <w:lang w:val="en-US" w:eastAsia="zh-CN"/>
        </w:rPr>
        <w:t>·</w:t>
      </w:r>
      <w:r>
        <w:rPr>
          <w:rFonts w:hint="eastAsia" w:ascii="仿宋_GB2312"/>
          <w:lang w:eastAsia="zh-CN"/>
        </w:rPr>
        <w:t>《</w:t>
      </w:r>
      <w:r>
        <w:rPr>
          <w:rFonts w:hint="eastAsia" w:ascii="仿宋_GB2312"/>
        </w:rPr>
        <w:t>关于拨付2023年第九批疫情防控补助资金(第一批医务人员临时性工作补助资金)的通知</w:t>
      </w:r>
      <w:r>
        <w:rPr>
          <w:rFonts w:hint="eastAsia" w:ascii="仿宋_GB2312"/>
          <w:lang w:eastAsia="zh-CN"/>
        </w:rPr>
        <w:t>》（</w:t>
      </w:r>
      <w:r>
        <w:rPr>
          <w:rFonts w:hint="eastAsia" w:ascii="仿宋_GB2312"/>
        </w:rPr>
        <w:t>乌财社〔2023〕37号</w:t>
      </w:r>
      <w:r>
        <w:rPr>
          <w:rFonts w:hint="eastAsia" w:ascii="仿宋_GB2312"/>
          <w:lang w:eastAsia="zh-CN"/>
        </w:rPr>
        <w:t>）</w:t>
      </w:r>
    </w:p>
    <w:p w14:paraId="6944DAB4">
      <w:pPr>
        <w:pStyle w:val="3"/>
        <w:ind w:firstLine="643"/>
        <w:rPr>
          <w:rFonts w:ascii="仿宋" w:hAnsi="仿宋" w:eastAsia="仿宋"/>
          <w:lang w:bidi="en-US"/>
        </w:rPr>
      </w:pPr>
      <w:bookmarkStart w:id="25" w:name="_Toc67911607"/>
      <w:bookmarkStart w:id="26" w:name="_Toc165277236"/>
      <w:r>
        <w:rPr>
          <w:rFonts w:hint="eastAsia" w:ascii="仿宋" w:hAnsi="仿宋" w:eastAsia="仿宋"/>
          <w:lang w:bidi="en-US"/>
        </w:rPr>
        <w:t>（三）绩效评价工作过程</w:t>
      </w:r>
      <w:bookmarkEnd w:id="25"/>
      <w:bookmarkEnd w:id="26"/>
    </w:p>
    <w:p w14:paraId="22802B43">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仿宋_GB2312"/>
        </w:rPr>
        <w:footnoteReference w:id="0"/>
      </w:r>
      <w:r>
        <w:rPr>
          <w:rFonts w:hint="eastAsia" w:ascii="仿宋_GB2312"/>
        </w:rPr>
        <w:t>、材料审核分析、现场核查评价、综合分析评价及报告撰写，评价项目实施情况，展现资金使用效益。</w:t>
      </w:r>
    </w:p>
    <w:p w14:paraId="69FEB8B3">
      <w:pPr>
        <w:pStyle w:val="2"/>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14:paraId="31988871">
      <w:pPr>
        <w:pStyle w:val="3"/>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14:paraId="3875BF80">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lang w:eastAsia="zh-CN"/>
        </w:rPr>
        <w:t>《</w:t>
      </w:r>
      <w:r>
        <w:rPr>
          <w:rFonts w:hint="eastAsia" w:ascii="仿宋_GB2312"/>
        </w:rPr>
        <w:t>关于拨付2023年第九批疫情防控补助资金(第一批医务人员临时性工作补助资金)的通知</w:t>
      </w:r>
      <w:r>
        <w:rPr>
          <w:rFonts w:hint="eastAsia" w:ascii="仿宋_GB2312"/>
          <w:lang w:eastAsia="zh-CN"/>
        </w:rPr>
        <w:t>》</w:t>
      </w:r>
      <w:r>
        <w:rPr>
          <w:rFonts w:hint="eastAsia" w:ascii="仿宋_GB2312"/>
          <w:szCs w:val="28"/>
        </w:rPr>
        <w:t>进行客观评价，最终评分结果为：总分为</w:t>
      </w:r>
      <w:r>
        <w:rPr>
          <w:rFonts w:hint="eastAsia" w:ascii="仿宋_GB2312"/>
          <w:szCs w:val="28"/>
          <w:lang w:val="en-US" w:eastAsia="zh-CN"/>
        </w:rPr>
        <w:t>100</w:t>
      </w:r>
      <w:r>
        <w:rPr>
          <w:rFonts w:hint="eastAsia" w:ascii="仿宋_GB2312"/>
          <w:szCs w:val="28"/>
        </w:rPr>
        <w:t>分，绩效评级为“</w:t>
      </w:r>
      <w:r>
        <w:rPr>
          <w:rFonts w:hint="eastAsia" w:ascii="仿宋_GB2312"/>
          <w:szCs w:val="28"/>
          <w:lang w:eastAsia="zh-CN"/>
        </w:rPr>
        <w:t>优</w:t>
      </w:r>
      <w:r>
        <w:rPr>
          <w:rFonts w:hint="eastAsia" w:ascii="仿宋_GB2312"/>
          <w:szCs w:val="28"/>
        </w:rPr>
        <w:t>”</w:t>
      </w:r>
      <w:r>
        <w:rPr>
          <w:rStyle w:val="21"/>
          <w:rFonts w:ascii="仿宋_GB2312"/>
          <w:szCs w:val="28"/>
        </w:rPr>
        <w:footnoteReference w:id="1"/>
      </w:r>
      <w:r>
        <w:rPr>
          <w:rFonts w:hint="eastAsia" w:ascii="仿宋_GB2312"/>
          <w:szCs w:val="28"/>
        </w:rPr>
        <w:t>。</w:t>
      </w:r>
    </w:p>
    <w:p w14:paraId="6F7E59AB">
      <w:pPr>
        <w:spacing w:line="360" w:lineRule="auto"/>
        <w:ind w:firstLine="560"/>
        <w:rPr>
          <w:rFonts w:ascii="仿宋_GB2312"/>
          <w:szCs w:val="28"/>
          <w:highlight w:val="none"/>
        </w:rPr>
      </w:pPr>
      <w:r>
        <w:rPr>
          <w:rFonts w:hint="eastAsia" w:ascii="仿宋_GB2312"/>
          <w:lang w:eastAsia="zh-CN"/>
        </w:rPr>
        <w:t>《</w:t>
      </w:r>
      <w:r>
        <w:rPr>
          <w:rFonts w:hint="eastAsia" w:ascii="仿宋_GB2312"/>
        </w:rPr>
        <w:t>关于拨付2023年第九批疫情防控补助资金(第一批医务人员临时性工作补助资金)的通知</w:t>
      </w:r>
      <w:r>
        <w:rPr>
          <w:rFonts w:hint="eastAsia" w:ascii="仿宋_GB2312"/>
          <w:lang w:eastAsia="zh-CN"/>
        </w:rPr>
        <w:t>》</w:t>
      </w:r>
      <w:r>
        <w:rPr>
          <w:rFonts w:hint="eastAsia" w:ascii="仿宋_GB2312"/>
          <w:szCs w:val="28"/>
          <w:highlight w:val="none"/>
        </w:rPr>
        <w:t>项目各部分权重和绩效分值如附表所示：</w:t>
      </w:r>
    </w:p>
    <w:p w14:paraId="6F4F7DF1">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60CFC3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3D11E59A">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14:paraId="21CFAE3F">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14:paraId="1BD873BB">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14:paraId="5EDFBB0C">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14:paraId="022D61E5">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14:paraId="5E838615">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712AB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020BE85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34D1B3B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34D2BBD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791C9D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142AB87E">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1AF7175C">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14F5D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94F97A1">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E0777DE">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C0EB04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0C44411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4F7A4702">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31BDD1C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6375C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8763C18">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25C5D05D">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6DBE3FC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21D2B75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5A2812A0">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5436091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0DFE0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8122EC9">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330D49C">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1E55264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4AA9F9B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D760EB5">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63BE260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FC9C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96395A0">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09A3923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08F851A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0E3EFE0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2FD3B909">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2495DED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7EBBD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9EE8C9E">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85D9B6B">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289285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49912D6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36AFBD9A">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39A55DD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7179EA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3EC0C479">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3A18A797">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759DF16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2320BEF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01C0A4F7">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237F44A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8F391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C78D3B9">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2841417">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C21334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4182093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0DAF5E11">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14:paraId="2DCF160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CBDDE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FD6F177">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C1AF97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AA5431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4F11FC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4B9B741">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0EF8B62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378E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1FE0F64">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26C97F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3A7942A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17AD8DF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26EF736">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1ECED5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4326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664D5A3">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0E4219F">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7BB17C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62A0874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0EC5D495">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15DA124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5A51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4" w:hRule="atLeast"/>
          <w:jc w:val="center"/>
        </w:trPr>
        <w:tc>
          <w:tcPr>
            <w:tcW w:w="1550" w:type="dxa"/>
            <w:vMerge w:val="restart"/>
            <w:tcBorders>
              <w:tl2br w:val="nil"/>
              <w:tr2bl w:val="nil"/>
            </w:tcBorders>
            <w:shd w:val="clear" w:color="auto" w:fill="FFFFFF"/>
            <w:vAlign w:val="center"/>
          </w:tcPr>
          <w:p w14:paraId="498B7FD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tcBorders>
              <w:tl2br w:val="nil"/>
              <w:tr2bl w:val="nil"/>
            </w:tcBorders>
            <w:shd w:val="clear" w:color="auto" w:fill="FFFFFF"/>
            <w:vAlign w:val="center"/>
          </w:tcPr>
          <w:p w14:paraId="69B525E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vAlign w:val="center"/>
          </w:tcPr>
          <w:p w14:paraId="58641F0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临时性工作补贴发放人数</w:t>
            </w:r>
          </w:p>
        </w:tc>
        <w:tc>
          <w:tcPr>
            <w:tcW w:w="898" w:type="dxa"/>
            <w:tcBorders>
              <w:tl2br w:val="nil"/>
              <w:tr2bl w:val="nil"/>
            </w:tcBorders>
            <w:shd w:val="clear" w:color="000000" w:fill="FFFFFF"/>
            <w:vAlign w:val="center"/>
          </w:tcPr>
          <w:p w14:paraId="6E490D05">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43F8317C">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46593B4F">
            <w:pPr>
              <w:widowControl/>
              <w:ind w:firstLine="0" w:firstLineChars="0"/>
              <w:jc w:val="center"/>
              <w:rPr>
                <w:rFonts w:ascii="仿宋_GB2312" w:hAnsi="宋体" w:cs="宋体"/>
                <w:kern w:val="0"/>
                <w:sz w:val="24"/>
                <w:szCs w:val="24"/>
                <w:highlight w:val="yellow"/>
              </w:rPr>
            </w:pPr>
            <w:r>
              <w:rPr>
                <w:rFonts w:hint="eastAsia" w:ascii="仿宋_GB2312" w:hAnsi="宋体" w:cs="宋体"/>
                <w:kern w:val="0"/>
                <w:sz w:val="24"/>
                <w:szCs w:val="24"/>
                <w:lang w:val="en-US" w:eastAsia="zh-CN"/>
              </w:rPr>
              <w:t>100%</w:t>
            </w:r>
          </w:p>
        </w:tc>
      </w:tr>
      <w:tr w14:paraId="2D7584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5AEB1B9">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5C3461B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577C7D5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补助标准执行率（%）</w:t>
            </w:r>
          </w:p>
        </w:tc>
        <w:tc>
          <w:tcPr>
            <w:tcW w:w="898" w:type="dxa"/>
            <w:tcBorders>
              <w:tl2br w:val="nil"/>
              <w:tr2bl w:val="nil"/>
            </w:tcBorders>
            <w:shd w:val="clear" w:color="000000" w:fill="FFFFFF"/>
            <w:vAlign w:val="center"/>
          </w:tcPr>
          <w:p w14:paraId="0A89CE2C">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14:paraId="47051295">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1A4D757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5E77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0" w:hRule="atLeast"/>
          <w:jc w:val="center"/>
        </w:trPr>
        <w:tc>
          <w:tcPr>
            <w:tcW w:w="1550" w:type="dxa"/>
            <w:vMerge w:val="continue"/>
            <w:tcBorders>
              <w:tl2br w:val="nil"/>
              <w:tr2bl w:val="nil"/>
            </w:tcBorders>
            <w:shd w:val="clear" w:color="auto" w:fill="FFFFFF"/>
            <w:vAlign w:val="center"/>
          </w:tcPr>
          <w:p w14:paraId="6F4D5082">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15DA0211">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14:paraId="630CC52F">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eastAsia="zh-CN"/>
              </w:rPr>
              <w:t>补助发放及时率（</w:t>
            </w:r>
            <w:r>
              <w:rPr>
                <w:rFonts w:hint="eastAsia" w:ascii="仿宋_GB2312" w:hAnsi="宋体" w:cs="宋体"/>
                <w:kern w:val="0"/>
                <w:sz w:val="24"/>
                <w:szCs w:val="24"/>
                <w:lang w:val="en-US" w:eastAsia="zh-CN"/>
              </w:rPr>
              <w:t>%</w:t>
            </w:r>
            <w:r>
              <w:rPr>
                <w:rFonts w:hint="eastAsia" w:ascii="仿宋_GB2312" w:hAnsi="宋体" w:cs="宋体"/>
                <w:kern w:val="0"/>
                <w:sz w:val="24"/>
                <w:szCs w:val="24"/>
                <w:lang w:eastAsia="zh-CN"/>
              </w:rPr>
              <w:t>）</w:t>
            </w:r>
          </w:p>
        </w:tc>
        <w:tc>
          <w:tcPr>
            <w:tcW w:w="898" w:type="dxa"/>
            <w:tcBorders>
              <w:tl2br w:val="nil"/>
              <w:tr2bl w:val="nil"/>
            </w:tcBorders>
            <w:shd w:val="clear" w:color="000000" w:fill="FFFFFF"/>
            <w:vAlign w:val="center"/>
          </w:tcPr>
          <w:p w14:paraId="457EDA39">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6D216CFE">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5741809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2D9E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660A870E">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78C7835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1F217719">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eastAsia="zh-CN"/>
              </w:rPr>
              <w:t>第一类补助发放标准</w:t>
            </w:r>
          </w:p>
        </w:tc>
        <w:tc>
          <w:tcPr>
            <w:tcW w:w="898" w:type="dxa"/>
            <w:tcBorders>
              <w:tl2br w:val="nil"/>
              <w:tr2bl w:val="nil"/>
            </w:tcBorders>
            <w:shd w:val="clear" w:color="000000" w:fill="FFFFFF"/>
            <w:vAlign w:val="center"/>
          </w:tcPr>
          <w:p w14:paraId="690108E7">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14:paraId="568BA062">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6467A11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5145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7CA2E371">
            <w:pPr>
              <w:widowControl/>
              <w:ind w:firstLine="0" w:firstLineChars="0"/>
              <w:jc w:val="center"/>
            </w:pPr>
          </w:p>
        </w:tc>
        <w:tc>
          <w:tcPr>
            <w:tcW w:w="1984" w:type="dxa"/>
            <w:vMerge w:val="continue"/>
            <w:tcBorders>
              <w:tl2br w:val="nil"/>
              <w:tr2bl w:val="nil"/>
            </w:tcBorders>
            <w:shd w:val="clear" w:color="auto" w:fill="FFFFFF"/>
            <w:vAlign w:val="center"/>
          </w:tcPr>
          <w:p w14:paraId="148C4C5E">
            <w:pPr>
              <w:widowControl/>
              <w:ind w:firstLine="0" w:firstLineChars="0"/>
              <w:jc w:val="center"/>
            </w:pPr>
          </w:p>
        </w:tc>
        <w:tc>
          <w:tcPr>
            <w:tcW w:w="2693" w:type="dxa"/>
            <w:tcBorders>
              <w:tl2br w:val="nil"/>
              <w:tr2bl w:val="nil"/>
            </w:tcBorders>
            <w:shd w:val="clear" w:color="auto" w:fill="FFFFFF"/>
            <w:vAlign w:val="center"/>
          </w:tcPr>
          <w:p w14:paraId="4E49E78A">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eastAsia="zh-CN"/>
              </w:rPr>
              <w:t>第二类补助发放标准</w:t>
            </w:r>
          </w:p>
        </w:tc>
        <w:tc>
          <w:tcPr>
            <w:tcW w:w="898" w:type="dxa"/>
            <w:tcBorders>
              <w:tl2br w:val="nil"/>
              <w:tr2bl w:val="nil"/>
            </w:tcBorders>
            <w:shd w:val="clear" w:color="000000" w:fill="FFFFFF"/>
            <w:vAlign w:val="center"/>
          </w:tcPr>
          <w:p w14:paraId="335CBF67">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14:paraId="0895718C">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793A8BF8">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100%</w:t>
            </w:r>
          </w:p>
        </w:tc>
      </w:tr>
      <w:tr w14:paraId="2FCCA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4EA34C45">
            <w:pPr>
              <w:widowControl/>
              <w:ind w:firstLine="0" w:firstLineChars="0"/>
              <w:jc w:val="center"/>
              <w:rPr>
                <w:rFonts w:hint="eastAsia" w:ascii="宋体" w:hAnsi="宋体" w:eastAsia="宋体" w:cs="宋体"/>
                <w:color w:val="000000"/>
                <w:kern w:val="0"/>
                <w:sz w:val="22"/>
              </w:rPr>
            </w:pPr>
          </w:p>
        </w:tc>
        <w:tc>
          <w:tcPr>
            <w:tcW w:w="1984" w:type="dxa"/>
            <w:vMerge w:val="continue"/>
            <w:tcBorders>
              <w:tl2br w:val="nil"/>
              <w:tr2bl w:val="nil"/>
            </w:tcBorders>
            <w:shd w:val="clear" w:color="auto" w:fill="FFFFFF"/>
            <w:vAlign w:val="center"/>
          </w:tcPr>
          <w:p w14:paraId="4AB10866">
            <w:pPr>
              <w:widowControl/>
              <w:ind w:firstLine="0" w:firstLineChars="0"/>
              <w:jc w:val="center"/>
              <w:rPr>
                <w:rFonts w:hint="eastAsia" w:ascii="宋体" w:hAnsi="宋体" w:eastAsia="宋体" w:cs="宋体"/>
                <w:color w:val="000000"/>
                <w:kern w:val="0"/>
                <w:sz w:val="22"/>
              </w:rPr>
            </w:pPr>
          </w:p>
        </w:tc>
        <w:tc>
          <w:tcPr>
            <w:tcW w:w="2693" w:type="dxa"/>
            <w:tcBorders>
              <w:tl2br w:val="nil"/>
              <w:tr2bl w:val="nil"/>
            </w:tcBorders>
            <w:shd w:val="clear" w:color="auto" w:fill="FFFFFF"/>
            <w:vAlign w:val="center"/>
          </w:tcPr>
          <w:p w14:paraId="5ADB45BE">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eastAsia="zh-CN"/>
              </w:rPr>
              <w:t>临时性工作补贴发放成本</w:t>
            </w:r>
          </w:p>
        </w:tc>
        <w:tc>
          <w:tcPr>
            <w:tcW w:w="898" w:type="dxa"/>
            <w:tcBorders>
              <w:tl2br w:val="nil"/>
              <w:tr2bl w:val="nil"/>
            </w:tcBorders>
            <w:shd w:val="clear" w:color="000000" w:fill="FFFFFF"/>
            <w:vAlign w:val="center"/>
          </w:tcPr>
          <w:p w14:paraId="19A2FC2A">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14:paraId="2FA596FE">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13F4E4C8">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100%</w:t>
            </w:r>
          </w:p>
        </w:tc>
      </w:tr>
      <w:tr w14:paraId="6D3C4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4" w:hRule="atLeast"/>
          <w:jc w:val="center"/>
        </w:trPr>
        <w:tc>
          <w:tcPr>
            <w:tcW w:w="1550" w:type="dxa"/>
            <w:tcBorders>
              <w:tl2br w:val="nil"/>
              <w:tr2bl w:val="nil"/>
            </w:tcBorders>
            <w:shd w:val="clear" w:color="auto" w:fill="FFFFFF"/>
            <w:vAlign w:val="center"/>
          </w:tcPr>
          <w:p w14:paraId="2473152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3CABD58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14:paraId="6A0EBA2C">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eastAsia="zh-CN"/>
              </w:rPr>
              <w:t>提高医务人员工作积极性</w:t>
            </w:r>
          </w:p>
        </w:tc>
        <w:tc>
          <w:tcPr>
            <w:tcW w:w="898" w:type="dxa"/>
            <w:tcBorders>
              <w:tl2br w:val="nil"/>
              <w:tr2bl w:val="nil"/>
            </w:tcBorders>
            <w:shd w:val="clear" w:color="auto" w:fill="FFFFFF"/>
            <w:vAlign w:val="center"/>
          </w:tcPr>
          <w:p w14:paraId="0C45356A">
            <w:pPr>
              <w:widowControl/>
              <w:ind w:firstLine="0" w:firstLineChars="0"/>
              <w:jc w:val="center"/>
              <w:rPr>
                <w:rFonts w:hint="default" w:ascii="仿宋_GB2312" w:hAnsi="宋体" w:cs="宋体"/>
                <w:kern w:val="0"/>
                <w:sz w:val="24"/>
                <w:szCs w:val="24"/>
                <w:lang w:val="en-US" w:eastAsia="zh-CN"/>
              </w:rPr>
            </w:pPr>
            <w:r>
              <w:rPr>
                <w:rFonts w:hint="default" w:ascii="仿宋_GB2312" w:hAnsi="宋体" w:cs="宋体"/>
                <w:kern w:val="0"/>
                <w:sz w:val="24"/>
                <w:szCs w:val="24"/>
                <w:lang w:val="en-US" w:eastAsia="zh-CN"/>
              </w:rPr>
              <w:t>10</w:t>
            </w:r>
          </w:p>
        </w:tc>
        <w:tc>
          <w:tcPr>
            <w:tcW w:w="898" w:type="dxa"/>
            <w:tcBorders>
              <w:tl2br w:val="nil"/>
              <w:tr2bl w:val="nil"/>
            </w:tcBorders>
            <w:shd w:val="clear" w:color="auto" w:fill="FFFFFF"/>
            <w:vAlign w:val="center"/>
          </w:tcPr>
          <w:p w14:paraId="5D75126A">
            <w:pPr>
              <w:widowControl/>
              <w:ind w:firstLine="0" w:firstLineChars="0"/>
              <w:jc w:val="center"/>
              <w:rPr>
                <w:rFonts w:hint="default" w:ascii="仿宋_GB2312" w:hAnsi="宋体" w:cs="宋体"/>
                <w:kern w:val="0"/>
                <w:sz w:val="24"/>
                <w:szCs w:val="24"/>
                <w:lang w:val="en-US" w:eastAsia="zh-CN"/>
              </w:rPr>
            </w:pPr>
            <w:r>
              <w:rPr>
                <w:rFonts w:hint="default" w:ascii="仿宋_GB2312" w:hAnsi="宋体" w:cs="宋体"/>
                <w:kern w:val="0"/>
                <w:sz w:val="24"/>
                <w:szCs w:val="24"/>
                <w:lang w:val="en-US" w:eastAsia="zh-CN"/>
              </w:rPr>
              <w:t>10</w:t>
            </w:r>
          </w:p>
        </w:tc>
        <w:tc>
          <w:tcPr>
            <w:tcW w:w="1039" w:type="dxa"/>
            <w:tcBorders>
              <w:tl2br w:val="nil"/>
              <w:tr2bl w:val="nil"/>
            </w:tcBorders>
            <w:shd w:val="clear" w:color="auto" w:fill="FFFFFF"/>
            <w:vAlign w:val="center"/>
          </w:tcPr>
          <w:p w14:paraId="09B0C620">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42B232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684977D0">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14:paraId="2E5B541A">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14:paraId="0F85E8E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eastAsia="zh-CN"/>
              </w:rPr>
              <w:t>医务人员</w:t>
            </w:r>
            <w:r>
              <w:rPr>
                <w:rFonts w:hint="eastAsia" w:ascii="仿宋_GB2312" w:hAnsi="宋体" w:cs="宋体"/>
                <w:kern w:val="0"/>
                <w:sz w:val="24"/>
                <w:szCs w:val="24"/>
              </w:rPr>
              <w:t>满意度</w:t>
            </w:r>
          </w:p>
        </w:tc>
        <w:tc>
          <w:tcPr>
            <w:tcW w:w="898" w:type="dxa"/>
            <w:tcBorders>
              <w:tl2br w:val="nil"/>
              <w:tr2bl w:val="nil"/>
            </w:tcBorders>
            <w:shd w:val="clear" w:color="000000" w:fill="FFFFFF"/>
            <w:vAlign w:val="center"/>
          </w:tcPr>
          <w:p w14:paraId="256A0A1B">
            <w:pPr>
              <w:widowControl/>
              <w:ind w:firstLine="0" w:firstLineChars="0"/>
              <w:jc w:val="center"/>
              <w:rPr>
                <w:rFonts w:hint="default" w:ascii="仿宋_GB2312" w:hAnsi="宋体" w:eastAsia="仿宋_GB2312" w:cs="宋体"/>
                <w:kern w:val="0"/>
                <w:sz w:val="24"/>
                <w:szCs w:val="24"/>
                <w:lang w:val="en-US" w:eastAsia="zh-CN"/>
              </w:rPr>
            </w:pPr>
            <w:r>
              <w:rPr>
                <w:rFonts w:hint="default" w:ascii="仿宋_GB2312" w:hAnsi="宋体" w:cs="宋体"/>
                <w:kern w:val="0"/>
                <w:sz w:val="24"/>
                <w:szCs w:val="24"/>
                <w:lang w:val="en-US"/>
              </w:rPr>
              <w:t>5</w:t>
            </w:r>
          </w:p>
        </w:tc>
        <w:tc>
          <w:tcPr>
            <w:tcW w:w="898" w:type="dxa"/>
            <w:tcBorders>
              <w:tl2br w:val="nil"/>
              <w:tr2bl w:val="nil"/>
            </w:tcBorders>
            <w:shd w:val="clear" w:color="000000" w:fill="FFFFFF"/>
            <w:vAlign w:val="center"/>
          </w:tcPr>
          <w:p w14:paraId="19FBC99C">
            <w:pPr>
              <w:widowControl/>
              <w:ind w:firstLine="0" w:firstLineChars="0"/>
              <w:jc w:val="center"/>
              <w:rPr>
                <w:rFonts w:hint="default" w:ascii="仿宋_GB2312" w:hAnsi="宋体" w:eastAsia="仿宋_GB2312" w:cs="宋体"/>
                <w:kern w:val="0"/>
                <w:sz w:val="24"/>
                <w:szCs w:val="24"/>
                <w:lang w:val="en-US" w:eastAsia="zh-CN"/>
              </w:rPr>
            </w:pPr>
            <w:r>
              <w:rPr>
                <w:rFonts w:hint="default"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35D5D4D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bl>
    <w:p w14:paraId="0CAD9187">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14:paraId="05029204">
      <w:pPr>
        <w:spacing w:line="360" w:lineRule="auto"/>
        <w:ind w:firstLine="548" w:firstLineChars="196"/>
        <w:rPr>
          <w:rFonts w:hint="default" w:ascii="仿宋_GB2312"/>
          <w:bCs/>
          <w:szCs w:val="28"/>
          <w:lang w:val="en-US" w:eastAsia="zh-CN"/>
        </w:rPr>
      </w:pPr>
      <w:r>
        <w:rPr>
          <w:rFonts w:hint="eastAsia" w:ascii="仿宋_GB2312"/>
          <w:bCs/>
          <w:szCs w:val="28"/>
        </w:rPr>
        <w:t>该项目资金区财政及时拨付，我单位积极响应国家关心关爱医务人员政策落实到位</w:t>
      </w:r>
      <w:r>
        <w:rPr>
          <w:rFonts w:hint="eastAsia" w:ascii="仿宋_GB2312"/>
          <w:bCs/>
          <w:szCs w:val="28"/>
          <w:lang w:eastAsia="zh-CN"/>
        </w:rPr>
        <w:t>，数量指标：临时性工作补贴发放人数，我院共涉及</w:t>
      </w:r>
      <w:r>
        <w:rPr>
          <w:rFonts w:hint="eastAsia" w:ascii="仿宋_GB2312"/>
          <w:bCs/>
          <w:szCs w:val="28"/>
          <w:lang w:val="en-US" w:eastAsia="zh-CN"/>
        </w:rPr>
        <w:t>1116人，全部发放到位，完成值达到100%；质量指标：补助标准执行率（%），我院按照文件要求的标准，经上级部门审核后，认真执行，完成值达到100%；时效指标：补助发放及时率（%），资金文件下达后，我院第一时间造发放表，进行发放，完成值达到100%；经济成本指标：第一类补助发放标准、第二类补助发放标准、临时性工作补助发放成本，这三项均是以文件要求和上级部门公示后的发放表执行，完成值达到100%；社会效益指标：提高医务人员工作积极性，通过我院对医务人员的抽查得到结果，本次资金的发放，切实的保障了医务人员的权益，</w:t>
      </w:r>
      <w:r>
        <w:rPr>
          <w:rFonts w:hint="eastAsia"/>
          <w:sz w:val="28"/>
          <w:szCs w:val="28"/>
        </w:rPr>
        <w:t>强化一线医务人员保护关心爱护措施</w:t>
      </w:r>
      <w:r>
        <w:rPr>
          <w:rFonts w:hint="eastAsia"/>
          <w:sz w:val="28"/>
          <w:szCs w:val="28"/>
          <w:lang w:eastAsia="zh-CN"/>
        </w:rPr>
        <w:t>，真正做到提高医务人员工作积极性。</w:t>
      </w:r>
    </w:p>
    <w:p w14:paraId="73990C53">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14:paraId="7F2258B7">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14:paraId="6A484633">
      <w:pPr>
        <w:spacing w:line="360" w:lineRule="auto"/>
        <w:ind w:firstLine="560"/>
        <w:rPr>
          <w:rFonts w:ascii="仿宋_GB2312"/>
          <w:szCs w:val="28"/>
        </w:rPr>
      </w:pPr>
      <w:r>
        <w:rPr>
          <w:rFonts w:hint="eastAsia" w:ascii="仿宋_GB2312"/>
          <w:szCs w:val="28"/>
        </w:rPr>
        <w:t>项目</w:t>
      </w:r>
      <w:r>
        <w:rPr>
          <w:rFonts w:hint="eastAsia" w:ascii="仿宋_GB2312"/>
          <w:szCs w:val="28"/>
          <w:lang w:eastAsia="zh-CN"/>
        </w:rPr>
        <w:t>决策</w:t>
      </w:r>
      <w:r>
        <w:rPr>
          <w:rFonts w:hint="eastAsia" w:ascii="仿宋_GB2312"/>
          <w:szCs w:val="28"/>
        </w:rPr>
        <w:t>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36348CCE">
      <w:pPr>
        <w:pStyle w:val="4"/>
        <w:ind w:firstLine="643"/>
      </w:pPr>
      <w:bookmarkStart w:id="37" w:name="_Toc165277242"/>
      <w:r>
        <w:t>1.</w:t>
      </w:r>
      <w:r>
        <w:rPr>
          <w:rFonts w:hint="eastAsia"/>
        </w:rPr>
        <w:t>项目立项</w:t>
      </w:r>
      <w:bookmarkEnd w:id="37"/>
    </w:p>
    <w:p w14:paraId="16B807BA">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项目立项符合《关于拨付2023年自治区医务人员临时性工作补助资金(第一批)的通知》(新财社</w:t>
      </w:r>
      <w:r>
        <w:rPr>
          <w:rFonts w:hint="eastAsia" w:ascii="仿宋_GB2312"/>
        </w:rPr>
        <w:t>〔2023〕</w:t>
      </w:r>
      <w:r>
        <w:rPr>
          <w:rFonts w:hint="eastAsia" w:ascii="仿宋_GB2312"/>
          <w:szCs w:val="28"/>
        </w:rPr>
        <w:t>8号)和《关于完善自治区医务人员临时性工作补助有关政策的通知》(新财社</w:t>
      </w:r>
      <w:r>
        <w:rPr>
          <w:rFonts w:hint="eastAsia" w:ascii="仿宋_GB2312"/>
        </w:rPr>
        <w:t>〔2023〕</w:t>
      </w:r>
      <w:r>
        <w:rPr>
          <w:rFonts w:hint="eastAsia" w:ascii="仿宋_GB2312"/>
          <w:szCs w:val="28"/>
        </w:rPr>
        <w:t>9号)，按照市人民政府在市财政局《关于向各区(县)和市级相关医疗机构安排医务人员临时性工作补助资金(第一批)的请示》(乌财社</w:t>
      </w:r>
      <w:r>
        <w:rPr>
          <w:rFonts w:hint="eastAsia" w:ascii="仿宋_GB2312"/>
        </w:rPr>
        <w:t>〔2023〕</w:t>
      </w:r>
      <w:r>
        <w:rPr>
          <w:rFonts w:hint="eastAsia" w:ascii="仿宋_GB2312"/>
          <w:szCs w:val="28"/>
        </w:rPr>
        <w:t>27号)上的批示，结合市卫健委《关于落实&lt;完善自治区医务人员临时性工作补助有关政策的通知&gt;的工作方案》。同时，项目与部门职责范围相符，属于部门履职所需。此外，本项目属于公共财政支持范围，符合中央、地方事权支出责任划分原则。因此，立项依据充分，得4分。</w:t>
      </w:r>
    </w:p>
    <w:p w14:paraId="7B8EB347">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lang w:val="en-US" w:eastAsia="zh-CN"/>
        </w:rPr>
        <w:t>该项目是先由单位人事科按照文件对发放人员的标准要求，填报发放汇总表，上报人事组织部进行审批和公示，</w:t>
      </w:r>
      <w:r>
        <w:rPr>
          <w:rFonts w:hint="eastAsia" w:ascii="仿宋_GB2312"/>
        </w:rPr>
        <w:t>公示期满后,各级医疗卫生机构填写医务人员临时性工作补助发放统计表报同级卫生健康部门审核</w:t>
      </w:r>
      <w:r>
        <w:rPr>
          <w:rFonts w:hint="eastAsia" w:ascii="仿宋_GB2312"/>
          <w:lang w:eastAsia="zh-CN"/>
        </w:rPr>
        <w:t>，</w:t>
      </w:r>
      <w:r>
        <w:rPr>
          <w:rFonts w:hint="eastAsia" w:ascii="仿宋_GB2312"/>
          <w:szCs w:val="28"/>
          <w:lang w:eastAsia="zh-CN"/>
        </w:rPr>
        <w:t>并由各级卫生健康部门报同级人力资源社会保障、财政部门审定完成，通过《新疆维吾尔自治区防疫一线工作人员临时性工作补助发放汇总表》</w:t>
      </w:r>
      <w:r>
        <w:rPr>
          <w:rFonts w:hint="eastAsia" w:ascii="仿宋_GB2312"/>
          <w:szCs w:val="28"/>
        </w:rPr>
        <w:t>，</w:t>
      </w:r>
      <w:r>
        <w:rPr>
          <w:rFonts w:hint="eastAsia" w:ascii="仿宋_GB2312"/>
          <w:szCs w:val="28"/>
          <w:lang w:val="en-US" w:eastAsia="zh-CN"/>
        </w:rPr>
        <w:t>由单位进行如实发放。</w:t>
      </w:r>
      <w:r>
        <w:rPr>
          <w:rFonts w:hint="eastAsia" w:ascii="仿宋_GB2312"/>
          <w:szCs w:val="28"/>
        </w:rPr>
        <w:t>故立项程序规范，得4分。</w:t>
      </w:r>
    </w:p>
    <w:p w14:paraId="4846B64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7A07DF6C">
      <w:pPr>
        <w:pStyle w:val="4"/>
        <w:ind w:firstLine="643"/>
      </w:pPr>
      <w:bookmarkStart w:id="38" w:name="_Toc165277243"/>
      <w:r>
        <w:rPr>
          <w:rFonts w:hint="eastAsia"/>
        </w:rPr>
        <w:t>2</w:t>
      </w:r>
      <w:r>
        <w:t>.</w:t>
      </w:r>
      <w:r>
        <w:rPr>
          <w:rFonts w:hint="eastAsia"/>
        </w:rPr>
        <w:t>绩效目标</w:t>
      </w:r>
      <w:bookmarkEnd w:id="38"/>
    </w:p>
    <w:p w14:paraId="7DBBCF5F">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34C34437">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目标已细化为具体的绩效指标</w:t>
      </w:r>
      <w:r>
        <w:rPr>
          <w:rFonts w:hint="eastAsia" w:ascii="仿宋_GB2312" w:hAnsi="仿宋" w:cs="宋体"/>
          <w:kern w:val="0"/>
          <w:szCs w:val="28"/>
          <w:lang w:eastAsia="zh-CN"/>
        </w:rPr>
        <w:t>分别为：临时性工作补贴发放人数、补助标准执行率（%）、补助发放及时率（%）、第一类补助发放标准、第二类补助发放标准、临时性工作补贴发放成本、提高医务人员工作积极性、医务人员满意度这</w:t>
      </w:r>
      <w:r>
        <w:rPr>
          <w:rFonts w:hint="eastAsia" w:ascii="仿宋_GB2312" w:hAnsi="仿宋" w:cs="宋体"/>
          <w:kern w:val="0"/>
          <w:szCs w:val="28"/>
          <w:lang w:val="en-US" w:eastAsia="zh-CN"/>
        </w:rPr>
        <w:t>8条指标</w:t>
      </w:r>
      <w:r>
        <w:rPr>
          <w:rFonts w:hint="eastAsia" w:ascii="仿宋_GB2312" w:hAnsi="仿宋" w:cs="宋体"/>
          <w:kern w:val="0"/>
          <w:szCs w:val="28"/>
        </w:rPr>
        <w:t>，可通过数量指标、质量指标、时效指标和成本指标予以量化，并具有确切的评价标准，且指标设定均与目标相关。各项指标均能在现实条件下收集到相关数据进行佐证</w:t>
      </w:r>
      <w:r>
        <w:rPr>
          <w:rFonts w:hint="eastAsia" w:ascii="仿宋_GB2312" w:hAnsi="仿宋" w:cs="宋体"/>
          <w:kern w:val="0"/>
          <w:szCs w:val="28"/>
          <w:lang w:eastAsia="zh-CN"/>
        </w:rPr>
        <w:t>，</w:t>
      </w:r>
      <w:r>
        <w:rPr>
          <w:rFonts w:hint="eastAsia" w:ascii="仿宋_GB2312" w:hAnsi="仿宋" w:cs="宋体"/>
          <w:kern w:val="0"/>
          <w:szCs w:val="28"/>
        </w:rPr>
        <w:t>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6D6A04EA">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2379F624">
      <w:pPr>
        <w:pStyle w:val="4"/>
        <w:ind w:firstLine="643"/>
      </w:pPr>
      <w:bookmarkStart w:id="39" w:name="_Toc165277244"/>
      <w:r>
        <w:rPr>
          <w:rFonts w:hint="eastAsia"/>
        </w:rPr>
        <w:t>3.资金投入</w:t>
      </w:r>
      <w:bookmarkEnd w:id="39"/>
    </w:p>
    <w:p w14:paraId="410472C1">
      <w:pPr>
        <w:autoSpaceDE w:val="0"/>
        <w:spacing w:line="600" w:lineRule="exact"/>
        <w:ind w:firstLine="562"/>
        <w:rPr>
          <w:rFonts w:ascii="仿宋_GB2312" w:hAnsi="仿宋" w:cs="宋体"/>
          <w:bCs/>
          <w:kern w:val="0"/>
          <w:szCs w:val="28"/>
        </w:rPr>
      </w:pPr>
      <w:r>
        <w:rPr>
          <w:rFonts w:hint="eastAsia" w:ascii="仿宋_GB2312" w:hAnsi="仿宋" w:cs="宋体"/>
          <w:b w:val="0"/>
          <w:bCs/>
          <w:kern w:val="0"/>
          <w:szCs w:val="28"/>
        </w:rPr>
        <w:t>预算编制科学性：</w:t>
      </w:r>
      <w:r>
        <w:rPr>
          <w:rFonts w:hint="eastAsia" w:ascii="仿宋_GB2312" w:hAnsi="仿宋" w:cs="宋体"/>
          <w:b w:val="0"/>
          <w:bCs/>
          <w:kern w:val="0"/>
          <w:szCs w:val="28"/>
          <w:lang w:val="en-US" w:eastAsia="zh-CN"/>
        </w:rPr>
        <w:t>该项目是按照上级下达的文件要求及标准，填报在2022年12月7日至2023年1月30日期间应当发放医务人员临时性工作补助的人员名单、标准、工作天数、发放金额等情况进行公示后，经上级卫生健康部门审核完毕，并由各级卫生健康部门报同级人力资源社会保障、财政部门审定完成，通过《新疆维吾尔自治区防疫一线工作人员临时性工作补助发放汇总表》汇总出预算总额</w:t>
      </w:r>
      <w:r>
        <w:rPr>
          <w:rFonts w:hint="eastAsia" w:hAnsi="宋体" w:cs="宋体"/>
          <w:b w:val="0"/>
          <w:bCs/>
          <w:kern w:val="0"/>
          <w:sz w:val="30"/>
          <w:szCs w:val="30"/>
          <w:lang w:eastAsia="zh-CN"/>
        </w:rPr>
        <w:t>。</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4D478DDC">
      <w:pPr>
        <w:autoSpaceDE w:val="0"/>
        <w:spacing w:line="600" w:lineRule="exact"/>
        <w:ind w:firstLine="0" w:firstLineChars="0"/>
        <w:rPr>
          <w:rFonts w:ascii="仿宋_GB2312" w:hAnsi="仿宋" w:cs="宋体"/>
          <w:bCs/>
          <w:kern w:val="0"/>
          <w:szCs w:val="28"/>
        </w:rPr>
      </w:pPr>
    </w:p>
    <w:p w14:paraId="3C439E8E">
      <w:pPr>
        <w:spacing w:line="360" w:lineRule="auto"/>
        <w:ind w:firstLine="562"/>
      </w:pPr>
      <w:r>
        <w:rPr>
          <w:rFonts w:hint="eastAsia"/>
          <w:b/>
          <w:bCs/>
        </w:rPr>
        <w:t>资金分配合理性</w:t>
      </w:r>
      <w:r>
        <w:rPr>
          <w:rFonts w:hint="eastAsia"/>
        </w:rPr>
        <w:t>：</w:t>
      </w:r>
      <w:r>
        <w:rPr>
          <w:rFonts w:hint="eastAsia" w:ascii="仿宋_GB2312"/>
          <w:highlight w:val="none"/>
          <w:lang w:eastAsia="zh-CN"/>
        </w:rPr>
        <w:t>根据自治区财政厅、卫健委和人社厅《关于拨付2023年自治区医务人员临时性工作补助资金(第一批)的通知》(新财社</w:t>
      </w:r>
      <w:r>
        <w:rPr>
          <w:rFonts w:hint="eastAsia" w:ascii="仿宋_GB2312"/>
          <w:highlight w:val="none"/>
        </w:rPr>
        <w:t>〔2023〕</w:t>
      </w:r>
      <w:r>
        <w:rPr>
          <w:rFonts w:hint="eastAsia" w:ascii="仿宋_GB2312"/>
          <w:highlight w:val="none"/>
          <w:lang w:eastAsia="zh-CN"/>
        </w:rPr>
        <w:t>8号)和《关于完善自治区医务人员临时性工作补助有关政策的通知》(新财社</w:t>
      </w:r>
      <w:r>
        <w:rPr>
          <w:rFonts w:hint="eastAsia" w:ascii="仿宋_GB2312"/>
          <w:highlight w:val="none"/>
        </w:rPr>
        <w:t>〔2023〕</w:t>
      </w:r>
      <w:r>
        <w:rPr>
          <w:rFonts w:hint="eastAsia" w:ascii="仿宋_GB2312"/>
          <w:highlight w:val="none"/>
          <w:lang w:eastAsia="zh-CN"/>
        </w:rPr>
        <w:t>9号)，按照市人民政府在市财</w:t>
      </w:r>
      <w:r>
        <w:rPr>
          <w:rFonts w:hint="eastAsia" w:ascii="仿宋_GB2312"/>
          <w:highlight w:val="none"/>
        </w:rPr>
        <w:t>政局《关于向各区(县)和市级相关医疗机构安排医务人员临时性工作补助资金(第一批)的请示》(乌财社〔2023〕27号)上的批示，结合市卫健委《关于落实&lt;完善自治区医务人员临时性工作补助有关政策的通知&gt;的工作方案》</w:t>
      </w:r>
      <w:r>
        <w:rPr>
          <w:rFonts w:hint="eastAsia" w:ascii="仿宋_GB2312"/>
          <w:highlight w:val="none"/>
          <w:lang w:eastAsia="zh-CN"/>
        </w:rPr>
        <w:t>的</w:t>
      </w:r>
      <w:r>
        <w:rPr>
          <w:rFonts w:hint="eastAsia" w:hAnsi="宋体" w:eastAsia="仿宋_GB2312" w:cs="宋体"/>
          <w:kern w:val="0"/>
          <w:sz w:val="30"/>
          <w:szCs w:val="30"/>
          <w:highlight w:val="none"/>
        </w:rPr>
        <w:t>分配要求，按照分配比例</w:t>
      </w:r>
      <w:r>
        <w:rPr>
          <w:rFonts w:hint="eastAsia" w:ascii="仿宋_GB2312"/>
          <w:highlight w:val="none"/>
        </w:rPr>
        <w:t>对直接参与疫情防控救治的发热门诊、急诊、呼吸科病房</w:t>
      </w:r>
      <w:r>
        <w:rPr>
          <w:rFonts w:hint="eastAsia" w:ascii="仿宋_GB2312"/>
        </w:rPr>
        <w:t>、感染科病房、重症病房内的相关医护人员，120急救人员，以及血站一线采血人员</w:t>
      </w:r>
      <w:r>
        <w:rPr>
          <w:rFonts w:hint="eastAsia" w:hAnsi="宋体" w:eastAsia="仿宋_GB2312" w:cs="宋体"/>
          <w:kern w:val="0"/>
          <w:sz w:val="30"/>
          <w:szCs w:val="30"/>
        </w:rPr>
        <w:t>分配，预算资金分配依据充分，资金分配额度合理，与项目单位实际相适应。</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469D143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48B8C4DB">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14:paraId="512939BD">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7645DCC1">
      <w:pPr>
        <w:pStyle w:val="4"/>
        <w:ind w:firstLine="643"/>
      </w:pPr>
      <w:bookmarkStart w:id="42" w:name="_Toc165277246"/>
      <w:r>
        <w:t>1.</w:t>
      </w:r>
      <w:r>
        <w:rPr>
          <w:rFonts w:hint="eastAsia"/>
        </w:rPr>
        <w:t>资金管理</w:t>
      </w:r>
      <w:bookmarkEnd w:id="42"/>
    </w:p>
    <w:p w14:paraId="3BB0D738">
      <w:pPr>
        <w:spacing w:line="360" w:lineRule="auto"/>
        <w:ind w:firstLine="562"/>
        <w:rPr>
          <w:rFonts w:ascii="仿宋_GB2312"/>
          <w:szCs w:val="28"/>
        </w:rPr>
      </w:pPr>
      <w:r>
        <w:rPr>
          <w:rFonts w:hint="eastAsia" w:ascii="仿宋_GB2312"/>
          <w:b/>
          <w:bCs/>
          <w:szCs w:val="28"/>
        </w:rPr>
        <w:t>资金到位率：</w:t>
      </w:r>
      <w:r>
        <w:rPr>
          <w:rFonts w:hint="eastAsia" w:ascii="仿宋_GB2312"/>
          <w:lang w:eastAsia="zh-CN"/>
        </w:rPr>
        <w:t>该项目资金由财政拨付，在</w:t>
      </w:r>
      <w:r>
        <w:rPr>
          <w:rFonts w:hint="eastAsia" w:ascii="仿宋_GB2312"/>
          <w:lang w:val="en-US" w:eastAsia="zh-CN"/>
        </w:rPr>
        <w:t>2023年3月20日到位，资金到位率100%</w:t>
      </w:r>
      <w:r>
        <w:rPr>
          <w:rFonts w:hint="eastAsia" w:ascii="仿宋_GB2312" w:hAnsi="仿宋" w:cs="宋体"/>
          <w:kern w:val="0"/>
          <w:szCs w:val="28"/>
        </w:rPr>
        <w:t>。故资金到位率指标得分</w:t>
      </w:r>
      <w:r>
        <w:rPr>
          <w:rFonts w:hint="eastAsia" w:ascii="仿宋_GB2312" w:hAnsi="仿宋" w:cs="宋体"/>
          <w:kern w:val="0"/>
          <w:szCs w:val="28"/>
          <w:lang w:val="en-US" w:eastAsia="zh-CN"/>
        </w:rPr>
        <w:t>5</w:t>
      </w:r>
      <w:r>
        <w:rPr>
          <w:rFonts w:hint="eastAsia" w:ascii="仿宋_GB2312" w:hAnsi="仿宋" w:cs="宋体"/>
          <w:kern w:val="0"/>
          <w:szCs w:val="28"/>
        </w:rPr>
        <w:t>分。</w:t>
      </w:r>
    </w:p>
    <w:p w14:paraId="6DB93995">
      <w:pPr>
        <w:spacing w:line="360" w:lineRule="auto"/>
        <w:ind w:firstLine="560"/>
        <w:rPr>
          <w:rFonts w:ascii="仿宋_GB2312"/>
          <w:szCs w:val="28"/>
        </w:rPr>
      </w:pPr>
    </w:p>
    <w:p w14:paraId="26425BF1">
      <w:pPr>
        <w:spacing w:line="360" w:lineRule="auto"/>
        <w:ind w:firstLine="562"/>
        <w:rPr>
          <w:rFonts w:ascii="仿宋_GB2312"/>
          <w:szCs w:val="28"/>
        </w:rPr>
      </w:pPr>
      <w:r>
        <w:rPr>
          <w:rFonts w:hint="eastAsia" w:ascii="仿宋_GB2312"/>
          <w:b/>
          <w:bCs/>
          <w:szCs w:val="28"/>
        </w:rPr>
        <w:t>预算执行率：</w:t>
      </w:r>
      <w:r>
        <w:rPr>
          <w:rFonts w:hint="eastAsia" w:ascii="仿宋_GB2312"/>
          <w:b/>
          <w:bCs/>
          <w:szCs w:val="28"/>
          <w:lang w:val="en-US" w:eastAsia="zh-CN"/>
        </w:rPr>
        <w:t>该单位</w:t>
      </w:r>
      <w:r>
        <w:rPr>
          <w:rFonts w:hint="eastAsia" w:ascii="仿宋_GB2312"/>
          <w:lang w:eastAsia="zh-CN"/>
        </w:rPr>
        <w:t>在该</w:t>
      </w:r>
      <w:r>
        <w:rPr>
          <w:rFonts w:hint="eastAsia" w:ascii="仿宋_GB2312"/>
        </w:rPr>
        <w:t>第九批疫情防控补助资金</w:t>
      </w:r>
      <w:r>
        <w:rPr>
          <w:rFonts w:hint="eastAsia" w:ascii="仿宋_GB2312"/>
          <w:lang w:eastAsia="zh-CN"/>
        </w:rPr>
        <w:t>总共安排预算</w:t>
      </w:r>
      <w:r>
        <w:rPr>
          <w:rFonts w:hint="eastAsia" w:ascii="仿宋_GB2312"/>
          <w:lang w:val="en-US" w:eastAsia="zh-CN"/>
        </w:rPr>
        <w:t>462.27万元，</w:t>
      </w:r>
      <w:r>
        <w:rPr>
          <w:rFonts w:hint="eastAsia" w:ascii="仿宋_GB2312"/>
          <w:highlight w:val="none"/>
          <w:lang w:eastAsia="zh-CN"/>
        </w:rPr>
        <w:t>专项用于我单位2022年12月7日至2023年1月30日期间按规定发放医务人员临时性工作补助，满足发放标准共涉及</w:t>
      </w:r>
      <w:r>
        <w:rPr>
          <w:rFonts w:hint="eastAsia" w:ascii="仿宋_GB2312"/>
          <w:highlight w:val="none"/>
          <w:lang w:val="en-US" w:eastAsia="zh-CN"/>
        </w:rPr>
        <w:t>1116人，总计发放金额462.27万元，于2023年4月17日将临时性工作补贴向医疗人员全部发放到位，预算执行率100%</w:t>
      </w:r>
      <w:r>
        <w:rPr>
          <w:rFonts w:hint="eastAsia" w:ascii="仿宋_GB2312"/>
          <w:b/>
          <w:bCs/>
          <w:szCs w:val="28"/>
        </w:rPr>
        <w:t>。</w:t>
      </w:r>
      <w:r>
        <w:rPr>
          <w:rFonts w:hint="eastAsia" w:ascii="仿宋_GB2312"/>
          <w:szCs w:val="28"/>
        </w:rPr>
        <w:t>故预算执行率得分为</w:t>
      </w:r>
      <w:r>
        <w:rPr>
          <w:rFonts w:hint="eastAsia" w:ascii="仿宋_GB2312"/>
          <w:szCs w:val="28"/>
          <w:lang w:val="en-US" w:eastAsia="zh-CN"/>
        </w:rPr>
        <w:t>5</w:t>
      </w:r>
      <w:r>
        <w:rPr>
          <w:rFonts w:hint="eastAsia" w:ascii="仿宋_GB2312"/>
          <w:szCs w:val="28"/>
        </w:rPr>
        <w:t>分。</w:t>
      </w:r>
    </w:p>
    <w:p w14:paraId="52BF366C">
      <w:pPr>
        <w:spacing w:line="360" w:lineRule="auto"/>
        <w:ind w:firstLine="562"/>
        <w:rPr>
          <w:rFonts w:ascii="仿宋_GB2312"/>
          <w:b/>
          <w:bCs/>
          <w:szCs w:val="28"/>
        </w:rPr>
      </w:pPr>
    </w:p>
    <w:p w14:paraId="62A14C07">
      <w:pPr>
        <w:spacing w:line="360" w:lineRule="auto"/>
        <w:ind w:firstLine="562"/>
        <w:rPr>
          <w:rFonts w:ascii="仿宋_GB2312"/>
          <w:szCs w:val="28"/>
        </w:rPr>
      </w:pPr>
      <w:r>
        <w:rPr>
          <w:rFonts w:hint="eastAsia" w:ascii="仿宋_GB2312"/>
          <w:b/>
          <w:bCs/>
          <w:szCs w:val="28"/>
        </w:rPr>
        <w:t>资金使用合规性：</w:t>
      </w:r>
      <w:r>
        <w:rPr>
          <w:rFonts w:hint="eastAsia" w:ascii="仿宋_GB2312"/>
          <w:highlight w:val="none"/>
          <w:lang w:val="en-US" w:eastAsia="zh-CN"/>
        </w:rPr>
        <w:t>本项目资金的使用符合</w:t>
      </w:r>
      <w:r>
        <w:rPr>
          <w:rFonts w:hint="eastAsia" w:ascii="仿宋_GB2312"/>
          <w:lang w:eastAsia="zh-CN"/>
        </w:rPr>
        <w:t>《</w:t>
      </w:r>
      <w:r>
        <w:rPr>
          <w:rFonts w:hint="eastAsia" w:ascii="仿宋_GB2312"/>
        </w:rPr>
        <w:t>关于拨付2023年第九批疫情防控补助资金(第一批医务人员临时性工作补助资金)的通知</w:t>
      </w:r>
      <w:r>
        <w:rPr>
          <w:rFonts w:hint="eastAsia" w:ascii="仿宋_GB2312"/>
          <w:lang w:eastAsia="zh-CN"/>
        </w:rPr>
        <w:t>》</w:t>
      </w:r>
      <w:r>
        <w:rPr>
          <w:rFonts w:hint="eastAsia" w:ascii="仿宋_GB2312"/>
          <w:highlight w:val="none"/>
          <w:lang w:val="en-US" w:eastAsia="zh-CN"/>
        </w:rPr>
        <w:t>文件要求。同时，符合项目预算批复或合同规定的用途，不存在截留、挤占、挪用、虚列支出等情况。</w:t>
      </w:r>
      <w:r>
        <w:rPr>
          <w:rFonts w:hint="eastAsia" w:ascii="仿宋_GB2312"/>
          <w:szCs w:val="28"/>
        </w:rPr>
        <w:t>故资金使用合规性得分为3分。</w:t>
      </w:r>
    </w:p>
    <w:p w14:paraId="7B96D3C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14:paraId="4FC910EB">
      <w:pPr>
        <w:pStyle w:val="4"/>
        <w:ind w:firstLine="643"/>
      </w:pPr>
      <w:bookmarkStart w:id="43" w:name="_Toc165277247"/>
      <w:r>
        <w:t>2.</w:t>
      </w:r>
      <w:r>
        <w:rPr>
          <w:rFonts w:hint="eastAsia"/>
        </w:rPr>
        <w:t>组织实施</w:t>
      </w:r>
      <w:bookmarkEnd w:id="43"/>
    </w:p>
    <w:p w14:paraId="050546D5">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w:t>
      </w:r>
      <w:r>
        <w:rPr>
          <w:rFonts w:hint="eastAsia" w:hAnsi="宋体" w:eastAsia="仿宋_GB2312" w:cs="宋体"/>
          <w:kern w:val="0"/>
          <w:sz w:val="30"/>
          <w:szCs w:val="30"/>
        </w:rPr>
        <w:t>已制定相应的乌鲁木齐市第一人民医院</w:t>
      </w:r>
      <w:r>
        <w:rPr>
          <w:rFonts w:hint="eastAsia" w:hAnsi="宋体" w:cs="宋体"/>
          <w:kern w:val="0"/>
          <w:sz w:val="30"/>
          <w:szCs w:val="30"/>
          <w:lang w:eastAsia="zh-CN"/>
        </w:rPr>
        <w:t>（乌鲁木齐儿童医院）</w:t>
      </w:r>
      <w:r>
        <w:rPr>
          <w:rFonts w:hint="eastAsia" w:hAnsi="宋体" w:cs="宋体"/>
          <w:kern w:val="0"/>
          <w:sz w:val="30"/>
          <w:szCs w:val="30"/>
          <w:lang w:val="en-US" w:eastAsia="zh-CN"/>
        </w:rPr>
        <w:t>内控</w:t>
      </w:r>
      <w:r>
        <w:rPr>
          <w:rFonts w:hint="eastAsia" w:hAnsi="宋体" w:eastAsia="仿宋_GB2312" w:cs="宋体"/>
          <w:kern w:val="0"/>
          <w:sz w:val="30"/>
          <w:szCs w:val="30"/>
        </w:rPr>
        <w:t>制度，且制度合法、合规、完整，为项目顺利实施提供重要保障。</w:t>
      </w:r>
      <w:r>
        <w:rPr>
          <w:rFonts w:hint="eastAsia" w:ascii="仿宋_GB2312"/>
          <w:szCs w:val="28"/>
        </w:rPr>
        <w:t>故管理制度健全性得分为3分。</w:t>
      </w:r>
    </w:p>
    <w:p w14:paraId="6FDE50C5">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现场调研和资料抽查情况，乌鲁木齐市第一人民医院严格遵守相关法律法规和相关管理规定，项目调整及支出调整手续完备，整体管理合理有序，项目完成后，及时将会计凭证、合同、支付回单等相关资料分类归档，制度执行有效。故制度执行有效性指标得分</w:t>
      </w:r>
      <w:r>
        <w:rPr>
          <w:rFonts w:ascii="仿宋_GB2312"/>
          <w:szCs w:val="28"/>
        </w:rPr>
        <w:t>4</w:t>
      </w:r>
      <w:r>
        <w:rPr>
          <w:rFonts w:hint="eastAsia" w:ascii="仿宋_GB2312"/>
          <w:szCs w:val="28"/>
        </w:rPr>
        <w:t>分。</w:t>
      </w:r>
    </w:p>
    <w:p w14:paraId="3D3E75B1">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7B8758A3">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14:paraId="40D06399">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hint="eastAsia" w:ascii="仿宋_GB2312"/>
          <w:szCs w:val="28"/>
          <w:lang w:val="en-US" w:eastAsia="zh-CN"/>
        </w:rPr>
        <w:t>6</w:t>
      </w:r>
      <w:r>
        <w:rPr>
          <w:rFonts w:hint="eastAsia" w:ascii="仿宋_GB2312"/>
          <w:szCs w:val="28"/>
        </w:rPr>
        <w:t>个三级指标构成，权重为</w:t>
      </w:r>
      <w:r>
        <w:rPr>
          <w:rFonts w:ascii="仿宋_GB2312"/>
          <w:szCs w:val="28"/>
        </w:rPr>
        <w:t>4</w:t>
      </w:r>
      <w:r>
        <w:rPr>
          <w:rFonts w:hint="eastAsia" w:ascii="仿宋_GB2312"/>
          <w:szCs w:val="28"/>
          <w:lang w:val="en-US" w:eastAsia="zh-CN"/>
        </w:rPr>
        <w:t>5</w:t>
      </w:r>
      <w:r>
        <w:rPr>
          <w:rFonts w:hint="eastAsia" w:ascii="仿宋_GB2312"/>
          <w:szCs w:val="28"/>
        </w:rPr>
        <w:t>分，实际得分</w:t>
      </w:r>
      <w:r>
        <w:rPr>
          <w:rFonts w:hint="eastAsia" w:ascii="仿宋_GB2312"/>
          <w:szCs w:val="28"/>
          <w:lang w:val="en-US" w:eastAsia="zh-CN"/>
        </w:rPr>
        <w:t>45</w:t>
      </w:r>
      <w:r>
        <w:rPr>
          <w:rFonts w:hint="eastAsia" w:ascii="仿宋_GB2312"/>
          <w:szCs w:val="28"/>
        </w:rPr>
        <w:t>分。</w:t>
      </w:r>
    </w:p>
    <w:p w14:paraId="198E5BC1">
      <w:pPr>
        <w:pStyle w:val="4"/>
        <w:ind w:firstLine="643"/>
      </w:pPr>
      <w:bookmarkStart w:id="47" w:name="_Toc165277249"/>
      <w:r>
        <w:rPr>
          <w:rFonts w:hint="eastAsia"/>
        </w:rPr>
        <w:t>1</w:t>
      </w:r>
      <w:r>
        <w:t>.</w:t>
      </w:r>
      <w:r>
        <w:rPr>
          <w:rFonts w:hint="eastAsia"/>
        </w:rPr>
        <w:t>产出数量</w:t>
      </w:r>
      <w:bookmarkEnd w:id="47"/>
    </w:p>
    <w:p w14:paraId="1FDEF1AF">
      <w:pPr>
        <w:spacing w:line="360" w:lineRule="auto"/>
        <w:ind w:firstLine="560"/>
        <w:rPr>
          <w:rFonts w:hint="eastAsia" w:ascii="仿宋_GB2312"/>
          <w:bCs/>
          <w:szCs w:val="28"/>
          <w:lang w:eastAsia="zh-CN"/>
        </w:rPr>
      </w:pPr>
      <w:r>
        <w:rPr>
          <w:rFonts w:hint="eastAsia" w:ascii="仿宋_GB2312"/>
          <w:bCs/>
          <w:szCs w:val="28"/>
        </w:rPr>
        <w:t>数量指标“临时性工作补贴发放人数”的目标值是</w:t>
      </w:r>
      <w:r>
        <w:rPr>
          <w:rFonts w:hint="eastAsia" w:ascii="仿宋_GB2312"/>
          <w:bCs/>
          <w:szCs w:val="28"/>
          <w:lang w:val="en-US" w:eastAsia="zh-CN"/>
        </w:rPr>
        <w:t>1116人</w:t>
      </w:r>
      <w:r>
        <w:rPr>
          <w:rFonts w:hint="eastAsia" w:ascii="仿宋_GB2312"/>
          <w:bCs/>
          <w:szCs w:val="28"/>
        </w:rPr>
        <w:t>，2023</w:t>
      </w:r>
      <w:r>
        <w:rPr>
          <w:rFonts w:ascii="仿宋_GB2312"/>
          <w:bCs/>
          <w:szCs w:val="28"/>
        </w:rPr>
        <w:t>年度我</w:t>
      </w:r>
      <w:r>
        <w:rPr>
          <w:rFonts w:hint="eastAsia" w:ascii="仿宋_GB2312"/>
          <w:bCs/>
          <w:szCs w:val="28"/>
          <w:lang w:eastAsia="zh-CN"/>
        </w:rPr>
        <w:t>院根据市卫健委汇总审核后向我局提供的《新疆维吾尔自治区</w:t>
      </w:r>
    </w:p>
    <w:p w14:paraId="7E6DB08A">
      <w:pPr>
        <w:spacing w:line="360" w:lineRule="auto"/>
        <w:ind w:left="0" w:leftChars="0" w:firstLine="0" w:firstLineChars="0"/>
        <w:rPr>
          <w:rFonts w:ascii="仿宋_GB2312"/>
          <w:bCs/>
          <w:szCs w:val="28"/>
        </w:rPr>
      </w:pPr>
      <w:r>
        <w:rPr>
          <w:rFonts w:hint="eastAsia" w:ascii="仿宋_GB2312"/>
          <w:bCs/>
          <w:szCs w:val="28"/>
          <w:lang w:eastAsia="zh-CN"/>
        </w:rPr>
        <w:t>防疫一线工作人员临时性工作补助发放汇总表》,2022年12月7日至2023年1月30日期间的发放名单，确定了该批次的发放人数，</w:t>
      </w:r>
      <w:r>
        <w:rPr>
          <w:rFonts w:ascii="仿宋_GB2312"/>
          <w:bCs/>
          <w:szCs w:val="28"/>
        </w:rPr>
        <w:t>实际</w:t>
      </w:r>
      <w:r>
        <w:rPr>
          <w:rFonts w:hint="eastAsia" w:ascii="仿宋_GB2312"/>
          <w:bCs/>
          <w:szCs w:val="28"/>
          <w:lang w:eastAsia="zh-CN"/>
        </w:rPr>
        <w:t>确认人数</w:t>
      </w:r>
      <w:r>
        <w:rPr>
          <w:rFonts w:hint="eastAsia" w:ascii="仿宋_GB2312"/>
          <w:bCs/>
          <w:szCs w:val="28"/>
          <w:lang w:val="en-US" w:eastAsia="zh-CN"/>
        </w:rPr>
        <w:t>1116人</w:t>
      </w:r>
      <w:r>
        <w:rPr>
          <w:rFonts w:hint="eastAsia" w:ascii="仿宋_GB2312"/>
          <w:bCs/>
          <w:szCs w:val="28"/>
          <w:lang w:eastAsia="zh-CN"/>
        </w:rPr>
        <w:t>。</w:t>
      </w:r>
    </w:p>
    <w:p w14:paraId="54D5942D">
      <w:pPr>
        <w:spacing w:line="360" w:lineRule="auto"/>
        <w:ind w:firstLine="562"/>
        <w:rPr>
          <w:rFonts w:ascii="仿宋_GB2312"/>
          <w:szCs w:val="28"/>
        </w:rPr>
      </w:pP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10</w:t>
      </w:r>
      <w:r>
        <w:rPr>
          <w:rFonts w:hint="eastAsia" w:ascii="仿宋_GB2312"/>
          <w:szCs w:val="28"/>
        </w:rPr>
        <w:t>分。</w:t>
      </w:r>
    </w:p>
    <w:p w14:paraId="2E193E43">
      <w:pPr>
        <w:pStyle w:val="4"/>
        <w:ind w:firstLine="643"/>
        <w:rPr>
          <w:rFonts w:hint="eastAsia"/>
        </w:rPr>
      </w:pPr>
      <w:bookmarkStart w:id="48" w:name="_Toc165277250"/>
      <w:r>
        <w:rPr>
          <w:rFonts w:hint="eastAsia"/>
        </w:rPr>
        <w:t>2</w:t>
      </w:r>
      <w:r>
        <w:t>.</w:t>
      </w:r>
      <w:r>
        <w:rPr>
          <w:rFonts w:hint="eastAsia"/>
        </w:rPr>
        <w:t>产出质量</w:t>
      </w:r>
      <w:bookmarkEnd w:id="48"/>
    </w:p>
    <w:p w14:paraId="68DB3C66">
      <w:pPr>
        <w:rPr>
          <w:rFonts w:hint="default" w:ascii="仿宋_GB2312"/>
          <w:szCs w:val="28"/>
          <w:lang w:val="en-US" w:eastAsia="zh-CN"/>
        </w:rPr>
      </w:pPr>
      <w:r>
        <w:rPr>
          <w:rFonts w:hint="eastAsia"/>
          <w:lang w:eastAsia="zh-CN"/>
        </w:rPr>
        <w:t>质量指标：“补助标准执行率（</w:t>
      </w:r>
      <w:r>
        <w:rPr>
          <w:rFonts w:hint="eastAsia"/>
          <w:lang w:val="en-US" w:eastAsia="zh-CN"/>
        </w:rPr>
        <w:t>%</w:t>
      </w:r>
      <w:r>
        <w:rPr>
          <w:rFonts w:hint="eastAsia"/>
          <w:lang w:eastAsia="zh-CN"/>
        </w:rPr>
        <w:t>）”的目标值是大于等于</w:t>
      </w:r>
      <w:r>
        <w:rPr>
          <w:rFonts w:hint="eastAsia"/>
          <w:lang w:val="en-US" w:eastAsia="zh-CN"/>
        </w:rPr>
        <w:t>95%，</w:t>
      </w:r>
      <w:r>
        <w:rPr>
          <w:rFonts w:hint="eastAsia" w:ascii="仿宋_GB2312"/>
          <w:szCs w:val="28"/>
          <w:lang w:val="en-US" w:eastAsia="zh-CN"/>
        </w:rPr>
        <w:t>2023年度我院根据国家和自治区要求，适当延长“乙类甲管”期间对医务人员的临时性工作补助政策实施期限。将2022年12月7日至2023年3月31日设为过渡期，过渡期内对直接参与疫情防控救治的发热门诊、急诊、呼吸科病房、感染科病房、重症病房内的相关医护人员，120急救人员，以及血站一线采血人员，每人每天补助300元（对在重症病房内工作的医护人员，按实际工作天数的 1.5倍计算）；对其他按照当地政府统一部署，卫生健康部门调派或者医疗卫生机构要求参与疫情防控救治的相关医务人员，每人每天补助 200 元。我院完全按照该标准执行，实际达到标准100%。</w:t>
      </w:r>
    </w:p>
    <w:p w14:paraId="259BBEE4">
      <w:pPr>
        <w:spacing w:line="360" w:lineRule="auto"/>
        <w:ind w:firstLine="562"/>
        <w:rPr>
          <w:rFonts w:ascii="仿宋_GB2312"/>
          <w:szCs w:val="28"/>
        </w:rPr>
      </w:pPr>
      <w:r>
        <w:rPr>
          <w:rFonts w:hint="eastAsia" w:ascii="仿宋_GB2312"/>
          <w:b/>
          <w:bCs/>
          <w:szCs w:val="28"/>
          <w:lang w:eastAsia="zh-CN"/>
        </w:rPr>
        <w:t>实际执行</w:t>
      </w:r>
      <w:r>
        <w:rPr>
          <w:rFonts w:hint="eastAsia" w:ascii="仿宋_GB2312"/>
          <w:b/>
          <w:bCs/>
          <w:szCs w:val="28"/>
        </w:rPr>
        <w:t>率：</w:t>
      </w:r>
      <w:r>
        <w:rPr>
          <w:rFonts w:hint="eastAsia" w:ascii="仿宋_GB2312"/>
          <w:szCs w:val="28"/>
          <w:lang w:val="en-US" w:eastAsia="zh-CN"/>
        </w:rPr>
        <w:t>100%，</w:t>
      </w:r>
      <w:r>
        <w:rPr>
          <w:rFonts w:hint="eastAsia" w:ascii="仿宋_GB2312"/>
          <w:szCs w:val="28"/>
        </w:rPr>
        <w:t>质量达标率得分为</w:t>
      </w:r>
      <w:r>
        <w:rPr>
          <w:rFonts w:hint="eastAsia" w:ascii="仿宋_GB2312"/>
          <w:szCs w:val="28"/>
          <w:lang w:val="en-US" w:eastAsia="zh-CN"/>
        </w:rPr>
        <w:t>10</w:t>
      </w:r>
      <w:r>
        <w:rPr>
          <w:rFonts w:hint="eastAsia" w:ascii="仿宋_GB2312"/>
          <w:szCs w:val="28"/>
        </w:rPr>
        <w:t>分。</w:t>
      </w:r>
    </w:p>
    <w:p w14:paraId="2EC51957">
      <w:pPr>
        <w:pStyle w:val="4"/>
        <w:ind w:firstLine="643"/>
      </w:pPr>
      <w:bookmarkStart w:id="49" w:name="_Toc165277251"/>
      <w:r>
        <w:rPr>
          <w:rFonts w:hint="eastAsia"/>
        </w:rPr>
        <w:t>3</w:t>
      </w:r>
      <w:r>
        <w:t>.</w:t>
      </w:r>
      <w:r>
        <w:rPr>
          <w:rFonts w:hint="eastAsia"/>
        </w:rPr>
        <w:t>产出时效</w:t>
      </w:r>
      <w:bookmarkEnd w:id="49"/>
    </w:p>
    <w:p w14:paraId="750D3A8B">
      <w:pPr>
        <w:rPr>
          <w:rFonts w:hint="eastAsia" w:ascii="仿宋_GB2312"/>
          <w:szCs w:val="28"/>
          <w:lang w:val="en-US" w:eastAsia="zh-CN"/>
        </w:rPr>
      </w:pPr>
      <w:r>
        <w:rPr>
          <w:rFonts w:hint="eastAsia" w:ascii="仿宋_GB2312"/>
          <w:szCs w:val="28"/>
          <w:lang w:val="en-US" w:eastAsia="zh-CN"/>
        </w:rPr>
        <w:t>时效指标：“补助发放及时率（%）”的目标值是大于等于95%，2023年度我院在收到上级下达资金后，按照发放名单积极对接相关科室，造人员发放表，于4月17日第一时间将补助资金发放给医务人员，并全部发放到位，实际完成100%。</w:t>
      </w:r>
    </w:p>
    <w:p w14:paraId="353CFB34">
      <w:pPr>
        <w:rPr>
          <w:rFonts w:ascii="仿宋_GB2312"/>
          <w:szCs w:val="28"/>
        </w:rPr>
      </w:pPr>
      <w:r>
        <w:rPr>
          <w:rFonts w:hint="eastAsia" w:ascii="仿宋_GB2312"/>
          <w:b/>
          <w:bCs/>
          <w:szCs w:val="28"/>
          <w:lang w:val="en-US" w:eastAsia="zh-CN"/>
        </w:rPr>
        <w:t>完成及时率</w:t>
      </w:r>
      <w:r>
        <w:rPr>
          <w:rFonts w:hint="eastAsia" w:ascii="仿宋_GB2312"/>
          <w:b/>
          <w:bCs/>
          <w:szCs w:val="28"/>
          <w:lang w:eastAsia="zh-CN"/>
        </w:rPr>
        <w:t>：</w:t>
      </w:r>
      <w:r>
        <w:rPr>
          <w:rFonts w:hint="eastAsia" w:ascii="仿宋_GB2312"/>
          <w:szCs w:val="28"/>
          <w:lang w:val="en-US" w:eastAsia="zh-CN"/>
        </w:rPr>
        <w:t>100%</w:t>
      </w:r>
      <w:r>
        <w:rPr>
          <w:rFonts w:hint="eastAsia"/>
          <w:lang w:val="en-US" w:eastAsia="zh-CN"/>
        </w:rPr>
        <w:t>，</w:t>
      </w:r>
      <w:r>
        <w:rPr>
          <w:rFonts w:hint="eastAsia" w:ascii="仿宋_GB2312"/>
          <w:szCs w:val="28"/>
        </w:rPr>
        <w:t>故完成及时性得分为</w:t>
      </w:r>
      <w:r>
        <w:rPr>
          <w:rFonts w:hint="eastAsia" w:ascii="仿宋_GB2312"/>
          <w:szCs w:val="28"/>
          <w:lang w:val="en-US" w:eastAsia="zh-CN"/>
        </w:rPr>
        <w:t>10</w:t>
      </w:r>
      <w:r>
        <w:rPr>
          <w:rFonts w:hint="eastAsia" w:ascii="仿宋_GB2312"/>
          <w:szCs w:val="28"/>
        </w:rPr>
        <w:t>分。</w:t>
      </w:r>
    </w:p>
    <w:p w14:paraId="5AE9230B">
      <w:pPr>
        <w:pStyle w:val="4"/>
        <w:ind w:firstLine="643"/>
      </w:pPr>
      <w:bookmarkStart w:id="50" w:name="_Toc165277252"/>
      <w:r>
        <w:rPr>
          <w:rFonts w:hint="eastAsia"/>
        </w:rPr>
        <w:t>4</w:t>
      </w:r>
      <w:r>
        <w:t>.</w:t>
      </w:r>
      <w:r>
        <w:rPr>
          <w:rFonts w:hint="eastAsia"/>
        </w:rPr>
        <w:t>产出成本</w:t>
      </w:r>
      <w:bookmarkEnd w:id="50"/>
    </w:p>
    <w:p w14:paraId="46391756">
      <w:pPr>
        <w:spacing w:line="360" w:lineRule="auto"/>
        <w:ind w:firstLine="562"/>
        <w:rPr>
          <w:rFonts w:ascii="仿宋_GB2312"/>
          <w:b/>
          <w:bCs/>
          <w:szCs w:val="28"/>
        </w:rPr>
      </w:pPr>
      <w:r>
        <w:rPr>
          <w:rFonts w:hint="eastAsia" w:ascii="仿宋_GB2312"/>
          <w:b/>
          <w:bCs/>
          <w:szCs w:val="28"/>
        </w:rPr>
        <w:t>项目预算控制率：</w:t>
      </w:r>
      <w:r>
        <w:rPr>
          <w:rFonts w:hint="eastAsia" w:ascii="仿宋_GB2312"/>
          <w:bCs/>
          <w:szCs w:val="28"/>
        </w:rPr>
        <w:t>本项目</w:t>
      </w:r>
      <w:r>
        <w:rPr>
          <w:rFonts w:hint="eastAsia" w:ascii="仿宋_GB2312"/>
          <w:bCs/>
          <w:szCs w:val="28"/>
          <w:lang w:eastAsia="zh-CN"/>
        </w:rPr>
        <w:t>成本指标为</w:t>
      </w:r>
      <w:r>
        <w:rPr>
          <w:rFonts w:hint="eastAsia" w:ascii="仿宋_GB2312"/>
          <w:bCs/>
          <w:szCs w:val="28"/>
          <w:lang w:val="en-US" w:eastAsia="zh-CN"/>
        </w:rPr>
        <w:t>3项，三级指标：第一类补助发放标准和第二类补助发放标准，均是根据文件要求确立，临时性工作补贴发放成本目标值小于等于462.27万元，</w:t>
      </w:r>
      <w:r>
        <w:rPr>
          <w:rFonts w:hint="eastAsia" w:ascii="仿宋_GB2312"/>
          <w:bCs/>
          <w:szCs w:val="28"/>
        </w:rPr>
        <w:t>实际支出</w:t>
      </w:r>
      <w:r>
        <w:rPr>
          <w:rFonts w:hint="eastAsia" w:ascii="仿宋_GB2312"/>
          <w:bCs/>
          <w:szCs w:val="28"/>
          <w:lang w:val="en-US" w:eastAsia="zh-CN"/>
        </w:rPr>
        <w:t>462.27</w:t>
      </w:r>
      <w:r>
        <w:rPr>
          <w:rFonts w:hint="eastAsia" w:ascii="仿宋_GB2312"/>
          <w:bCs/>
          <w:szCs w:val="28"/>
        </w:rPr>
        <w:t>万元，无超支情况，项目资金全部完成，得分为</w:t>
      </w:r>
      <w:r>
        <w:rPr>
          <w:rFonts w:hint="eastAsia" w:ascii="仿宋_GB2312"/>
          <w:bCs/>
          <w:szCs w:val="28"/>
          <w:lang w:val="en-US" w:eastAsia="zh-CN"/>
        </w:rPr>
        <w:t>15分</w:t>
      </w:r>
      <w:r>
        <w:rPr>
          <w:rFonts w:ascii="仿宋_GB2312"/>
          <w:bCs/>
          <w:szCs w:val="28"/>
        </w:rPr>
        <w:t>。</w:t>
      </w:r>
    </w:p>
    <w:p w14:paraId="13F5956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hint="eastAsia" w:ascii="仿宋_GB2312" w:hAnsi="仿宋" w:cs="宋体"/>
          <w:b/>
          <w:kern w:val="0"/>
          <w:szCs w:val="28"/>
          <w:lang w:val="en-US" w:eastAsia="zh-CN"/>
        </w:rPr>
        <w:t>45</w:t>
      </w:r>
      <w:r>
        <w:rPr>
          <w:rFonts w:hint="eastAsia" w:ascii="仿宋_GB2312" w:hAnsi="仿宋" w:cs="宋体"/>
          <w:b/>
          <w:kern w:val="0"/>
          <w:szCs w:val="28"/>
        </w:rPr>
        <w:t>分，得分</w:t>
      </w:r>
      <w:r>
        <w:rPr>
          <w:rFonts w:hint="eastAsia" w:ascii="仿宋_GB2312"/>
          <w:szCs w:val="28"/>
          <w:lang w:val="en-US" w:eastAsia="zh-CN"/>
        </w:rPr>
        <w:t>45</w:t>
      </w:r>
      <w:r>
        <w:rPr>
          <w:rFonts w:hint="eastAsia" w:ascii="仿宋_GB2312" w:hAnsi="仿宋" w:cs="宋体"/>
          <w:b/>
          <w:kern w:val="0"/>
          <w:szCs w:val="28"/>
        </w:rPr>
        <w:t>分。</w:t>
      </w:r>
    </w:p>
    <w:p w14:paraId="2A05CB21">
      <w:pPr>
        <w:pStyle w:val="3"/>
        <w:ind w:firstLine="643"/>
        <w:rPr>
          <w:rFonts w:ascii="仿宋" w:hAnsi="仿宋" w:eastAsia="仿宋"/>
          <w:lang w:bidi="en-US"/>
        </w:rPr>
      </w:pPr>
      <w:bookmarkStart w:id="51" w:name="_Toc67911615"/>
      <w:bookmarkStart w:id="52" w:name="_Toc165277253"/>
      <w:r>
        <w:rPr>
          <w:rFonts w:hint="eastAsia" w:ascii="仿宋" w:hAnsi="仿宋" w:eastAsia="仿宋"/>
          <w:lang w:bidi="en-US"/>
        </w:rPr>
        <w:t>（四）项目效益情况</w:t>
      </w:r>
      <w:bookmarkEnd w:id="51"/>
      <w:bookmarkEnd w:id="52"/>
    </w:p>
    <w:p w14:paraId="15B1653B">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hint="eastAsia" w:ascii="仿宋_GB2312"/>
          <w:szCs w:val="28"/>
          <w:lang w:val="en-US" w:eastAsia="zh-CN"/>
        </w:rPr>
        <w:t>1</w:t>
      </w:r>
      <w:r>
        <w:rPr>
          <w:rFonts w:hint="eastAsia" w:ascii="仿宋_GB2312"/>
          <w:szCs w:val="28"/>
        </w:rPr>
        <w:t>个三级指标构成，权重为</w:t>
      </w:r>
      <w:r>
        <w:rPr>
          <w:rFonts w:hint="eastAsia" w:ascii="仿宋_GB2312"/>
          <w:szCs w:val="28"/>
          <w:lang w:val="en-US" w:eastAsia="zh-CN"/>
        </w:rPr>
        <w:t>1</w:t>
      </w:r>
      <w:r>
        <w:rPr>
          <w:rFonts w:ascii="仿宋_GB2312"/>
          <w:szCs w:val="28"/>
        </w:rPr>
        <w:t>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r>
        <w:rPr>
          <w:rFonts w:ascii="仿宋_GB2312"/>
          <w:szCs w:val="28"/>
        </w:rPr>
        <w:t xml:space="preserve"> </w:t>
      </w:r>
    </w:p>
    <w:p w14:paraId="4CDD08A2">
      <w:pPr>
        <w:pStyle w:val="4"/>
        <w:ind w:firstLine="643"/>
      </w:pPr>
      <w:bookmarkStart w:id="53" w:name="_Toc165277254"/>
      <w:r>
        <w:rPr>
          <w:rFonts w:hint="eastAsia"/>
        </w:rPr>
        <w:t>1</w:t>
      </w:r>
      <w:r>
        <w:t>.</w:t>
      </w:r>
      <w:r>
        <w:rPr>
          <w:rFonts w:hint="eastAsia"/>
        </w:rPr>
        <w:t>项目效益</w:t>
      </w:r>
      <w:bookmarkEnd w:id="53"/>
    </w:p>
    <w:p w14:paraId="0200C5BC">
      <w:pPr>
        <w:spacing w:line="360" w:lineRule="auto"/>
        <w:ind w:firstLine="562"/>
        <w:rPr>
          <w:rFonts w:ascii="仿宋_GB2312"/>
          <w:b/>
          <w:bCs/>
          <w:szCs w:val="28"/>
        </w:rPr>
      </w:pPr>
      <w:r>
        <w:rPr>
          <w:rFonts w:hint="eastAsia" w:ascii="仿宋_GB2312"/>
          <w:b/>
          <w:bCs/>
          <w:szCs w:val="28"/>
        </w:rPr>
        <w:t>（1）实施效益</w:t>
      </w:r>
    </w:p>
    <w:p w14:paraId="177B2478">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375EB98F">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w:t>
      </w:r>
      <w:r>
        <w:rPr>
          <w:rFonts w:hint="eastAsia" w:ascii="仿宋_GB2312"/>
          <w:szCs w:val="28"/>
          <w:lang w:eastAsia="zh-CN"/>
        </w:rPr>
        <w:t>提高医务人员工作积极性</w:t>
      </w:r>
      <w:r>
        <w:rPr>
          <w:rFonts w:hint="eastAsia" w:ascii="仿宋_GB2312"/>
          <w:szCs w:val="28"/>
        </w:rPr>
        <w:t>”，指标值：</w:t>
      </w:r>
      <w:r>
        <w:rPr>
          <w:rFonts w:hint="eastAsia" w:ascii="仿宋_GB2312"/>
          <w:szCs w:val="28"/>
          <w:lang w:eastAsia="zh-CN"/>
        </w:rPr>
        <w:t>有效提高</w:t>
      </w:r>
      <w:r>
        <w:rPr>
          <w:rFonts w:hint="eastAsia" w:ascii="仿宋_GB2312"/>
          <w:szCs w:val="28"/>
        </w:rPr>
        <w:t>，实际完成值：</w:t>
      </w:r>
      <w:r>
        <w:rPr>
          <w:rFonts w:hint="eastAsia" w:ascii="仿宋_GB2312"/>
          <w:szCs w:val="28"/>
          <w:lang w:val="en-US" w:eastAsia="zh-CN"/>
        </w:rPr>
        <w:t>100%，</w:t>
      </w:r>
      <w:r>
        <w:rPr>
          <w:rFonts w:hint="eastAsia" w:ascii="仿宋_GB2312"/>
          <w:szCs w:val="28"/>
        </w:rPr>
        <w:t>达成年度指标。本项目的实施向医疗人员发放临时性工作补贴，落实激励保障工作，加大对医务人员的关心关爱力度，积极为他们全身心投入医疗救治和疫情防控工作创造良好条件,当医务人员知道他们的努力会得到额外的奖励时，他们会更加努力的投入工作，从而有效的提高了医务人员整体的工作积极性。</w:t>
      </w:r>
    </w:p>
    <w:p w14:paraId="24BD2980">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51EC8FD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329D168A">
      <w:pPr>
        <w:pStyle w:val="4"/>
        <w:ind w:firstLine="643"/>
      </w:pPr>
      <w:bookmarkStart w:id="54" w:name="_Toc165277255"/>
      <w:r>
        <w:t>2. 满意度指标完成情况分析</w:t>
      </w:r>
      <w:bookmarkEnd w:id="54"/>
    </w:p>
    <w:p w14:paraId="111ED090">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bookmarkStart w:id="64" w:name="_GoBack"/>
      <w:bookmarkEnd w:id="64"/>
    </w:p>
    <w:p w14:paraId="6D351E3B">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w:t>
      </w:r>
      <w:r>
        <w:rPr>
          <w:rFonts w:hint="eastAsia" w:ascii="仿宋_GB2312"/>
          <w:szCs w:val="28"/>
          <w:lang w:eastAsia="zh-CN"/>
        </w:rPr>
        <w:t>医务人员满意度</w:t>
      </w:r>
      <w:r>
        <w:rPr>
          <w:rFonts w:hint="eastAsia" w:ascii="仿宋_GB2312"/>
          <w:szCs w:val="28"/>
        </w:rPr>
        <w:t>”，指标值：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lang w:val="en-US" w:eastAsia="zh-CN"/>
        </w:rPr>
        <w:t>100</w:t>
      </w:r>
      <w:r>
        <w:rPr>
          <w:rFonts w:hint="eastAsia" w:ascii="仿宋_GB2312"/>
          <w:szCs w:val="28"/>
        </w:rPr>
        <w:t>%。通过设置问卷调查的方式进行考评评价，共计调查样本总量为</w:t>
      </w:r>
      <w:r>
        <w:rPr>
          <w:rFonts w:hint="eastAsia" w:ascii="仿宋_GB2312"/>
          <w:szCs w:val="28"/>
          <w:lang w:val="en-US" w:eastAsia="zh-CN"/>
        </w:rPr>
        <w:t>20</w:t>
      </w:r>
      <w:r>
        <w:rPr>
          <w:rFonts w:hint="eastAsia" w:ascii="仿宋_GB2312"/>
          <w:szCs w:val="28"/>
        </w:rPr>
        <w:t>个样本，有效调查问卷</w:t>
      </w:r>
      <w:r>
        <w:rPr>
          <w:rFonts w:hint="eastAsia" w:ascii="仿宋_GB2312"/>
          <w:szCs w:val="28"/>
          <w:lang w:val="en-US" w:eastAsia="zh-CN"/>
        </w:rPr>
        <w:t>20</w:t>
      </w:r>
      <w:r>
        <w:rPr>
          <w:rFonts w:hint="eastAsia" w:ascii="仿宋_GB2312"/>
          <w:szCs w:val="28"/>
        </w:rPr>
        <w:t>份。其中，统计“2023年疫情防控补助满意度调查表”的平均值为</w:t>
      </w:r>
      <w:r>
        <w:rPr>
          <w:rFonts w:hint="eastAsia" w:ascii="仿宋_GB2312"/>
          <w:szCs w:val="28"/>
          <w:lang w:val="en-US" w:eastAsia="zh-CN"/>
        </w:rPr>
        <w:t>100</w:t>
      </w:r>
      <w:r>
        <w:rPr>
          <w:rFonts w:hint="eastAsia" w:ascii="仿宋_GB2312"/>
          <w:szCs w:val="28"/>
        </w:rPr>
        <w:t>%。故满意度指标得分为</w:t>
      </w:r>
      <w:r>
        <w:rPr>
          <w:rFonts w:hint="eastAsia" w:ascii="仿宋_GB2312"/>
          <w:szCs w:val="28"/>
          <w:lang w:val="en-US" w:eastAsia="zh-CN"/>
        </w:rPr>
        <w:t>5</w:t>
      </w:r>
      <w:r>
        <w:rPr>
          <w:rFonts w:hint="eastAsia" w:ascii="仿宋_GB2312"/>
          <w:szCs w:val="28"/>
        </w:rPr>
        <w:t>分。</w:t>
      </w:r>
    </w:p>
    <w:p w14:paraId="19FB4EE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14:paraId="7CCCE7F1">
      <w:pPr>
        <w:pStyle w:val="2"/>
        <w:ind w:firstLine="0" w:firstLineChars="0"/>
        <w:jc w:val="left"/>
        <w:rPr>
          <w:rFonts w:ascii="仿宋" w:hAnsi="仿宋" w:eastAsia="仿宋"/>
          <w:sz w:val="36"/>
          <w:szCs w:val="36"/>
          <w:lang w:bidi="en-US"/>
        </w:rPr>
      </w:pPr>
      <w:bookmarkStart w:id="55" w:name="_Toc165277256"/>
      <w:bookmarkStart w:id="56" w:name="_Toc67911617"/>
      <w:r>
        <w:rPr>
          <w:rFonts w:hint="eastAsia" w:ascii="仿宋" w:hAnsi="仿宋" w:eastAsia="仿宋"/>
          <w:sz w:val="36"/>
          <w:szCs w:val="36"/>
          <w:lang w:bidi="en-US"/>
        </w:rPr>
        <w:t>五、主要经验及做法、存在的问题及原因分析</w:t>
      </w:r>
      <w:bookmarkEnd w:id="55"/>
      <w:bookmarkEnd w:id="56"/>
    </w:p>
    <w:p w14:paraId="4DD09902">
      <w:pPr>
        <w:pStyle w:val="3"/>
        <w:ind w:firstLine="643"/>
        <w:rPr>
          <w:rFonts w:ascii="仿宋" w:hAnsi="仿宋" w:eastAsia="仿宋"/>
          <w:lang w:bidi="en-US"/>
        </w:rPr>
      </w:pPr>
      <w:bookmarkStart w:id="57" w:name="_Toc165277257"/>
      <w:bookmarkStart w:id="58" w:name="_Toc67911618"/>
      <w:r>
        <w:rPr>
          <w:rFonts w:hint="eastAsia" w:ascii="仿宋" w:hAnsi="仿宋" w:eastAsia="仿宋"/>
          <w:lang w:bidi="en-US"/>
        </w:rPr>
        <w:t>（一）主要经验及做法</w:t>
      </w:r>
      <w:bookmarkEnd w:id="57"/>
      <w:bookmarkEnd w:id="58"/>
    </w:p>
    <w:p w14:paraId="51326678">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仿宋_GB2312" w:hAnsi="Calibri" w:eastAsia="仿宋_GB2312" w:cs="黑体"/>
          <w:b w:val="0"/>
          <w:bCs w:val="0"/>
          <w:kern w:val="2"/>
          <w:sz w:val="28"/>
          <w:szCs w:val="28"/>
          <w:lang w:val="en-US" w:eastAsia="zh-CN" w:bidi="ar-SA"/>
        </w:rPr>
      </w:pPr>
      <w:bookmarkStart w:id="59" w:name="_Toc165277258"/>
      <w:r>
        <w:rPr>
          <w:rFonts w:hint="eastAsia" w:ascii="仿宋_GB2312" w:hAnsi="Calibri" w:eastAsia="仿宋_GB2312" w:cs="黑体"/>
          <w:b w:val="0"/>
          <w:bCs w:val="0"/>
          <w:kern w:val="2"/>
          <w:sz w:val="28"/>
          <w:szCs w:val="28"/>
          <w:lang w:val="en-US" w:eastAsia="zh-CN" w:bidi="ar-SA"/>
        </w:rPr>
        <w:t>（1）从项目决策来看，本项目的实施符合发展政策和公共财政支持的方向和重点，绩效目标的设置也较为完整、明确、合理。</w:t>
      </w:r>
    </w:p>
    <w:p w14:paraId="4F9B4A27">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（2）从项目管理来看，本项目资金使用合理、合规，不存在 挤占、挪用、截留等情况。财政对我院疫情期间对医务人员的补助工作十分重视，实行统一管理，严格执行到人到卡，保障医务人员的权益，切实关心关爱医务人员的身心健康，做到专款专用，严格按照国家标准和资金使用的范围、对象、标准， 对本次临补的支出项目、支出标准和支出程序进行审核把关，据实核算，合理安排该项目资金。各项资金申报资料与手续严格按要求做到齐备，审批程序严格按规定执行，资金拨付及时，台账资料完整，确保专项资金安全。</w:t>
      </w:r>
    </w:p>
    <w:p w14:paraId="33E8A344">
      <w:pPr>
        <w:spacing w:line="360" w:lineRule="auto"/>
        <w:ind w:left="0" w:leftChars="0" w:firstLine="560" w:firstLineChars="200"/>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（3）从项目绩效来看，</w:t>
      </w:r>
      <w:r>
        <w:rPr>
          <w:rFonts w:hint="eastAsia" w:ascii="仿宋_GB2312"/>
          <w:highlight w:val="none"/>
          <w:lang w:eastAsia="zh-CN"/>
        </w:rPr>
        <w:t>我单位经统计本次第九批疫情防控补助资金项目中，满足“</w:t>
      </w:r>
      <w:r>
        <w:rPr>
          <w:rFonts w:hint="eastAsia" w:ascii="仿宋_GB2312"/>
        </w:rPr>
        <w:t>直接参与疫情防控救治的发热门诊、急诊、呼吸科病房、感染科病房、重症病房内的相关医护人员，120急救人员，以及血站一线采血人员</w:t>
      </w:r>
      <w:r>
        <w:rPr>
          <w:rFonts w:hint="eastAsia" w:ascii="仿宋_GB2312"/>
          <w:lang w:eastAsia="zh-CN"/>
        </w:rPr>
        <w:t>”</w:t>
      </w:r>
      <w:r>
        <w:rPr>
          <w:rFonts w:hint="eastAsia" w:ascii="仿宋_GB2312"/>
          <w:highlight w:val="none"/>
          <w:lang w:eastAsia="zh-CN"/>
        </w:rPr>
        <w:t>的发放标准共涉及</w:t>
      </w:r>
      <w:r>
        <w:rPr>
          <w:rFonts w:hint="eastAsia" w:ascii="仿宋_GB2312"/>
          <w:highlight w:val="none"/>
          <w:lang w:val="en-US" w:eastAsia="zh-CN"/>
        </w:rPr>
        <w:t>1116人，总计发放金额462.27万元，其中，一类重症危重症累计发放人数176人，累计发放金额104.9万元，一类普通病区累计发放人数697人，累计发放金额322.03万元，二类普通病区累计发放人数243人，累计发放金额35.34万元。③我单位于2023年4月17日向医疗人员发放临时性工作补贴完全发放到位，落实激励保障工作，加大对医务人员的关心关爱力度，积极为他们全身心投入医疗救治和疫情防控工作创造良好条件。</w:t>
      </w:r>
    </w:p>
    <w:p w14:paraId="4E1E6446">
      <w:pPr>
        <w:pStyle w:val="3"/>
        <w:ind w:firstLine="643"/>
        <w:rPr>
          <w:rFonts w:ascii="仿宋" w:hAnsi="仿宋" w:eastAsia="仿宋"/>
          <w:lang w:bidi="en-US"/>
        </w:rPr>
      </w:pPr>
      <w:r>
        <w:rPr>
          <w:rFonts w:hint="eastAsia" w:ascii="仿宋" w:hAnsi="仿宋" w:eastAsia="仿宋"/>
          <w:lang w:bidi="en-US"/>
        </w:rPr>
        <w:t>（二）存在的问题及原因分析</w:t>
      </w:r>
      <w:bookmarkEnd w:id="59"/>
    </w:p>
    <w:p w14:paraId="79D81888">
      <w:pPr>
        <w:pStyle w:val="14"/>
        <w:spacing w:before="0" w:after="0" w:line="560" w:lineRule="exact"/>
        <w:ind w:firstLine="560" w:firstLineChars="200"/>
        <w:jc w:val="both"/>
        <w:rPr>
          <w:rFonts w:ascii="Times New Roman" w:hAnsi="Times New Roman" w:eastAsia="仿宋_GB2312"/>
          <w:b w:val="0"/>
          <w:bCs w:val="0"/>
          <w:kern w:val="2"/>
        </w:rPr>
      </w:pPr>
      <w:bookmarkStart w:id="60" w:name="_Toc67911620"/>
      <w:bookmarkStart w:id="61" w:name="_Toc165277259"/>
      <w:bookmarkStart w:id="62" w:name="_Toc67911619"/>
      <w:r>
        <w:rPr>
          <w:rFonts w:hint="eastAsia" w:ascii="仿宋_GB2312" w:hAnsi="Calibri" w:eastAsia="仿宋_GB2312" w:cs="黑体"/>
          <w:b w:val="0"/>
          <w:bCs w:val="0"/>
          <w:kern w:val="2"/>
          <w:sz w:val="28"/>
          <w:szCs w:val="28"/>
          <w:lang w:val="en-US" w:eastAsia="zh-Hans" w:bidi="ar-SA"/>
        </w:rPr>
        <w:t>本项目</w:t>
      </w:r>
      <w:r>
        <w:rPr>
          <w:rFonts w:hint="eastAsia" w:ascii="仿宋_GB2312" w:hAnsi="Calibri" w:eastAsia="仿宋_GB2312" w:cs="黑体"/>
          <w:b w:val="0"/>
          <w:bCs w:val="0"/>
          <w:kern w:val="2"/>
          <w:sz w:val="28"/>
          <w:szCs w:val="28"/>
          <w:lang w:val="en-US" w:eastAsia="zh-CN" w:bidi="ar-SA"/>
        </w:rPr>
        <w:t>存在的问题是统计人数时标准把控难度大，因疫情工作时分工过于精细，划分类别较为繁琐</w:t>
      </w:r>
      <w:r>
        <w:rPr>
          <w:rFonts w:hint="eastAsia" w:ascii="仿宋_GB2312" w:hAnsi="Calibri" w:eastAsia="仿宋_GB2312" w:cs="黑体"/>
          <w:b w:val="0"/>
          <w:bCs w:val="0"/>
          <w:kern w:val="2"/>
          <w:sz w:val="28"/>
          <w:szCs w:val="28"/>
          <w:lang w:val="en-US" w:eastAsia="zh-Hans" w:bidi="ar-SA"/>
        </w:rPr>
        <w:t>。</w:t>
      </w:r>
    </w:p>
    <w:p w14:paraId="322626A7">
      <w:pPr>
        <w:pStyle w:val="2"/>
        <w:numPr>
          <w:ilvl w:val="0"/>
          <w:numId w:val="1"/>
        </w:numPr>
        <w:ind w:firstLine="0" w:firstLineChars="0"/>
        <w:jc w:val="left"/>
        <w:rPr>
          <w:rFonts w:ascii="仿宋" w:hAnsi="仿宋" w:eastAsia="仿宋"/>
          <w:sz w:val="36"/>
          <w:szCs w:val="36"/>
          <w:lang w:bidi="en-US"/>
        </w:rPr>
      </w:pPr>
      <w:r>
        <w:rPr>
          <w:rFonts w:hint="eastAsia" w:ascii="仿宋" w:hAnsi="仿宋" w:eastAsia="仿宋"/>
          <w:sz w:val="36"/>
          <w:szCs w:val="36"/>
          <w:lang w:bidi="en-US"/>
        </w:rPr>
        <w:t>有关建议</w:t>
      </w:r>
      <w:bookmarkEnd w:id="60"/>
      <w:bookmarkEnd w:id="61"/>
    </w:p>
    <w:p w14:paraId="082F73E9">
      <w:pPr>
        <w:spacing w:line="560" w:lineRule="exact"/>
        <w:ind w:firstLine="560" w:firstLineChars="200"/>
        <w:rPr>
          <w:rFonts w:hint="eastAsia" w:ascii="仿宋_GB2312" w:hAnsi="Calibri" w:eastAsia="仿宋_GB2312" w:cs="黑体"/>
          <w:b w:val="0"/>
          <w:bCs w:val="0"/>
          <w:kern w:val="2"/>
          <w:sz w:val="28"/>
          <w:szCs w:val="28"/>
          <w:lang w:val="en-US" w:eastAsia="zh-Hans" w:bidi="ar-SA"/>
        </w:rPr>
      </w:pPr>
      <w:r>
        <w:rPr>
          <w:rFonts w:hint="eastAsia" w:ascii="仿宋_GB2312" w:hAnsi="Calibri" w:eastAsia="仿宋_GB2312" w:cs="黑体"/>
          <w:b w:val="0"/>
          <w:bCs w:val="0"/>
          <w:kern w:val="2"/>
          <w:sz w:val="28"/>
          <w:szCs w:val="28"/>
          <w:lang w:val="en-US" w:eastAsia="zh-Hans" w:bidi="ar-SA"/>
        </w:rPr>
        <w:t>1</w:t>
      </w:r>
      <w:r>
        <w:rPr>
          <w:rFonts w:hint="eastAsia" w:ascii="仿宋_GB2312" w:hAnsi="Calibri" w:eastAsia="仿宋_GB2312" w:cs="黑体"/>
          <w:b w:val="0"/>
          <w:bCs w:val="0"/>
          <w:kern w:val="2"/>
          <w:sz w:val="28"/>
          <w:szCs w:val="28"/>
          <w:lang w:val="en-US" w:eastAsia="zh-CN" w:bidi="ar-SA"/>
        </w:rPr>
        <w:t>.</w:t>
      </w:r>
      <w:r>
        <w:rPr>
          <w:rFonts w:hint="eastAsia" w:ascii="仿宋_GB2312" w:hAnsi="Calibri" w:eastAsia="仿宋_GB2312" w:cs="黑体"/>
          <w:b w:val="0"/>
          <w:bCs w:val="0"/>
          <w:kern w:val="2"/>
          <w:sz w:val="28"/>
          <w:szCs w:val="28"/>
          <w:lang w:val="en-US" w:eastAsia="zh-Hans" w:bidi="ar-SA"/>
        </w:rPr>
        <w:t>建章立制，强化专项资金的监督。要对项目实施和资金使用进行全程跟踪监督，督促项目实施 部门加强管理，定期报告资金使用情况和项目实施情况，增加项目资金使用的透明度。同时，要建立 长期有效的专项资金监督管理新体系，确保专项资金用到实处，实现效益最大化。</w:t>
      </w:r>
      <w:r>
        <w:rPr>
          <w:rFonts w:hint="eastAsia" w:ascii="仿宋_GB2312" w:hAnsi="Calibri" w:eastAsia="仿宋_GB2312" w:cs="黑体"/>
          <w:b w:val="0"/>
          <w:bCs w:val="0"/>
          <w:kern w:val="2"/>
          <w:sz w:val="28"/>
          <w:szCs w:val="28"/>
          <w:lang w:val="en-US" w:eastAsia="zh-Hans" w:bidi="ar-SA"/>
        </w:rPr>
        <w:br w:type="textWrapping"/>
      </w:r>
      <w:r>
        <w:rPr>
          <w:rFonts w:hint="eastAsia" w:ascii="仿宋_GB2312" w:hAnsi="Calibri" w:eastAsia="仿宋_GB2312" w:cs="黑体"/>
          <w:b w:val="0"/>
          <w:bCs w:val="0"/>
          <w:kern w:val="2"/>
          <w:sz w:val="28"/>
          <w:szCs w:val="28"/>
          <w:lang w:val="en-US" w:eastAsia="zh-CN" w:bidi="ar-SA"/>
        </w:rPr>
        <w:t xml:space="preserve">    </w:t>
      </w:r>
      <w:r>
        <w:rPr>
          <w:rFonts w:hint="eastAsia" w:ascii="仿宋_GB2312" w:hAnsi="Calibri" w:eastAsia="仿宋_GB2312" w:cs="黑体"/>
          <w:b w:val="0"/>
          <w:bCs w:val="0"/>
          <w:kern w:val="2"/>
          <w:sz w:val="28"/>
          <w:szCs w:val="28"/>
          <w:lang w:val="en-US" w:eastAsia="zh-Hans" w:bidi="ar-SA"/>
        </w:rPr>
        <w:t>2</w:t>
      </w:r>
      <w:r>
        <w:rPr>
          <w:rFonts w:hint="eastAsia" w:ascii="仿宋_GB2312" w:hAnsi="Calibri" w:eastAsia="仿宋_GB2312" w:cs="黑体"/>
          <w:b w:val="0"/>
          <w:bCs w:val="0"/>
          <w:kern w:val="2"/>
          <w:sz w:val="28"/>
          <w:szCs w:val="28"/>
          <w:lang w:val="en-US" w:eastAsia="zh-CN" w:bidi="ar-SA"/>
        </w:rPr>
        <w:t>.</w:t>
      </w:r>
      <w:r>
        <w:rPr>
          <w:rFonts w:hint="eastAsia" w:ascii="仿宋_GB2312" w:hAnsi="Calibri" w:eastAsia="仿宋_GB2312" w:cs="黑体"/>
          <w:b w:val="0"/>
          <w:bCs w:val="0"/>
          <w:kern w:val="2"/>
          <w:sz w:val="28"/>
          <w:szCs w:val="28"/>
          <w:lang w:val="en-US" w:eastAsia="zh-Hans" w:bidi="ar-SA"/>
        </w:rPr>
        <w:t>制定项目实施方案。明确相关科室在专项资金使用、管理中的分工，建立项目申报、招投标、 实施、采购、验收，评价等一系列实施流程，并严格执行。所有项目资金从分配到使用都要明确，做 到资金、项目、文号对应，归档备查，以明确资金流向和使用情况，防止截留、挪用现象的发生。</w:t>
      </w:r>
      <w:r>
        <w:rPr>
          <w:rFonts w:hint="eastAsia" w:ascii="仿宋_GB2312" w:hAnsi="Calibri" w:eastAsia="仿宋_GB2312" w:cs="黑体"/>
          <w:b w:val="0"/>
          <w:bCs w:val="0"/>
          <w:kern w:val="2"/>
          <w:sz w:val="28"/>
          <w:szCs w:val="28"/>
          <w:lang w:val="en-US" w:eastAsia="zh-Hans" w:bidi="ar-SA"/>
        </w:rPr>
        <w:cr/>
      </w:r>
      <w:r>
        <w:rPr>
          <w:rFonts w:hint="eastAsia" w:ascii="仿宋_GB2312" w:hAnsi="Calibri" w:eastAsia="仿宋_GB2312" w:cs="黑体"/>
          <w:b w:val="0"/>
          <w:bCs w:val="0"/>
          <w:kern w:val="2"/>
          <w:sz w:val="28"/>
          <w:szCs w:val="28"/>
          <w:lang w:val="en-US" w:eastAsia="zh-CN" w:bidi="ar-SA"/>
        </w:rPr>
        <w:t xml:space="preserve">    </w:t>
      </w:r>
      <w:r>
        <w:rPr>
          <w:rFonts w:hint="eastAsia" w:ascii="仿宋_GB2312" w:hAnsi="Calibri" w:eastAsia="仿宋_GB2312" w:cs="黑体"/>
          <w:b w:val="0"/>
          <w:bCs w:val="0"/>
          <w:kern w:val="2"/>
          <w:sz w:val="28"/>
          <w:szCs w:val="28"/>
          <w:lang w:val="en-US" w:eastAsia="zh-Hans" w:bidi="ar-SA"/>
        </w:rPr>
        <w:t>3.要对专项资金项目投入、产出进行公正和客观的评价，需要全面、综合地衡量上述指标。评价科要对相关数量指标进行详细的定量计算，并根据统一计算方法对专项资金支出情况进行分析。对专项资金项目评价目标进行分解，综合运用各类指标、权值、基础性数据及参考标准值等科学要素设计指标体系，尽量使评价结果能够满足全面性和真实性。建立绩效评价长效监督机制，对内部评价和独立外评进行监督和管理，正确行使评价科权利和义务，实现评价工作的客观性。正确选择绩效评估分析工具，并重视评估结果的反馈，对建立健全绩效评估机制产生推动作用。建立健全预算管理控制制度，加大评价力度，保证各项工作有序执行。而实践经验证实，将全面预算管理应用在实际绩效考核工作中，可以使绩效评价工作更加完善，并对考核机制和目标产生约束作用。</w:t>
      </w:r>
    </w:p>
    <w:p w14:paraId="0EA8094F">
      <w:pPr>
        <w:spacing w:line="560" w:lineRule="exact"/>
        <w:ind w:firstLine="560" w:firstLineChars="200"/>
        <w:rPr>
          <w:rFonts w:hint="eastAsia" w:ascii="仿宋_GB2312" w:hAnsi="Calibri" w:eastAsia="仿宋_GB2312" w:cs="黑体"/>
          <w:b w:val="0"/>
          <w:bCs w:val="0"/>
          <w:kern w:val="2"/>
          <w:sz w:val="28"/>
          <w:szCs w:val="28"/>
          <w:lang w:val="en-US" w:eastAsia="zh-Hans" w:bidi="ar-SA"/>
        </w:rPr>
      </w:pPr>
      <w:r>
        <w:rPr>
          <w:rFonts w:hint="eastAsia" w:ascii="仿宋_GB2312" w:hAnsi="Calibri" w:eastAsia="仿宋_GB2312" w:cs="黑体"/>
          <w:b w:val="0"/>
          <w:bCs w:val="0"/>
          <w:kern w:val="2"/>
          <w:sz w:val="28"/>
          <w:szCs w:val="28"/>
          <w:lang w:val="en-US" w:eastAsia="zh-Hans" w:bidi="ar-SA"/>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E831E26"/>
    <w:p w14:paraId="6B046DC3">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14:paraId="27E47EF7">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45C00661">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21E7F638">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08AFCC0E">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1126F014">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3935A">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0B2DF">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0D440">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14:paraId="3BE607F6">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14:paraId="5E1F1398">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14:paraId="0EAAAEF6">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14:paraId="2FF7DA1B">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41D9AF25">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00F69FE5">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140C3">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FEEC8">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174B6">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EB734">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43EBF">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37EC3"/>
    <w:multiLevelType w:val="singleLevel"/>
    <w:tmpl w:val="B4137EC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hNWY4ODQxZGU1OWZiZGQ4MjVlYWRiYWQ0NjUwZjU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181"/>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F254D6"/>
    <w:rsid w:val="03966CCC"/>
    <w:rsid w:val="05047743"/>
    <w:rsid w:val="060C1CBB"/>
    <w:rsid w:val="075D7207"/>
    <w:rsid w:val="087B41C0"/>
    <w:rsid w:val="0A262732"/>
    <w:rsid w:val="0AF81AF7"/>
    <w:rsid w:val="0B04224A"/>
    <w:rsid w:val="0C7358DA"/>
    <w:rsid w:val="0CF14A50"/>
    <w:rsid w:val="0DD423A8"/>
    <w:rsid w:val="0DFC388A"/>
    <w:rsid w:val="0E455054"/>
    <w:rsid w:val="119500A0"/>
    <w:rsid w:val="138A52B7"/>
    <w:rsid w:val="16AB24F1"/>
    <w:rsid w:val="16E60740"/>
    <w:rsid w:val="17081314"/>
    <w:rsid w:val="1783605E"/>
    <w:rsid w:val="181F06C4"/>
    <w:rsid w:val="18AB63FB"/>
    <w:rsid w:val="19467DD2"/>
    <w:rsid w:val="19670574"/>
    <w:rsid w:val="1A0A7151"/>
    <w:rsid w:val="1E674B72"/>
    <w:rsid w:val="1EDD1FBF"/>
    <w:rsid w:val="1FCF4789"/>
    <w:rsid w:val="21037966"/>
    <w:rsid w:val="24782FEE"/>
    <w:rsid w:val="2609650F"/>
    <w:rsid w:val="268A7650"/>
    <w:rsid w:val="26C32B62"/>
    <w:rsid w:val="26DE174A"/>
    <w:rsid w:val="272C6959"/>
    <w:rsid w:val="27CD64A0"/>
    <w:rsid w:val="286A38CA"/>
    <w:rsid w:val="2A2C5264"/>
    <w:rsid w:val="2A3F3258"/>
    <w:rsid w:val="2A7D4BD9"/>
    <w:rsid w:val="2AB23619"/>
    <w:rsid w:val="2AFE060C"/>
    <w:rsid w:val="2BDB094E"/>
    <w:rsid w:val="2D656721"/>
    <w:rsid w:val="2DEA6776"/>
    <w:rsid w:val="2E0A72C8"/>
    <w:rsid w:val="2F466846"/>
    <w:rsid w:val="33D1486C"/>
    <w:rsid w:val="346A0AC1"/>
    <w:rsid w:val="35B46F23"/>
    <w:rsid w:val="36C24BE4"/>
    <w:rsid w:val="3710594F"/>
    <w:rsid w:val="3769770F"/>
    <w:rsid w:val="377E4FAF"/>
    <w:rsid w:val="398B5761"/>
    <w:rsid w:val="39D30EB6"/>
    <w:rsid w:val="3AB60ED4"/>
    <w:rsid w:val="3E952BDE"/>
    <w:rsid w:val="3F4A1C1A"/>
    <w:rsid w:val="3FF027C2"/>
    <w:rsid w:val="401F6C03"/>
    <w:rsid w:val="42053CB0"/>
    <w:rsid w:val="420E6F2F"/>
    <w:rsid w:val="430E1D25"/>
    <w:rsid w:val="45605CF4"/>
    <w:rsid w:val="45E5269D"/>
    <w:rsid w:val="45F60406"/>
    <w:rsid w:val="462C207A"/>
    <w:rsid w:val="47240FA3"/>
    <w:rsid w:val="476615BC"/>
    <w:rsid w:val="480F3A01"/>
    <w:rsid w:val="482A083B"/>
    <w:rsid w:val="496E6505"/>
    <w:rsid w:val="4B771FE9"/>
    <w:rsid w:val="4E3715BC"/>
    <w:rsid w:val="4E434405"/>
    <w:rsid w:val="4E9764FE"/>
    <w:rsid w:val="4F1B2C8C"/>
    <w:rsid w:val="503135F4"/>
    <w:rsid w:val="506F14E1"/>
    <w:rsid w:val="50B04A39"/>
    <w:rsid w:val="50B82D80"/>
    <w:rsid w:val="532A4BD1"/>
    <w:rsid w:val="5367649F"/>
    <w:rsid w:val="54520EFE"/>
    <w:rsid w:val="56133180"/>
    <w:rsid w:val="56321993"/>
    <w:rsid w:val="56BF1EFA"/>
    <w:rsid w:val="594A6647"/>
    <w:rsid w:val="5A8E0A1C"/>
    <w:rsid w:val="5B155DE7"/>
    <w:rsid w:val="5CC26E3C"/>
    <w:rsid w:val="5EF94F74"/>
    <w:rsid w:val="607448F1"/>
    <w:rsid w:val="61C471B3"/>
    <w:rsid w:val="6322539C"/>
    <w:rsid w:val="63FF2724"/>
    <w:rsid w:val="65DA6FA5"/>
    <w:rsid w:val="66C67529"/>
    <w:rsid w:val="68921DB9"/>
    <w:rsid w:val="68CF4DBB"/>
    <w:rsid w:val="6AB9187F"/>
    <w:rsid w:val="6E14501E"/>
    <w:rsid w:val="72281098"/>
    <w:rsid w:val="73F3740F"/>
    <w:rsid w:val="76AC2297"/>
    <w:rsid w:val="78061E7B"/>
    <w:rsid w:val="783E7E0B"/>
    <w:rsid w:val="7855070D"/>
    <w:rsid w:val="79495B8B"/>
    <w:rsid w:val="7EEC1DCB"/>
    <w:rsid w:val="7FBF128D"/>
    <w:rsid w:val="7FDD1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1"/>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4"/>
    <w:autoRedefine/>
    <w:semiHidden/>
    <w:unhideWhenUsed/>
    <w:qFormat/>
    <w:uiPriority w:val="99"/>
    <w:pPr>
      <w:ind w:left="100" w:leftChars="2500"/>
    </w:pPr>
  </w:style>
  <w:style w:type="paragraph" w:styleId="8">
    <w:name w:val="Balloon Text"/>
    <w:basedOn w:val="1"/>
    <w:link w:val="33"/>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6"/>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5">
    <w:name w:val="annotation subject"/>
    <w:basedOn w:val="5"/>
    <w:next w:val="5"/>
    <w:link w:val="32"/>
    <w:autoRedefine/>
    <w:semiHidden/>
    <w:unhideWhenUsed/>
    <w:qFormat/>
    <w:uiPriority w:val="99"/>
    <w:rPr>
      <w:b/>
      <w:bCs/>
    </w:rPr>
  </w:style>
  <w:style w:type="table" w:styleId="17">
    <w:name w:val="Table Grid"/>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autoRedefine/>
    <w:unhideWhenUsed/>
    <w:qFormat/>
    <w:uiPriority w:val="99"/>
    <w:rPr>
      <w:color w:val="0563C1" w:themeColor="hyperlink"/>
      <w:u w:val="single"/>
      <w14:textFill>
        <w14:solidFill>
          <w14:schemeClr w14:val="hlink"/>
        </w14:solidFill>
      </w14:textFill>
    </w:rPr>
  </w:style>
  <w:style w:type="character" w:styleId="20">
    <w:name w:val="annotation reference"/>
    <w:basedOn w:val="18"/>
    <w:autoRedefine/>
    <w:semiHidden/>
    <w:unhideWhenUsed/>
    <w:qFormat/>
    <w:uiPriority w:val="99"/>
    <w:rPr>
      <w:sz w:val="21"/>
      <w:szCs w:val="21"/>
    </w:rPr>
  </w:style>
  <w:style w:type="character" w:styleId="21">
    <w:name w:val="footnote reference"/>
    <w:basedOn w:val="18"/>
    <w:autoRedefine/>
    <w:semiHidden/>
    <w:unhideWhenUsed/>
    <w:qFormat/>
    <w:uiPriority w:val="99"/>
    <w:rPr>
      <w:vertAlign w:val="superscript"/>
    </w:rPr>
  </w:style>
  <w:style w:type="character" w:customStyle="1" w:styleId="22">
    <w:name w:val="页眉 Char"/>
    <w:basedOn w:val="18"/>
    <w:link w:val="10"/>
    <w:autoRedefine/>
    <w:qFormat/>
    <w:uiPriority w:val="99"/>
    <w:rPr>
      <w:sz w:val="18"/>
      <w:szCs w:val="18"/>
    </w:rPr>
  </w:style>
  <w:style w:type="character" w:customStyle="1" w:styleId="23">
    <w:name w:val="页脚 Char"/>
    <w:basedOn w:val="18"/>
    <w:link w:val="9"/>
    <w:autoRedefine/>
    <w:qFormat/>
    <w:uiPriority w:val="99"/>
    <w:rPr>
      <w:sz w:val="18"/>
      <w:szCs w:val="18"/>
    </w:rPr>
  </w:style>
  <w:style w:type="character" w:customStyle="1" w:styleId="24">
    <w:name w:val="日期 Char"/>
    <w:basedOn w:val="18"/>
    <w:link w:val="7"/>
    <w:autoRedefine/>
    <w:semiHidden/>
    <w:qFormat/>
    <w:uiPriority w:val="99"/>
    <w:rPr>
      <w:rFonts w:ascii="Calibri" w:hAnsi="Calibri" w:eastAsia="仿宋_GB2312" w:cs="黑体"/>
      <w:sz w:val="28"/>
    </w:rPr>
  </w:style>
  <w:style w:type="character" w:customStyle="1" w:styleId="25">
    <w:name w:val="标题 2 Char"/>
    <w:basedOn w:val="18"/>
    <w:link w:val="3"/>
    <w:autoRedefine/>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autoRedefine/>
    <w:semiHidden/>
    <w:qFormat/>
    <w:uiPriority w:val="99"/>
    <w:rPr>
      <w:rFonts w:ascii="Calibri" w:hAnsi="Calibri" w:eastAsia="仿宋_GB2312" w:cs="黑体"/>
      <w:sz w:val="18"/>
      <w:szCs w:val="18"/>
    </w:rPr>
  </w:style>
  <w:style w:type="paragraph" w:styleId="27">
    <w:name w:val="List Paragraph"/>
    <w:basedOn w:val="1"/>
    <w:autoRedefine/>
    <w:qFormat/>
    <w:uiPriority w:val="34"/>
    <w:pPr>
      <w:ind w:firstLine="420"/>
    </w:pPr>
  </w:style>
  <w:style w:type="table" w:customStyle="1" w:styleId="28">
    <w:name w:val="网格型1"/>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autoRedefine/>
    <w:qFormat/>
    <w:uiPriority w:val="9"/>
    <w:rPr>
      <w:rFonts w:ascii="Calibri" w:hAnsi="Calibri" w:eastAsia="仿宋_GB2312" w:cs="黑体"/>
      <w:b/>
      <w:bCs/>
      <w:kern w:val="44"/>
      <w:sz w:val="44"/>
      <w:szCs w:val="44"/>
    </w:rPr>
  </w:style>
  <w:style w:type="paragraph" w:customStyle="1" w:styleId="30">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autoRedefine/>
    <w:qFormat/>
    <w:uiPriority w:val="99"/>
    <w:rPr>
      <w:rFonts w:ascii="Calibri" w:hAnsi="Calibri" w:eastAsia="仿宋_GB2312" w:cs="黑体"/>
      <w:sz w:val="28"/>
    </w:rPr>
  </w:style>
  <w:style w:type="character" w:customStyle="1" w:styleId="32">
    <w:name w:val="批注主题 Char"/>
    <w:basedOn w:val="31"/>
    <w:link w:val="15"/>
    <w:autoRedefine/>
    <w:semiHidden/>
    <w:qFormat/>
    <w:uiPriority w:val="99"/>
    <w:rPr>
      <w:rFonts w:ascii="Calibri" w:hAnsi="Calibri" w:eastAsia="仿宋_GB2312" w:cs="黑体"/>
      <w:b/>
      <w:bCs/>
      <w:sz w:val="28"/>
    </w:rPr>
  </w:style>
  <w:style w:type="character" w:customStyle="1" w:styleId="33">
    <w:name w:val="批注框文本 Char"/>
    <w:basedOn w:val="18"/>
    <w:link w:val="8"/>
    <w:autoRedefine/>
    <w:semiHidden/>
    <w:qFormat/>
    <w:uiPriority w:val="99"/>
    <w:rPr>
      <w:rFonts w:ascii="Calibri" w:hAnsi="Calibri" w:eastAsia="仿宋_GB2312" w:cs="黑体"/>
      <w:sz w:val="18"/>
      <w:szCs w:val="18"/>
    </w:rPr>
  </w:style>
  <w:style w:type="character" w:customStyle="1" w:styleId="34">
    <w:name w:val="标题 3 Char"/>
    <w:basedOn w:val="18"/>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30</Pages>
  <Words>12899</Words>
  <Characters>13599</Characters>
  <Lines>82</Lines>
  <Paragraphs>23</Paragraphs>
  <TotalTime>41</TotalTime>
  <ScaleCrop>false</ScaleCrop>
  <LinksUpToDate>false</LinksUpToDate>
  <CharactersWithSpaces>13755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章鱼儿。</cp:lastModifiedBy>
  <cp:lastPrinted>2024-07-02T02:51:00Z</cp:lastPrinted>
  <dcterms:modified xsi:type="dcterms:W3CDTF">2024-08-29T12:03:04Z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D9CE6D3A88AB434F88CE9E0A0CE92B7B_13</vt:lpwstr>
  </property>
</Properties>
</file>