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1411" w:firstLineChars="441"/>
        <w:jc w:val="left"/>
        <w:rPr>
          <w:rFonts w:ascii="方正仿宋_GBK" w:hAnsi="方正仿宋_GBK" w:cs="方正仿宋_GBK"/>
          <w:kern w:val="0"/>
          <w:sz w:val="32"/>
          <w:szCs w:val="32"/>
          <w:lang w:bidi="en-US"/>
        </w:rPr>
      </w:pPr>
    </w:p>
    <w:p>
      <w:pPr>
        <w:spacing w:line="480" w:lineRule="auto"/>
        <w:ind w:firstLine="1411" w:firstLineChars="441"/>
        <w:jc w:val="left"/>
        <w:rPr>
          <w:rFonts w:ascii="方正仿宋_GBK" w:hAnsi="方正仿宋_GBK" w:cs="方正仿宋_GBK"/>
          <w:kern w:val="0"/>
          <w:sz w:val="32"/>
          <w:szCs w:val="32"/>
          <w:lang w:bidi="en-US"/>
        </w:rPr>
      </w:pPr>
      <w:r>
        <w:rPr>
          <w:rFonts w:hint="eastAsia" w:ascii="方正仿宋_GBK" w:hAnsi="方正仿宋_GBK" w:cs="方正仿宋_GBK"/>
          <w:kern w:val="0"/>
          <w:sz w:val="32"/>
          <w:szCs w:val="32"/>
          <w:lang w:bidi="en-US"/>
        </w:rPr>
        <w:t>项目名称：关于拨付2023年第十六批疫情防控补助资金（国际医院血液透析中心设备及配套设施）（直达资金）的通知</w:t>
      </w:r>
    </w:p>
    <w:p>
      <w:pPr>
        <w:spacing w:line="480" w:lineRule="auto"/>
        <w:ind w:left="300" w:leftChars="100" w:firstLine="1091" w:firstLineChars="341"/>
        <w:jc w:val="left"/>
        <w:rPr>
          <w:rFonts w:ascii="方正仿宋_GBK" w:hAnsi="方正仿宋_GBK" w:cs="方正仿宋_GBK"/>
          <w:kern w:val="0"/>
          <w:sz w:val="32"/>
          <w:szCs w:val="32"/>
          <w:lang w:bidi="en-US"/>
        </w:rPr>
      </w:pPr>
      <w:r>
        <w:rPr>
          <w:rFonts w:hint="eastAsia" w:ascii="方正仿宋_GBK" w:hAnsi="方正仿宋_GBK" w:cs="方正仿宋_GBK"/>
          <w:kern w:val="0"/>
          <w:sz w:val="32"/>
          <w:szCs w:val="32"/>
          <w:lang w:bidi="en-US"/>
        </w:rPr>
        <w:t>项目单位：乌鲁木齐国际医院</w:t>
      </w:r>
    </w:p>
    <w:p>
      <w:pPr>
        <w:spacing w:line="480" w:lineRule="auto"/>
        <w:ind w:left="300" w:leftChars="100" w:firstLine="1091" w:firstLineChars="341"/>
        <w:jc w:val="left"/>
        <w:rPr>
          <w:rFonts w:ascii="方正仿宋_GBK" w:hAnsi="方正仿宋_GBK" w:cs="方正仿宋_GBK"/>
          <w:kern w:val="0"/>
          <w:sz w:val="32"/>
          <w:szCs w:val="32"/>
          <w:lang w:bidi="en-US"/>
        </w:rPr>
      </w:pPr>
      <w:r>
        <w:rPr>
          <w:rFonts w:hint="eastAsia" w:ascii="方正仿宋_GBK" w:hAnsi="方正仿宋_GBK" w:cs="方正仿宋_GBK"/>
          <w:kern w:val="0"/>
          <w:sz w:val="32"/>
          <w:szCs w:val="32"/>
          <w:lang w:bidi="en-US"/>
        </w:rPr>
        <w:t>主管部门：乌鲁木齐市卫生健康委员会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3520" w:firstLineChars="1100"/>
        <w:jc w:val="both"/>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0"/>
            <w:ind w:firstLine="560"/>
            <w:jc w:val="center"/>
          </w:pPr>
          <w:r>
            <w:rPr>
              <w:lang w:val="zh-CN"/>
            </w:rPr>
            <w:t>目录</w:t>
          </w:r>
        </w:p>
        <w:p>
          <w:pPr>
            <w:pStyle w:val="12"/>
            <w:tabs>
              <w:tab w:val="right" w:leader="dot" w:pos="8306"/>
            </w:tabs>
          </w:pPr>
          <w:r>
            <w:fldChar w:fldCharType="begin"/>
          </w:r>
          <w:r>
            <w:instrText xml:space="preserve"> TOC \o "1-3" \h \z \u </w:instrText>
          </w:r>
          <w:r>
            <w:fldChar w:fldCharType="separate"/>
          </w:r>
          <w:r>
            <w:fldChar w:fldCharType="begin"/>
          </w:r>
          <w:r>
            <w:instrText xml:space="preserve"> HYPERLINK \l "_Toc30905" </w:instrText>
          </w:r>
          <w:r>
            <w:fldChar w:fldCharType="separate"/>
          </w:r>
          <w:r>
            <w:rPr>
              <w:rFonts w:hint="eastAsia" w:ascii="仿宋" w:hAnsi="仿宋" w:eastAsia="仿宋"/>
              <w:szCs w:val="36"/>
              <w:lang w:bidi="en-US"/>
            </w:rPr>
            <w:t>一、基本情况</w:t>
          </w:r>
          <w:r>
            <w:tab/>
          </w:r>
          <w:r>
            <w:fldChar w:fldCharType="begin"/>
          </w:r>
          <w:r>
            <w:instrText xml:space="preserve"> PAGEREF _Toc30905 \h </w:instrText>
          </w:r>
          <w:r>
            <w:fldChar w:fldCharType="separate"/>
          </w:r>
          <w:r>
            <w:t>1</w:t>
          </w:r>
          <w:r>
            <w:fldChar w:fldCharType="end"/>
          </w:r>
          <w:r>
            <w:fldChar w:fldCharType="end"/>
          </w:r>
        </w:p>
        <w:p>
          <w:pPr>
            <w:pStyle w:val="14"/>
            <w:tabs>
              <w:tab w:val="right" w:leader="dot" w:pos="8306"/>
            </w:tabs>
            <w:ind w:left="600"/>
          </w:pPr>
          <w:r>
            <w:fldChar w:fldCharType="begin"/>
          </w:r>
          <w:r>
            <w:instrText xml:space="preserve"> HYPERLINK \l "_Toc10441" </w:instrText>
          </w:r>
          <w:r>
            <w:fldChar w:fldCharType="separate"/>
          </w:r>
          <w:r>
            <w:rPr>
              <w:rFonts w:hint="eastAsia" w:ascii="仿宋" w:hAnsi="仿宋" w:eastAsia="仿宋"/>
              <w:lang w:bidi="en-US"/>
            </w:rPr>
            <w:t>（一）项目概况：</w:t>
          </w:r>
          <w:r>
            <w:tab/>
          </w:r>
          <w:r>
            <w:fldChar w:fldCharType="begin"/>
          </w:r>
          <w:r>
            <w:instrText xml:space="preserve"> PAGEREF _Toc10441 \h </w:instrText>
          </w:r>
          <w:r>
            <w:fldChar w:fldCharType="separate"/>
          </w:r>
          <w:r>
            <w:t>1</w:t>
          </w:r>
          <w:r>
            <w:fldChar w:fldCharType="end"/>
          </w:r>
          <w:r>
            <w:fldChar w:fldCharType="end"/>
          </w:r>
        </w:p>
        <w:p>
          <w:pPr>
            <w:pStyle w:val="7"/>
            <w:tabs>
              <w:tab w:val="right" w:leader="dot" w:pos="8306"/>
            </w:tabs>
            <w:ind w:left="1200"/>
          </w:pPr>
          <w:r>
            <w:fldChar w:fldCharType="begin"/>
          </w:r>
          <w:r>
            <w:instrText xml:space="preserve"> HYPERLINK \l "_Toc11887" </w:instrText>
          </w:r>
          <w:r>
            <w:fldChar w:fldCharType="separate"/>
          </w:r>
          <w:r>
            <w:rPr>
              <w:rFonts w:hint="eastAsia"/>
            </w:rPr>
            <w:t>1．项目背景、主要内容及实施情况</w:t>
          </w:r>
          <w:r>
            <w:tab/>
          </w:r>
          <w:r>
            <w:fldChar w:fldCharType="begin"/>
          </w:r>
          <w:r>
            <w:instrText xml:space="preserve"> PAGEREF _Toc11887 \h </w:instrText>
          </w:r>
          <w:r>
            <w:fldChar w:fldCharType="separate"/>
          </w:r>
          <w:r>
            <w:t>1</w:t>
          </w:r>
          <w:r>
            <w:fldChar w:fldCharType="end"/>
          </w:r>
          <w:r>
            <w:fldChar w:fldCharType="end"/>
          </w:r>
        </w:p>
        <w:p>
          <w:pPr>
            <w:pStyle w:val="7"/>
            <w:tabs>
              <w:tab w:val="right" w:leader="dot" w:pos="8306"/>
            </w:tabs>
            <w:ind w:left="1200"/>
          </w:pPr>
          <w:r>
            <w:rPr>
              <w:bCs/>
              <w:lang w:val="zh-CN"/>
            </w:rPr>
            <w:fldChar w:fldCharType="begin"/>
          </w:r>
          <w:r>
            <w:rPr>
              <w:bCs/>
              <w:lang w:val="zh-CN"/>
            </w:rPr>
            <w:instrText xml:space="preserve"> HYPERLINK \l _Toc15279 </w:instrText>
          </w:r>
          <w:r>
            <w:rPr>
              <w:bCs/>
              <w:lang w:val="zh-CN"/>
            </w:rPr>
            <w:fldChar w:fldCharType="separate"/>
          </w:r>
          <w:r>
            <w:rPr>
              <w:rFonts w:hint="eastAsia"/>
            </w:rPr>
            <w:t>2</w:t>
          </w:r>
          <w:r>
            <w:t>.资金投入和使用情况</w:t>
          </w:r>
          <w:r>
            <w:tab/>
          </w:r>
          <w:r>
            <w:fldChar w:fldCharType="begin"/>
          </w:r>
          <w:r>
            <w:instrText xml:space="preserve"> PAGEREF _Toc15279 \h </w:instrText>
          </w:r>
          <w:r>
            <w:fldChar w:fldCharType="separate"/>
          </w:r>
          <w:r>
            <w:t>2</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_Toc23109 </w:instrText>
          </w:r>
          <w:r>
            <w:rPr>
              <w:bCs/>
              <w:lang w:val="zh-CN"/>
            </w:rPr>
            <w:fldChar w:fldCharType="separate"/>
          </w:r>
          <w:r>
            <w:rPr>
              <w:rFonts w:hint="eastAsia" w:ascii="仿宋" w:hAnsi="仿宋" w:eastAsia="仿宋"/>
              <w:lang w:bidi="en-US"/>
            </w:rPr>
            <w:t>（二）项目绩效目标：</w:t>
          </w:r>
          <w:r>
            <w:tab/>
          </w:r>
          <w:r>
            <w:fldChar w:fldCharType="begin"/>
          </w:r>
          <w:r>
            <w:instrText xml:space="preserve"> PAGEREF _Toc23109 \h </w:instrText>
          </w:r>
          <w:r>
            <w:fldChar w:fldCharType="separate"/>
          </w:r>
          <w:r>
            <w:t>2</w:t>
          </w:r>
          <w:r>
            <w:fldChar w:fldCharType="end"/>
          </w:r>
          <w:r>
            <w:rPr>
              <w:bCs/>
              <w:lang w:val="zh-CN"/>
            </w:rPr>
            <w:fldChar w:fldCharType="end"/>
          </w:r>
        </w:p>
        <w:p>
          <w:pPr>
            <w:pStyle w:val="12"/>
            <w:tabs>
              <w:tab w:val="right" w:leader="dot" w:pos="8306"/>
            </w:tabs>
          </w:pPr>
          <w:r>
            <w:fldChar w:fldCharType="begin"/>
          </w:r>
          <w:r>
            <w:instrText xml:space="preserve"> HYPERLINK \l "_Toc2225" </w:instrText>
          </w:r>
          <w:r>
            <w:fldChar w:fldCharType="separate"/>
          </w:r>
          <w:r>
            <w:rPr>
              <w:rFonts w:hint="eastAsia" w:ascii="仿宋" w:hAnsi="仿宋" w:eastAsia="仿宋"/>
              <w:szCs w:val="36"/>
              <w:lang w:bidi="en-US"/>
            </w:rPr>
            <w:t>二、绩效评价工作开展情况</w:t>
          </w:r>
          <w:r>
            <w:tab/>
          </w:r>
          <w:r>
            <w:fldChar w:fldCharType="begin"/>
          </w:r>
          <w:r>
            <w:instrText xml:space="preserve"> PAGEREF _Toc2225 \h </w:instrText>
          </w:r>
          <w:r>
            <w:fldChar w:fldCharType="separate"/>
          </w:r>
          <w:r>
            <w:t>3</w:t>
          </w:r>
          <w:r>
            <w:fldChar w:fldCharType="end"/>
          </w:r>
          <w:r>
            <w:fldChar w:fldCharType="end"/>
          </w:r>
        </w:p>
        <w:p>
          <w:pPr>
            <w:pStyle w:val="14"/>
            <w:tabs>
              <w:tab w:val="right" w:leader="dot" w:pos="8306"/>
            </w:tabs>
            <w:ind w:left="600"/>
          </w:pPr>
          <w:r>
            <w:fldChar w:fldCharType="begin"/>
          </w:r>
          <w:r>
            <w:instrText xml:space="preserve"> HYPERLINK \l "_Toc1873" </w:instrText>
          </w:r>
          <w:r>
            <w:fldChar w:fldCharType="separate"/>
          </w:r>
          <w:r>
            <w:rPr>
              <w:rFonts w:hint="eastAsia" w:ascii="仿宋" w:hAnsi="仿宋" w:eastAsia="仿宋"/>
              <w:lang w:bidi="en-US"/>
            </w:rPr>
            <w:t>（一）绩效评价目的、对象和范围</w:t>
          </w:r>
          <w:r>
            <w:tab/>
          </w:r>
          <w:r>
            <w:fldChar w:fldCharType="begin"/>
          </w:r>
          <w:r>
            <w:instrText xml:space="preserve"> PAGEREF _Toc1873 \h </w:instrText>
          </w:r>
          <w:r>
            <w:fldChar w:fldCharType="separate"/>
          </w:r>
          <w:r>
            <w:t>3</w:t>
          </w:r>
          <w:r>
            <w:fldChar w:fldCharType="end"/>
          </w:r>
          <w:r>
            <w:fldChar w:fldCharType="end"/>
          </w:r>
        </w:p>
        <w:p>
          <w:pPr>
            <w:pStyle w:val="7"/>
            <w:tabs>
              <w:tab w:val="right" w:leader="dot" w:pos="8306"/>
            </w:tabs>
            <w:ind w:left="1200"/>
          </w:pPr>
          <w:r>
            <w:fldChar w:fldCharType="begin"/>
          </w:r>
          <w:r>
            <w:instrText xml:space="preserve"> HYPERLINK \l "_Toc13435" </w:instrText>
          </w:r>
          <w:r>
            <w:fldChar w:fldCharType="separate"/>
          </w:r>
          <w:r>
            <w:rPr>
              <w:rFonts w:hint="eastAsia"/>
            </w:rPr>
            <w:t>1</w:t>
          </w:r>
          <w:r>
            <w:t>.绩效评价完整性</w:t>
          </w:r>
          <w:r>
            <w:tab/>
          </w:r>
          <w:r>
            <w:fldChar w:fldCharType="begin"/>
          </w:r>
          <w:r>
            <w:instrText xml:space="preserve"> PAGEREF _Toc13435 \h </w:instrText>
          </w:r>
          <w:r>
            <w:fldChar w:fldCharType="separate"/>
          </w:r>
          <w:r>
            <w:t>3</w:t>
          </w:r>
          <w:r>
            <w:fldChar w:fldCharType="end"/>
          </w:r>
          <w:r>
            <w:fldChar w:fldCharType="end"/>
          </w:r>
        </w:p>
        <w:p>
          <w:pPr>
            <w:pStyle w:val="7"/>
            <w:tabs>
              <w:tab w:val="right" w:leader="dot" w:pos="8306"/>
            </w:tabs>
            <w:ind w:left="1200"/>
          </w:pPr>
          <w:r>
            <w:rPr>
              <w:bCs/>
              <w:lang w:val="zh-CN"/>
            </w:rPr>
            <w:fldChar w:fldCharType="begin"/>
          </w:r>
          <w:r>
            <w:rPr>
              <w:bCs/>
              <w:lang w:val="zh-CN"/>
            </w:rPr>
            <w:instrText xml:space="preserve"> HYPERLINK \l _Toc7629 </w:instrText>
          </w:r>
          <w:r>
            <w:rPr>
              <w:bCs/>
              <w:lang w:val="zh-CN"/>
            </w:rPr>
            <w:fldChar w:fldCharType="separate"/>
          </w:r>
          <w:r>
            <w:t>2</w:t>
          </w:r>
          <w:r>
            <w:rPr>
              <w:rFonts w:hint="eastAsia"/>
            </w:rPr>
            <w:t>.评价目的</w:t>
          </w:r>
          <w:r>
            <w:tab/>
          </w:r>
          <w:r>
            <w:fldChar w:fldCharType="begin"/>
          </w:r>
          <w:r>
            <w:instrText xml:space="preserve"> PAGEREF _Toc7629 \h </w:instrText>
          </w:r>
          <w:r>
            <w:fldChar w:fldCharType="separate"/>
          </w:r>
          <w:r>
            <w:t>5</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_Toc2964 </w:instrText>
          </w:r>
          <w:r>
            <w:rPr>
              <w:bCs/>
              <w:lang w:val="zh-CN"/>
            </w:rPr>
            <w:fldChar w:fldCharType="separate"/>
          </w:r>
          <w:r>
            <w:t>3</w:t>
          </w:r>
          <w:r>
            <w:rPr>
              <w:rFonts w:hint="eastAsia"/>
            </w:rPr>
            <w:t>.评价对象</w:t>
          </w:r>
          <w:r>
            <w:tab/>
          </w:r>
          <w:r>
            <w:fldChar w:fldCharType="begin"/>
          </w:r>
          <w:r>
            <w:instrText xml:space="preserve"> PAGEREF _Toc2964 \h </w:instrText>
          </w:r>
          <w:r>
            <w:fldChar w:fldCharType="separate"/>
          </w:r>
          <w:r>
            <w:t>5</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_Toc4218 </w:instrText>
          </w:r>
          <w:r>
            <w:rPr>
              <w:bCs/>
              <w:lang w:val="zh-CN"/>
            </w:rPr>
            <w:fldChar w:fldCharType="separate"/>
          </w:r>
          <w:r>
            <w:rPr>
              <w:rFonts w:hint="eastAsia"/>
            </w:rPr>
            <w:t>4</w:t>
          </w:r>
          <w:r>
            <w:t>.</w:t>
          </w:r>
          <w:r>
            <w:rPr>
              <w:rFonts w:hint="eastAsia"/>
            </w:rPr>
            <w:t>绩效评价范围</w:t>
          </w:r>
          <w:r>
            <w:tab/>
          </w:r>
          <w:r>
            <w:fldChar w:fldCharType="begin"/>
          </w:r>
          <w:r>
            <w:instrText xml:space="preserve"> PAGEREF _Toc4218 \h </w:instrText>
          </w:r>
          <w:r>
            <w:fldChar w:fldCharType="separate"/>
          </w:r>
          <w:r>
            <w:t>6</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_Toc29893 </w:instrText>
          </w:r>
          <w:r>
            <w:rPr>
              <w:bCs/>
              <w:lang w:val="zh-CN"/>
            </w:rPr>
            <w:fldChar w:fldCharType="separate"/>
          </w:r>
          <w:r>
            <w:rPr>
              <w:rFonts w:hint="eastAsia" w:ascii="仿宋" w:hAnsi="仿宋" w:eastAsia="仿宋"/>
              <w:lang w:bidi="en-US"/>
            </w:rPr>
            <w:t>（二）绩效评价原则、指标体系、方法及标准</w:t>
          </w:r>
          <w:r>
            <w:tab/>
          </w:r>
          <w:r>
            <w:fldChar w:fldCharType="begin"/>
          </w:r>
          <w:r>
            <w:instrText xml:space="preserve"> PAGEREF _Toc29893 \h </w:instrText>
          </w:r>
          <w:r>
            <w:fldChar w:fldCharType="separate"/>
          </w:r>
          <w:r>
            <w:t>6</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_Toc5599 </w:instrText>
          </w:r>
          <w:r>
            <w:rPr>
              <w:bCs/>
              <w:lang w:val="zh-CN"/>
            </w:rPr>
            <w:fldChar w:fldCharType="separate"/>
          </w:r>
          <w:r>
            <w:rPr>
              <w:rFonts w:hint="eastAsia"/>
            </w:rPr>
            <w:t>1</w:t>
          </w:r>
          <w:r>
            <w:t>.</w:t>
          </w:r>
          <w:r>
            <w:rPr>
              <w:rFonts w:hint="eastAsia"/>
            </w:rPr>
            <w:t>评价原则</w:t>
          </w:r>
          <w:r>
            <w:tab/>
          </w:r>
          <w:r>
            <w:fldChar w:fldCharType="begin"/>
          </w:r>
          <w:r>
            <w:instrText xml:space="preserve"> PAGEREF _Toc5599 \h </w:instrText>
          </w:r>
          <w:r>
            <w:fldChar w:fldCharType="separate"/>
          </w:r>
          <w:r>
            <w:t>6</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_Toc5076 </w:instrText>
          </w:r>
          <w:r>
            <w:rPr>
              <w:bCs/>
              <w:lang w:val="zh-CN"/>
            </w:rPr>
            <w:fldChar w:fldCharType="separate"/>
          </w:r>
          <w:r>
            <w:t>2.</w:t>
          </w:r>
          <w:r>
            <w:rPr>
              <w:rFonts w:hint="eastAsia"/>
            </w:rPr>
            <w:t>评价指标体系</w:t>
          </w:r>
          <w:r>
            <w:tab/>
          </w:r>
          <w:r>
            <w:fldChar w:fldCharType="begin"/>
          </w:r>
          <w:r>
            <w:instrText xml:space="preserve"> PAGEREF _Toc5076 \h </w:instrText>
          </w:r>
          <w:r>
            <w:fldChar w:fldCharType="separate"/>
          </w:r>
          <w:r>
            <w:t>7</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_Toc21653 </w:instrText>
          </w:r>
          <w:r>
            <w:rPr>
              <w:bCs/>
              <w:lang w:val="zh-CN"/>
            </w:rPr>
            <w:fldChar w:fldCharType="separate"/>
          </w:r>
          <w:r>
            <w:t>3.</w:t>
          </w:r>
          <w:r>
            <w:rPr>
              <w:rFonts w:hint="eastAsia"/>
            </w:rPr>
            <w:t>评价方法</w:t>
          </w:r>
          <w:r>
            <w:tab/>
          </w:r>
          <w:r>
            <w:fldChar w:fldCharType="begin"/>
          </w:r>
          <w:r>
            <w:instrText xml:space="preserve"> PAGEREF _Toc21653 \h </w:instrText>
          </w:r>
          <w:r>
            <w:fldChar w:fldCharType="separate"/>
          </w:r>
          <w:r>
            <w:t>14</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_Toc1822 </w:instrText>
          </w:r>
          <w:r>
            <w:rPr>
              <w:bCs/>
              <w:lang w:val="zh-CN"/>
            </w:rPr>
            <w:fldChar w:fldCharType="separate"/>
          </w:r>
          <w:r>
            <w:t>4.</w:t>
          </w:r>
          <w:r>
            <w:rPr>
              <w:rFonts w:hint="eastAsia"/>
            </w:rPr>
            <w:t>评价标准</w:t>
          </w:r>
          <w:r>
            <w:tab/>
          </w:r>
          <w:r>
            <w:fldChar w:fldCharType="begin"/>
          </w:r>
          <w:r>
            <w:instrText xml:space="preserve"> PAGEREF _Toc1822 \h </w:instrText>
          </w:r>
          <w:r>
            <w:fldChar w:fldCharType="separate"/>
          </w:r>
          <w:r>
            <w:t>15</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_Toc25360 </w:instrText>
          </w:r>
          <w:r>
            <w:rPr>
              <w:bCs/>
              <w:lang w:val="zh-CN"/>
            </w:rPr>
            <w:fldChar w:fldCharType="separate"/>
          </w:r>
          <w:r>
            <w:rPr>
              <w:rFonts w:hint="eastAsia" w:ascii="仿宋" w:hAnsi="仿宋" w:eastAsia="仿宋"/>
              <w:lang w:bidi="en-US"/>
            </w:rPr>
            <w:t>（三）绩效评价工作过程</w:t>
          </w:r>
          <w:r>
            <w:tab/>
          </w:r>
          <w:r>
            <w:fldChar w:fldCharType="begin"/>
          </w:r>
          <w:r>
            <w:instrText xml:space="preserve"> PAGEREF _Toc25360 \h </w:instrText>
          </w:r>
          <w:r>
            <w:fldChar w:fldCharType="separate"/>
          </w:r>
          <w:r>
            <w:t>16</w:t>
          </w:r>
          <w:r>
            <w:fldChar w:fldCharType="end"/>
          </w:r>
          <w:r>
            <w:rPr>
              <w:bCs/>
              <w:lang w:val="zh-CN"/>
            </w:rPr>
            <w:fldChar w:fldCharType="end"/>
          </w:r>
        </w:p>
        <w:p>
          <w:pPr>
            <w:pStyle w:val="12"/>
            <w:tabs>
              <w:tab w:val="right" w:leader="dot" w:pos="8306"/>
            </w:tabs>
          </w:pPr>
          <w:r>
            <w:fldChar w:fldCharType="begin"/>
          </w:r>
          <w:r>
            <w:instrText xml:space="preserve"> HYPERLINK \l "_Toc16069" </w:instrText>
          </w:r>
          <w:r>
            <w:fldChar w:fldCharType="separate"/>
          </w:r>
          <w:r>
            <w:rPr>
              <w:rFonts w:hint="eastAsia" w:ascii="仿宋" w:hAnsi="仿宋" w:eastAsia="仿宋"/>
              <w:szCs w:val="36"/>
              <w:lang w:bidi="en-US"/>
            </w:rPr>
            <w:t>三、综合评价情况及评价结论</w:t>
          </w:r>
          <w:r>
            <w:tab/>
          </w:r>
          <w:r>
            <w:fldChar w:fldCharType="begin"/>
          </w:r>
          <w:r>
            <w:instrText xml:space="preserve"> PAGEREF _Toc16069 \h </w:instrText>
          </w:r>
          <w:r>
            <w:fldChar w:fldCharType="separate"/>
          </w:r>
          <w:r>
            <w:t>16</w:t>
          </w:r>
          <w:r>
            <w:fldChar w:fldCharType="end"/>
          </w:r>
          <w:r>
            <w:fldChar w:fldCharType="end"/>
          </w:r>
        </w:p>
        <w:p>
          <w:pPr>
            <w:pStyle w:val="14"/>
            <w:tabs>
              <w:tab w:val="right" w:leader="dot" w:pos="8306"/>
            </w:tabs>
            <w:ind w:left="600"/>
          </w:pPr>
          <w:r>
            <w:fldChar w:fldCharType="begin"/>
          </w:r>
          <w:r>
            <w:instrText xml:space="preserve"> HYPERLINK \l "_Toc15995" </w:instrText>
          </w:r>
          <w:r>
            <w:fldChar w:fldCharType="separate"/>
          </w:r>
          <w:r>
            <w:rPr>
              <w:rFonts w:hint="eastAsia" w:ascii="仿宋" w:hAnsi="仿宋" w:eastAsia="仿宋"/>
              <w:lang w:bidi="en-US"/>
            </w:rPr>
            <w:t>（一）评价结论</w:t>
          </w:r>
          <w:r>
            <w:tab/>
          </w:r>
          <w:r>
            <w:fldChar w:fldCharType="begin"/>
          </w:r>
          <w:r>
            <w:instrText xml:space="preserve"> PAGEREF _Toc15995 \h </w:instrText>
          </w:r>
          <w:r>
            <w:fldChar w:fldCharType="separate"/>
          </w:r>
          <w:r>
            <w:t>16</w:t>
          </w:r>
          <w:r>
            <w:fldChar w:fldCharType="end"/>
          </w:r>
          <w:r>
            <w:fldChar w:fldCharType="end"/>
          </w:r>
        </w:p>
        <w:p>
          <w:pPr>
            <w:pStyle w:val="14"/>
            <w:tabs>
              <w:tab w:val="right" w:leader="dot" w:pos="8306"/>
            </w:tabs>
            <w:ind w:left="600"/>
          </w:pPr>
          <w:r>
            <w:fldChar w:fldCharType="begin"/>
          </w:r>
          <w:r>
            <w:instrText xml:space="preserve"> HYPERLINK \l "_Toc8847" </w:instrText>
          </w:r>
          <w:r>
            <w:fldChar w:fldCharType="separate"/>
          </w:r>
          <w:r>
            <w:rPr>
              <w:rFonts w:hint="eastAsia" w:ascii="仿宋" w:hAnsi="仿宋" w:eastAsia="仿宋"/>
              <w:lang w:bidi="en-US"/>
            </w:rPr>
            <w:t>（二）主要绩效</w:t>
          </w:r>
          <w:r>
            <w:tab/>
          </w:r>
          <w:r>
            <w:fldChar w:fldCharType="begin"/>
          </w:r>
          <w:r>
            <w:instrText xml:space="preserve"> PAGEREF _Toc8847 \h </w:instrText>
          </w:r>
          <w:r>
            <w:fldChar w:fldCharType="separate"/>
          </w:r>
          <w:r>
            <w:t>17</w:t>
          </w:r>
          <w:r>
            <w:fldChar w:fldCharType="end"/>
          </w:r>
          <w:r>
            <w:fldChar w:fldCharType="end"/>
          </w:r>
        </w:p>
        <w:p>
          <w:pPr>
            <w:pStyle w:val="12"/>
            <w:tabs>
              <w:tab w:val="right" w:leader="dot" w:pos="8306"/>
            </w:tabs>
          </w:pPr>
          <w:r>
            <w:fldChar w:fldCharType="begin"/>
          </w:r>
          <w:r>
            <w:instrText xml:space="preserve"> HYPERLINK \l "_Toc14750" </w:instrText>
          </w:r>
          <w:r>
            <w:fldChar w:fldCharType="separate"/>
          </w:r>
          <w:r>
            <w:rPr>
              <w:rFonts w:hint="eastAsia" w:ascii="仿宋" w:hAnsi="仿宋" w:eastAsia="仿宋"/>
              <w:szCs w:val="36"/>
              <w:lang w:bidi="en-US"/>
            </w:rPr>
            <w:t>四、绩效评价指标分析</w:t>
          </w:r>
          <w:r>
            <w:tab/>
          </w:r>
          <w:r>
            <w:fldChar w:fldCharType="begin"/>
          </w:r>
          <w:r>
            <w:instrText xml:space="preserve"> PAGEREF _Toc14750 \h </w:instrText>
          </w:r>
          <w:r>
            <w:fldChar w:fldCharType="separate"/>
          </w:r>
          <w:r>
            <w:t>19</w:t>
          </w:r>
          <w:r>
            <w:fldChar w:fldCharType="end"/>
          </w:r>
          <w:r>
            <w:fldChar w:fldCharType="end"/>
          </w:r>
        </w:p>
        <w:p>
          <w:pPr>
            <w:pStyle w:val="14"/>
            <w:tabs>
              <w:tab w:val="right" w:leader="dot" w:pos="8306"/>
            </w:tabs>
            <w:ind w:left="600"/>
          </w:pPr>
          <w:r>
            <w:fldChar w:fldCharType="begin"/>
          </w:r>
          <w:r>
            <w:instrText xml:space="preserve"> HYPERLINK \l "_Toc9147" </w:instrText>
          </w:r>
          <w:r>
            <w:fldChar w:fldCharType="separate"/>
          </w:r>
          <w:r>
            <w:rPr>
              <w:rFonts w:hint="eastAsia" w:ascii="仿宋" w:hAnsi="仿宋" w:eastAsia="仿宋"/>
              <w:lang w:bidi="en-US"/>
            </w:rPr>
            <w:t>（一）项目决策情况</w:t>
          </w:r>
          <w:r>
            <w:tab/>
          </w:r>
          <w:r>
            <w:fldChar w:fldCharType="begin"/>
          </w:r>
          <w:r>
            <w:instrText xml:space="preserve"> PAGEREF _Toc9147 \h </w:instrText>
          </w:r>
          <w:r>
            <w:fldChar w:fldCharType="separate"/>
          </w:r>
          <w:r>
            <w:t>19</w:t>
          </w:r>
          <w:r>
            <w:fldChar w:fldCharType="end"/>
          </w:r>
          <w:r>
            <w:fldChar w:fldCharType="end"/>
          </w:r>
        </w:p>
        <w:p>
          <w:pPr>
            <w:pStyle w:val="7"/>
            <w:tabs>
              <w:tab w:val="right" w:leader="dot" w:pos="8306"/>
            </w:tabs>
            <w:ind w:left="1200"/>
          </w:pPr>
          <w:r>
            <w:rPr>
              <w:bCs/>
              <w:lang w:val="zh-CN"/>
            </w:rPr>
            <w:fldChar w:fldCharType="begin"/>
          </w:r>
          <w:r>
            <w:rPr>
              <w:bCs/>
              <w:lang w:val="zh-CN"/>
            </w:rPr>
            <w:instrText xml:space="preserve"> HYPERLINK \l _Toc11254 </w:instrText>
          </w:r>
          <w:r>
            <w:rPr>
              <w:bCs/>
              <w:lang w:val="zh-CN"/>
            </w:rPr>
            <w:fldChar w:fldCharType="separate"/>
          </w:r>
          <w:r>
            <w:t>1.</w:t>
          </w:r>
          <w:r>
            <w:rPr>
              <w:rFonts w:hint="eastAsia"/>
            </w:rPr>
            <w:t>项目立项</w:t>
          </w:r>
          <w:r>
            <w:tab/>
          </w:r>
          <w:r>
            <w:fldChar w:fldCharType="begin"/>
          </w:r>
          <w:r>
            <w:instrText xml:space="preserve"> PAGEREF _Toc11254 \h </w:instrText>
          </w:r>
          <w:r>
            <w:fldChar w:fldCharType="separate"/>
          </w:r>
          <w:r>
            <w:t>19</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_Toc579 </w:instrText>
          </w:r>
          <w:r>
            <w:rPr>
              <w:bCs/>
              <w:lang w:val="zh-CN"/>
            </w:rPr>
            <w:fldChar w:fldCharType="separate"/>
          </w:r>
          <w:r>
            <w:rPr>
              <w:rFonts w:hint="eastAsia"/>
            </w:rPr>
            <w:t>2</w:t>
          </w:r>
          <w:r>
            <w:t>.</w:t>
          </w:r>
          <w:r>
            <w:rPr>
              <w:rFonts w:hint="eastAsia"/>
            </w:rPr>
            <w:t>绩效目标</w:t>
          </w:r>
          <w:r>
            <w:tab/>
          </w:r>
          <w:r>
            <w:fldChar w:fldCharType="begin"/>
          </w:r>
          <w:r>
            <w:instrText xml:space="preserve"> PAGEREF _Toc579 \h </w:instrText>
          </w:r>
          <w:r>
            <w:fldChar w:fldCharType="separate"/>
          </w:r>
          <w:r>
            <w:t>20</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_Toc10836 </w:instrText>
          </w:r>
          <w:r>
            <w:rPr>
              <w:bCs/>
              <w:lang w:val="zh-CN"/>
            </w:rPr>
            <w:fldChar w:fldCharType="separate"/>
          </w:r>
          <w:r>
            <w:rPr>
              <w:rFonts w:hint="eastAsia"/>
            </w:rPr>
            <w:t>3.资金投入</w:t>
          </w:r>
          <w:r>
            <w:tab/>
          </w:r>
          <w:r>
            <w:fldChar w:fldCharType="begin"/>
          </w:r>
          <w:r>
            <w:instrText xml:space="preserve"> PAGEREF _Toc10836 \h </w:instrText>
          </w:r>
          <w:r>
            <w:fldChar w:fldCharType="separate"/>
          </w:r>
          <w:r>
            <w:t>21</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_Toc2407 </w:instrText>
          </w:r>
          <w:r>
            <w:rPr>
              <w:bCs/>
              <w:lang w:val="zh-CN"/>
            </w:rPr>
            <w:fldChar w:fldCharType="separate"/>
          </w:r>
          <w:r>
            <w:rPr>
              <w:rFonts w:hint="eastAsia" w:ascii="仿宋" w:hAnsi="仿宋" w:eastAsia="仿宋"/>
              <w:lang w:bidi="en-US"/>
            </w:rPr>
            <w:t>（二）项目过程情况</w:t>
          </w:r>
          <w:r>
            <w:tab/>
          </w:r>
          <w:r>
            <w:fldChar w:fldCharType="begin"/>
          </w:r>
          <w:r>
            <w:instrText xml:space="preserve"> PAGEREF _Toc2407 \h </w:instrText>
          </w:r>
          <w:r>
            <w:fldChar w:fldCharType="separate"/>
          </w:r>
          <w:r>
            <w:t>22</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_Toc7626 </w:instrText>
          </w:r>
          <w:r>
            <w:rPr>
              <w:bCs/>
              <w:lang w:val="zh-CN"/>
            </w:rPr>
            <w:fldChar w:fldCharType="separate"/>
          </w:r>
          <w:r>
            <w:t>1.</w:t>
          </w:r>
          <w:r>
            <w:rPr>
              <w:rFonts w:hint="eastAsia"/>
            </w:rPr>
            <w:t>资金管理</w:t>
          </w:r>
          <w:r>
            <w:tab/>
          </w:r>
          <w:r>
            <w:fldChar w:fldCharType="begin"/>
          </w:r>
          <w:r>
            <w:instrText xml:space="preserve"> PAGEREF _Toc7626 \h </w:instrText>
          </w:r>
          <w:r>
            <w:fldChar w:fldCharType="separate"/>
          </w:r>
          <w:r>
            <w:t>22</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_Toc25984 </w:instrText>
          </w:r>
          <w:r>
            <w:rPr>
              <w:bCs/>
              <w:lang w:val="zh-CN"/>
            </w:rPr>
            <w:fldChar w:fldCharType="separate"/>
          </w:r>
          <w:r>
            <w:t>2.</w:t>
          </w:r>
          <w:r>
            <w:rPr>
              <w:rFonts w:hint="eastAsia"/>
            </w:rPr>
            <w:t>组织实施</w:t>
          </w:r>
          <w:r>
            <w:tab/>
          </w:r>
          <w:r>
            <w:fldChar w:fldCharType="begin"/>
          </w:r>
          <w:r>
            <w:instrText xml:space="preserve"> PAGEREF _Toc25984 \h </w:instrText>
          </w:r>
          <w:r>
            <w:fldChar w:fldCharType="separate"/>
          </w:r>
          <w:r>
            <w:t>23</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_Toc29358 </w:instrText>
          </w:r>
          <w:r>
            <w:rPr>
              <w:bCs/>
              <w:lang w:val="zh-CN"/>
            </w:rPr>
            <w:fldChar w:fldCharType="separate"/>
          </w:r>
          <w:r>
            <w:rPr>
              <w:rFonts w:hint="eastAsia" w:ascii="仿宋" w:hAnsi="仿宋" w:eastAsia="仿宋"/>
              <w:lang w:bidi="en-US"/>
            </w:rPr>
            <w:t>（三）项目产出情况</w:t>
          </w:r>
          <w:r>
            <w:tab/>
          </w:r>
          <w:r>
            <w:fldChar w:fldCharType="begin"/>
          </w:r>
          <w:r>
            <w:instrText xml:space="preserve"> PAGEREF _Toc29358 \h </w:instrText>
          </w:r>
          <w:r>
            <w:fldChar w:fldCharType="separate"/>
          </w:r>
          <w:r>
            <w:t>23</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_Toc1379 </w:instrText>
          </w:r>
          <w:r>
            <w:rPr>
              <w:bCs/>
              <w:lang w:val="zh-CN"/>
            </w:rPr>
            <w:fldChar w:fldCharType="separate"/>
          </w:r>
          <w:r>
            <w:rPr>
              <w:rFonts w:hint="eastAsia"/>
            </w:rPr>
            <w:t>1</w:t>
          </w:r>
          <w:r>
            <w:t>.</w:t>
          </w:r>
          <w:r>
            <w:rPr>
              <w:rFonts w:hint="eastAsia"/>
            </w:rPr>
            <w:t>产出数量</w:t>
          </w:r>
          <w:r>
            <w:tab/>
          </w:r>
          <w:r>
            <w:fldChar w:fldCharType="begin"/>
          </w:r>
          <w:r>
            <w:instrText xml:space="preserve"> PAGEREF _Toc1379 \h </w:instrText>
          </w:r>
          <w:r>
            <w:fldChar w:fldCharType="separate"/>
          </w:r>
          <w:r>
            <w:t>24</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_Toc10486 </w:instrText>
          </w:r>
          <w:r>
            <w:rPr>
              <w:bCs/>
              <w:lang w:val="zh-CN"/>
            </w:rPr>
            <w:fldChar w:fldCharType="separate"/>
          </w:r>
          <w:r>
            <w:rPr>
              <w:rFonts w:hint="eastAsia"/>
            </w:rPr>
            <w:t>2.产出质量</w:t>
          </w:r>
          <w:r>
            <w:tab/>
          </w:r>
          <w:r>
            <w:fldChar w:fldCharType="begin"/>
          </w:r>
          <w:r>
            <w:instrText xml:space="preserve"> PAGEREF _Toc10486 \h </w:instrText>
          </w:r>
          <w:r>
            <w:fldChar w:fldCharType="separate"/>
          </w:r>
          <w:r>
            <w:t>24</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_Toc19420 </w:instrText>
          </w:r>
          <w:r>
            <w:rPr>
              <w:bCs/>
              <w:lang w:val="zh-CN"/>
            </w:rPr>
            <w:fldChar w:fldCharType="separate"/>
          </w:r>
          <w:r>
            <w:rPr>
              <w:rFonts w:hint="eastAsia"/>
            </w:rPr>
            <w:t>3</w:t>
          </w:r>
          <w:r>
            <w:t>.</w:t>
          </w:r>
          <w:r>
            <w:rPr>
              <w:rFonts w:hint="eastAsia"/>
            </w:rPr>
            <w:t>产出时效</w:t>
          </w:r>
          <w:r>
            <w:tab/>
          </w:r>
          <w:r>
            <w:fldChar w:fldCharType="begin"/>
          </w:r>
          <w:r>
            <w:instrText xml:space="preserve"> PAGEREF _Toc19420 \h </w:instrText>
          </w:r>
          <w:r>
            <w:fldChar w:fldCharType="separate"/>
          </w:r>
          <w:r>
            <w:t>24</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_Toc6206 </w:instrText>
          </w:r>
          <w:r>
            <w:rPr>
              <w:bCs/>
              <w:lang w:val="zh-CN"/>
            </w:rPr>
            <w:fldChar w:fldCharType="separate"/>
          </w:r>
          <w:r>
            <w:rPr>
              <w:rFonts w:hint="eastAsia"/>
            </w:rPr>
            <w:t>4</w:t>
          </w:r>
          <w:r>
            <w:t>.</w:t>
          </w:r>
          <w:r>
            <w:rPr>
              <w:rFonts w:hint="eastAsia"/>
            </w:rPr>
            <w:t>产出成本</w:t>
          </w:r>
          <w:r>
            <w:tab/>
          </w:r>
          <w:r>
            <w:fldChar w:fldCharType="begin"/>
          </w:r>
          <w:r>
            <w:instrText xml:space="preserve"> PAGEREF _Toc6206 \h </w:instrText>
          </w:r>
          <w:r>
            <w:fldChar w:fldCharType="separate"/>
          </w:r>
          <w:r>
            <w:t>24</w:t>
          </w:r>
          <w:r>
            <w:fldChar w:fldCharType="end"/>
          </w:r>
          <w:r>
            <w:rPr>
              <w:bCs/>
              <w:lang w:val="zh-CN"/>
            </w:rPr>
            <w:fldChar w:fldCharType="end"/>
          </w:r>
        </w:p>
        <w:p>
          <w:pPr>
            <w:pStyle w:val="14"/>
            <w:tabs>
              <w:tab w:val="right" w:leader="dot" w:pos="8306"/>
            </w:tabs>
            <w:ind w:left="600"/>
          </w:pPr>
          <w:r>
            <w:rPr>
              <w:bCs/>
              <w:lang w:val="zh-CN"/>
            </w:rPr>
            <w:fldChar w:fldCharType="begin"/>
          </w:r>
          <w:r>
            <w:rPr>
              <w:bCs/>
              <w:lang w:val="zh-CN"/>
            </w:rPr>
            <w:instrText xml:space="preserve"> HYPERLINK \l _Toc14859 </w:instrText>
          </w:r>
          <w:r>
            <w:rPr>
              <w:bCs/>
              <w:lang w:val="zh-CN"/>
            </w:rPr>
            <w:fldChar w:fldCharType="separate"/>
          </w:r>
          <w:r>
            <w:rPr>
              <w:rFonts w:hint="eastAsia" w:ascii="仿宋" w:hAnsi="仿宋" w:eastAsia="仿宋"/>
              <w:lang w:bidi="en-US"/>
            </w:rPr>
            <w:t>（四）项目效益情况</w:t>
          </w:r>
          <w:r>
            <w:tab/>
          </w:r>
          <w:r>
            <w:fldChar w:fldCharType="begin"/>
          </w:r>
          <w:r>
            <w:instrText xml:space="preserve"> PAGEREF _Toc14859 \h </w:instrText>
          </w:r>
          <w:r>
            <w:fldChar w:fldCharType="separate"/>
          </w:r>
          <w:r>
            <w:t>25</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_Toc3383 </w:instrText>
          </w:r>
          <w:r>
            <w:rPr>
              <w:bCs/>
              <w:lang w:val="zh-CN"/>
            </w:rPr>
            <w:fldChar w:fldCharType="separate"/>
          </w:r>
          <w:r>
            <w:rPr>
              <w:rFonts w:hint="eastAsia"/>
            </w:rPr>
            <w:t>1</w:t>
          </w:r>
          <w:r>
            <w:t>.</w:t>
          </w:r>
          <w:r>
            <w:rPr>
              <w:rFonts w:hint="eastAsia"/>
            </w:rPr>
            <w:t>项目效益</w:t>
          </w:r>
          <w:r>
            <w:tab/>
          </w:r>
          <w:r>
            <w:fldChar w:fldCharType="begin"/>
          </w:r>
          <w:r>
            <w:instrText xml:space="preserve"> PAGEREF _Toc3383 \h </w:instrText>
          </w:r>
          <w:r>
            <w:fldChar w:fldCharType="separate"/>
          </w:r>
          <w:r>
            <w:t>25</w:t>
          </w:r>
          <w:r>
            <w:fldChar w:fldCharType="end"/>
          </w:r>
          <w:r>
            <w:rPr>
              <w:bCs/>
              <w:lang w:val="zh-CN"/>
            </w:rPr>
            <w:fldChar w:fldCharType="end"/>
          </w:r>
        </w:p>
        <w:p>
          <w:pPr>
            <w:pStyle w:val="7"/>
            <w:tabs>
              <w:tab w:val="right" w:leader="dot" w:pos="8306"/>
            </w:tabs>
            <w:ind w:left="1200"/>
          </w:pPr>
          <w:r>
            <w:rPr>
              <w:bCs/>
              <w:lang w:val="zh-CN"/>
            </w:rPr>
            <w:fldChar w:fldCharType="begin"/>
          </w:r>
          <w:r>
            <w:rPr>
              <w:bCs/>
              <w:lang w:val="zh-CN"/>
            </w:rPr>
            <w:instrText xml:space="preserve"> HYPERLINK \l _Toc16813 </w:instrText>
          </w:r>
          <w:r>
            <w:rPr>
              <w:bCs/>
              <w:lang w:val="zh-CN"/>
            </w:rPr>
            <w:fldChar w:fldCharType="separate"/>
          </w:r>
          <w:r>
            <w:t>2.满意度指标完成情况分析</w:t>
          </w:r>
          <w:r>
            <w:tab/>
          </w:r>
          <w:r>
            <w:fldChar w:fldCharType="begin"/>
          </w:r>
          <w:r>
            <w:instrText xml:space="preserve"> PAGEREF _Toc16813 \h </w:instrText>
          </w:r>
          <w:r>
            <w:fldChar w:fldCharType="separate"/>
          </w:r>
          <w:r>
            <w:t>26</w:t>
          </w:r>
          <w:r>
            <w:fldChar w:fldCharType="end"/>
          </w:r>
          <w:r>
            <w:rPr>
              <w:bCs/>
              <w:lang w:val="zh-CN"/>
            </w:rPr>
            <w:fldChar w:fldCharType="end"/>
          </w:r>
        </w:p>
        <w:p>
          <w:pPr>
            <w:pStyle w:val="12"/>
            <w:tabs>
              <w:tab w:val="right" w:leader="dot" w:pos="8306"/>
            </w:tabs>
          </w:pPr>
          <w:r>
            <w:fldChar w:fldCharType="begin"/>
          </w:r>
          <w:r>
            <w:instrText xml:space="preserve"> HYPERLINK \l "_Toc21326" </w:instrText>
          </w:r>
          <w:r>
            <w:fldChar w:fldCharType="separate"/>
          </w:r>
          <w:r>
            <w:rPr>
              <w:rFonts w:hint="eastAsia" w:ascii="仿宋" w:hAnsi="仿宋" w:eastAsia="仿宋"/>
              <w:szCs w:val="36"/>
              <w:lang w:bidi="en-US"/>
            </w:rPr>
            <w:t>五、主要经验及做法、存在的问题及原因分析</w:t>
          </w:r>
          <w:r>
            <w:tab/>
          </w:r>
          <w:r>
            <w:fldChar w:fldCharType="begin"/>
          </w:r>
          <w:r>
            <w:instrText xml:space="preserve"> PAGEREF _Toc21326 \h </w:instrText>
          </w:r>
          <w:r>
            <w:fldChar w:fldCharType="separate"/>
          </w:r>
          <w:r>
            <w:t>26</w:t>
          </w:r>
          <w:r>
            <w:fldChar w:fldCharType="end"/>
          </w:r>
          <w:r>
            <w:fldChar w:fldCharType="end"/>
          </w:r>
        </w:p>
        <w:p>
          <w:pPr>
            <w:pStyle w:val="14"/>
            <w:tabs>
              <w:tab w:val="right" w:leader="dot" w:pos="8306"/>
            </w:tabs>
            <w:ind w:left="600"/>
          </w:pPr>
          <w:r>
            <w:fldChar w:fldCharType="begin"/>
          </w:r>
          <w:r>
            <w:instrText xml:space="preserve"> HYPERLINK \l "_Toc9871" </w:instrText>
          </w:r>
          <w:r>
            <w:fldChar w:fldCharType="separate"/>
          </w:r>
          <w:r>
            <w:rPr>
              <w:rFonts w:hint="eastAsia" w:ascii="仿宋" w:hAnsi="仿宋" w:eastAsia="仿宋"/>
              <w:lang w:bidi="en-US"/>
            </w:rPr>
            <w:t>（一）主要经验及做法</w:t>
          </w:r>
          <w:r>
            <w:tab/>
          </w:r>
          <w:r>
            <w:fldChar w:fldCharType="begin"/>
          </w:r>
          <w:r>
            <w:instrText xml:space="preserve"> PAGEREF _Toc9871 \h </w:instrText>
          </w:r>
          <w:r>
            <w:fldChar w:fldCharType="separate"/>
          </w:r>
          <w:r>
            <w:t>26</w:t>
          </w:r>
          <w:r>
            <w:fldChar w:fldCharType="end"/>
          </w:r>
          <w:r>
            <w:fldChar w:fldCharType="end"/>
          </w:r>
        </w:p>
        <w:p>
          <w:pPr>
            <w:pStyle w:val="14"/>
            <w:tabs>
              <w:tab w:val="right" w:leader="dot" w:pos="8306"/>
            </w:tabs>
            <w:ind w:left="600"/>
          </w:pPr>
          <w:r>
            <w:rPr>
              <w:bCs/>
              <w:lang w:val="zh-CN"/>
            </w:rPr>
            <w:fldChar w:fldCharType="begin"/>
          </w:r>
          <w:r>
            <w:rPr>
              <w:bCs/>
              <w:lang w:val="zh-CN"/>
            </w:rPr>
            <w:instrText xml:space="preserve"> HYPERLINK \l _Toc5326 </w:instrText>
          </w:r>
          <w:r>
            <w:rPr>
              <w:bCs/>
              <w:lang w:val="zh-CN"/>
            </w:rPr>
            <w:fldChar w:fldCharType="separate"/>
          </w:r>
          <w:r>
            <w:rPr>
              <w:rFonts w:hint="eastAsia" w:ascii="仿宋" w:hAnsi="仿宋" w:eastAsia="仿宋"/>
              <w:lang w:bidi="en-US"/>
            </w:rPr>
            <w:t>（二）存在的问题及原因分析</w:t>
          </w:r>
          <w:r>
            <w:tab/>
          </w:r>
          <w:r>
            <w:fldChar w:fldCharType="begin"/>
          </w:r>
          <w:r>
            <w:instrText xml:space="preserve"> PAGEREF _Toc5326 \h </w:instrText>
          </w:r>
          <w:r>
            <w:fldChar w:fldCharType="separate"/>
          </w:r>
          <w:r>
            <w:t>27</w:t>
          </w:r>
          <w:r>
            <w:fldChar w:fldCharType="end"/>
          </w:r>
          <w:r>
            <w:rPr>
              <w:bCs/>
              <w:lang w:val="zh-CN"/>
            </w:rPr>
            <w:fldChar w:fldCharType="end"/>
          </w:r>
        </w:p>
        <w:p>
          <w:pPr>
            <w:pStyle w:val="12"/>
            <w:tabs>
              <w:tab w:val="right" w:leader="dot" w:pos="8306"/>
            </w:tabs>
          </w:pPr>
          <w:r>
            <w:fldChar w:fldCharType="begin"/>
          </w:r>
          <w:r>
            <w:instrText xml:space="preserve"> HYPERLINK \l "_Toc20673" </w:instrText>
          </w:r>
          <w:r>
            <w:fldChar w:fldCharType="separate"/>
          </w:r>
          <w:r>
            <w:rPr>
              <w:rFonts w:hint="eastAsia" w:ascii="仿宋" w:hAnsi="仿宋" w:eastAsia="仿宋"/>
              <w:szCs w:val="36"/>
              <w:lang w:bidi="en-US"/>
            </w:rPr>
            <w:t>六、 有关建议</w:t>
          </w:r>
          <w:r>
            <w:tab/>
          </w:r>
          <w:r>
            <w:fldChar w:fldCharType="begin"/>
          </w:r>
          <w:r>
            <w:instrText xml:space="preserve"> PAGEREF _Toc20673 \h </w:instrText>
          </w:r>
          <w:r>
            <w:fldChar w:fldCharType="separate"/>
          </w:r>
          <w:r>
            <w:t>27</w:t>
          </w:r>
          <w:r>
            <w:fldChar w:fldCharType="end"/>
          </w:r>
          <w:r>
            <w:fldChar w:fldCharType="end"/>
          </w:r>
        </w:p>
        <w:p>
          <w:pPr>
            <w:pStyle w:val="12"/>
            <w:tabs>
              <w:tab w:val="right" w:leader="dot" w:pos="8306"/>
            </w:tabs>
          </w:pPr>
          <w:r>
            <w:fldChar w:fldCharType="begin"/>
          </w:r>
          <w:r>
            <w:instrText xml:space="preserve"> HYPERLINK \l "_Toc3271" </w:instrText>
          </w:r>
          <w:r>
            <w:fldChar w:fldCharType="separate"/>
          </w:r>
          <w:r>
            <w:rPr>
              <w:rFonts w:hint="eastAsia" w:ascii="仿宋" w:hAnsi="仿宋" w:eastAsia="仿宋"/>
              <w:szCs w:val="36"/>
              <w:lang w:bidi="en-US"/>
            </w:rPr>
            <w:t>七、其他需要说明的问题</w:t>
          </w:r>
          <w:r>
            <w:tab/>
          </w:r>
          <w:r>
            <w:fldChar w:fldCharType="begin"/>
          </w:r>
          <w:r>
            <w:instrText xml:space="preserve"> PAGEREF _Toc3271 \h </w:instrText>
          </w:r>
          <w:r>
            <w:fldChar w:fldCharType="separate"/>
          </w:r>
          <w:r>
            <w:t>29</w:t>
          </w:r>
          <w:r>
            <w:fldChar w:fldCharType="end"/>
          </w:r>
          <w:r>
            <w:fldChar w:fldCharType="end"/>
          </w:r>
        </w:p>
        <w:p>
          <w:r>
            <w:rPr>
              <w:bCs/>
              <w:lang w:val="zh-CN"/>
            </w:rPr>
            <w:fldChar w:fldCharType="end"/>
          </w:r>
        </w:p>
      </w:sdtContent>
    </w:sdt>
    <w:p>
      <w:pPr>
        <w:ind w:firstLine="720"/>
        <w:rPr>
          <w:rFonts w:ascii="仿宋" w:hAnsi="仿宋" w:eastAsia="仿宋"/>
          <w:sz w:val="36"/>
          <w:szCs w:val="36"/>
          <w:lang w:bidi="en-US"/>
        </w:rPr>
      </w:pPr>
      <w:bookmarkStart w:id="0" w:name="_Toc30905"/>
      <w:bookmarkStart w:id="1" w:name="_Toc67911601"/>
      <w:r>
        <w:rPr>
          <w:rFonts w:hint="eastAsia" w:ascii="仿宋" w:hAnsi="仿宋" w:eastAsia="仿宋"/>
          <w:sz w:val="36"/>
          <w:szCs w:val="36"/>
          <w:lang w:bidi="en-US"/>
        </w:rPr>
        <w:br w:type="page"/>
      </w:r>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10441"/>
      <w:bookmarkStart w:id="3" w:name="_Toc67911602"/>
      <w:r>
        <w:rPr>
          <w:rFonts w:hint="eastAsia" w:ascii="仿宋" w:hAnsi="仿宋" w:eastAsia="仿宋"/>
          <w:lang w:bidi="en-US"/>
        </w:rPr>
        <w:t>（一）项目概况：</w:t>
      </w:r>
      <w:bookmarkEnd w:id="2"/>
      <w:bookmarkEnd w:id="3"/>
    </w:p>
    <w:p>
      <w:pPr>
        <w:pStyle w:val="4"/>
        <w:ind w:firstLine="643"/>
      </w:pPr>
      <w:bookmarkStart w:id="4" w:name="_Toc11887"/>
      <w:r>
        <w:rPr>
          <w:rFonts w:hint="eastAsia"/>
        </w:rPr>
        <w:t>1．项目背景、主要内容及实施情况</w:t>
      </w:r>
      <w:bookmarkEnd w:id="4"/>
    </w:p>
    <w:p>
      <w:pPr>
        <w:spacing w:line="360" w:lineRule="auto"/>
        <w:ind w:firstLine="640"/>
        <w:rPr>
          <w:rFonts w:ascii="方正仿宋_GBK" w:hAnsi="方正仿宋_GBK" w:cs="方正仿宋_GBK"/>
          <w:sz w:val="32"/>
          <w:szCs w:val="32"/>
        </w:rPr>
      </w:pPr>
      <w:r>
        <w:rPr>
          <w:rFonts w:hint="eastAsia" w:ascii="方正仿宋_GBK" w:hAnsi="方正仿宋_GBK" w:cs="方正仿宋_GBK"/>
          <w:sz w:val="32"/>
          <w:szCs w:val="32"/>
        </w:rPr>
        <w:t>该项目实施背景：按自治区疫情</w:t>
      </w:r>
      <w:r>
        <w:rPr>
          <w:rFonts w:ascii="方正仿宋_GBK" w:hAnsi="方正仿宋_GBK" w:cs="方正仿宋_GBK"/>
          <w:sz w:val="32"/>
          <w:szCs w:val="32"/>
        </w:rPr>
        <w:t>指挥部现场督导要求和目前疫情防控总体部署，结合本市疫情防控实际情况及病人需求，在疫情期间</w:t>
      </w:r>
      <w:r>
        <w:rPr>
          <w:rFonts w:hint="eastAsia" w:ascii="方正仿宋_GBK" w:hAnsi="方正仿宋_GBK" w:cs="方正仿宋_GBK"/>
          <w:sz w:val="32"/>
          <w:szCs w:val="32"/>
        </w:rPr>
        <w:t>提供</w:t>
      </w:r>
      <w:r>
        <w:rPr>
          <w:rFonts w:ascii="方正仿宋_GBK" w:hAnsi="方正仿宋_GBK" w:cs="方正仿宋_GBK"/>
          <w:sz w:val="32"/>
          <w:szCs w:val="32"/>
        </w:rPr>
        <w:t>患者体内多溶质和急慢性肾功能衰竭的有效治疗。为保质保量完成上级交予的工作任务，根据国家专家组现场意见，紧急申请增加不同类型的血透机</w:t>
      </w:r>
      <w:r>
        <w:rPr>
          <w:rFonts w:hint="eastAsia" w:ascii="方正仿宋_GBK" w:hAnsi="方正仿宋_GBK" w:cs="方正仿宋_GBK"/>
          <w:sz w:val="32"/>
          <w:szCs w:val="32"/>
        </w:rPr>
        <w:t>及病床。</w:t>
      </w:r>
    </w:p>
    <w:p>
      <w:pPr>
        <w:spacing w:line="360" w:lineRule="auto"/>
        <w:ind w:firstLine="640" w:firstLineChars="0"/>
        <w:rPr>
          <w:rFonts w:ascii="方正仿宋_GBK" w:hAnsi="方正仿宋_GBK" w:cs="方正仿宋_GBK"/>
          <w:sz w:val="32"/>
          <w:szCs w:val="32"/>
        </w:rPr>
      </w:pPr>
      <w:r>
        <w:rPr>
          <w:rFonts w:hint="eastAsia" w:ascii="方正仿宋_GBK" w:hAnsi="方正仿宋_GBK" w:cs="方正仿宋_GBK"/>
          <w:sz w:val="32"/>
          <w:szCs w:val="32"/>
        </w:rPr>
        <w:t>经乌财社〔2023〕128号文件批准，项目系2023年中央资金，共安排预算265万元。</w:t>
      </w:r>
    </w:p>
    <w:p>
      <w:pPr>
        <w:spacing w:line="360" w:lineRule="auto"/>
        <w:ind w:firstLine="640"/>
        <w:rPr>
          <w:rFonts w:ascii="方正仿宋_GBK" w:hAnsi="方正仿宋_GBK" w:cs="方正仿宋_GBK"/>
          <w:sz w:val="32"/>
          <w:szCs w:val="32"/>
        </w:rPr>
      </w:pPr>
      <w:r>
        <w:rPr>
          <w:rFonts w:hint="eastAsia" w:ascii="方正仿宋_GBK" w:hAnsi="方正仿宋_GBK" w:cs="方正仿宋_GBK"/>
          <w:sz w:val="32"/>
          <w:szCs w:val="32"/>
        </w:rPr>
        <w:t>项目2023年的主要实施内容：①购置5台单泵血透机和5台双泵血透机;②购置300张病床;</w:t>
      </w:r>
    </w:p>
    <w:p>
      <w:pPr>
        <w:widowControl/>
        <w:ind w:firstLine="640"/>
        <w:jc w:val="left"/>
        <w:rPr>
          <w:sz w:val="32"/>
          <w:szCs w:val="32"/>
        </w:rPr>
      </w:pPr>
      <w:r>
        <w:rPr>
          <w:rFonts w:hint="eastAsia" w:ascii="方正仿宋_GBK" w:hAnsi="方正仿宋_GBK" w:cs="方正仿宋_GBK"/>
          <w:sz w:val="32"/>
          <w:szCs w:val="32"/>
        </w:rPr>
        <w:t>2023年当年完成情况：为保障疫情期间体内多溶质和急慢性肾功能衰竭患者有效治疗，购置单泵血透机5台、双泵血透机5台以及病床300张，共计265万元。采购方式按照2022年9月召</w:t>
      </w:r>
      <w:r>
        <w:rPr>
          <w:rFonts w:ascii="方正仿宋_GBK" w:hAnsi="方正仿宋_GBK" w:cs="方正仿宋_GBK"/>
          <w:sz w:val="32"/>
          <w:szCs w:val="32"/>
        </w:rPr>
        <w:t>开乌鲁木齐国际医院血液透析中心设备及配套设施基础改造采购议标会合同价格执行，做到统一型号、统一品牌，达到后期好维</w:t>
      </w:r>
      <w:r>
        <w:rPr>
          <w:rFonts w:hint="eastAsia" w:ascii="方正仿宋_GBK" w:hAnsi="方正仿宋_GBK" w:cs="方正仿宋_GBK"/>
          <w:sz w:val="32"/>
          <w:szCs w:val="32"/>
        </w:rPr>
        <w:t>护；</w:t>
      </w:r>
      <w:r>
        <w:rPr>
          <w:rFonts w:ascii="方正仿宋_GBK" w:hAnsi="方正仿宋_GBK" w:cs="方正仿宋_GBK"/>
          <w:sz w:val="32"/>
          <w:szCs w:val="32"/>
        </w:rPr>
        <w:t>耗材统一标准，统一价格。</w:t>
      </w:r>
    </w:p>
    <w:p>
      <w:pPr>
        <w:spacing w:line="360" w:lineRule="auto"/>
        <w:ind w:firstLine="640" w:firstLineChars="0"/>
        <w:rPr>
          <w:rFonts w:ascii="方正仿宋_GBK" w:hAnsi="方正仿宋_GBK" w:cs="方正仿宋_GBK"/>
          <w:sz w:val="32"/>
          <w:szCs w:val="32"/>
        </w:rPr>
      </w:pPr>
      <w:r>
        <w:rPr>
          <w:rFonts w:hint="eastAsia" w:ascii="方正仿宋_GBK" w:hAnsi="方正仿宋_GBK" w:cs="方正仿宋_GBK"/>
          <w:sz w:val="32"/>
          <w:szCs w:val="32"/>
        </w:rPr>
        <w:t>项目实际中标价格为264.28万元，其中病床89.28万元、血透机175万元。</w:t>
      </w:r>
    </w:p>
    <w:p>
      <w:pPr>
        <w:pStyle w:val="4"/>
        <w:ind w:firstLine="643"/>
      </w:pPr>
      <w:bookmarkStart w:id="5" w:name="_Toc15279"/>
      <w:r>
        <w:rPr>
          <w:rFonts w:hint="eastAsia"/>
        </w:rPr>
        <w:t>2</w:t>
      </w:r>
      <w:r>
        <w:t>.资金投入和使用情况</w:t>
      </w:r>
      <w:bookmarkEnd w:id="5"/>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该项目资金投入情况：经乌财社〔2023〕128号文件批准，项目系2023年中央资金，共安排预算265万元，于2023年年中追加预算批复项目。</w:t>
      </w:r>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资金使用情况：该项目总预算265万元，资金投入方向为购置医疗设备及配套设施，其中①购置单泵血透机5台，设备单价13万元/台，合计金额65万元；双泵血透机5台，设备单价22万元/台，合计金额110万元；上述医疗设备预算金额共计175万元，2023年执行166.25万元，剩余资金已于2023年12月收回，故执行率100%。②购置病床300张，单价0.2976万元/张，合计金额89.28万元；病床预算金额90万元，2023年执行89.28万元，剩余资金已于2023年12月收回，故执行率100%。</w:t>
      </w:r>
    </w:p>
    <w:p>
      <w:pPr>
        <w:pStyle w:val="3"/>
        <w:ind w:firstLine="643"/>
        <w:rPr>
          <w:rFonts w:ascii="仿宋" w:hAnsi="仿宋" w:eastAsia="仿宋"/>
          <w:lang w:bidi="en-US"/>
        </w:rPr>
      </w:pPr>
      <w:bookmarkStart w:id="6" w:name="_Toc23109"/>
      <w:bookmarkStart w:id="7" w:name="_Toc67911603"/>
      <w:r>
        <w:rPr>
          <w:rFonts w:hint="eastAsia" w:ascii="仿宋" w:hAnsi="仿宋" w:eastAsia="仿宋"/>
          <w:lang w:bidi="en-US"/>
        </w:rPr>
        <w:t>（二）项目绩效目标：</w:t>
      </w:r>
      <w:bookmarkEnd w:id="6"/>
      <w:bookmarkEnd w:id="7"/>
    </w:p>
    <w:p>
      <w:pPr>
        <w:ind w:firstLine="640"/>
        <w:rPr>
          <w:rFonts w:ascii="方正仿宋_GBK" w:hAnsi="方正仿宋_GBK" w:cs="方正仿宋_GBK"/>
          <w:sz w:val="32"/>
          <w:szCs w:val="32"/>
        </w:rPr>
      </w:pPr>
      <w:r>
        <w:rPr>
          <w:rFonts w:hint="eastAsia" w:ascii="方正仿宋_GBK" w:hAnsi="方正仿宋_GBK" w:cs="方正仿宋_GBK"/>
          <w:sz w:val="32"/>
          <w:szCs w:val="32"/>
        </w:rPr>
        <w:t>本项目依据《中共中央 国务院关于全面实施预算绩效管理的意见》（中发〔2018〕34</w:t>
      </w:r>
      <w:bookmarkStart w:id="60" w:name="_GoBack"/>
      <w:bookmarkEnd w:id="60"/>
      <w:r>
        <w:rPr>
          <w:rFonts w:hint="eastAsia" w:ascii="方正仿宋_GBK" w:hAnsi="方正仿宋_GBK" w:cs="方正仿宋_GBK"/>
          <w:sz w:val="32"/>
          <w:szCs w:val="32"/>
        </w:rPr>
        <w:t>号）、《关于印发&lt;乌鲁木齐市本级部门预算绩效目标管理暂行办法&gt;的通知》（乌财预</w:t>
      </w:r>
      <w:bookmarkStart w:id="8" w:name="_Hlk67566397"/>
      <w:r>
        <w:rPr>
          <w:rFonts w:hint="eastAsia" w:ascii="方正仿宋_GBK" w:hAnsi="方正仿宋_GBK" w:cs="方正仿宋_GBK"/>
          <w:sz w:val="32"/>
          <w:szCs w:val="32"/>
        </w:rPr>
        <w:t>〔2018〕56号</w:t>
      </w:r>
      <w:bookmarkEnd w:id="8"/>
      <w:r>
        <w:rPr>
          <w:rFonts w:hint="eastAsia" w:ascii="方正仿宋_GBK" w:hAnsi="方正仿宋_GBK" w:cs="方正仿宋_GBK"/>
          <w:sz w:val="32"/>
          <w:szCs w:val="32"/>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该项目为当年一次性项目。</w:t>
      </w:r>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该项目总体绩效目标：完成购置单泵血透机5台、双泵血透机5台以及病床300张，为疫情期间体内多溶质和急慢性肾功能衰竭患者提供有效治疗。</w:t>
      </w:r>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该项目阶段性目标：完成购置单泵血透机5台、双泵血透机5台以及病床300张，为疫情期间体内多溶质和急慢性肾功能衰竭患者提供有效治疗。</w:t>
      </w:r>
    </w:p>
    <w:p>
      <w:pPr>
        <w:ind w:firstLine="640"/>
        <w:rPr>
          <w:rFonts w:ascii="方正仿宋_GBK" w:hAnsi="方正仿宋_GBK" w:cs="方正仿宋_GBK"/>
          <w:sz w:val="32"/>
          <w:szCs w:val="32"/>
        </w:rPr>
      </w:pPr>
    </w:p>
    <w:p>
      <w:pPr>
        <w:ind w:firstLine="640"/>
        <w:rPr>
          <w:rFonts w:ascii="方正仿宋_GBK" w:hAnsi="方正仿宋_GBK" w:cs="方正仿宋_GBK"/>
          <w:sz w:val="32"/>
          <w:szCs w:val="32"/>
        </w:rPr>
      </w:pPr>
    </w:p>
    <w:p>
      <w:pPr>
        <w:pStyle w:val="2"/>
        <w:ind w:firstLine="0" w:firstLineChars="0"/>
        <w:jc w:val="left"/>
        <w:rPr>
          <w:rFonts w:ascii="仿宋" w:hAnsi="仿宋" w:eastAsia="仿宋"/>
          <w:sz w:val="36"/>
          <w:szCs w:val="36"/>
          <w:lang w:bidi="en-US"/>
        </w:rPr>
      </w:pPr>
      <w:bookmarkStart w:id="9" w:name="_Toc67911604"/>
      <w:bookmarkStart w:id="10" w:name="_Toc2225"/>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67911605"/>
      <w:bookmarkStart w:id="12" w:name="_Toc1873"/>
      <w:r>
        <w:rPr>
          <w:rFonts w:hint="eastAsia" w:ascii="仿宋" w:hAnsi="仿宋" w:eastAsia="仿宋"/>
          <w:lang w:bidi="en-US"/>
        </w:rPr>
        <w:t>（一）绩效评价目的、对象和范围</w:t>
      </w:r>
      <w:bookmarkEnd w:id="11"/>
      <w:bookmarkEnd w:id="12"/>
    </w:p>
    <w:p>
      <w:pPr>
        <w:pStyle w:val="4"/>
        <w:ind w:firstLine="643"/>
      </w:pPr>
      <w:bookmarkStart w:id="13" w:name="_Toc13435"/>
      <w:r>
        <w:rPr>
          <w:rFonts w:hint="eastAsia"/>
        </w:rPr>
        <w:t>1</w:t>
      </w:r>
      <w:r>
        <w:t>.绩效评价完整性</w:t>
      </w:r>
      <w:bookmarkEnd w:id="13"/>
    </w:p>
    <w:p>
      <w:pPr>
        <w:ind w:firstLine="640"/>
        <w:rPr>
          <w:rFonts w:ascii="方正仿宋_GBK" w:hAnsi="方正仿宋_GBK" w:cs="方正仿宋_GBK"/>
          <w:sz w:val="32"/>
          <w:szCs w:val="32"/>
        </w:rPr>
      </w:pPr>
      <w:r>
        <w:rPr>
          <w:rFonts w:hint="eastAsia" w:ascii="方正仿宋_GBK" w:hAnsi="方正仿宋_GBK" w:cs="方正仿宋_GBK"/>
          <w:sz w:val="32"/>
          <w:szCs w:val="32"/>
        </w:rPr>
        <w:t>按自治区疫情</w:t>
      </w:r>
      <w:r>
        <w:rPr>
          <w:rFonts w:ascii="方正仿宋_GBK" w:hAnsi="方正仿宋_GBK" w:cs="方正仿宋_GBK"/>
          <w:sz w:val="32"/>
          <w:szCs w:val="32"/>
        </w:rPr>
        <w:t>指挥部现场督导要求和目前疫情防控总体部署，结合本市疫情防控实际情况及病人需求，在疫情期间</w:t>
      </w:r>
      <w:r>
        <w:rPr>
          <w:rFonts w:hint="eastAsia" w:ascii="方正仿宋_GBK" w:hAnsi="方正仿宋_GBK" w:cs="方正仿宋_GBK"/>
          <w:sz w:val="32"/>
          <w:szCs w:val="32"/>
        </w:rPr>
        <w:t>提供</w:t>
      </w:r>
      <w:r>
        <w:rPr>
          <w:rFonts w:ascii="方正仿宋_GBK" w:hAnsi="方正仿宋_GBK" w:cs="方正仿宋_GBK"/>
          <w:sz w:val="32"/>
          <w:szCs w:val="32"/>
        </w:rPr>
        <w:t>患者体内多溶质和急慢性肾功能衰竭的有效治疗。为保质保量完成上级交予的工作任务，根据国家专家组现场意见，紧急申请增加不同类型的血透机，共产生费用175</w:t>
      </w:r>
      <w:r>
        <w:rPr>
          <w:rFonts w:hint="eastAsia" w:ascii="方正仿宋_GBK" w:hAnsi="方正仿宋_GBK" w:cs="方正仿宋_GBK"/>
          <w:sz w:val="32"/>
          <w:szCs w:val="32"/>
        </w:rPr>
        <w:t xml:space="preserve"> </w:t>
      </w:r>
      <w:r>
        <w:rPr>
          <w:rFonts w:ascii="方正仿宋_GBK" w:hAnsi="方正仿宋_GBK" w:cs="方正仿宋_GBK"/>
          <w:sz w:val="32"/>
          <w:szCs w:val="32"/>
        </w:rPr>
        <w:t>万元，其中：单泵血透机5台，预算单价13万元，合计预算价65万元；双泵血透机5台，预算单价22万元，合计预算价110万元。同时，按照市</w:t>
      </w:r>
      <w:r>
        <w:rPr>
          <w:rFonts w:hint="eastAsia" w:ascii="方正仿宋_GBK" w:hAnsi="方正仿宋_GBK" w:cs="方正仿宋_GBK"/>
          <w:sz w:val="32"/>
          <w:szCs w:val="32"/>
        </w:rPr>
        <w:t>疫情</w:t>
      </w:r>
      <w:r>
        <w:rPr>
          <w:rFonts w:ascii="方正仿宋_GBK" w:hAnsi="方正仿宋_GBK" w:cs="方正仿宋_GBK"/>
          <w:sz w:val="32"/>
          <w:szCs w:val="32"/>
        </w:rPr>
        <w:t>防控指挥部要求，需增加病床300张，3000元/张，预算总价90万元</w:t>
      </w:r>
      <w:r>
        <w:rPr>
          <w:rFonts w:hint="eastAsia" w:ascii="方正仿宋_GBK" w:hAnsi="方正仿宋_GBK" w:cs="方正仿宋_GBK"/>
          <w:sz w:val="32"/>
          <w:szCs w:val="32"/>
        </w:rPr>
        <w:t>。共计产生费用265万元。根据项目内容设置了相应的产出指标-数量指标“设备购置数量”和“病床购置数量”；成本指标-经济成本指标“血透机购置成本”和“病床购置成本”，通过上述指标对此部分的完成情况进行评价。</w:t>
      </w:r>
    </w:p>
    <w:p>
      <w:pPr>
        <w:ind w:firstLine="640"/>
        <w:rPr>
          <w:rFonts w:ascii="方正仿宋_GBK" w:hAnsi="方正仿宋_GBK" w:cs="方正仿宋_GBK"/>
          <w:sz w:val="32"/>
          <w:szCs w:val="32"/>
        </w:rPr>
      </w:pPr>
      <w:r>
        <w:rPr>
          <w:rFonts w:ascii="方正仿宋_GBK" w:hAnsi="方正仿宋_GBK" w:cs="方正仿宋_GBK"/>
          <w:sz w:val="32"/>
          <w:szCs w:val="32"/>
        </w:rPr>
        <w:t>采购方式按照2022年9月召开乌鲁木齐国际医院血液透析中心设备及配套设施基础改造采购议标会合同价格执行，做到统一型号、统一品牌，达到后期好维护</w:t>
      </w:r>
      <w:r>
        <w:rPr>
          <w:rFonts w:hint="eastAsia" w:ascii="方正仿宋_GBK" w:hAnsi="方正仿宋_GBK" w:cs="方正仿宋_GBK"/>
          <w:sz w:val="32"/>
          <w:szCs w:val="32"/>
        </w:rPr>
        <w:t>，</w:t>
      </w:r>
      <w:r>
        <w:rPr>
          <w:rFonts w:ascii="方正仿宋_GBK" w:hAnsi="方正仿宋_GBK" w:cs="方正仿宋_GBK"/>
          <w:sz w:val="32"/>
          <w:szCs w:val="32"/>
        </w:rPr>
        <w:t>耗材统一标准，统一价格。</w:t>
      </w:r>
      <w:r>
        <w:rPr>
          <w:rFonts w:hint="eastAsia" w:ascii="方正仿宋_GBK" w:hAnsi="方正仿宋_GBK" w:cs="方正仿宋_GBK"/>
          <w:sz w:val="32"/>
          <w:szCs w:val="32"/>
        </w:rPr>
        <w:t>根据项目执行情况设置产出指标-质量指标“采购合规率”及“资金使用率”对项目此部分的完成情况进行评价。</w:t>
      </w:r>
    </w:p>
    <w:p>
      <w:pPr>
        <w:ind w:firstLine="640"/>
        <w:rPr>
          <w:rFonts w:ascii="方正仿宋_GBK" w:hAnsi="方正仿宋_GBK" w:cs="方正仿宋_GBK"/>
          <w:sz w:val="32"/>
          <w:szCs w:val="32"/>
        </w:rPr>
      </w:pPr>
      <w:r>
        <w:rPr>
          <w:rFonts w:hint="eastAsia" w:ascii="方正仿宋_GBK" w:hAnsi="方正仿宋_GBK" w:cs="方正仿宋_GBK"/>
          <w:sz w:val="32"/>
          <w:szCs w:val="32"/>
        </w:rPr>
        <w:t>该项目完成后，为病人提供了有效治疗同时保障了医院在疫情期间工作的正常开展，通过设置效益指标-社会效益指标“保障患者有效治疗”以及满意度指标完成情况分析-满意度指标“设备使用人员满意度”对项目此部分的完成情况进行评价。</w:t>
      </w:r>
    </w:p>
    <w:p>
      <w:pPr>
        <w:ind w:firstLine="640"/>
        <w:rPr>
          <w:rFonts w:ascii="方正仿宋_GBK" w:hAnsi="方正仿宋_GBK" w:cs="方正仿宋_GBK"/>
          <w:sz w:val="32"/>
          <w:szCs w:val="32"/>
        </w:rPr>
      </w:pPr>
      <w:r>
        <w:rPr>
          <w:rFonts w:hint="eastAsia" w:ascii="方正仿宋_GBK" w:hAnsi="方正仿宋_GBK" w:cs="方正仿宋_GBK"/>
          <w:sz w:val="32"/>
          <w:szCs w:val="32"/>
        </w:rPr>
        <w:t>评价数据均来源于业务科室采购手续及上级部门的相关批复，以确保评价数据的真实有效。</w:t>
      </w:r>
    </w:p>
    <w:p>
      <w:pPr>
        <w:pStyle w:val="4"/>
        <w:ind w:firstLine="643"/>
      </w:pPr>
      <w:bookmarkStart w:id="14" w:name="_Toc7629"/>
      <w:r>
        <w:t>2</w:t>
      </w:r>
      <w:r>
        <w:rPr>
          <w:rFonts w:hint="eastAsia"/>
        </w:rPr>
        <w:t>.评价目的</w:t>
      </w:r>
      <w:bookmarkEnd w:id="14"/>
    </w:p>
    <w:p>
      <w:r>
        <w:rPr>
          <w:rFonts w:hint="eastAsia"/>
        </w:rPr>
        <w:t>本项工作旨在落实《中共中央</w:t>
      </w:r>
      <w:r>
        <w:rPr>
          <w:rFonts w:hint="eastAsia"/>
          <w:u w:val="none"/>
          <w:lang w:val="en-US" w:eastAsia="zh-CN"/>
        </w:rPr>
        <w:t xml:space="preserve"> </w:t>
      </w:r>
      <w:r>
        <w:rPr>
          <w:rFonts w:hint="eastAsia"/>
        </w:rPr>
        <w:t>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关于拨付2023年第十六批疫情防控补助资金（国际医院血液透析中心设备及配套设施）（直达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2964"/>
      <w:r>
        <w:t>3</w:t>
      </w:r>
      <w:r>
        <w:rPr>
          <w:rFonts w:hint="eastAsia"/>
        </w:rPr>
        <w:t>.评价对象</w:t>
      </w:r>
      <w:bookmarkEnd w:id="15"/>
    </w:p>
    <w:p>
      <w:r>
        <w:rPr>
          <w:rFonts w:hint="eastAsia"/>
        </w:rPr>
        <w:t xml:space="preserve">（1）绩效评价的对象：关于拨付2023年第十六批疫情防控补助资金（国际医院血液透析中心设备及配套设施）（直达资金）的通知项目 </w:t>
      </w:r>
    </w:p>
    <w:p>
      <w:pPr>
        <w:pStyle w:val="4"/>
        <w:ind w:firstLine="643"/>
      </w:pPr>
      <w:bookmarkStart w:id="16" w:name="_Toc4218"/>
      <w:r>
        <w:rPr>
          <w:rFonts w:hint="eastAsia"/>
        </w:rPr>
        <w:t>4</w:t>
      </w:r>
      <w:r>
        <w:t>.</w:t>
      </w:r>
      <w:r>
        <w:rPr>
          <w:rFonts w:hint="eastAsia"/>
        </w:rPr>
        <w:t>绩效评价范围</w:t>
      </w:r>
      <w:bookmarkEnd w:id="16"/>
    </w:p>
    <w:p>
      <w:pPr>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jc w:val="left"/>
        <w:rPr>
          <w:rFonts w:ascii="仿宋_GB2312"/>
        </w:rPr>
      </w:pPr>
      <w:r>
        <w:rPr>
          <w:rFonts w:ascii="仿宋_GB2312"/>
        </w:rPr>
        <w:t>2.</w:t>
      </w:r>
      <w:r>
        <w:rPr>
          <w:rFonts w:hint="eastAsia" w:ascii="仿宋_GB2312"/>
        </w:rPr>
        <w:t>项目范围：</w:t>
      </w:r>
      <w:r>
        <w:rPr>
          <w:rFonts w:hint="eastAsia" w:ascii="仿宋_GB2312" w:hAnsi="Times New Roman" w:cs="Times New Roman"/>
          <w:kern w:val="0"/>
          <w:sz w:val="32"/>
          <w:szCs w:val="32"/>
          <w:lang w:bidi="en-US"/>
        </w:rPr>
        <w:t>关</w:t>
      </w:r>
      <w:r>
        <w:rPr>
          <w:rFonts w:hint="eastAsia" w:ascii="仿宋_GB2312"/>
        </w:rPr>
        <w:t>于拨付2023年第十六批疫情防控补助资金（国际医院血液透析中心设备及配套设施）（直达资金）的通知</w:t>
      </w:r>
    </w:p>
    <w:p>
      <w:pPr>
        <w:spacing w:line="360" w:lineRule="auto"/>
        <w:ind w:firstLine="560" w:firstLineChars="0"/>
        <w:rPr>
          <w:rFonts w:ascii="仿宋_GB2312"/>
          <w:b/>
          <w:bCs/>
        </w:rPr>
      </w:pPr>
      <w:bookmarkStart w:id="17" w:name="_Toc29893"/>
      <w:bookmarkStart w:id="18" w:name="_Toc67911606"/>
      <w:bookmarkStart w:id="19" w:name="_Hlk67586765"/>
      <w:r>
        <w:rPr>
          <w:rFonts w:hint="eastAsia" w:ascii="方正仿宋_GBK" w:hAnsi="方正仿宋_GBK" w:cs="方正仿宋_GBK"/>
          <w:sz w:val="32"/>
          <w:szCs w:val="32"/>
        </w:rPr>
        <w:t>按自治区疫情</w:t>
      </w:r>
      <w:r>
        <w:rPr>
          <w:rFonts w:ascii="方正仿宋_GBK" w:hAnsi="方正仿宋_GBK" w:cs="方正仿宋_GBK"/>
          <w:sz w:val="32"/>
          <w:szCs w:val="32"/>
        </w:rPr>
        <w:t>指挥部现场督导要求和目前疫情防控总体部署，结合本市疫情防控实际情况及病人需求，在疫情期间</w:t>
      </w:r>
      <w:r>
        <w:rPr>
          <w:rFonts w:hint="eastAsia" w:ascii="方正仿宋_GBK" w:hAnsi="方正仿宋_GBK" w:cs="方正仿宋_GBK"/>
          <w:sz w:val="32"/>
          <w:szCs w:val="32"/>
        </w:rPr>
        <w:t>提供</w:t>
      </w:r>
      <w:r>
        <w:rPr>
          <w:rFonts w:ascii="方正仿宋_GBK" w:hAnsi="方正仿宋_GBK" w:cs="方正仿宋_GBK"/>
          <w:sz w:val="32"/>
          <w:szCs w:val="32"/>
        </w:rPr>
        <w:t>患者体内多溶质和急慢性肾功能衰竭的有效治疗。为保质保量完成上级交予的工作任务，根据国家专家组现场意见，紧急申请增加</w:t>
      </w:r>
      <w:r>
        <w:rPr>
          <w:rFonts w:hint="eastAsia" w:ascii="方正仿宋_GBK" w:hAnsi="方正仿宋_GBK" w:cs="方正仿宋_GBK"/>
          <w:sz w:val="32"/>
          <w:szCs w:val="32"/>
        </w:rPr>
        <w:t>了5台单泵血透机、5台双泵血透机以及300张病床。该项目按照指向明确、细化量化、合理可行和相应匹配的要求设定三级指标（数量指标、质量指标、时效指标、成本指标效益指标以及满意度指标），以准确、清晰地反应财政资金在使用期所能达到的预期产出和效果。项目执行过程中除病床预算价格与实际中标价格出现差额以及设备尾款未支付，项目资金未使用完毕，无其他问题。从项目决策、项目管理、项目绩效三方面进行分析，项目圆满完成，按计划保障疫情防控工作稳步推进，坚守我市百姓健康防线。</w:t>
      </w:r>
      <w:bookmarkEnd w:id="17"/>
      <w:bookmarkEnd w:id="18"/>
    </w:p>
    <w:bookmarkEnd w:id="19"/>
    <w:p>
      <w:pPr>
        <w:pStyle w:val="4"/>
        <w:ind w:firstLine="643"/>
      </w:pPr>
      <w:bookmarkStart w:id="20" w:name="_Toc5599"/>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5076"/>
      <w:r>
        <w:t>2.</w:t>
      </w:r>
      <w:r>
        <w:rPr>
          <w:rFonts w:hint="eastAsia"/>
        </w:rPr>
        <w:t>评价指标体系</w:t>
      </w:r>
      <w:bookmarkEnd w:id="21"/>
    </w:p>
    <w:p>
      <w:pPr>
        <w:rPr>
          <w:rFonts w:ascii="仿宋_GB2312"/>
        </w:rPr>
      </w:pPr>
      <w:r>
        <w:rPr>
          <w:rFonts w:hint="eastAsia" w:ascii="仿宋_GB2312"/>
        </w:rPr>
        <w:t>绩效评价指标体系作为衡量绩效目标实现程度的考核工具，一般遵循以下原则：</w:t>
      </w:r>
    </w:p>
    <w:p>
      <w:pPr>
        <w:rPr>
          <w:rFonts w:ascii="仿宋_GB2312"/>
        </w:rPr>
      </w:pPr>
      <w:r>
        <w:rPr>
          <w:rFonts w:hint="eastAsia" w:ascii="仿宋_GB2312"/>
        </w:rPr>
        <w:t>（1）相关性原则：绩效评价指标应当与绩效目标有直接的联系，能够恰当反映目标的实现程度。</w:t>
      </w:r>
    </w:p>
    <w:p>
      <w:pPr>
        <w:rPr>
          <w:rFonts w:ascii="仿宋_GB2312"/>
        </w:rPr>
      </w:pPr>
      <w:r>
        <w:rPr>
          <w:rFonts w:hint="eastAsia" w:ascii="仿宋_GB2312"/>
        </w:rPr>
        <w:t>（2）重要性原则：应当优先使用最具评价对象代表性、最能反映评价要求的核心指标。</w:t>
      </w:r>
    </w:p>
    <w:p>
      <w:pPr>
        <w:rPr>
          <w:rFonts w:ascii="仿宋_GB2312"/>
        </w:rPr>
      </w:pPr>
      <w:r>
        <w:rPr>
          <w:rFonts w:hint="eastAsia" w:ascii="仿宋_GB2312"/>
        </w:rPr>
        <w:t>（3）可比性原则：对同类评价对象要设定共性的绩效评价指标，以便于评价结果可以相互比较。</w:t>
      </w:r>
    </w:p>
    <w:p>
      <w:pPr>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rPr>
          <w:rFonts w:ascii="仿宋_GB2312"/>
          <w:highlight w:val="none"/>
        </w:rPr>
      </w:pPr>
      <w:r>
        <w:rPr>
          <w:rFonts w:hint="eastAsia" w:ascii="仿宋_GB2312"/>
          <w:highlight w:val="none"/>
        </w:rPr>
        <w:t>本项目的评价指标体系建立如下表所示。</w:t>
      </w:r>
    </w:p>
    <w:p>
      <w:pPr>
        <w:spacing w:line="360" w:lineRule="auto"/>
        <w:rPr>
          <w:rFonts w:ascii="仿宋_GB2312"/>
          <w:highlight w:val="none"/>
        </w:rPr>
      </w:pPr>
    </w:p>
    <w:p>
      <w:pPr>
        <w:spacing w:line="360" w:lineRule="auto"/>
        <w:rPr>
          <w:rFonts w:ascii="仿宋_GB2312"/>
        </w:rPr>
      </w:pPr>
    </w:p>
    <w:p>
      <w:pPr>
        <w:spacing w:line="360" w:lineRule="auto"/>
        <w:rPr>
          <w:rFonts w:ascii="仿宋_GB2312"/>
        </w:rPr>
        <w:sectPr>
          <w:headerReference r:id="rId5" w:type="default"/>
          <w:footerReference r:id="rId6"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3"/>
        <w:gridCol w:w="1145"/>
        <w:gridCol w:w="1348"/>
        <w:gridCol w:w="2665"/>
        <w:gridCol w:w="70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0" w:hRule="atLeast"/>
          <w:tblHeader/>
          <w:jc w:val="center"/>
        </w:trPr>
        <w:tc>
          <w:tcPr>
            <w:tcW w:w="1103"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4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348"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66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016"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56" w:hRule="atLeast"/>
          <w:jc w:val="center"/>
        </w:trPr>
        <w:tc>
          <w:tcPr>
            <w:tcW w:w="110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4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6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016"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①项目立项是否符合国家法律法规、国民经济发展规划和相关政策；</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②项目立项是否符合行业发展规划和政策要求；</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③项目立项是否与部门职责范围相符，属于部门履职所需；</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④项目是否属于公共财政支持范围，是否符合中央、地方事权支出责任划分原则；</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2"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4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6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016"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①项目是否按照规定的程序申请设立；</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②审批文件、材料是否符合相关要求；</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3"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016"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（如未设定预算绩效目标，也可考核其他工作任务目标）</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①项目是否有绩效目标；</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②项目绩效目标与实际工作内容是否具有相关性；</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2" w:hRule="atLeast"/>
          <w:jc w:val="center"/>
        </w:trPr>
        <w:tc>
          <w:tcPr>
            <w:tcW w:w="110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①是否将项目绩效目标细化分解为具体的绩效指标；</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②是否通过清晰、可衡量的指标值予以体现；</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③是否与项目目标任务数或计划数相对应。</w:t>
            </w:r>
          </w:p>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3"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4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6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016"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①预算编制是否经过科学论证；</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②预算内容与项目内容是否匹配；</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③预算额度测算依据是否充分，是否按照标准编制；</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2" w:hRule="atLeast"/>
          <w:jc w:val="center"/>
        </w:trPr>
        <w:tc>
          <w:tcPr>
            <w:tcW w:w="110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4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016"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①预算资金分配依据是否充分；</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1" w:hRule="atLeast"/>
          <w:jc w:val="center"/>
        </w:trPr>
        <w:tc>
          <w:tcPr>
            <w:tcW w:w="1103"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4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9"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4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6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016"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3" w:hRule="atLeast"/>
          <w:jc w:val="center"/>
        </w:trPr>
        <w:tc>
          <w:tcPr>
            <w:tcW w:w="1103"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①是否符合国家财经法规和财务管理制度以及有关专项资金管理办法的规定；</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②资金的拨付是否有完整的审批程序和手续；</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③是否符合项目预算批复或合同规定的用途；</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2"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4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①是否已制定或具有相应的财务和业务管理制度；</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2" w:hRule="atLeast"/>
          <w:jc w:val="center"/>
        </w:trPr>
        <w:tc>
          <w:tcPr>
            <w:tcW w:w="110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4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①是否遵守相关法律法规和相关管理规定；</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②项目调整及支出调整手续是否完备；</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③项目合同书、验收报告、技术鉴定等资料是否齐全并及时归档；</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65" w:hRule="atLeast"/>
          <w:jc w:val="center"/>
        </w:trPr>
        <w:tc>
          <w:tcPr>
            <w:tcW w:w="110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p>
            <w:pPr>
              <w:widowControl/>
              <w:ind w:firstLine="0" w:firstLineChars="0"/>
              <w:jc w:val="center"/>
              <w:rPr>
                <w:rFonts w:ascii="宋体" w:hAnsi="宋体" w:eastAsia="宋体" w:cs="宋体"/>
                <w:color w:val="000000"/>
                <w:kern w:val="0"/>
                <w:sz w:val="22"/>
                <w:highlight w:val="none"/>
              </w:rPr>
            </w:pPr>
          </w:p>
        </w:tc>
        <w:tc>
          <w:tcPr>
            <w:tcW w:w="114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设备购置数量</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实际产出数：一定时期（本年度或项目期）内项目实际产出的产品或提供的服务数量。</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45" w:hRule="atLeast"/>
          <w:jc w:val="center"/>
        </w:trPr>
        <w:tc>
          <w:tcPr>
            <w:tcW w:w="110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4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348"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病床购置数量</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实际产出数：一定时期（本年度或项目期）内项目实际产出的产品或提供的服务数量。</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69" w:hRule="atLeast"/>
          <w:jc w:val="center"/>
        </w:trPr>
        <w:tc>
          <w:tcPr>
            <w:tcW w:w="110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资产验收合格率</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84" w:hRule="atLeast"/>
          <w:jc w:val="center"/>
        </w:trPr>
        <w:tc>
          <w:tcPr>
            <w:tcW w:w="1103"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45"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348"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4" w:hRule="atLeast"/>
          <w:jc w:val="center"/>
        </w:trPr>
        <w:tc>
          <w:tcPr>
            <w:tcW w:w="110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4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设备购置成本</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成本节约率=[（计划成本-实际成本）/计划成本]×100%。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实际成本：项目实施单位如期、保质、保量完成既定工作目标实际所耗费的支出。</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54" w:hRule="atLeast"/>
          <w:jc w:val="center"/>
        </w:trPr>
        <w:tc>
          <w:tcPr>
            <w:tcW w:w="110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yellow"/>
              </w:rPr>
            </w:pPr>
          </w:p>
        </w:tc>
        <w:tc>
          <w:tcPr>
            <w:tcW w:w="114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yellow"/>
              </w:rPr>
            </w:pP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病床购置成本</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成本节约率=[（计划成本-实际成本）/计划成本]×100%。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实际成本：项目实施单位如期、保质、保量完成既定工作目标实际所耗费的支出。</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3" w:hRule="atLeast"/>
          <w:jc w:val="center"/>
        </w:trPr>
        <w:tc>
          <w:tcPr>
            <w:tcW w:w="110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保障患者有效治疗</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3" w:hRule="atLeast"/>
          <w:jc w:val="center"/>
        </w:trPr>
        <w:tc>
          <w:tcPr>
            <w:tcW w:w="110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bookmarkStart w:id="22" w:name="_Hlk67586038"/>
            <w:r>
              <w:rPr>
                <w:rFonts w:hint="eastAsia" w:ascii="宋体" w:hAnsi="宋体" w:eastAsia="宋体" w:cs="宋体"/>
                <w:color w:val="000000"/>
                <w:kern w:val="0"/>
                <w:sz w:val="22"/>
                <w:highlight w:val="none"/>
              </w:rPr>
              <w:t>满意度指标完成情况分析</w:t>
            </w:r>
          </w:p>
        </w:tc>
        <w:tc>
          <w:tcPr>
            <w:tcW w:w="114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348"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设备使用人员满意度</w:t>
            </w:r>
          </w:p>
        </w:tc>
        <w:tc>
          <w:tcPr>
            <w:tcW w:w="26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016"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pStyle w:val="4"/>
        <w:spacing w:before="0" w:after="0" w:line="240" w:lineRule="auto"/>
        <w:ind w:firstLine="0" w:firstLineChars="0"/>
        <w:rPr>
          <w:highlight w:val="none"/>
        </w:rPr>
        <w:sectPr>
          <w:headerReference r:id="rId7" w:type="default"/>
          <w:footerReference r:id="rId8" w:type="default"/>
          <w:footnotePr>
            <w:numFmt w:val="decimalEnclosedCircleChinese"/>
            <w:numRestart w:val="eachPage"/>
          </w:footnotePr>
          <w:type w:val="continuous"/>
          <w:pgSz w:w="16838" w:h="11906" w:orient="landscape"/>
          <w:pgMar w:top="1800" w:right="1440" w:bottom="1800" w:left="1440" w:header="992" w:footer="992" w:gutter="0"/>
          <w:cols w:space="425" w:num="1"/>
          <w:docGrid w:type="lines" w:linePitch="381" w:charSpace="0"/>
        </w:sectPr>
      </w:pPr>
    </w:p>
    <w:p>
      <w:pPr>
        <w:ind w:firstLine="0" w:firstLineChars="0"/>
      </w:pPr>
    </w:p>
    <w:p>
      <w:pPr>
        <w:pStyle w:val="4"/>
        <w:spacing w:before="0" w:after="0" w:line="240" w:lineRule="auto"/>
        <w:ind w:firstLine="0" w:firstLineChars="0"/>
      </w:pPr>
      <w:bookmarkStart w:id="23" w:name="_Toc21653"/>
      <w:r>
        <w:t>3.</w:t>
      </w:r>
      <w:r>
        <w:rPr>
          <w:rFonts w:hint="eastAsia"/>
        </w:rPr>
        <w:t>评价方法</w:t>
      </w:r>
      <w:bookmarkEnd w:id="23"/>
    </w:p>
    <w:bookmarkEnd w:id="22"/>
    <w:p>
      <w:pPr>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rPr>
          <w:rFonts w:ascii="仿宋_GB2312"/>
        </w:rPr>
      </w:pPr>
      <w:r>
        <w:rPr>
          <w:rFonts w:hint="eastAsia" w:ascii="仿宋_GB2312"/>
        </w:rPr>
        <w:t>（1）成本效益分析法。是指将投入与产出、效益进行关联性分析的方法。</w:t>
      </w:r>
    </w:p>
    <w:p>
      <w:pPr>
        <w:rPr>
          <w:rFonts w:ascii="仿宋_GB2312"/>
        </w:rPr>
      </w:pPr>
      <w:r>
        <w:rPr>
          <w:rFonts w:hint="eastAsia" w:ascii="仿宋_GB2312"/>
        </w:rPr>
        <w:t>（2）比较法。是指将实施情况与绩效目标、历史情况、不同部门和地区同类支出情况进行比较的方法。</w:t>
      </w:r>
    </w:p>
    <w:p>
      <w:pPr>
        <w:rPr>
          <w:rFonts w:ascii="仿宋_GB2312"/>
        </w:rPr>
      </w:pPr>
      <w:r>
        <w:rPr>
          <w:rFonts w:hint="eastAsia" w:ascii="仿宋_GB2312"/>
        </w:rPr>
        <w:t>（3）因素分析法。是指综合分析影响绩效目标实现、实施效果的内外部因素的方法。</w:t>
      </w:r>
    </w:p>
    <w:p>
      <w:pPr>
        <w:rPr>
          <w:rFonts w:ascii="仿宋_GB2312"/>
        </w:rPr>
      </w:pPr>
      <w:r>
        <w:rPr>
          <w:rFonts w:hint="eastAsia" w:ascii="仿宋_GB2312"/>
        </w:rPr>
        <w:t>（4）最低成本法。是指在绩效目标确定的前提下，成本最小者为优的方法。</w:t>
      </w:r>
    </w:p>
    <w:p>
      <w:pPr>
        <w:rPr>
          <w:rFonts w:ascii="仿宋_GB2312"/>
        </w:rPr>
      </w:pPr>
      <w:r>
        <w:rPr>
          <w:rFonts w:hint="eastAsia" w:ascii="仿宋_GB2312"/>
        </w:rPr>
        <w:t>（5）公众评判法。是指通过专家评估、公众问卷及抽样调查等方式进行评判的方法。</w:t>
      </w:r>
    </w:p>
    <w:p>
      <w:pPr>
        <w:rPr>
          <w:rFonts w:ascii="仿宋_GB2312"/>
        </w:rPr>
      </w:pPr>
      <w:r>
        <w:rPr>
          <w:rFonts w:hint="eastAsia" w:ascii="仿宋_GB2312"/>
        </w:rPr>
        <w:t>（6）标杆管理法。是指以国内外同行业中较高的绩效水平为标杆进行评判的方法。</w:t>
      </w:r>
    </w:p>
    <w:p>
      <w:pPr>
        <w:rPr>
          <w:rFonts w:ascii="仿宋_GB2312"/>
        </w:rPr>
      </w:pPr>
      <w:r>
        <w:rPr>
          <w:rFonts w:hint="eastAsia" w:ascii="仿宋_GB2312"/>
        </w:rPr>
        <w:t>（7）其他评价方法。</w:t>
      </w:r>
    </w:p>
    <w:p>
      <w:pPr>
        <w:rPr>
          <w:rFonts w:ascii="仿宋_GB2312"/>
        </w:rPr>
      </w:pPr>
      <w:r>
        <w:rPr>
          <w:rFonts w:hint="eastAsia" w:ascii="仿宋_GB2312"/>
        </w:rPr>
        <w:t>根据本项目（关于拨付2023年第十六批疫情防控补助资金（国际医院血液透析中心设备及配套设施）（直达资金）的通知）的特点，本次评价主要采用比较法和标杆管理法，对项目总预算和明细预算的内容、标准、计划是否经济合理进行深入分析，以考察实际产出和效益是否达到预期。</w:t>
      </w:r>
    </w:p>
    <w:p>
      <w:pPr>
        <w:pStyle w:val="4"/>
        <w:ind w:firstLine="643"/>
      </w:pPr>
      <w:bookmarkStart w:id="24" w:name="_Toc1822"/>
      <w:r>
        <w:t>4.</w:t>
      </w:r>
      <w:r>
        <w:rPr>
          <w:rFonts w:hint="eastAsia"/>
        </w:rPr>
        <w:t>评价标准</w:t>
      </w:r>
      <w:bookmarkEnd w:id="24"/>
    </w:p>
    <w:p>
      <w:pPr>
        <w:rPr>
          <w:rFonts w:ascii="仿宋_GB2312"/>
        </w:rPr>
      </w:pPr>
      <w:r>
        <w:rPr>
          <w:rFonts w:hint="eastAsia" w:ascii="仿宋_GB2312"/>
        </w:rPr>
        <w:t>绩效评价标准主要包括计划标准、行业标准、历史标准等，用于对绩效指标完成情况进行比较。</w:t>
      </w:r>
    </w:p>
    <w:p>
      <w:pPr>
        <w:rPr>
          <w:rFonts w:ascii="仿宋_GB2312"/>
        </w:rPr>
      </w:pPr>
      <w:r>
        <w:rPr>
          <w:rFonts w:hint="eastAsia" w:ascii="仿宋_GB2312"/>
        </w:rPr>
        <w:t>（1）计划标准。指以预先制定的目标、计划、预算、定额等作为评价标准。</w:t>
      </w:r>
    </w:p>
    <w:p>
      <w:pPr>
        <w:rPr>
          <w:rFonts w:ascii="仿宋_GB2312"/>
        </w:rPr>
      </w:pPr>
      <w:r>
        <w:rPr>
          <w:rFonts w:hint="eastAsia" w:ascii="仿宋_GB2312"/>
        </w:rPr>
        <w:t>（2）行业标准。指参照国家公布的行业指标数据制定的评价标准。</w:t>
      </w:r>
    </w:p>
    <w:p>
      <w:pPr>
        <w:rPr>
          <w:rFonts w:ascii="仿宋_GB2312"/>
        </w:rPr>
      </w:pPr>
      <w:r>
        <w:rPr>
          <w:rFonts w:hint="eastAsia" w:ascii="仿宋_GB2312"/>
        </w:rPr>
        <w:t>（3）历史标准。指参照历史数据制定的评价标准，为体现绩效改进的原则，在可实现的条件下应当确定相对较高的评价标准。</w:t>
      </w:r>
    </w:p>
    <w:p>
      <w:pPr>
        <w:rPr>
          <w:rFonts w:ascii="仿宋_GB2312"/>
        </w:rPr>
      </w:pPr>
      <w:r>
        <w:rPr>
          <w:rFonts w:hint="eastAsia" w:ascii="仿宋_GB2312"/>
        </w:rPr>
        <w:t>在上述评价标准的基础上，本次评价依据以下文件为重要指导和准绳：</w:t>
      </w:r>
    </w:p>
    <w:p>
      <w:pPr>
        <w:rPr>
          <w:rFonts w:ascii="仿宋_GB2312"/>
        </w:rPr>
      </w:pPr>
      <w:r>
        <w:rPr>
          <w:rFonts w:hint="eastAsia" w:ascii="仿宋_GB2312"/>
        </w:rPr>
        <w:t>·《中共中央</w:t>
      </w:r>
      <w:r>
        <w:rPr>
          <w:rFonts w:hint="eastAsia" w:ascii="仿宋_GB2312"/>
          <w:lang w:val="en-US" w:eastAsia="zh-CN"/>
        </w:rPr>
        <w:t xml:space="preserve"> </w:t>
      </w:r>
      <w:r>
        <w:rPr>
          <w:rFonts w:hint="eastAsia" w:ascii="仿宋_GB2312"/>
        </w:rPr>
        <w:t>国务院关于全面实施预算绩效管理的意见》（中发〔2018〕34号）</w:t>
      </w:r>
    </w:p>
    <w:p>
      <w:pPr>
        <w:rPr>
          <w:rFonts w:ascii="仿宋_GB2312"/>
        </w:rPr>
      </w:pPr>
      <w:r>
        <w:rPr>
          <w:rFonts w:hint="eastAsia" w:ascii="仿宋_GB2312"/>
        </w:rPr>
        <w:t>·《关于印发&lt;乌鲁木齐市本级部门预算绩效目标管理暂行办法&gt;的通知》（乌财预〔2018〕56号）</w:t>
      </w:r>
    </w:p>
    <w:p>
      <w:pPr>
        <w:rPr>
          <w:rFonts w:ascii="仿宋_GB2312"/>
        </w:rPr>
      </w:pPr>
      <w:r>
        <w:rPr>
          <w:rFonts w:hint="eastAsia" w:ascii="仿宋_GB2312"/>
        </w:rPr>
        <w:t>·《关于做好2019年部门预算项目支出绩效目标管理有关事宜的通知》（乌财预〔2018〕76号）</w:t>
      </w:r>
    </w:p>
    <w:p>
      <w:pPr>
        <w:rPr>
          <w:rFonts w:ascii="仿宋_GB2312"/>
        </w:rPr>
      </w:pPr>
      <w:r>
        <w:rPr>
          <w:rFonts w:hint="eastAsia" w:ascii="仿宋_GB2312"/>
        </w:rPr>
        <w:t>·《项目支出绩效评价管理办法》（财预〔2020〕10号）</w:t>
      </w:r>
    </w:p>
    <w:p>
      <w:pPr>
        <w:rPr>
          <w:rFonts w:ascii="仿宋_GB2312"/>
        </w:rPr>
      </w:pPr>
      <w:r>
        <w:rPr>
          <w:rFonts w:hint="eastAsia" w:ascii="仿宋_GB2312"/>
        </w:rPr>
        <w:t>·</w:t>
      </w:r>
      <w:r>
        <w:rPr>
          <w:rFonts w:ascii="仿宋_GB2312"/>
        </w:rPr>
        <w:t>《关于下达中央疫情防控财力补助预算的通知》(新财预〔2023〕</w:t>
      </w:r>
      <w:r>
        <w:rPr>
          <w:rFonts w:hint="eastAsia" w:ascii="仿宋_GB2312"/>
        </w:rPr>
        <w:t>29号）</w:t>
      </w:r>
    </w:p>
    <w:p>
      <w:pPr>
        <w:rPr>
          <w:rFonts w:ascii="仿宋_GB2312"/>
        </w:rPr>
      </w:pPr>
      <w:r>
        <w:rPr>
          <w:rFonts w:hint="eastAsia" w:ascii="仿宋_GB2312"/>
        </w:rPr>
        <w:t>·《关于进一步加强和规范新型冠状病毒</w:t>
      </w:r>
      <w:r>
        <w:rPr>
          <w:rFonts w:hint="eastAsia" w:ascii="仿宋_GB2312"/>
          <w:lang w:val="en-US" w:eastAsia="zh-CN"/>
        </w:rPr>
        <w:t>感染</w:t>
      </w:r>
      <w:r>
        <w:rPr>
          <w:rFonts w:hint="eastAsia" w:ascii="仿宋_GB2312"/>
        </w:rPr>
        <w:t>疫情防控资金管理工作的通知》</w:t>
      </w:r>
      <w:r>
        <w:rPr>
          <w:rFonts w:ascii="仿宋_GB2312"/>
        </w:rPr>
        <w:t>(</w:t>
      </w:r>
      <w:r>
        <w:rPr>
          <w:rFonts w:hint="eastAsia" w:ascii="仿宋_GB2312"/>
        </w:rPr>
        <w:t>乌</w:t>
      </w:r>
      <w:r>
        <w:rPr>
          <w:rFonts w:ascii="仿宋_GB2312"/>
        </w:rPr>
        <w:t>财</w:t>
      </w:r>
      <w:r>
        <w:rPr>
          <w:rFonts w:hint="eastAsia" w:ascii="仿宋_GB2312"/>
        </w:rPr>
        <w:t>社</w:t>
      </w:r>
      <w:r>
        <w:rPr>
          <w:rFonts w:ascii="仿宋_GB2312"/>
        </w:rPr>
        <w:t>〔202</w:t>
      </w:r>
      <w:r>
        <w:rPr>
          <w:rFonts w:hint="eastAsia" w:ascii="仿宋_GB2312"/>
        </w:rPr>
        <w:t>1</w:t>
      </w:r>
      <w:r>
        <w:rPr>
          <w:rFonts w:ascii="仿宋_GB2312"/>
        </w:rPr>
        <w:t>〕</w:t>
      </w:r>
      <w:r>
        <w:rPr>
          <w:rFonts w:hint="eastAsia" w:ascii="仿宋_GB2312"/>
        </w:rPr>
        <w:t>285号）</w:t>
      </w:r>
    </w:p>
    <w:p>
      <w:pPr>
        <w:rPr>
          <w:rFonts w:ascii="仿宋_GB2312"/>
        </w:rPr>
      </w:pPr>
      <w:r>
        <w:rPr>
          <w:rFonts w:hint="eastAsia" w:ascii="仿宋_GB2312"/>
        </w:rPr>
        <w:t>·《关于拨付2023年第十六批疫情防控补助资金</w:t>
      </w:r>
      <w:r>
        <w:rPr>
          <w:rFonts w:ascii="仿宋_GB2312"/>
        </w:rPr>
        <w:t>(国际医院血液透析中心设备及配套设施)(直达资金)的通知</w:t>
      </w:r>
      <w:r>
        <w:rPr>
          <w:rFonts w:hint="eastAsia" w:ascii="仿宋_GB2312"/>
        </w:rPr>
        <w:t>》</w:t>
      </w:r>
      <w:r>
        <w:rPr>
          <w:rFonts w:ascii="仿宋_GB2312"/>
        </w:rPr>
        <w:t>(</w:t>
      </w:r>
      <w:r>
        <w:rPr>
          <w:rFonts w:hint="eastAsia" w:ascii="仿宋_GB2312"/>
        </w:rPr>
        <w:t>乌</w:t>
      </w:r>
      <w:r>
        <w:rPr>
          <w:rFonts w:ascii="仿宋_GB2312"/>
        </w:rPr>
        <w:t>财</w:t>
      </w:r>
      <w:r>
        <w:rPr>
          <w:rFonts w:hint="eastAsia" w:ascii="仿宋_GB2312"/>
        </w:rPr>
        <w:t>社</w:t>
      </w:r>
      <w:r>
        <w:rPr>
          <w:rFonts w:ascii="仿宋_GB2312"/>
        </w:rPr>
        <w:t>〔202</w:t>
      </w:r>
      <w:r>
        <w:rPr>
          <w:rFonts w:hint="eastAsia" w:ascii="仿宋_GB2312"/>
        </w:rPr>
        <w:t>3</w:t>
      </w:r>
      <w:r>
        <w:rPr>
          <w:rFonts w:ascii="仿宋_GB2312"/>
        </w:rPr>
        <w:t>〕</w:t>
      </w:r>
      <w:r>
        <w:rPr>
          <w:rFonts w:hint="eastAsia" w:ascii="仿宋_GB2312"/>
        </w:rPr>
        <w:t>128号）</w:t>
      </w:r>
    </w:p>
    <w:p>
      <w:pPr>
        <w:pStyle w:val="3"/>
        <w:ind w:firstLine="643"/>
        <w:rPr>
          <w:rFonts w:ascii="仿宋" w:hAnsi="仿宋" w:eastAsia="仿宋"/>
          <w:lang w:bidi="en-US"/>
        </w:rPr>
      </w:pPr>
      <w:bookmarkStart w:id="25" w:name="_Toc67911607"/>
      <w:bookmarkStart w:id="26" w:name="_Toc25360"/>
      <w:r>
        <w:rPr>
          <w:rFonts w:hint="eastAsia" w:ascii="仿宋" w:hAnsi="仿宋" w:eastAsia="仿宋"/>
          <w:lang w:bidi="en-US"/>
        </w:rPr>
        <w:t>（三）绩效评价工作过程</w:t>
      </w:r>
      <w:bookmarkEnd w:id="25"/>
      <w:bookmarkEnd w:id="26"/>
    </w:p>
    <w:p>
      <w:pPr>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069"/>
      <w:bookmarkStart w:id="28" w:name="_Toc67911608"/>
      <w:r>
        <w:rPr>
          <w:rFonts w:hint="eastAsia" w:ascii="仿宋" w:hAnsi="仿宋" w:eastAsia="仿宋"/>
          <w:sz w:val="36"/>
          <w:szCs w:val="36"/>
          <w:lang w:bidi="en-US"/>
        </w:rPr>
        <w:t>三、综合评价情况及评价结论</w:t>
      </w:r>
      <w:bookmarkEnd w:id="27"/>
      <w:bookmarkEnd w:id="28"/>
    </w:p>
    <w:p>
      <w:pPr>
        <w:pStyle w:val="3"/>
        <w:ind w:firstLine="723"/>
        <w:rPr>
          <w:rFonts w:ascii="仿宋" w:hAnsi="仿宋" w:eastAsia="仿宋"/>
          <w:lang w:bidi="en-US"/>
        </w:rPr>
      </w:pPr>
      <w:bookmarkStart w:id="29" w:name="_Toc67911611"/>
      <w:bookmarkStart w:id="30" w:name="_Toc14750"/>
      <w:r>
        <w:rPr>
          <w:rFonts w:hint="eastAsia" w:ascii="仿宋" w:hAnsi="仿宋" w:eastAsia="仿宋"/>
          <w:sz w:val="36"/>
          <w:szCs w:val="36"/>
          <w:lang w:bidi="en-US"/>
        </w:rPr>
        <w:t>四、绩效评价指标分析</w:t>
      </w:r>
      <w:bookmarkEnd w:id="29"/>
      <w:bookmarkEnd w:id="30"/>
      <w:r>
        <w:rPr>
          <w:rFonts w:hint="eastAsia" w:ascii="仿宋" w:hAnsi="仿宋" w:eastAsia="仿宋"/>
          <w:lang w:bidi="en-US"/>
        </w:rPr>
        <w:t>（一）评价结论</w:t>
      </w:r>
    </w:p>
    <w:p>
      <w:pPr>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rPr>
        <w:t>关于拨付2023年第十六批疫情防控补助资金</w:t>
      </w:r>
      <w:r>
        <w:rPr>
          <w:rFonts w:ascii="仿宋_GB2312"/>
        </w:rPr>
        <w:t>(国际医院血液透析中心设备及配套设施)(直达资金)的通知</w:t>
      </w:r>
      <w:r>
        <w:rPr>
          <w:rFonts w:hint="eastAsia" w:ascii="仿宋_GB2312"/>
          <w:szCs w:val="28"/>
        </w:rPr>
        <w:t>进行客观评价，最终评分结果为：总分为99.5分，绩效评级为“优”</w:t>
      </w:r>
      <w:r>
        <w:rPr>
          <w:rStyle w:val="21"/>
          <w:rFonts w:ascii="仿宋_GB2312"/>
          <w:szCs w:val="28"/>
        </w:rPr>
        <w:footnoteReference w:id="1"/>
      </w:r>
      <w:r>
        <w:rPr>
          <w:rFonts w:hint="eastAsia" w:ascii="仿宋_GB2312"/>
          <w:szCs w:val="28"/>
        </w:rPr>
        <w:t>。</w:t>
      </w:r>
    </w:p>
    <w:p>
      <w:pPr>
        <w:spacing w:line="360" w:lineRule="auto"/>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0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550" w:type="dxa"/>
            <w:vMerge w:val="continue"/>
            <w:tcBorders>
              <w:tl2br w:val="nil"/>
              <w:tr2bl w:val="nil"/>
            </w:tcBorders>
            <w:shd w:val="clear" w:color="auto" w:fill="FFFFFF"/>
            <w:vAlign w:val="center"/>
          </w:tcPr>
          <w:p>
            <w:pPr>
              <w:ind w:firstLine="400"/>
              <w:jc w:val="center"/>
              <w:rPr>
                <w:rFonts w:ascii="仿宋_GB2312" w:hAnsi="宋体" w:cs="宋体"/>
                <w:kern w:val="0"/>
                <w:sz w:val="20"/>
                <w:szCs w:val="20"/>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0"/>
                <w:szCs w:val="20"/>
              </w:rPr>
            </w:pPr>
            <w:r>
              <w:rPr>
                <w:rFonts w:hint="eastAsia" w:ascii="仿宋_GB2312" w:hAnsi="宋体" w:cs="宋体"/>
                <w:kern w:val="0"/>
                <w:sz w:val="20"/>
                <w:szCs w:val="20"/>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2.5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83.33%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Chars="300"/>
              <w:rPr>
                <w:rFonts w:ascii="仿宋_GB2312" w:hAnsi="宋体" w:cs="宋体"/>
                <w:kern w:val="0"/>
                <w:sz w:val="20"/>
                <w:szCs w:val="20"/>
              </w:rPr>
            </w:pPr>
            <w:r>
              <w:rPr>
                <w:rFonts w:hint="eastAsia" w:ascii="仿宋_GB2312" w:hAnsi="宋体" w:cs="宋体"/>
                <w:kern w:val="0"/>
                <w:sz w:val="20"/>
                <w:szCs w:val="20"/>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0"/>
                <w:szCs w:val="20"/>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0"/>
                <w:szCs w:val="20"/>
              </w:rPr>
            </w:pPr>
            <w:r>
              <w:rPr>
                <w:rFonts w:hint="eastAsia" w:ascii="仿宋_GB2312" w:hAnsi="宋体" w:cs="宋体"/>
                <w:kern w:val="0"/>
                <w:sz w:val="20"/>
                <w:szCs w:val="20"/>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0"/>
                <w:szCs w:val="20"/>
              </w:rPr>
            </w:pPr>
            <w:r>
              <w:rPr>
                <w:rFonts w:hint="eastAsia" w:ascii="仿宋_GB2312" w:hAnsi="宋体" w:cs="宋体"/>
                <w:kern w:val="0"/>
                <w:sz w:val="20"/>
                <w:szCs w:val="20"/>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2" w:hRule="atLeast"/>
          <w:jc w:val="center"/>
        </w:trPr>
        <w:tc>
          <w:tcPr>
            <w:tcW w:w="1550" w:type="dxa"/>
            <w:vMerge w:val="continue"/>
            <w:tcBorders>
              <w:tl2br w:val="nil"/>
              <w:tr2bl w:val="nil"/>
            </w:tcBorders>
            <w:shd w:val="clear" w:color="auto" w:fill="FFFFFF"/>
            <w:vAlign w:val="center"/>
          </w:tcPr>
          <w:p>
            <w:pPr>
              <w:ind w:firstLine="40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ind w:firstLine="40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0"/>
                <w:szCs w:val="20"/>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1"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产出数量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设备购置数量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highlight w:val="yellow"/>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5"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病床购置数量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资产验收合格率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w:t>
            </w:r>
            <w:r>
              <w:rPr>
                <w:rFonts w:ascii="仿宋_GB2312" w:hAnsi="宋体" w:cs="宋体"/>
                <w:kern w:val="0"/>
                <w:sz w:val="20"/>
                <w:szCs w:val="20"/>
              </w:rPr>
              <w:t>0</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0"/>
                <w:szCs w:val="20"/>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项目完成及时率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设备购置成本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8</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8</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病床购置成本</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8</w:t>
            </w:r>
          </w:p>
        </w:tc>
        <w:tc>
          <w:tcPr>
            <w:tcW w:w="898"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8</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5"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保障患者有效治疗</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eastAsia="仿宋_GB2312" w:cs="宋体"/>
                <w:kern w:val="0"/>
                <w:sz w:val="20"/>
                <w:szCs w:val="20"/>
              </w:rPr>
            </w:pPr>
            <w:r>
              <w:rPr>
                <w:rFonts w:hint="eastAsia" w:ascii="仿宋_GB2312" w:hAnsi="宋体" w:cs="宋体"/>
                <w:kern w:val="0"/>
                <w:sz w:val="20"/>
                <w:szCs w:val="20"/>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5"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设备使用人员满意度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0"/>
                <w:szCs w:val="20"/>
              </w:rPr>
            </w:pPr>
            <w:r>
              <w:rPr>
                <w:rFonts w:hint="eastAsia" w:ascii="仿宋_GB2312" w:hAnsi="宋体" w:cs="宋体"/>
                <w:kern w:val="0"/>
                <w:sz w:val="20"/>
                <w:szCs w:val="20"/>
              </w:rPr>
              <w:t>100%</w:t>
            </w:r>
          </w:p>
        </w:tc>
      </w:tr>
    </w:tbl>
    <w:p>
      <w:pPr>
        <w:pStyle w:val="3"/>
        <w:ind w:firstLine="643"/>
        <w:rPr>
          <w:rFonts w:ascii="仿宋" w:hAnsi="仿宋" w:eastAsia="仿宋"/>
          <w:lang w:bidi="en-US"/>
        </w:rPr>
      </w:pPr>
      <w:r>
        <w:rPr>
          <w:rFonts w:hint="eastAsia" w:ascii="仿宋" w:hAnsi="仿宋" w:eastAsia="仿宋"/>
          <w:lang w:bidi="en-US"/>
        </w:rPr>
        <w:t>（二）主要绩效</w:t>
      </w:r>
    </w:p>
    <w:p>
      <w:pPr>
        <w:spacing w:before="100"/>
        <w:ind w:firstLine="648"/>
        <w:rPr>
          <w:rFonts w:ascii="方正仿宋_GBK" w:hAnsi="方正仿宋_GBK" w:cs="方正仿宋_GBK"/>
          <w:spacing w:val="12"/>
          <w:szCs w:val="30"/>
        </w:rPr>
      </w:pPr>
      <w:r>
        <w:rPr>
          <w:rFonts w:hint="eastAsia" w:ascii="方正仿宋_GBK" w:hAnsi="方正仿宋_GBK" w:cs="方正仿宋_GBK"/>
          <w:spacing w:val="12"/>
          <w:szCs w:val="30"/>
        </w:rPr>
        <w:t>项</w:t>
      </w:r>
      <w:r>
        <w:rPr>
          <w:rFonts w:hint="eastAsia" w:ascii="方正仿宋_GBK" w:hAnsi="方正仿宋_GBK" w:cs="方正仿宋_GBK"/>
          <w:spacing w:val="-75"/>
          <w:szCs w:val="30"/>
        </w:rPr>
        <w:t xml:space="preserve"> 目</w:t>
      </w:r>
      <w:r>
        <w:rPr>
          <w:rFonts w:hint="eastAsia" w:ascii="方正仿宋_GBK" w:hAnsi="方正仿宋_GBK" w:cs="方正仿宋_GBK"/>
          <w:spacing w:val="12"/>
          <w:szCs w:val="30"/>
        </w:rPr>
        <w:t>总额265万元，疫情期间采购血液透析设备10台，病床采购300张，主要为疫情期间体内多溶质和急慢性肾功能衰竭患者提供有效治疗，确保院内患者救治工作的顺利开展，保障疫情防控工作稳步推进，坚守百姓健康防线。</w:t>
      </w:r>
    </w:p>
    <w:p>
      <w:pPr>
        <w:spacing w:before="100"/>
        <w:ind w:firstLine="584"/>
        <w:rPr>
          <w:rFonts w:ascii="方正仿宋_GBK" w:hAnsi="方正仿宋_GBK" w:cs="方正仿宋_GBK"/>
          <w:spacing w:val="12"/>
          <w:szCs w:val="30"/>
        </w:rPr>
      </w:pPr>
      <w:r>
        <w:rPr>
          <w:rFonts w:hint="eastAsia" w:ascii="方正仿宋_GBK" w:hAnsi="方正仿宋_GBK" w:cs="方正仿宋_GBK"/>
          <w:spacing w:val="-4"/>
          <w:szCs w:val="30"/>
        </w:rPr>
        <w:t>（</w:t>
      </w:r>
      <w:r>
        <w:rPr>
          <w:rFonts w:hint="eastAsia" w:ascii="方正仿宋_GBK" w:hAnsi="方正仿宋_GBK" w:cs="方正仿宋_GBK"/>
          <w:spacing w:val="-77"/>
          <w:szCs w:val="30"/>
        </w:rPr>
        <w:t xml:space="preserve"> </w:t>
      </w:r>
      <w:r>
        <w:rPr>
          <w:rFonts w:hint="eastAsia" w:ascii="方正仿宋_GBK" w:hAnsi="方正仿宋_GBK" w:cs="方正仿宋_GBK"/>
          <w:spacing w:val="-4"/>
          <w:szCs w:val="30"/>
        </w:rPr>
        <w:t>1）从项</w:t>
      </w:r>
      <w:r>
        <w:rPr>
          <w:rFonts w:hint="eastAsia" w:ascii="方正仿宋_GBK" w:hAnsi="方正仿宋_GBK" w:cs="方正仿宋_GBK"/>
          <w:spacing w:val="12"/>
          <w:szCs w:val="30"/>
        </w:rPr>
        <w:t>目决策来看，本项目的实施符合发展政策和公共财政支持的方向和重点，绩效目标的设置也较为完整、明确、合理。</w:t>
      </w:r>
    </w:p>
    <w:p>
      <w:pPr>
        <w:spacing w:before="100"/>
        <w:ind w:firstLine="648"/>
        <w:rPr>
          <w:rFonts w:ascii="方正仿宋_GBK" w:hAnsi="方正仿宋_GBK" w:cs="方正仿宋_GBK"/>
          <w:spacing w:val="12"/>
          <w:szCs w:val="30"/>
        </w:rPr>
      </w:pPr>
      <w:r>
        <w:rPr>
          <w:rFonts w:hint="eastAsia" w:ascii="方正仿宋_GBK" w:hAnsi="方正仿宋_GBK" w:cs="方正仿宋_GBK"/>
          <w:spacing w:val="12"/>
          <w:szCs w:val="30"/>
        </w:rPr>
        <w:t>（2）从项目管理来看，本项目资金使用合理、合规，不存在 挤占、挪用、截留等情况。财政对乌鲁木齐国际医院疫情期间设备采购项目资金实行统一管理，严格执行“收支两条线”，做到专款专用，严格按照国家标准和乌鲁木齐国际医院疫情期间血液透析设备及配套设施采购项目资金使用的范围、对象、标准， 对乌鲁木齐国际医院疫情期间血液透析设备及配套设施的支出项目、支出标准和支出程序进行审核把关，据实核算，合理安排乌鲁木齐国际医院疫情期间项目资金。各项资金申报资料与手续严格按要求做到齐备，审批程序严格按规定执行，资金拨付及时，台账资料完整，确保专项资金安全。</w:t>
      </w:r>
    </w:p>
    <w:p>
      <w:pPr>
        <w:spacing w:before="100"/>
        <w:ind w:firstLine="648"/>
        <w:rPr>
          <w:rFonts w:ascii="方正仿宋_GBK" w:hAnsi="方正仿宋_GBK" w:cs="方正仿宋_GBK"/>
          <w:spacing w:val="12"/>
          <w:szCs w:val="30"/>
        </w:rPr>
      </w:pPr>
      <w:r>
        <w:rPr>
          <w:rFonts w:hint="eastAsia" w:ascii="方正仿宋_GBK" w:hAnsi="方正仿宋_GBK" w:cs="方正仿宋_GBK"/>
          <w:spacing w:val="12"/>
          <w:szCs w:val="30"/>
        </w:rPr>
        <w:t>（3）从项目绩效来看，本项目按照计划完成了项疫情期间采购血液透析设备10台，金额175万元，病床采购300张，金额89.28万元，主要为疫情期间体内多溶质和急慢性肾功能衰竭患者提供有效治疗，确保院内患者救治工作的顺利开展，保障疫情防控工作稳步推进，坚守百姓健康防线。</w:t>
      </w:r>
    </w:p>
    <w:p>
      <w:pPr>
        <w:pStyle w:val="2"/>
        <w:ind w:firstLine="0" w:firstLineChars="0"/>
        <w:jc w:val="left"/>
        <w:rPr>
          <w:rFonts w:ascii="仿宋" w:hAnsi="仿宋" w:eastAsia="仿宋"/>
          <w:sz w:val="36"/>
          <w:szCs w:val="36"/>
          <w:lang w:bidi="en-US"/>
        </w:rPr>
      </w:pPr>
    </w:p>
    <w:p>
      <w:pPr>
        <w:pStyle w:val="3"/>
        <w:ind w:firstLine="643"/>
        <w:rPr>
          <w:rFonts w:ascii="仿宋" w:hAnsi="仿宋" w:eastAsia="仿宋"/>
          <w:lang w:bidi="en-US"/>
        </w:rPr>
      </w:pPr>
      <w:bookmarkStart w:id="31" w:name="_Toc67911612"/>
      <w:bookmarkStart w:id="32" w:name="_Toc9147"/>
      <w:r>
        <w:rPr>
          <w:rFonts w:hint="eastAsia" w:ascii="仿宋" w:hAnsi="仿宋" w:eastAsia="仿宋"/>
          <w:lang w:bidi="en-US"/>
        </w:rPr>
        <w:t>（一）项目决策情况</w:t>
      </w:r>
      <w:bookmarkEnd w:id="31"/>
      <w:bookmarkEnd w:id="32"/>
    </w:p>
    <w:p>
      <w:pPr>
        <w:spacing w:line="360" w:lineRule="auto"/>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分，实际得分19.5分。</w:t>
      </w:r>
    </w:p>
    <w:p>
      <w:pPr>
        <w:pStyle w:val="4"/>
        <w:ind w:firstLine="643"/>
      </w:pPr>
      <w:bookmarkStart w:id="33" w:name="_Toc11254"/>
      <w:r>
        <w:t>1.</w:t>
      </w:r>
      <w:r>
        <w:rPr>
          <w:rFonts w:hint="eastAsia"/>
        </w:rPr>
        <w:t>项目立项</w:t>
      </w:r>
      <w:bookmarkEnd w:id="33"/>
    </w:p>
    <w:p>
      <w:pPr>
        <w:spacing w:before="100"/>
        <w:ind w:firstLine="576" w:firstLineChars="0"/>
        <w:rPr>
          <w:rFonts w:ascii="方正仿宋_GBK" w:hAnsi="方正仿宋_GBK" w:cs="方正仿宋_GBK"/>
          <w:spacing w:val="-6"/>
          <w:szCs w:val="30"/>
        </w:rPr>
      </w:pPr>
      <w:r>
        <w:rPr>
          <w:rFonts w:hint="eastAsia" w:ascii="仿宋_GB2312"/>
          <w:b/>
          <w:bCs/>
          <w:szCs w:val="30"/>
        </w:rPr>
        <w:t>立项依据充分性：</w:t>
      </w:r>
      <w:r>
        <w:rPr>
          <w:rFonts w:hint="eastAsia" w:ascii="方正仿宋_GBK" w:hAnsi="方正仿宋_GBK" w:cs="方正仿宋_GBK"/>
          <w:spacing w:val="-6"/>
          <w:szCs w:val="30"/>
        </w:rPr>
        <w:t>该项目立项符合民生保障相关政策；项目立项与部门职责范围保障人民群众身体健康相符，属于部门履职所需；根据《财政国库直接支付申请书》文件，该项目资金性质为；“中央直达资金”，根据《</w:t>
      </w:r>
      <w:r>
        <w:rPr>
          <w:rFonts w:hint="eastAsia" w:ascii="方正仿宋_GBK" w:hAnsi="方正仿宋_GBK" w:cs="方正仿宋_GBK"/>
          <w:color w:val="auto"/>
          <w:spacing w:val="-6"/>
          <w:szCs w:val="30"/>
          <w:lang w:val="en-US" w:eastAsia="zh-CN"/>
        </w:rPr>
        <w:t>中华人民共和国</w:t>
      </w:r>
      <w:r>
        <w:rPr>
          <w:rFonts w:hint="eastAsia" w:ascii="方正仿宋_GBK" w:hAnsi="方正仿宋_GBK" w:cs="方正仿宋_GBK"/>
          <w:spacing w:val="-6"/>
          <w:szCs w:val="30"/>
        </w:rPr>
        <w:t>预算法》属于公共财政支持范围。财政预算一体化大平台和决算数据显示，无相关部门同类项目或部门内部相关项目重复事项。</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因此，立项依据充分，得4分。</w:t>
      </w:r>
    </w:p>
    <w:p>
      <w:pPr>
        <w:spacing w:before="100"/>
        <w:ind w:firstLine="576"/>
        <w:rPr>
          <w:rFonts w:ascii="方正仿宋_GBK" w:hAnsi="方正仿宋_GBK" w:cs="方正仿宋_GBK"/>
          <w:spacing w:val="-6"/>
          <w:szCs w:val="30"/>
        </w:rPr>
      </w:pPr>
      <w:r>
        <w:rPr>
          <w:rFonts w:hint="eastAsia" w:ascii="仿宋_GB2312"/>
          <w:b/>
          <w:bCs/>
          <w:szCs w:val="30"/>
        </w:rPr>
        <w:t>立项程序规范性</w:t>
      </w:r>
      <w:r>
        <w:rPr>
          <w:rFonts w:ascii="仿宋_GB2312"/>
          <w:b/>
          <w:bCs/>
          <w:szCs w:val="30"/>
        </w:rPr>
        <w:t>:</w:t>
      </w:r>
      <w:r>
        <w:rPr>
          <w:rFonts w:hint="eastAsia"/>
          <w:szCs w:val="30"/>
        </w:rPr>
        <w:t xml:space="preserve"> </w:t>
      </w:r>
      <w:r>
        <w:rPr>
          <w:rFonts w:hint="eastAsia" w:ascii="方正仿宋_GBK" w:hAnsi="方正仿宋_GBK" w:cs="方正仿宋_GBK"/>
          <w:spacing w:val="-6"/>
          <w:szCs w:val="30"/>
        </w:rPr>
        <w:t>该项目根据自治区疫情防控工作指挥部专家现场督导，2022年12月申请血透设备经费，2023年2月乌鲁木齐市财政对国际医院血透设备经费的请示进行批复；按照规定的程序申请设立；审批文件、材料符合相关要求；项目申请书已经过必要的绩效评估、集体决策。</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故立项程序规范，得4分。</w:t>
      </w:r>
    </w:p>
    <w:p>
      <w:pPr>
        <w:autoSpaceDE w:val="0"/>
        <w:spacing w:line="600" w:lineRule="exact"/>
        <w:ind w:firstLine="602"/>
        <w:rPr>
          <w:rFonts w:ascii="仿宋_GB2312" w:hAnsi="仿宋" w:cs="宋体"/>
          <w:b/>
          <w:kern w:val="0"/>
          <w:szCs w:val="30"/>
        </w:rPr>
      </w:pPr>
      <w:r>
        <w:rPr>
          <w:rFonts w:hint="eastAsia" w:ascii="仿宋_GB2312" w:hAnsi="仿宋" w:cs="宋体"/>
          <w:b/>
          <w:kern w:val="0"/>
          <w:szCs w:val="30"/>
        </w:rPr>
        <w:t>综上，该指标满分</w:t>
      </w:r>
      <w:r>
        <w:rPr>
          <w:rFonts w:ascii="仿宋_GB2312" w:hAnsi="仿宋" w:cs="宋体"/>
          <w:b/>
          <w:kern w:val="0"/>
          <w:szCs w:val="30"/>
        </w:rPr>
        <w:t>8</w:t>
      </w:r>
      <w:r>
        <w:rPr>
          <w:rFonts w:hint="eastAsia" w:ascii="仿宋_GB2312" w:hAnsi="仿宋" w:cs="宋体"/>
          <w:b/>
          <w:kern w:val="0"/>
          <w:szCs w:val="30"/>
        </w:rPr>
        <w:t>分，得分8分。</w:t>
      </w:r>
    </w:p>
    <w:p>
      <w:pPr>
        <w:pStyle w:val="4"/>
        <w:ind w:firstLine="602"/>
        <w:rPr>
          <w:sz w:val="30"/>
          <w:szCs w:val="30"/>
        </w:rPr>
      </w:pPr>
      <w:bookmarkStart w:id="34" w:name="_Toc579"/>
      <w:r>
        <w:rPr>
          <w:rFonts w:hint="eastAsia"/>
          <w:sz w:val="30"/>
          <w:szCs w:val="30"/>
        </w:rPr>
        <w:t>2</w:t>
      </w:r>
      <w:r>
        <w:rPr>
          <w:sz w:val="30"/>
          <w:szCs w:val="30"/>
        </w:rPr>
        <w:t>.</w:t>
      </w:r>
      <w:r>
        <w:rPr>
          <w:rFonts w:hint="eastAsia"/>
          <w:sz w:val="30"/>
          <w:szCs w:val="30"/>
        </w:rPr>
        <w:t>绩效目标</w:t>
      </w:r>
      <w:bookmarkEnd w:id="34"/>
    </w:p>
    <w:p>
      <w:pPr>
        <w:spacing w:before="100"/>
        <w:ind w:firstLine="576"/>
        <w:rPr>
          <w:rFonts w:ascii="方正仿宋_GBK" w:hAnsi="方正仿宋_GBK" w:cs="方正仿宋_GBK"/>
          <w:spacing w:val="-6"/>
          <w:szCs w:val="30"/>
        </w:rPr>
      </w:pPr>
      <w:r>
        <w:rPr>
          <w:rFonts w:hint="eastAsia" w:ascii="仿宋_GB2312"/>
          <w:b/>
          <w:bCs/>
          <w:szCs w:val="30"/>
        </w:rPr>
        <w:t>绩效目标合理性：</w:t>
      </w:r>
      <w:r>
        <w:rPr>
          <w:rFonts w:hint="eastAsia" w:ascii="方正仿宋_GBK" w:hAnsi="方正仿宋_GBK" w:cs="方正仿宋_GBK"/>
          <w:spacing w:val="-6"/>
          <w:szCs w:val="30"/>
        </w:rPr>
        <w:t>①该项目依据单位提供的资金申请设定绩效目标如下：项目总额265万元，疫情期间</w:t>
      </w:r>
      <w:r>
        <w:rPr>
          <w:rFonts w:hint="eastAsia" w:ascii="方正仿宋_GBK" w:hAnsi="方正仿宋_GBK" w:cs="方正仿宋_GBK"/>
          <w:spacing w:val="12"/>
          <w:szCs w:val="30"/>
        </w:rPr>
        <w:t>血液透析设备10台，金额175万元，病床采购300张，金额90万元</w:t>
      </w:r>
      <w:r>
        <w:rPr>
          <w:rFonts w:hint="eastAsia" w:ascii="方正仿宋_GBK" w:hAnsi="方正仿宋_GBK" w:cs="方正仿宋_GBK"/>
          <w:spacing w:val="-6"/>
          <w:szCs w:val="30"/>
        </w:rPr>
        <w:t>，确保为</w:t>
      </w:r>
      <w:r>
        <w:rPr>
          <w:rFonts w:hint="eastAsia" w:ascii="方正仿宋_GBK" w:hAnsi="方正仿宋_GBK" w:cs="方正仿宋_GBK"/>
          <w:spacing w:val="12"/>
          <w:szCs w:val="30"/>
        </w:rPr>
        <w:t>疫情期间体内多溶质和急慢性肾功能衰竭患者提供有效治疗</w:t>
      </w:r>
      <w:r>
        <w:rPr>
          <w:rFonts w:hint="eastAsia" w:ascii="方正仿宋_GBK" w:hAnsi="方正仿宋_GBK" w:cs="方正仿宋_GBK"/>
          <w:spacing w:val="-6"/>
          <w:szCs w:val="30"/>
        </w:rPr>
        <w:t>；</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②通过采购合同可证实完成了采购任务；</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③项目的实施为</w:t>
      </w:r>
      <w:r>
        <w:rPr>
          <w:rFonts w:hint="eastAsia" w:ascii="方正仿宋_GBK" w:hAnsi="方正仿宋_GBK" w:cs="方正仿宋_GBK"/>
          <w:spacing w:val="12"/>
          <w:szCs w:val="30"/>
        </w:rPr>
        <w:t>疫情期间体内多溶质和急慢性肾功能衰竭患者提供有效治疗</w:t>
      </w:r>
      <w:r>
        <w:rPr>
          <w:rFonts w:hint="eastAsia" w:ascii="方正仿宋_GBK" w:hAnsi="方正仿宋_GBK" w:cs="方正仿宋_GBK"/>
          <w:spacing w:val="-6"/>
          <w:szCs w:val="30"/>
        </w:rPr>
        <w:t>，保障疫情防控工作稳步推进，坚守百姓健康防线，项目效果达到，符合正常水平；</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④项目预算金额为265万元，实际支出255.53万元，项目资金量未能完全匹配，原因为10台血透设备购置价格175万元，截至目前已支付166.25万元，剩余尾款还未支付；300张病床预算价格90万，实际购买价格89.28万元，存在实际购买价格与预算价格之间的差。</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故绩效目标合理性指标得分2.5分。</w:t>
      </w:r>
    </w:p>
    <w:p>
      <w:pPr>
        <w:spacing w:before="100"/>
        <w:ind w:firstLine="576"/>
        <w:rPr>
          <w:rFonts w:ascii="方正仿宋_GBK" w:hAnsi="方正仿宋_GBK" w:cs="方正仿宋_GBK"/>
          <w:spacing w:val="-6"/>
          <w:szCs w:val="30"/>
        </w:rPr>
      </w:pPr>
      <w:r>
        <w:rPr>
          <w:rFonts w:hint="eastAsia" w:ascii="仿宋_GB2312" w:hAnsi="仿宋" w:cs="宋体"/>
          <w:b/>
          <w:kern w:val="0"/>
          <w:szCs w:val="30"/>
        </w:rPr>
        <w:t>绩效目标明确性：</w:t>
      </w:r>
      <w:r>
        <w:rPr>
          <w:rFonts w:hint="eastAsia" w:ascii="方正仿宋_GBK" w:hAnsi="方正仿宋_GBK" w:cs="方正仿宋_GBK"/>
          <w:spacing w:val="-6"/>
          <w:szCs w:val="30"/>
        </w:rPr>
        <w:t>①该项目实施单位设置了绩效目标，项目绩效目标细化分解为具体；</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②设置的绩效指标包括：项目共性指标、项目个性指标，个性指标包括该项目的数量指标、质量指标、时效指标、成本指标、社会效益指标以及满意度指标；</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③共设置一级指标3个，二级指标6个，三级指标8个。</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故绩效目标明确性指标得分3分。</w:t>
      </w:r>
    </w:p>
    <w:p>
      <w:pPr>
        <w:autoSpaceDE w:val="0"/>
        <w:spacing w:line="600" w:lineRule="exact"/>
        <w:ind w:firstLine="602"/>
        <w:rPr>
          <w:rFonts w:ascii="仿宋_GB2312" w:hAnsi="仿宋" w:cs="宋体"/>
          <w:b/>
          <w:kern w:val="0"/>
          <w:szCs w:val="30"/>
        </w:rPr>
      </w:pPr>
      <w:r>
        <w:rPr>
          <w:rFonts w:hint="eastAsia" w:ascii="仿宋_GB2312" w:hAnsi="仿宋" w:cs="宋体"/>
          <w:b/>
          <w:kern w:val="0"/>
          <w:szCs w:val="30"/>
        </w:rPr>
        <w:t>综上，该指标满分</w:t>
      </w:r>
      <w:r>
        <w:rPr>
          <w:rFonts w:ascii="仿宋_GB2312" w:hAnsi="仿宋" w:cs="宋体"/>
          <w:b/>
          <w:kern w:val="0"/>
          <w:szCs w:val="30"/>
        </w:rPr>
        <w:t>6</w:t>
      </w:r>
      <w:r>
        <w:rPr>
          <w:rFonts w:hint="eastAsia" w:ascii="仿宋_GB2312" w:hAnsi="仿宋" w:cs="宋体"/>
          <w:b/>
          <w:kern w:val="0"/>
          <w:szCs w:val="30"/>
        </w:rPr>
        <w:t>分，得分5.5分。</w:t>
      </w:r>
    </w:p>
    <w:p>
      <w:pPr>
        <w:pStyle w:val="4"/>
        <w:ind w:firstLine="643"/>
      </w:pPr>
      <w:bookmarkStart w:id="35" w:name="_Toc10836"/>
      <w:r>
        <w:rPr>
          <w:rFonts w:hint="eastAsia"/>
        </w:rPr>
        <w:t>3.资金投入</w:t>
      </w:r>
      <w:bookmarkEnd w:id="35"/>
    </w:p>
    <w:p>
      <w:pPr>
        <w:spacing w:before="100"/>
        <w:ind w:firstLine="602"/>
        <w:rPr>
          <w:rFonts w:ascii="方正仿宋_GBK" w:hAnsi="方正仿宋_GBK" w:cs="方正仿宋_GBK"/>
          <w:spacing w:val="-6"/>
          <w:szCs w:val="30"/>
        </w:rPr>
      </w:pPr>
      <w:r>
        <w:rPr>
          <w:rFonts w:hint="eastAsia" w:ascii="仿宋_GB2312" w:hAnsi="仿宋" w:cs="宋体"/>
          <w:b/>
          <w:kern w:val="0"/>
          <w:szCs w:val="30"/>
        </w:rPr>
        <w:t>预算编制科学性：</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①该项目预算编制经过科学论证；</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②预算内容与项目内容匹配，该项目预算申请内容购置疫情期间的血液透析设备及配套设施；</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③预算额度测算依据是充分按照“民生为本、做好防控，保障人民的生命安全”的工作思路，保障2022年度疫情工作有序开展；</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④项目实际内容为购置疫情期间的血液透析设备及配套设施，项目的投资与完成的任务相匹配。</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故预算编制科学性指标得分3分。</w:t>
      </w:r>
    </w:p>
    <w:p>
      <w:pPr>
        <w:autoSpaceDE w:val="0"/>
        <w:spacing w:line="600" w:lineRule="exact"/>
        <w:ind w:firstLine="0" w:firstLineChars="0"/>
        <w:rPr>
          <w:rFonts w:ascii="仿宋_GB2312" w:hAnsi="仿宋" w:cs="宋体"/>
          <w:bCs/>
          <w:kern w:val="0"/>
          <w:szCs w:val="30"/>
        </w:rPr>
      </w:pPr>
    </w:p>
    <w:p>
      <w:pPr>
        <w:spacing w:before="100"/>
        <w:ind w:firstLine="602"/>
        <w:rPr>
          <w:szCs w:val="30"/>
        </w:rPr>
      </w:pPr>
      <w:r>
        <w:rPr>
          <w:rFonts w:hint="eastAsia"/>
          <w:b/>
          <w:bCs/>
          <w:szCs w:val="30"/>
        </w:rPr>
        <w:t>资金分配合理性</w:t>
      </w:r>
      <w:r>
        <w:rPr>
          <w:rFonts w:hint="eastAsia"/>
          <w:szCs w:val="30"/>
        </w:rPr>
        <w:t>：</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①该项目预算资金分配严格以乌鲁木齐国际医院疫情期间购置血液透析设备及配套设施的资金申请为依据进行资金的分配；</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②分配依据充分，资金额度与项目单位实际相适应。</w:t>
      </w:r>
    </w:p>
    <w:p>
      <w:pPr>
        <w:spacing w:before="100"/>
        <w:ind w:firstLine="576"/>
        <w:rPr>
          <w:rFonts w:ascii="方正仿宋_GBK" w:hAnsi="方正仿宋_GBK" w:cs="方正仿宋_GBK"/>
          <w:spacing w:val="-6"/>
          <w:szCs w:val="30"/>
        </w:rPr>
      </w:pPr>
      <w:r>
        <w:rPr>
          <w:rFonts w:hint="eastAsia" w:ascii="方正仿宋_GBK" w:hAnsi="方正仿宋_GBK" w:cs="方正仿宋_GBK"/>
          <w:spacing w:val="-6"/>
          <w:szCs w:val="30"/>
        </w:rPr>
        <w:t>故资金分配合理性指标得分3分。</w:t>
      </w:r>
    </w:p>
    <w:p>
      <w:pPr>
        <w:autoSpaceDE w:val="0"/>
        <w:spacing w:line="600" w:lineRule="exact"/>
        <w:ind w:firstLine="602"/>
        <w:rPr>
          <w:rFonts w:ascii="仿宋_GB2312" w:hAnsi="仿宋" w:cs="宋体"/>
          <w:b/>
          <w:kern w:val="0"/>
          <w:szCs w:val="28"/>
        </w:rPr>
      </w:pPr>
      <w:r>
        <w:rPr>
          <w:rFonts w:hint="eastAsia" w:ascii="仿宋_GB2312" w:hAnsi="仿宋" w:cs="宋体"/>
          <w:b/>
          <w:kern w:val="0"/>
          <w:szCs w:val="30"/>
        </w:rPr>
        <w:t>综上，该指标满分</w:t>
      </w:r>
      <w:r>
        <w:rPr>
          <w:rFonts w:ascii="仿宋_GB2312" w:hAnsi="仿宋" w:cs="宋体"/>
          <w:b/>
          <w:kern w:val="0"/>
          <w:szCs w:val="30"/>
        </w:rPr>
        <w:t>6</w:t>
      </w:r>
      <w:r>
        <w:rPr>
          <w:rFonts w:hint="eastAsia" w:ascii="仿宋_GB2312" w:hAnsi="仿宋" w:cs="宋体"/>
          <w:b/>
          <w:kern w:val="0"/>
          <w:szCs w:val="30"/>
        </w:rPr>
        <w:t>分，得分6分</w:t>
      </w:r>
      <w:r>
        <w:rPr>
          <w:rFonts w:hint="eastAsia" w:ascii="仿宋_GB2312" w:hAnsi="仿宋" w:cs="宋体"/>
          <w:b/>
          <w:kern w:val="0"/>
          <w:szCs w:val="28"/>
        </w:rPr>
        <w:t>。</w:t>
      </w:r>
    </w:p>
    <w:p>
      <w:pPr>
        <w:pStyle w:val="3"/>
        <w:ind w:firstLine="643"/>
        <w:rPr>
          <w:rFonts w:ascii="仿宋" w:hAnsi="仿宋" w:eastAsia="仿宋"/>
          <w:lang w:bidi="en-US"/>
        </w:rPr>
      </w:pPr>
      <w:bookmarkStart w:id="36" w:name="_Toc2407"/>
      <w:bookmarkStart w:id="37" w:name="_Toc67911613"/>
      <w:r>
        <w:rPr>
          <w:rFonts w:hint="eastAsia" w:ascii="仿宋" w:hAnsi="仿宋" w:eastAsia="仿宋"/>
          <w:lang w:bidi="en-US"/>
        </w:rPr>
        <w:t>（二）项目过程情况</w:t>
      </w:r>
      <w:bookmarkEnd w:id="36"/>
      <w:bookmarkEnd w:id="37"/>
    </w:p>
    <w:p>
      <w:pPr>
        <w:rPr>
          <w:rFonts w:ascii="仿宋_GB2312"/>
          <w:szCs w:val="30"/>
        </w:rPr>
      </w:pPr>
      <w:r>
        <w:rPr>
          <w:rFonts w:hint="eastAsia" w:ascii="仿宋_GB2312"/>
          <w:szCs w:val="30"/>
        </w:rPr>
        <w:t>项目过程指标由2个二级指标和</w:t>
      </w:r>
      <w:r>
        <w:rPr>
          <w:rFonts w:ascii="仿宋_GB2312"/>
          <w:szCs w:val="30"/>
        </w:rPr>
        <w:t>5</w:t>
      </w:r>
      <w:r>
        <w:rPr>
          <w:rFonts w:hint="eastAsia" w:ascii="仿宋_GB2312"/>
          <w:szCs w:val="30"/>
        </w:rPr>
        <w:t>个三级指标构成，权重为</w:t>
      </w:r>
      <w:r>
        <w:rPr>
          <w:rFonts w:ascii="仿宋_GB2312"/>
          <w:szCs w:val="30"/>
        </w:rPr>
        <w:t>20</w:t>
      </w:r>
      <w:r>
        <w:rPr>
          <w:rFonts w:hint="eastAsia" w:ascii="仿宋_GB2312"/>
          <w:szCs w:val="30"/>
        </w:rPr>
        <w:t>分，实际得分20分。</w:t>
      </w:r>
    </w:p>
    <w:p>
      <w:pPr>
        <w:pStyle w:val="4"/>
        <w:spacing w:line="560" w:lineRule="exact"/>
        <w:ind w:firstLine="602"/>
        <w:rPr>
          <w:sz w:val="30"/>
          <w:szCs w:val="30"/>
        </w:rPr>
      </w:pPr>
      <w:bookmarkStart w:id="38" w:name="_Toc7626"/>
      <w:r>
        <w:rPr>
          <w:sz w:val="30"/>
          <w:szCs w:val="30"/>
        </w:rPr>
        <w:t>1.</w:t>
      </w:r>
      <w:r>
        <w:rPr>
          <w:rFonts w:hint="eastAsia"/>
          <w:sz w:val="30"/>
          <w:szCs w:val="30"/>
        </w:rPr>
        <w:t>资金管理</w:t>
      </w:r>
      <w:bookmarkEnd w:id="38"/>
    </w:p>
    <w:p>
      <w:pPr>
        <w:ind w:firstLine="602"/>
        <w:rPr>
          <w:rFonts w:ascii="仿宋_GB2312"/>
          <w:szCs w:val="30"/>
        </w:rPr>
      </w:pPr>
      <w:r>
        <w:rPr>
          <w:rFonts w:hint="eastAsia" w:ascii="仿宋_GB2312"/>
          <w:b/>
          <w:bCs/>
          <w:szCs w:val="30"/>
        </w:rPr>
        <w:t>资金到位率：</w:t>
      </w:r>
      <w:r>
        <w:rPr>
          <w:szCs w:val="30"/>
        </w:rPr>
        <w:t xml:space="preserve"> </w:t>
      </w:r>
      <w:r>
        <w:rPr>
          <w:rFonts w:hint="eastAsia" w:ascii="仿宋_GB2312" w:hAnsi="仿宋" w:cs="宋体"/>
          <w:kern w:val="0"/>
          <w:szCs w:val="30"/>
        </w:rPr>
        <w:t>该项目资金由财政拨付</w:t>
      </w:r>
      <w:r>
        <w:rPr>
          <w:rFonts w:hint="eastAsia" w:ascii="仿宋_GB2312" w:hAnsi="仿宋" w:cs="宋体"/>
          <w:b/>
          <w:kern w:val="0"/>
          <w:szCs w:val="30"/>
        </w:rPr>
        <w:t>，</w:t>
      </w:r>
      <w:r>
        <w:rPr>
          <w:rFonts w:hint="eastAsia" w:ascii="仿宋_GB2312" w:hAnsi="仿宋" w:cs="宋体"/>
          <w:kern w:val="0"/>
          <w:szCs w:val="30"/>
        </w:rPr>
        <w:t>在202</w:t>
      </w:r>
      <w:r>
        <w:rPr>
          <w:rFonts w:ascii="仿宋_GB2312" w:hAnsi="仿宋" w:cs="宋体"/>
          <w:kern w:val="0"/>
          <w:szCs w:val="30"/>
        </w:rPr>
        <w:t>3</w:t>
      </w:r>
      <w:r>
        <w:rPr>
          <w:rFonts w:hint="eastAsia" w:ascii="仿宋_GB2312" w:hAnsi="仿宋" w:cs="宋体"/>
          <w:kern w:val="0"/>
          <w:szCs w:val="30"/>
        </w:rPr>
        <w:t>年6月5日到位，资金于2023年7月25日直接支付到各供应商</w:t>
      </w:r>
      <w:r>
        <w:rPr>
          <w:rFonts w:hint="eastAsia" w:ascii="仿宋_GB2312" w:hAnsi="仿宋" w:cs="宋体"/>
          <w:b/>
          <w:kern w:val="0"/>
          <w:szCs w:val="30"/>
        </w:rPr>
        <w:t>。</w:t>
      </w:r>
      <w:r>
        <w:rPr>
          <w:rFonts w:hint="eastAsia" w:ascii="仿宋_GB2312" w:hAnsi="仿宋" w:cs="宋体"/>
          <w:kern w:val="0"/>
          <w:szCs w:val="30"/>
        </w:rPr>
        <w:t>故资金到位率指标得分5分。</w:t>
      </w:r>
    </w:p>
    <w:p>
      <w:pPr>
        <w:spacing w:before="51"/>
        <w:ind w:left="138" w:firstLine="602"/>
        <w:rPr>
          <w:rFonts w:ascii="仿宋_GB2312" w:hAnsi="仿宋" w:cs="宋体"/>
          <w:kern w:val="0"/>
          <w:szCs w:val="30"/>
        </w:rPr>
      </w:pPr>
      <w:r>
        <w:rPr>
          <w:rFonts w:hint="eastAsia" w:ascii="仿宋_GB2312"/>
          <w:b/>
          <w:bCs/>
          <w:szCs w:val="30"/>
        </w:rPr>
        <w:t>预算执行率：</w:t>
      </w:r>
      <w:r>
        <w:rPr>
          <w:rFonts w:hint="eastAsia" w:ascii="仿宋_GB2312" w:hAnsi="仿宋" w:cs="宋体"/>
          <w:kern w:val="0"/>
          <w:szCs w:val="30"/>
        </w:rPr>
        <w:t>该项目实际到位资金为265万元，根据《国库集中支付凭证》，该项目实际支出资金255.53万元，剩余资金已于2023年12月收回，预算执行率100%。</w:t>
      </w:r>
    </w:p>
    <w:p>
      <w:pPr>
        <w:rPr>
          <w:rFonts w:ascii="仿宋_GB2312"/>
          <w:szCs w:val="30"/>
        </w:rPr>
      </w:pPr>
      <w:r>
        <w:rPr>
          <w:rFonts w:hint="eastAsia" w:ascii="仿宋_GB2312"/>
          <w:szCs w:val="30"/>
        </w:rPr>
        <w:t>故预算执行率得分为5分。</w:t>
      </w:r>
    </w:p>
    <w:p>
      <w:pPr>
        <w:ind w:firstLine="602"/>
        <w:rPr>
          <w:rFonts w:ascii="仿宋_GB2312"/>
          <w:b/>
          <w:bCs/>
          <w:szCs w:val="30"/>
        </w:rPr>
      </w:pPr>
    </w:p>
    <w:p>
      <w:pPr>
        <w:ind w:firstLine="602"/>
        <w:jc w:val="left"/>
        <w:rPr>
          <w:rFonts w:ascii="仿宋_GB2312" w:hAnsi="仿宋" w:cs="宋体"/>
          <w:kern w:val="0"/>
          <w:szCs w:val="30"/>
        </w:rPr>
      </w:pPr>
      <w:r>
        <w:rPr>
          <w:rFonts w:hint="eastAsia" w:ascii="仿宋_GB2312"/>
          <w:b/>
          <w:bCs/>
          <w:szCs w:val="30"/>
        </w:rPr>
        <w:t>资金使用合规性：</w:t>
      </w:r>
      <w:r>
        <w:rPr>
          <w:rFonts w:hint="eastAsia" w:ascii="仿宋_GB2312" w:hAnsi="仿宋" w:cs="宋体"/>
          <w:kern w:val="0"/>
          <w:szCs w:val="30"/>
        </w:rPr>
        <w:t>本项目资金的使用符合《政府会计制度》和《乌鲁木齐国际医院财务管理制度》的规定。同时，资金的拨付有完整审批程序，有完整手续，符合项目预算批复或合同规定的用途，不存在截留、挤占、挪用、虚列支出等情况。故资金使用合规性得分为3分。</w:t>
      </w:r>
    </w:p>
    <w:p>
      <w:pPr>
        <w:autoSpaceDE w:val="0"/>
        <w:ind w:firstLine="602"/>
        <w:rPr>
          <w:rFonts w:ascii="仿宋_GB2312" w:hAnsi="仿宋" w:cs="宋体"/>
          <w:b/>
          <w:kern w:val="0"/>
          <w:szCs w:val="30"/>
        </w:rPr>
      </w:pPr>
      <w:r>
        <w:rPr>
          <w:rFonts w:hint="eastAsia" w:ascii="仿宋_GB2312" w:hAnsi="仿宋" w:cs="宋体"/>
          <w:b/>
          <w:kern w:val="0"/>
          <w:szCs w:val="30"/>
        </w:rPr>
        <w:t>综上，该指标满分</w:t>
      </w:r>
      <w:r>
        <w:rPr>
          <w:rFonts w:ascii="仿宋_GB2312" w:hAnsi="仿宋" w:cs="宋体"/>
          <w:b/>
          <w:kern w:val="0"/>
          <w:szCs w:val="30"/>
        </w:rPr>
        <w:t>13</w:t>
      </w:r>
      <w:r>
        <w:rPr>
          <w:rFonts w:hint="eastAsia" w:ascii="仿宋_GB2312" w:hAnsi="仿宋" w:cs="宋体"/>
          <w:b/>
          <w:kern w:val="0"/>
          <w:szCs w:val="30"/>
        </w:rPr>
        <w:t>分，得分13分。</w:t>
      </w:r>
    </w:p>
    <w:p>
      <w:pPr>
        <w:pStyle w:val="4"/>
        <w:spacing w:line="560" w:lineRule="exact"/>
        <w:ind w:firstLine="602"/>
        <w:rPr>
          <w:sz w:val="30"/>
          <w:szCs w:val="30"/>
        </w:rPr>
      </w:pPr>
      <w:bookmarkStart w:id="39" w:name="_Toc25984"/>
      <w:r>
        <w:rPr>
          <w:sz w:val="30"/>
          <w:szCs w:val="30"/>
        </w:rPr>
        <w:t>2.</w:t>
      </w:r>
      <w:r>
        <w:rPr>
          <w:rFonts w:hint="eastAsia"/>
          <w:sz w:val="30"/>
          <w:szCs w:val="30"/>
        </w:rPr>
        <w:t>组织实施</w:t>
      </w:r>
      <w:bookmarkEnd w:id="39"/>
    </w:p>
    <w:p>
      <w:pPr>
        <w:ind w:firstLine="602"/>
        <w:rPr>
          <w:rFonts w:ascii="仿宋_GB2312"/>
          <w:szCs w:val="30"/>
        </w:rPr>
      </w:pPr>
      <w:r>
        <w:rPr>
          <w:rFonts w:hint="eastAsia" w:ascii="仿宋_GB2312"/>
          <w:b/>
          <w:bCs/>
          <w:szCs w:val="30"/>
        </w:rPr>
        <w:t>管理制度健全性</w:t>
      </w:r>
      <w:r>
        <w:rPr>
          <w:rFonts w:hint="eastAsia" w:ascii="仿宋_GB2312"/>
          <w:szCs w:val="30"/>
        </w:rPr>
        <w:t>：乌鲁木齐国际医院已制定《乌鲁木齐国际医院财务管理制度和采购制度》，且制度合法、合规、完整，为项目顺利实施提供重要保障。故管理制度健全性得分为3分。</w:t>
      </w:r>
    </w:p>
    <w:p>
      <w:pPr>
        <w:ind w:firstLine="602"/>
        <w:rPr>
          <w:rFonts w:ascii="仿宋_GB2312"/>
          <w:szCs w:val="30"/>
        </w:rPr>
      </w:pPr>
      <w:r>
        <w:rPr>
          <w:rFonts w:hint="eastAsia" w:ascii="仿宋_GB2312"/>
          <w:b/>
          <w:bCs/>
          <w:szCs w:val="30"/>
        </w:rPr>
        <w:t>制度执行有效性：</w:t>
      </w:r>
      <w:r>
        <w:rPr>
          <w:rFonts w:hint="eastAsia" w:ascii="仿宋_GB2312"/>
          <w:szCs w:val="30"/>
        </w:rPr>
        <w:t>根据评价小组核查情况，乌鲁木齐国际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30"/>
        </w:rPr>
        <w:t>4</w:t>
      </w:r>
      <w:r>
        <w:rPr>
          <w:rFonts w:hint="eastAsia" w:ascii="仿宋_GB2312"/>
          <w:szCs w:val="30"/>
        </w:rPr>
        <w:t>分。</w:t>
      </w:r>
    </w:p>
    <w:p>
      <w:pPr>
        <w:autoSpaceDE w:val="0"/>
        <w:ind w:firstLine="602"/>
        <w:rPr>
          <w:rFonts w:ascii="仿宋_GB2312" w:hAnsi="仿宋" w:cs="宋体"/>
          <w:b/>
          <w:kern w:val="0"/>
          <w:szCs w:val="28"/>
        </w:rPr>
      </w:pPr>
      <w:bookmarkStart w:id="40" w:name="_Hlk67670213"/>
      <w:r>
        <w:rPr>
          <w:rFonts w:hint="eastAsia" w:ascii="仿宋_GB2312" w:hAnsi="仿宋" w:cs="宋体"/>
          <w:b/>
          <w:kern w:val="0"/>
          <w:szCs w:val="30"/>
        </w:rPr>
        <w:t>综上，该指标满分</w:t>
      </w:r>
      <w:r>
        <w:rPr>
          <w:rFonts w:ascii="仿宋_GB2312" w:hAnsi="仿宋" w:cs="宋体"/>
          <w:b/>
          <w:kern w:val="0"/>
          <w:szCs w:val="30"/>
        </w:rPr>
        <w:t>7</w:t>
      </w:r>
      <w:r>
        <w:rPr>
          <w:rFonts w:hint="eastAsia" w:ascii="仿宋_GB2312" w:hAnsi="仿宋" w:cs="宋体"/>
          <w:b/>
          <w:kern w:val="0"/>
          <w:szCs w:val="30"/>
        </w:rPr>
        <w:t>分，得分</w:t>
      </w:r>
      <w:r>
        <w:rPr>
          <w:rFonts w:ascii="仿宋_GB2312" w:hAnsi="仿宋" w:cs="宋体"/>
          <w:b/>
          <w:kern w:val="0"/>
          <w:szCs w:val="30"/>
        </w:rPr>
        <w:t>7</w:t>
      </w:r>
      <w:r>
        <w:rPr>
          <w:rFonts w:hint="eastAsia" w:ascii="仿宋_GB2312" w:hAnsi="仿宋" w:cs="宋体"/>
          <w:b/>
          <w:kern w:val="0"/>
          <w:szCs w:val="30"/>
        </w:rPr>
        <w:t>分。</w:t>
      </w:r>
    </w:p>
    <w:bookmarkEnd w:id="40"/>
    <w:p>
      <w:pPr>
        <w:pStyle w:val="3"/>
        <w:spacing w:line="560" w:lineRule="exact"/>
        <w:ind w:firstLine="643"/>
        <w:rPr>
          <w:rFonts w:ascii="仿宋" w:hAnsi="仿宋" w:eastAsia="仿宋"/>
          <w:lang w:bidi="en-US"/>
        </w:rPr>
      </w:pPr>
      <w:bookmarkStart w:id="41" w:name="_Toc67911614"/>
      <w:bookmarkStart w:id="42" w:name="_Toc29358"/>
      <w:r>
        <w:rPr>
          <w:rFonts w:hint="eastAsia" w:ascii="仿宋" w:hAnsi="仿宋" w:eastAsia="仿宋"/>
          <w:lang w:bidi="en-US"/>
        </w:rPr>
        <w:t>（三）项目产出情况</w:t>
      </w:r>
      <w:bookmarkEnd w:id="41"/>
      <w:bookmarkEnd w:id="42"/>
    </w:p>
    <w:p>
      <w:pPr>
        <w:rPr>
          <w:rFonts w:ascii="仿宋_GB2312"/>
          <w:szCs w:val="30"/>
        </w:rPr>
      </w:pPr>
      <w:r>
        <w:rPr>
          <w:rFonts w:hint="eastAsia" w:ascii="仿宋_GB2312"/>
          <w:szCs w:val="30"/>
        </w:rPr>
        <w:t>项目产出指标由4个二级指标和6个三级指标构成，权重为</w:t>
      </w:r>
      <w:r>
        <w:rPr>
          <w:rFonts w:ascii="仿宋_GB2312"/>
          <w:szCs w:val="30"/>
        </w:rPr>
        <w:t>40</w:t>
      </w:r>
      <w:r>
        <w:rPr>
          <w:rFonts w:hint="eastAsia" w:ascii="仿宋_GB2312"/>
          <w:szCs w:val="30"/>
        </w:rPr>
        <w:t>分，实际得分40分。</w:t>
      </w:r>
    </w:p>
    <w:p>
      <w:pPr>
        <w:pStyle w:val="4"/>
        <w:spacing w:line="560" w:lineRule="exact"/>
        <w:ind w:firstLine="602"/>
        <w:rPr>
          <w:sz w:val="30"/>
          <w:szCs w:val="30"/>
        </w:rPr>
      </w:pPr>
      <w:bookmarkStart w:id="43" w:name="_Toc1379"/>
      <w:r>
        <w:rPr>
          <w:rFonts w:hint="eastAsia"/>
          <w:sz w:val="30"/>
          <w:szCs w:val="30"/>
        </w:rPr>
        <w:t>1</w:t>
      </w:r>
      <w:r>
        <w:rPr>
          <w:sz w:val="30"/>
          <w:szCs w:val="30"/>
        </w:rPr>
        <w:t>.</w:t>
      </w:r>
      <w:r>
        <w:rPr>
          <w:rFonts w:hint="eastAsia"/>
          <w:sz w:val="30"/>
          <w:szCs w:val="30"/>
        </w:rPr>
        <w:t>产出数量</w:t>
      </w:r>
      <w:bookmarkEnd w:id="43"/>
    </w:p>
    <w:p>
      <w:pPr>
        <w:rPr>
          <w:rFonts w:ascii="仿宋_GB2312"/>
          <w:bCs/>
          <w:szCs w:val="30"/>
        </w:rPr>
      </w:pPr>
      <w:r>
        <w:rPr>
          <w:rFonts w:hint="eastAsia" w:ascii="仿宋_GB2312"/>
          <w:bCs/>
          <w:szCs w:val="30"/>
        </w:rPr>
        <w:t>数量指标“设备购置数量”的目标值是10台，2023</w:t>
      </w:r>
      <w:r>
        <w:rPr>
          <w:rFonts w:ascii="仿宋_GB2312"/>
          <w:bCs/>
          <w:szCs w:val="30"/>
        </w:rPr>
        <w:t>年度我单位实际完成</w:t>
      </w:r>
      <w:r>
        <w:rPr>
          <w:rFonts w:hint="eastAsia" w:ascii="仿宋_GB2312"/>
          <w:bCs/>
          <w:szCs w:val="30"/>
        </w:rPr>
        <w:t>采购10台。</w:t>
      </w:r>
    </w:p>
    <w:p>
      <w:pPr>
        <w:rPr>
          <w:rFonts w:ascii="仿宋_GB2312" w:eastAsia="仿宋_GB2312"/>
          <w:bCs/>
          <w:szCs w:val="30"/>
        </w:rPr>
      </w:pPr>
      <w:r>
        <w:rPr>
          <w:rFonts w:hint="eastAsia" w:ascii="仿宋_GB2312"/>
          <w:bCs/>
          <w:szCs w:val="30"/>
        </w:rPr>
        <w:t>数量指标“病床购置数量”的目标值是300张，</w:t>
      </w:r>
      <w:r>
        <w:rPr>
          <w:rFonts w:ascii="仿宋_GB2312"/>
          <w:bCs/>
          <w:szCs w:val="30"/>
        </w:rPr>
        <w:t>2023年度我单位</w:t>
      </w:r>
      <w:r>
        <w:rPr>
          <w:rFonts w:hint="eastAsia" w:ascii="仿宋_GB2312"/>
          <w:bCs/>
          <w:szCs w:val="30"/>
        </w:rPr>
        <w:t>实际完成采购300张。</w:t>
      </w:r>
    </w:p>
    <w:p>
      <w:pPr>
        <w:ind w:firstLine="602"/>
        <w:rPr>
          <w:rFonts w:ascii="仿宋_GB2312" w:eastAsia="仿宋_GB2312"/>
          <w:bCs/>
          <w:szCs w:val="30"/>
        </w:rPr>
      </w:pPr>
      <w:r>
        <w:rPr>
          <w:rFonts w:hint="eastAsia" w:ascii="仿宋_GB2312"/>
          <w:b/>
          <w:bCs/>
          <w:szCs w:val="30"/>
        </w:rPr>
        <w:t>实际完成率：</w:t>
      </w:r>
      <w:r>
        <w:rPr>
          <w:rFonts w:hint="eastAsia" w:ascii="仿宋_GB2312"/>
          <w:bCs/>
          <w:szCs w:val="30"/>
        </w:rPr>
        <w:t>产出数量实际完成率100%，故</w:t>
      </w:r>
      <w:r>
        <w:rPr>
          <w:rFonts w:hint="eastAsia" w:ascii="仿宋_GB2312"/>
          <w:szCs w:val="30"/>
        </w:rPr>
        <w:t>实际完成率得分为10分</w:t>
      </w:r>
      <w:r>
        <w:rPr>
          <w:rFonts w:hint="eastAsia" w:ascii="仿宋_GB2312" w:eastAsia="仿宋_GB2312"/>
          <w:bCs/>
          <w:szCs w:val="30"/>
        </w:rPr>
        <w:t>。</w:t>
      </w:r>
    </w:p>
    <w:p>
      <w:pPr>
        <w:pStyle w:val="4"/>
        <w:numPr>
          <w:ilvl w:val="0"/>
          <w:numId w:val="1"/>
        </w:numPr>
        <w:spacing w:line="560" w:lineRule="exact"/>
        <w:ind w:firstLine="602"/>
        <w:rPr>
          <w:sz w:val="30"/>
          <w:szCs w:val="30"/>
        </w:rPr>
      </w:pPr>
      <w:bookmarkStart w:id="44" w:name="_Toc10486"/>
      <w:r>
        <w:rPr>
          <w:rFonts w:hint="eastAsia"/>
          <w:sz w:val="30"/>
          <w:szCs w:val="30"/>
        </w:rPr>
        <w:t>产出质量</w:t>
      </w:r>
      <w:bookmarkEnd w:id="44"/>
    </w:p>
    <w:p>
      <w:pPr>
        <w:pStyle w:val="5"/>
        <w:rPr>
          <w:rFonts w:ascii="仿宋_GB2312"/>
          <w:bCs/>
          <w:szCs w:val="30"/>
        </w:rPr>
      </w:pPr>
      <w:r>
        <w:rPr>
          <w:rFonts w:hint="eastAsia" w:ascii="仿宋_GB2312"/>
          <w:szCs w:val="30"/>
        </w:rPr>
        <w:t>“</w:t>
      </w:r>
      <w:r>
        <w:rPr>
          <w:rFonts w:hint="eastAsia" w:ascii="仿宋_GB2312" w:eastAsia="仿宋_GB2312"/>
          <w:bCs/>
          <w:szCs w:val="30"/>
        </w:rPr>
        <w:t>资产验收合格率”的目标值为100%。我单位在完成设备及配套设施采购后，于2022年12月5日完成验收工作，均已验收合格。因此2023年度我单位实际完成值100%</w:t>
      </w:r>
      <w:r>
        <w:rPr>
          <w:rFonts w:hint="eastAsia" w:ascii="仿宋_GB2312"/>
          <w:bCs/>
          <w:szCs w:val="30"/>
        </w:rPr>
        <w:t>。</w:t>
      </w:r>
    </w:p>
    <w:p>
      <w:pPr>
        <w:pStyle w:val="5"/>
        <w:rPr>
          <w:rFonts w:ascii="仿宋_GB2312" w:eastAsia="仿宋_GB2312"/>
          <w:bCs/>
          <w:szCs w:val="30"/>
        </w:rPr>
      </w:pPr>
      <w:r>
        <w:rPr>
          <w:rFonts w:hint="eastAsia" w:ascii="仿宋_GB2312"/>
          <w:bCs/>
          <w:szCs w:val="30"/>
        </w:rPr>
        <w:t>故质量达标率100%得分为10分。</w:t>
      </w:r>
    </w:p>
    <w:p>
      <w:pPr>
        <w:pStyle w:val="4"/>
        <w:spacing w:line="560" w:lineRule="exact"/>
        <w:ind w:firstLine="602"/>
        <w:rPr>
          <w:sz w:val="30"/>
          <w:szCs w:val="30"/>
        </w:rPr>
      </w:pPr>
      <w:bookmarkStart w:id="45" w:name="_Toc19420"/>
      <w:r>
        <w:rPr>
          <w:rFonts w:hint="eastAsia"/>
          <w:sz w:val="30"/>
          <w:szCs w:val="30"/>
        </w:rPr>
        <w:t>3</w:t>
      </w:r>
      <w:r>
        <w:rPr>
          <w:sz w:val="30"/>
          <w:szCs w:val="30"/>
        </w:rPr>
        <w:t>.</w:t>
      </w:r>
      <w:r>
        <w:rPr>
          <w:rFonts w:hint="eastAsia"/>
          <w:sz w:val="30"/>
          <w:szCs w:val="30"/>
        </w:rPr>
        <w:t>产出时效</w:t>
      </w:r>
      <w:bookmarkEnd w:id="45"/>
    </w:p>
    <w:p>
      <w:pPr>
        <w:ind w:firstLine="602"/>
        <w:rPr>
          <w:rStyle w:val="20"/>
          <w:sz w:val="30"/>
          <w:szCs w:val="30"/>
        </w:rPr>
      </w:pPr>
      <w:r>
        <w:rPr>
          <w:rFonts w:hint="eastAsia" w:ascii="仿宋_GB2312"/>
          <w:b/>
          <w:bCs/>
          <w:szCs w:val="30"/>
        </w:rPr>
        <w:t>完成及时性：</w:t>
      </w:r>
    </w:p>
    <w:p>
      <w:pPr>
        <w:ind w:firstLine="602"/>
        <w:rPr>
          <w:rFonts w:ascii="仿宋_GB2312" w:eastAsia="仿宋_GB2312"/>
          <w:b/>
          <w:bCs/>
          <w:szCs w:val="30"/>
        </w:rPr>
      </w:pPr>
      <w:r>
        <w:rPr>
          <w:rFonts w:hint="eastAsia" w:ascii="仿宋_GB2312"/>
          <w:b/>
          <w:szCs w:val="30"/>
        </w:rPr>
        <w:t>其中，</w:t>
      </w:r>
      <w:r>
        <w:rPr>
          <w:rFonts w:hint="eastAsia" w:ascii="仿宋_GB2312"/>
          <w:b/>
          <w:bCs/>
          <w:szCs w:val="30"/>
        </w:rPr>
        <w:t>项目完成及时率：</w:t>
      </w:r>
      <w:r>
        <w:rPr>
          <w:rFonts w:hint="eastAsia" w:ascii="仿宋_GB2312" w:hAnsi="仿宋" w:cs="宋体"/>
          <w:kern w:val="0"/>
          <w:szCs w:val="30"/>
        </w:rPr>
        <w:t>该项目资金由财政拨付</w:t>
      </w:r>
      <w:r>
        <w:rPr>
          <w:rFonts w:hint="eastAsia" w:ascii="仿宋_GB2312" w:hAnsi="仿宋" w:cs="宋体"/>
          <w:b/>
          <w:kern w:val="0"/>
          <w:szCs w:val="30"/>
        </w:rPr>
        <w:t>，</w:t>
      </w:r>
      <w:r>
        <w:rPr>
          <w:rFonts w:hint="eastAsia" w:ascii="仿宋_GB2312" w:hAnsi="仿宋" w:cs="宋体"/>
          <w:kern w:val="0"/>
          <w:szCs w:val="30"/>
        </w:rPr>
        <w:t>在202</w:t>
      </w:r>
      <w:r>
        <w:rPr>
          <w:rFonts w:ascii="仿宋_GB2312" w:hAnsi="仿宋" w:cs="宋体"/>
          <w:kern w:val="0"/>
          <w:szCs w:val="30"/>
        </w:rPr>
        <w:t>3</w:t>
      </w:r>
      <w:r>
        <w:rPr>
          <w:rFonts w:hint="eastAsia" w:ascii="仿宋_GB2312" w:hAnsi="仿宋" w:cs="宋体"/>
          <w:kern w:val="0"/>
          <w:szCs w:val="30"/>
        </w:rPr>
        <w:t>年6月5日到位，根据支付凭证显示资金于2023年7月25日直接支付到各供应商。</w:t>
      </w:r>
    </w:p>
    <w:p>
      <w:pPr>
        <w:rPr>
          <w:rFonts w:ascii="仿宋_GB2312"/>
          <w:szCs w:val="30"/>
        </w:rPr>
      </w:pPr>
      <w:r>
        <w:rPr>
          <w:rFonts w:hint="eastAsia" w:ascii="仿宋_GB2312"/>
          <w:szCs w:val="30"/>
        </w:rPr>
        <w:t>故完成及时性得分为4分。</w:t>
      </w:r>
    </w:p>
    <w:p>
      <w:pPr>
        <w:pStyle w:val="4"/>
        <w:ind w:firstLine="602"/>
        <w:rPr>
          <w:sz w:val="30"/>
          <w:szCs w:val="30"/>
        </w:rPr>
      </w:pPr>
      <w:bookmarkStart w:id="46" w:name="_Toc6206"/>
      <w:r>
        <w:rPr>
          <w:rFonts w:hint="eastAsia"/>
          <w:sz w:val="30"/>
          <w:szCs w:val="30"/>
        </w:rPr>
        <w:t>4</w:t>
      </w:r>
      <w:r>
        <w:rPr>
          <w:sz w:val="30"/>
          <w:szCs w:val="30"/>
        </w:rPr>
        <w:t>.</w:t>
      </w:r>
      <w:r>
        <w:rPr>
          <w:rFonts w:hint="eastAsia"/>
          <w:sz w:val="30"/>
          <w:szCs w:val="30"/>
        </w:rPr>
        <w:t>产出成本</w:t>
      </w:r>
      <w:bookmarkEnd w:id="46"/>
    </w:p>
    <w:p>
      <w:pPr>
        <w:spacing w:line="360" w:lineRule="auto"/>
        <w:rPr>
          <w:rFonts w:ascii="仿宋_GB2312"/>
          <w:bCs/>
          <w:szCs w:val="30"/>
        </w:rPr>
      </w:pPr>
      <w:r>
        <w:rPr>
          <w:rFonts w:hint="eastAsia" w:ascii="仿宋_GB2312"/>
          <w:b/>
          <w:bCs/>
          <w:szCs w:val="30"/>
        </w:rPr>
        <w:t>设备购置成本：</w:t>
      </w:r>
      <w:r>
        <w:rPr>
          <w:rFonts w:hint="eastAsia" w:ascii="仿宋_GB2312"/>
          <w:bCs/>
          <w:szCs w:val="30"/>
        </w:rPr>
        <w:t>设备购置实际支出166.25万元，无超支情况，故设备购置成本得分为8分</w:t>
      </w:r>
      <w:r>
        <w:rPr>
          <w:rFonts w:ascii="仿宋_GB2312"/>
          <w:bCs/>
          <w:szCs w:val="30"/>
        </w:rPr>
        <w:t>。</w:t>
      </w:r>
    </w:p>
    <w:p>
      <w:pPr>
        <w:spacing w:line="360" w:lineRule="auto"/>
        <w:ind w:firstLine="602"/>
        <w:rPr>
          <w:rFonts w:ascii="仿宋_GB2312" w:eastAsia="仿宋_GB2312"/>
          <w:bCs/>
          <w:szCs w:val="30"/>
        </w:rPr>
      </w:pPr>
      <w:r>
        <w:rPr>
          <w:rStyle w:val="20"/>
          <w:rFonts w:hint="eastAsia" w:ascii="方正仿宋_GBK" w:hAnsi="方正仿宋_GBK" w:cs="方正仿宋_GBK"/>
          <w:b/>
          <w:bCs/>
          <w:sz w:val="30"/>
          <w:szCs w:val="30"/>
        </w:rPr>
        <w:t>病床购置称成本</w:t>
      </w:r>
      <w:r>
        <w:rPr>
          <w:rStyle w:val="20"/>
          <w:rFonts w:hint="eastAsia" w:ascii="Times New Roman" w:hAnsi="Times New Roman" w:eastAsia="宋体" w:cs="Times New Roman"/>
          <w:sz w:val="30"/>
          <w:szCs w:val="30"/>
        </w:rPr>
        <w:t>：</w:t>
      </w:r>
      <w:r>
        <w:rPr>
          <w:rFonts w:hint="eastAsia" w:ascii="仿宋_GB2312"/>
          <w:bCs/>
          <w:szCs w:val="30"/>
        </w:rPr>
        <w:t>病床购置实际支出89.28万元，无超支情况，故病床购置成本得分为8分</w:t>
      </w:r>
      <w:r>
        <w:rPr>
          <w:rFonts w:ascii="仿宋_GB2312"/>
          <w:bCs/>
          <w:szCs w:val="30"/>
        </w:rPr>
        <w:t>。</w:t>
      </w:r>
    </w:p>
    <w:p>
      <w:pPr>
        <w:autoSpaceDE w:val="0"/>
        <w:spacing w:line="600" w:lineRule="exact"/>
        <w:ind w:firstLine="602"/>
        <w:rPr>
          <w:rFonts w:ascii="仿宋_GB2312" w:hAnsi="仿宋" w:cs="宋体"/>
          <w:b/>
          <w:kern w:val="0"/>
          <w:szCs w:val="30"/>
        </w:rPr>
      </w:pPr>
      <w:r>
        <w:rPr>
          <w:rFonts w:hint="eastAsia" w:ascii="仿宋_GB2312" w:hAnsi="仿宋" w:cs="宋体"/>
          <w:b/>
          <w:kern w:val="0"/>
          <w:szCs w:val="30"/>
        </w:rPr>
        <w:t>综上，该部分指标满分</w:t>
      </w:r>
      <w:r>
        <w:rPr>
          <w:rFonts w:ascii="仿宋_GB2312" w:hAnsi="仿宋" w:cs="宋体"/>
          <w:b/>
          <w:kern w:val="0"/>
          <w:szCs w:val="30"/>
        </w:rPr>
        <w:t>40</w:t>
      </w:r>
      <w:r>
        <w:rPr>
          <w:rFonts w:hint="eastAsia" w:ascii="仿宋_GB2312" w:hAnsi="仿宋" w:cs="宋体"/>
          <w:b/>
          <w:kern w:val="0"/>
          <w:szCs w:val="30"/>
        </w:rPr>
        <w:t>分，得分40分。</w:t>
      </w:r>
    </w:p>
    <w:p>
      <w:pPr>
        <w:pStyle w:val="3"/>
        <w:ind w:firstLine="643"/>
        <w:rPr>
          <w:rFonts w:ascii="仿宋" w:hAnsi="仿宋" w:eastAsia="仿宋"/>
          <w:lang w:bidi="en-US"/>
        </w:rPr>
      </w:pPr>
      <w:bookmarkStart w:id="47" w:name="_Toc14859"/>
      <w:bookmarkStart w:id="48" w:name="_Toc67911615"/>
      <w:r>
        <w:rPr>
          <w:rFonts w:hint="eastAsia" w:ascii="仿宋" w:hAnsi="仿宋" w:eastAsia="仿宋"/>
          <w:lang w:bidi="en-US"/>
        </w:rPr>
        <w:t>（四）项目效益情况</w:t>
      </w:r>
      <w:bookmarkEnd w:id="47"/>
      <w:bookmarkEnd w:id="48"/>
    </w:p>
    <w:p>
      <w:pPr>
        <w:spacing w:line="360" w:lineRule="auto"/>
        <w:rPr>
          <w:rFonts w:ascii="仿宋_GB2312"/>
          <w:szCs w:val="30"/>
        </w:rPr>
      </w:pPr>
      <w:r>
        <w:rPr>
          <w:rFonts w:hint="eastAsia" w:ascii="仿宋_GB2312"/>
          <w:szCs w:val="30"/>
        </w:rPr>
        <w:t>项目效益指标由</w:t>
      </w:r>
      <w:r>
        <w:rPr>
          <w:rFonts w:ascii="仿宋_GB2312"/>
          <w:szCs w:val="30"/>
        </w:rPr>
        <w:t>1</w:t>
      </w:r>
      <w:r>
        <w:rPr>
          <w:rFonts w:hint="eastAsia" w:ascii="仿宋_GB2312"/>
          <w:szCs w:val="30"/>
        </w:rPr>
        <w:t>个二级指标和1个三级指标构成，权重为</w:t>
      </w:r>
      <w:r>
        <w:rPr>
          <w:rFonts w:ascii="仿宋_GB2312"/>
          <w:szCs w:val="30"/>
        </w:rPr>
        <w:t>20</w:t>
      </w:r>
      <w:r>
        <w:rPr>
          <w:rFonts w:hint="eastAsia" w:ascii="仿宋_GB2312"/>
          <w:szCs w:val="30"/>
        </w:rPr>
        <w:t>分，实际得分20分。</w:t>
      </w:r>
      <w:r>
        <w:rPr>
          <w:rFonts w:ascii="仿宋_GB2312"/>
          <w:szCs w:val="30"/>
        </w:rPr>
        <w:t xml:space="preserve"> </w:t>
      </w:r>
    </w:p>
    <w:p>
      <w:pPr>
        <w:pStyle w:val="4"/>
        <w:ind w:firstLine="643"/>
      </w:pPr>
      <w:bookmarkStart w:id="49" w:name="_Toc3383"/>
      <w:r>
        <w:rPr>
          <w:rFonts w:hint="eastAsia"/>
        </w:rPr>
        <w:t>1</w:t>
      </w:r>
      <w:r>
        <w:t>.</w:t>
      </w:r>
      <w:r>
        <w:rPr>
          <w:rFonts w:hint="eastAsia"/>
        </w:rPr>
        <w:t>项目效益</w:t>
      </w:r>
      <w:bookmarkEnd w:id="49"/>
    </w:p>
    <w:p>
      <w:pPr>
        <w:ind w:firstLine="602"/>
        <w:rPr>
          <w:rFonts w:ascii="仿宋_GB2312"/>
          <w:b/>
          <w:bCs/>
          <w:szCs w:val="30"/>
        </w:rPr>
      </w:pPr>
      <w:r>
        <w:rPr>
          <w:rFonts w:hint="eastAsia" w:ascii="仿宋_GB2312"/>
          <w:b/>
          <w:bCs/>
          <w:szCs w:val="30"/>
        </w:rPr>
        <w:t>（1）实施效益</w:t>
      </w:r>
    </w:p>
    <w:p>
      <w:pPr>
        <w:ind w:firstLine="602"/>
        <w:rPr>
          <w:rFonts w:ascii="仿宋_GB2312"/>
          <w:szCs w:val="30"/>
        </w:rPr>
      </w:pPr>
      <w:r>
        <w:rPr>
          <w:rFonts w:hint="eastAsia" w:ascii="仿宋_GB2312"/>
          <w:b/>
          <w:bCs/>
          <w:szCs w:val="30"/>
        </w:rPr>
        <w:t>经济效益指标：</w:t>
      </w:r>
      <w:r>
        <w:rPr>
          <w:rFonts w:hint="eastAsia" w:ascii="仿宋_GB2312"/>
          <w:szCs w:val="30"/>
        </w:rPr>
        <w:t>不适用。</w:t>
      </w:r>
      <w:r>
        <w:rPr>
          <w:rFonts w:ascii="仿宋_GB2312"/>
          <w:szCs w:val="30"/>
        </w:rPr>
        <w:t xml:space="preserve"> </w:t>
      </w:r>
    </w:p>
    <w:p>
      <w:pPr>
        <w:ind w:firstLine="602"/>
        <w:rPr>
          <w:rFonts w:ascii="仿宋_GB2312"/>
          <w:szCs w:val="30"/>
        </w:rPr>
      </w:pPr>
      <w:r>
        <w:rPr>
          <w:rFonts w:hint="eastAsia" w:ascii="仿宋_GB2312"/>
          <w:b/>
          <w:bCs/>
          <w:szCs w:val="30"/>
        </w:rPr>
        <w:t>社会效益指标</w:t>
      </w:r>
      <w:r>
        <w:rPr>
          <w:rFonts w:hint="eastAsia" w:ascii="仿宋_GB2312"/>
          <w:szCs w:val="30"/>
        </w:rPr>
        <w:t>：评价指标“保障患者有效治疗”，指标值：有效保障，实际完成值：达成年度指标。本项目的实施</w:t>
      </w:r>
      <w:r>
        <w:rPr>
          <w:rFonts w:hint="eastAsia" w:ascii="方正仿宋_GBK" w:hAnsi="方正仿宋_GBK" w:cs="方正仿宋_GBK"/>
          <w:spacing w:val="12"/>
          <w:szCs w:val="30"/>
        </w:rPr>
        <w:t>为疫情期间体内多溶质和急慢性肾功能衰竭患者提供有效治疗，确保院内患者救治工作的顺利开展，保障疫情防控工作稳步推进。</w:t>
      </w:r>
    </w:p>
    <w:p>
      <w:pPr>
        <w:ind w:firstLine="602"/>
        <w:rPr>
          <w:rFonts w:ascii="仿宋_GB2312"/>
          <w:szCs w:val="30"/>
        </w:rPr>
      </w:pPr>
      <w:r>
        <w:rPr>
          <w:rFonts w:hint="eastAsia" w:ascii="仿宋_GB2312"/>
          <w:b/>
          <w:bCs/>
          <w:szCs w:val="30"/>
        </w:rPr>
        <w:t>生态效益指标</w:t>
      </w:r>
      <w:r>
        <w:rPr>
          <w:rFonts w:hint="eastAsia" w:ascii="仿宋_GB2312"/>
          <w:szCs w:val="30"/>
        </w:rPr>
        <w:t>：不适用。</w:t>
      </w:r>
    </w:p>
    <w:p>
      <w:pPr>
        <w:autoSpaceDE w:val="0"/>
        <w:ind w:firstLine="602"/>
        <w:rPr>
          <w:rFonts w:ascii="仿宋_GB2312" w:hAnsi="仿宋" w:cs="宋体"/>
          <w:b/>
          <w:kern w:val="0"/>
          <w:szCs w:val="28"/>
        </w:rPr>
      </w:pPr>
      <w:r>
        <w:rPr>
          <w:rFonts w:hint="eastAsia" w:ascii="仿宋_GB2312" w:hAnsi="仿宋" w:cs="宋体"/>
          <w:b/>
          <w:kern w:val="0"/>
          <w:szCs w:val="30"/>
        </w:rPr>
        <w:t>综上，该指标满分</w:t>
      </w:r>
      <w:r>
        <w:rPr>
          <w:rFonts w:ascii="仿宋_GB2312" w:hAnsi="仿宋" w:cs="宋体"/>
          <w:b/>
          <w:kern w:val="0"/>
          <w:szCs w:val="30"/>
        </w:rPr>
        <w:t>10</w:t>
      </w:r>
      <w:r>
        <w:rPr>
          <w:rFonts w:hint="eastAsia" w:ascii="仿宋_GB2312" w:hAnsi="仿宋" w:cs="宋体"/>
          <w:b/>
          <w:kern w:val="0"/>
          <w:szCs w:val="30"/>
        </w:rPr>
        <w:t>分，得分10分。</w:t>
      </w:r>
    </w:p>
    <w:p>
      <w:pPr>
        <w:pStyle w:val="4"/>
        <w:ind w:firstLine="643"/>
      </w:pPr>
      <w:bookmarkStart w:id="50" w:name="_Toc16813"/>
      <w:r>
        <w:t>2. 满意度指标完成情况分析</w:t>
      </w:r>
      <w:bookmarkEnd w:id="50"/>
    </w:p>
    <w:p>
      <w:pPr>
        <w:spacing w:line="360" w:lineRule="auto"/>
        <w:ind w:firstLine="602"/>
        <w:rPr>
          <w:rFonts w:ascii="仿宋_GB2312"/>
          <w:b/>
          <w:bCs/>
          <w:szCs w:val="30"/>
        </w:rPr>
      </w:pPr>
      <w:r>
        <w:rPr>
          <w:rFonts w:hint="eastAsia" w:ascii="仿宋_GB2312"/>
          <w:b/>
          <w:bCs/>
          <w:szCs w:val="30"/>
        </w:rPr>
        <w:t>（</w:t>
      </w:r>
      <w:r>
        <w:rPr>
          <w:rFonts w:ascii="仿宋_GB2312"/>
          <w:b/>
          <w:bCs/>
          <w:szCs w:val="30"/>
        </w:rPr>
        <w:t>1</w:t>
      </w:r>
      <w:r>
        <w:rPr>
          <w:rFonts w:hint="eastAsia" w:ascii="仿宋_GB2312"/>
          <w:b/>
          <w:bCs/>
          <w:szCs w:val="30"/>
        </w:rPr>
        <w:t>）满意度指标</w:t>
      </w:r>
    </w:p>
    <w:p>
      <w:pPr>
        <w:ind w:firstLine="602"/>
        <w:rPr>
          <w:rFonts w:ascii="仿宋_GB2312"/>
          <w:szCs w:val="30"/>
        </w:rPr>
      </w:pPr>
      <w:r>
        <w:rPr>
          <w:rFonts w:hint="eastAsia" w:ascii="仿宋_GB2312"/>
          <w:b/>
          <w:szCs w:val="30"/>
        </w:rPr>
        <w:t>群众满意度：</w:t>
      </w:r>
      <w:r>
        <w:rPr>
          <w:rFonts w:hint="eastAsia" w:ascii="仿宋_GB2312"/>
          <w:szCs w:val="30"/>
        </w:rPr>
        <w:t>评价指标“使用设备人员满意度”，指标值：</w:t>
      </w:r>
      <w:r>
        <w:rPr>
          <w:rFonts w:hint="eastAsia" w:ascii="华文宋体" w:hAnsi="华文宋体" w:eastAsia="华文宋体"/>
          <w:szCs w:val="30"/>
        </w:rPr>
        <w:t>=</w:t>
      </w:r>
      <w:r>
        <w:rPr>
          <w:rFonts w:hint="eastAsia" w:ascii="仿宋_GB2312" w:eastAsia="华文宋体"/>
          <w:szCs w:val="30"/>
        </w:rPr>
        <w:t>100</w:t>
      </w:r>
      <w:r>
        <w:rPr>
          <w:rFonts w:hint="eastAsia" w:ascii="仿宋_GB2312"/>
          <w:szCs w:val="30"/>
        </w:rPr>
        <w:t>%，实际完成值：=100%。通过设置问卷调查的方式进行考评评价，共计调查样本总量为10个样本，有效调查问卷10份。其中，统计“对设备使用情况是否满意”的平均值为100%。故满意度指标得分为10分。</w:t>
      </w:r>
    </w:p>
    <w:p>
      <w:pPr>
        <w:autoSpaceDE w:val="0"/>
        <w:spacing w:line="600" w:lineRule="exact"/>
        <w:ind w:firstLine="602"/>
        <w:rPr>
          <w:rFonts w:ascii="仿宋_GB2312" w:hAnsi="仿宋" w:cs="宋体"/>
          <w:b/>
          <w:kern w:val="0"/>
          <w:szCs w:val="30"/>
        </w:rPr>
      </w:pPr>
      <w:r>
        <w:rPr>
          <w:rFonts w:hint="eastAsia" w:ascii="仿宋_GB2312" w:hAnsi="仿宋" w:cs="宋体"/>
          <w:b/>
          <w:kern w:val="0"/>
          <w:szCs w:val="30"/>
        </w:rPr>
        <w:t>综上，该指标满分10分，得分10分。</w:t>
      </w:r>
      <w:bookmarkStart w:id="51" w:name="_Toc21326"/>
      <w:bookmarkStart w:id="52" w:name="_Toc67911617"/>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五、主要经验及做法、存在的问题及原因分析</w:t>
      </w:r>
      <w:bookmarkEnd w:id="51"/>
      <w:bookmarkEnd w:id="52"/>
    </w:p>
    <w:p>
      <w:pPr>
        <w:pStyle w:val="3"/>
        <w:ind w:firstLine="643"/>
        <w:rPr>
          <w:rFonts w:ascii="仿宋" w:hAnsi="仿宋" w:eastAsia="仿宋"/>
          <w:lang w:bidi="en-US"/>
        </w:rPr>
      </w:pPr>
      <w:bookmarkStart w:id="53" w:name="_Toc67911618"/>
      <w:bookmarkStart w:id="54" w:name="_Toc9871"/>
      <w:r>
        <w:rPr>
          <w:rFonts w:hint="eastAsia" w:ascii="仿宋" w:hAnsi="仿宋" w:eastAsia="仿宋"/>
          <w:lang w:bidi="en-US"/>
        </w:rPr>
        <w:t>（一）主要经验及做法</w:t>
      </w:r>
      <w:bookmarkEnd w:id="53"/>
      <w:bookmarkEnd w:id="54"/>
    </w:p>
    <w:p>
      <w:pPr>
        <w:ind w:firstLine="584"/>
        <w:rPr>
          <w:rFonts w:ascii="方正仿宋_GBK" w:hAnsi="方正仿宋_GBK" w:cs="方正仿宋_GBK"/>
          <w:spacing w:val="12"/>
          <w:szCs w:val="30"/>
        </w:rPr>
      </w:pPr>
      <w:r>
        <w:rPr>
          <w:rFonts w:hint="eastAsia" w:ascii="方正仿宋_GBK" w:hAnsi="方正仿宋_GBK" w:cs="方正仿宋_GBK"/>
          <w:spacing w:val="-4"/>
          <w:szCs w:val="30"/>
        </w:rPr>
        <w:t>（</w:t>
      </w:r>
      <w:r>
        <w:rPr>
          <w:rFonts w:hint="eastAsia" w:ascii="方正仿宋_GBK" w:hAnsi="方正仿宋_GBK" w:cs="方正仿宋_GBK"/>
          <w:spacing w:val="-77"/>
          <w:szCs w:val="30"/>
        </w:rPr>
        <w:t xml:space="preserve"> </w:t>
      </w:r>
      <w:r>
        <w:rPr>
          <w:rFonts w:hint="eastAsia" w:ascii="方正仿宋_GBK" w:hAnsi="方正仿宋_GBK" w:cs="方正仿宋_GBK"/>
          <w:spacing w:val="-4"/>
          <w:szCs w:val="30"/>
        </w:rPr>
        <w:t>1）从项</w:t>
      </w:r>
      <w:r>
        <w:rPr>
          <w:rFonts w:hint="eastAsia" w:ascii="方正仿宋_GBK" w:hAnsi="方正仿宋_GBK" w:cs="方正仿宋_GBK"/>
          <w:spacing w:val="12"/>
          <w:szCs w:val="30"/>
        </w:rPr>
        <w:t>目决策来看，本项目的实施符合发展政策和公共财政支持的方向和重点，绩效目标的设置也较为完整、明确、合理。</w:t>
      </w:r>
    </w:p>
    <w:p>
      <w:pPr>
        <w:ind w:firstLine="648"/>
        <w:rPr>
          <w:rFonts w:ascii="方正仿宋_GBK" w:hAnsi="方正仿宋_GBK" w:cs="方正仿宋_GBK"/>
          <w:spacing w:val="12"/>
          <w:szCs w:val="30"/>
        </w:rPr>
      </w:pPr>
      <w:r>
        <w:rPr>
          <w:rFonts w:hint="eastAsia" w:ascii="方正仿宋_GBK" w:hAnsi="方正仿宋_GBK" w:cs="方正仿宋_GBK"/>
          <w:spacing w:val="12"/>
          <w:szCs w:val="30"/>
        </w:rPr>
        <w:t>（2）从项目管理来看，本项目资金使用合理、合规，不存在 挤占、挪用、截留等情况。财政对乌鲁木齐国际医院疫情期间设备采购项目资金实行统一管理，严格执行“收支两条线”，做到专款专用，严格按照国家标准和乌鲁木齐国际医院疫情期间血液透析设备及配套设施采购项目资金使用的范围、对象、标准，对乌鲁木齐国际医院疫情期间血液透析设备及配套设施的支出项目、支出标准和支出程序进行审核把关，据实核算，合理安排乌鲁木齐国际医院疫情期间项目资金。各项资金申报资料与手续严格按要求做到齐备，审批程序严格按规定执行，资金拨付及时，台账资料完整，确保专项资金安全。</w:t>
      </w:r>
    </w:p>
    <w:p>
      <w:pPr>
        <w:ind w:firstLine="648"/>
        <w:rPr>
          <w:rFonts w:ascii="方正仿宋_GBK" w:hAnsi="方正仿宋_GBK" w:cs="方正仿宋_GBK"/>
          <w:spacing w:val="12"/>
          <w:szCs w:val="30"/>
        </w:rPr>
      </w:pPr>
      <w:r>
        <w:rPr>
          <w:rFonts w:hint="eastAsia" w:ascii="方正仿宋_GBK" w:hAnsi="方正仿宋_GBK" w:cs="方正仿宋_GBK"/>
          <w:spacing w:val="12"/>
          <w:szCs w:val="30"/>
        </w:rPr>
        <w:t>（3）从项目绩效来看，本项目按照计划完成了项疫情期间采购血液透析设备10台，病床采购300张，主要为疫情期间体内多溶质和急慢性肾功能衰竭患者提供有效治疗，确保院内患者救治工作的顺利开展，保障疫情防控工作稳步推进，坚守百姓健康防线。</w:t>
      </w:r>
    </w:p>
    <w:p>
      <w:pPr>
        <w:pStyle w:val="3"/>
        <w:ind w:firstLine="643"/>
        <w:rPr>
          <w:rFonts w:ascii="仿宋" w:hAnsi="仿宋" w:eastAsia="仿宋"/>
          <w:lang w:bidi="en-US"/>
        </w:rPr>
      </w:pPr>
      <w:bookmarkStart w:id="55" w:name="_Toc5326"/>
      <w:r>
        <w:rPr>
          <w:rFonts w:hint="eastAsia" w:ascii="仿宋" w:hAnsi="仿宋" w:eastAsia="仿宋"/>
          <w:lang w:bidi="en-US"/>
        </w:rPr>
        <w:t>（二）存在的问题及原因分析</w:t>
      </w:r>
      <w:bookmarkEnd w:id="55"/>
    </w:p>
    <w:p>
      <w:pPr>
        <w:spacing w:before="188"/>
        <w:ind w:right="79" w:firstLine="568"/>
        <w:rPr>
          <w:rFonts w:ascii="仿宋" w:hAnsi="仿宋" w:eastAsia="仿宋" w:cs="仿宋"/>
          <w:spacing w:val="-8"/>
          <w:szCs w:val="30"/>
        </w:rPr>
      </w:pPr>
      <w:r>
        <w:rPr>
          <w:rFonts w:hint="eastAsia" w:ascii="仿宋" w:hAnsi="仿宋" w:eastAsia="仿宋" w:cs="仿宋"/>
          <w:spacing w:val="-8"/>
          <w:szCs w:val="30"/>
        </w:rPr>
        <w:t>项目设置成本时应考虑尾款及购置时预算价格和实际购置价格之间的差额。</w:t>
      </w:r>
    </w:p>
    <w:p>
      <w:pPr>
        <w:pStyle w:val="2"/>
        <w:numPr>
          <w:ilvl w:val="0"/>
          <w:numId w:val="2"/>
        </w:numPr>
        <w:ind w:firstLine="0" w:firstLineChars="0"/>
        <w:jc w:val="left"/>
        <w:rPr>
          <w:rFonts w:ascii="仿宋" w:hAnsi="仿宋" w:eastAsia="仿宋"/>
          <w:sz w:val="36"/>
          <w:szCs w:val="36"/>
          <w:lang w:bidi="en-US"/>
        </w:rPr>
      </w:pPr>
      <w:bookmarkStart w:id="56" w:name="_Toc20673"/>
      <w:bookmarkStart w:id="57" w:name="_Toc67911620"/>
      <w:bookmarkStart w:id="58" w:name="_Toc67911619"/>
      <w:r>
        <w:rPr>
          <w:rFonts w:hint="eastAsia" w:ascii="仿宋" w:hAnsi="仿宋" w:eastAsia="仿宋"/>
          <w:sz w:val="36"/>
          <w:szCs w:val="36"/>
          <w:lang w:bidi="en-US"/>
        </w:rPr>
        <w:t>有关建议</w:t>
      </w:r>
      <w:bookmarkEnd w:id="56"/>
      <w:bookmarkEnd w:id="57"/>
    </w:p>
    <w:p>
      <w:pPr>
        <w:spacing w:before="188"/>
        <w:ind w:right="80" w:firstLine="568"/>
        <w:rPr>
          <w:rFonts w:ascii="方正仿宋_GBK" w:hAnsi="方正仿宋_GBK" w:cs="方正仿宋_GBK"/>
          <w:szCs w:val="30"/>
        </w:rPr>
      </w:pPr>
      <w:r>
        <w:rPr>
          <w:rFonts w:hint="eastAsia" w:ascii="方正仿宋_GBK" w:hAnsi="方正仿宋_GBK" w:cs="方正仿宋_GBK"/>
          <w:spacing w:val="-8"/>
          <w:szCs w:val="30"/>
        </w:rPr>
        <w:t>1.确定项目绩效目标。在项目立项阶段，应明确项目总体政策</w:t>
      </w:r>
      <w:r>
        <w:rPr>
          <w:rFonts w:hint="eastAsia" w:ascii="方正仿宋_GBK" w:hAnsi="方正仿宋_GBK" w:cs="方正仿宋_GBK"/>
          <w:spacing w:val="14"/>
          <w:szCs w:val="30"/>
        </w:rPr>
        <w:t xml:space="preserve"> </w:t>
      </w:r>
      <w:r>
        <w:rPr>
          <w:rFonts w:hint="eastAsia" w:ascii="方正仿宋_GBK" w:hAnsi="方正仿宋_GBK" w:cs="方正仿宋_GBK"/>
          <w:spacing w:val="-7"/>
          <w:szCs w:val="30"/>
        </w:rPr>
        <w:t>目标。在此基础上，根据有关中长期工作规划、项目实施方</w:t>
      </w:r>
      <w:r>
        <w:rPr>
          <w:rFonts w:hint="eastAsia" w:ascii="方正仿宋_GBK" w:hAnsi="方正仿宋_GBK" w:cs="方正仿宋_GBK"/>
          <w:spacing w:val="-8"/>
          <w:szCs w:val="30"/>
        </w:rPr>
        <w:t>案等，</w:t>
      </w:r>
      <w:r>
        <w:rPr>
          <w:rFonts w:hint="eastAsia" w:ascii="方正仿宋_GBK" w:hAnsi="方正仿宋_GBK" w:cs="方正仿宋_GBK"/>
          <w:spacing w:val="-7"/>
          <w:szCs w:val="30"/>
        </w:rPr>
        <w:t>特别是与项目立项直接相关的依据文件，分析重点工作任务</w:t>
      </w:r>
      <w:r>
        <w:rPr>
          <w:rFonts w:hint="eastAsia" w:ascii="方正仿宋_GBK" w:hAnsi="方正仿宋_GBK" w:cs="方正仿宋_GBK"/>
          <w:spacing w:val="-8"/>
          <w:szCs w:val="30"/>
        </w:rPr>
        <w:t>、需要</w:t>
      </w:r>
      <w:r>
        <w:rPr>
          <w:rFonts w:hint="eastAsia" w:ascii="方正仿宋_GBK" w:hAnsi="方正仿宋_GBK" w:cs="方正仿宋_GBK"/>
          <w:spacing w:val="-7"/>
          <w:szCs w:val="30"/>
        </w:rPr>
        <w:t>解决的主要问题和相关财政支出的政策意图，研究明</w:t>
      </w:r>
      <w:r>
        <w:rPr>
          <w:rFonts w:hint="eastAsia" w:ascii="方正仿宋_GBK" w:hAnsi="方正仿宋_GBK" w:cs="方正仿宋_GBK"/>
          <w:spacing w:val="-8"/>
          <w:szCs w:val="30"/>
        </w:rPr>
        <w:t>确项目的总体</w:t>
      </w:r>
      <w:r>
        <w:rPr>
          <w:rFonts w:hint="eastAsia" w:ascii="方正仿宋_GBK" w:hAnsi="方正仿宋_GBK" w:cs="方正仿宋_GBK"/>
          <w:spacing w:val="-6"/>
          <w:szCs w:val="30"/>
        </w:rPr>
        <w:t>绩效目标，即总任务、总产出、总效益等</w:t>
      </w:r>
    </w:p>
    <w:p>
      <w:pPr>
        <w:spacing w:before="57"/>
        <w:ind w:right="80" w:firstLine="576"/>
        <w:rPr>
          <w:rFonts w:ascii="方正仿宋_GBK" w:hAnsi="方正仿宋_GBK" w:cs="方正仿宋_GBK"/>
          <w:szCs w:val="30"/>
        </w:rPr>
      </w:pPr>
      <w:r>
        <w:rPr>
          <w:rFonts w:hint="eastAsia" w:ascii="方正仿宋_GBK" w:hAnsi="方正仿宋_GBK" w:cs="方正仿宋_GBK"/>
          <w:spacing w:val="-6"/>
          <w:szCs w:val="30"/>
        </w:rPr>
        <w:t>2分解细化指标。分析、归纳总体绩效目标，明确完成的工作</w:t>
      </w:r>
      <w:r>
        <w:rPr>
          <w:rFonts w:hint="eastAsia" w:ascii="方正仿宋_GBK" w:hAnsi="方正仿宋_GBK" w:cs="方正仿宋_GBK"/>
          <w:spacing w:val="4"/>
          <w:szCs w:val="30"/>
        </w:rPr>
        <w:t xml:space="preserve"> </w:t>
      </w:r>
      <w:r>
        <w:rPr>
          <w:rFonts w:hint="eastAsia" w:ascii="方正仿宋_GBK" w:hAnsi="方正仿宋_GBK" w:cs="方正仿宋_GBK"/>
          <w:spacing w:val="-7"/>
          <w:szCs w:val="30"/>
        </w:rPr>
        <w:t>任务，将其分解成多个子目标，细化任务清单。根据任务内</w:t>
      </w:r>
      <w:r>
        <w:rPr>
          <w:rFonts w:hint="eastAsia" w:ascii="方正仿宋_GBK" w:hAnsi="方正仿宋_GBK" w:cs="方正仿宋_GBK"/>
          <w:spacing w:val="-8"/>
          <w:szCs w:val="30"/>
        </w:rPr>
        <w:t>容，分</w:t>
      </w:r>
      <w:r>
        <w:rPr>
          <w:rFonts w:hint="eastAsia" w:ascii="方正仿宋_GBK" w:hAnsi="方正仿宋_GBK" w:cs="方正仿宋_GBK"/>
          <w:szCs w:val="30"/>
        </w:rPr>
        <w:t xml:space="preserve"> </w:t>
      </w:r>
      <w:r>
        <w:rPr>
          <w:rFonts w:hint="eastAsia" w:ascii="方正仿宋_GBK" w:hAnsi="方正仿宋_GBK" w:cs="方正仿宋_GBK"/>
          <w:spacing w:val="-7"/>
          <w:szCs w:val="30"/>
        </w:rPr>
        <w:t>析投入资源、开展活动、质量标准、成本要求、产出</w:t>
      </w:r>
      <w:r>
        <w:rPr>
          <w:rFonts w:hint="eastAsia" w:ascii="方正仿宋_GBK" w:hAnsi="方正仿宋_GBK" w:cs="方正仿宋_GBK"/>
          <w:spacing w:val="-8"/>
          <w:szCs w:val="30"/>
        </w:rPr>
        <w:t>内容、产生效</w:t>
      </w:r>
      <w:r>
        <w:rPr>
          <w:rFonts w:hint="eastAsia" w:ascii="方正仿宋_GBK" w:hAnsi="方正仿宋_GBK" w:cs="方正仿宋_GBK"/>
          <w:szCs w:val="30"/>
        </w:rPr>
        <w:t xml:space="preserve"> </w:t>
      </w:r>
      <w:r>
        <w:rPr>
          <w:rFonts w:hint="eastAsia" w:ascii="方正仿宋_GBK" w:hAnsi="方正仿宋_GBK" w:cs="方正仿宋_GBK"/>
          <w:spacing w:val="-6"/>
          <w:szCs w:val="30"/>
        </w:rPr>
        <w:t>果，设置绩效指标。</w:t>
      </w:r>
    </w:p>
    <w:p>
      <w:pPr>
        <w:spacing w:before="53"/>
        <w:ind w:right="80" w:firstLine="572"/>
        <w:rPr>
          <w:rFonts w:ascii="方正仿宋_GBK" w:hAnsi="方正仿宋_GBK" w:cs="方正仿宋_GBK"/>
          <w:szCs w:val="30"/>
        </w:rPr>
      </w:pPr>
      <w:r>
        <w:rPr>
          <w:rFonts w:hint="eastAsia" w:ascii="方正仿宋_GBK" w:hAnsi="方正仿宋_GBK" w:cs="方正仿宋_GBK"/>
          <w:spacing w:val="-7"/>
          <w:szCs w:val="30"/>
        </w:rPr>
        <w:t>3,设置指标值。绩效指标选定后，应参考相关历史数据、行业</w:t>
      </w:r>
      <w:r>
        <w:rPr>
          <w:rFonts w:hint="eastAsia" w:ascii="方正仿宋_GBK" w:hAnsi="方正仿宋_GBK" w:cs="方正仿宋_GBK"/>
          <w:spacing w:val="5"/>
          <w:szCs w:val="30"/>
        </w:rPr>
        <w:t xml:space="preserve"> </w:t>
      </w:r>
      <w:r>
        <w:rPr>
          <w:rFonts w:hint="eastAsia" w:ascii="方正仿宋_GBK" w:hAnsi="方正仿宋_GBK" w:cs="方正仿宋_GBK"/>
          <w:spacing w:val="-7"/>
          <w:szCs w:val="30"/>
        </w:rPr>
        <w:t>标准、计划标准等，科学设定指标值，指标值的设定</w:t>
      </w:r>
      <w:r>
        <w:rPr>
          <w:rFonts w:hint="eastAsia" w:ascii="方正仿宋_GBK" w:hAnsi="方正仿宋_GBK" w:cs="方正仿宋_GBK"/>
          <w:spacing w:val="-8"/>
          <w:szCs w:val="30"/>
        </w:rPr>
        <w:t>要在考虑可实</w:t>
      </w:r>
      <w:r>
        <w:rPr>
          <w:rFonts w:hint="eastAsia" w:ascii="方正仿宋_GBK" w:hAnsi="方正仿宋_GBK" w:cs="方正仿宋_GBK"/>
          <w:spacing w:val="-7"/>
          <w:szCs w:val="30"/>
        </w:rPr>
        <w:t>现性的基础上，尽量以严从高设定，以充分发挥绩效目标对</w:t>
      </w:r>
      <w:r>
        <w:rPr>
          <w:rFonts w:hint="eastAsia" w:ascii="方正仿宋_GBK" w:hAnsi="方正仿宋_GBK" w:cs="方正仿宋_GBK"/>
          <w:spacing w:val="-8"/>
          <w:szCs w:val="30"/>
        </w:rPr>
        <w:t>预算编</w:t>
      </w:r>
      <w:r>
        <w:rPr>
          <w:rFonts w:hint="eastAsia" w:ascii="方正仿宋_GBK" w:hAnsi="方正仿宋_GBK" w:cs="方正仿宋_GBK"/>
          <w:szCs w:val="30"/>
        </w:rPr>
        <w:t xml:space="preserve"> </w:t>
      </w:r>
      <w:r>
        <w:rPr>
          <w:rFonts w:hint="eastAsia" w:ascii="方正仿宋_GBK" w:hAnsi="方正仿宋_GBK" w:cs="方正仿宋_GBK"/>
          <w:spacing w:val="-7"/>
          <w:szCs w:val="30"/>
        </w:rPr>
        <w:t>制执行的引导约束和控制作用。避免选用难以确定具体</w:t>
      </w:r>
      <w:r>
        <w:rPr>
          <w:rFonts w:hint="eastAsia" w:ascii="方正仿宋_GBK" w:hAnsi="方正仿宋_GBK" w:cs="方正仿宋_GBK"/>
          <w:spacing w:val="-8"/>
          <w:szCs w:val="30"/>
        </w:rPr>
        <w:t>指标值、标</w:t>
      </w:r>
      <w:r>
        <w:rPr>
          <w:rFonts w:hint="eastAsia" w:ascii="方正仿宋_GBK" w:hAnsi="方正仿宋_GBK" w:cs="方正仿宋_GBK"/>
          <w:szCs w:val="30"/>
        </w:rPr>
        <w:t xml:space="preserve"> </w:t>
      </w:r>
      <w:r>
        <w:rPr>
          <w:rFonts w:hint="eastAsia" w:ascii="方正仿宋_GBK" w:hAnsi="方正仿宋_GBK" w:cs="方正仿宋_GBK"/>
          <w:spacing w:val="-7"/>
          <w:szCs w:val="30"/>
        </w:rPr>
        <w:t>准不明确或缺乏约束力的指标。</w:t>
      </w:r>
    </w:p>
    <w:p>
      <w:pPr>
        <w:spacing w:before="58"/>
        <w:ind w:left="8" w:right="90" w:firstLine="572"/>
        <w:rPr>
          <w:rFonts w:ascii="方正仿宋_GBK" w:hAnsi="方正仿宋_GBK" w:cs="方正仿宋_GBK"/>
          <w:szCs w:val="30"/>
        </w:rPr>
      </w:pPr>
      <w:r>
        <w:rPr>
          <w:rFonts w:hint="eastAsia" w:ascii="方正仿宋_GBK" w:hAnsi="方正仿宋_GBK" w:cs="方正仿宋_GBK"/>
          <w:spacing w:val="-7"/>
          <w:szCs w:val="30"/>
        </w:rPr>
        <w:t>4.加强指标衔接，强化一级项目绩效目标的统领性，二级项目是一级项目支出的细化和具体化，反映一级项目部分任务和</w:t>
      </w:r>
      <w:r>
        <w:rPr>
          <w:rFonts w:hint="eastAsia" w:ascii="方正仿宋_GBK" w:hAnsi="方正仿宋_GBK" w:cs="方正仿宋_GBK"/>
          <w:spacing w:val="-8"/>
          <w:szCs w:val="30"/>
        </w:rPr>
        <w:t>效果。加</w:t>
      </w:r>
      <w:r>
        <w:rPr>
          <w:rFonts w:hint="eastAsia" w:ascii="方正仿宋_GBK" w:hAnsi="方正仿宋_GBK" w:cs="方正仿宋_GBK"/>
          <w:spacing w:val="-7"/>
          <w:szCs w:val="30"/>
        </w:rPr>
        <w:t>强一、二级项目之间绩效指标的有机衔接，确保任务相与</w:t>
      </w:r>
      <w:r>
        <w:rPr>
          <w:rFonts w:hint="eastAsia" w:ascii="方正仿宋_GBK" w:hAnsi="方正仿宋_GBK" w:cs="方正仿宋_GBK"/>
          <w:spacing w:val="-8"/>
          <w:szCs w:val="30"/>
        </w:rPr>
        <w:t>以配，</w:t>
      </w:r>
      <w:r>
        <w:rPr>
          <w:rFonts w:hint="eastAsia" w:ascii="方正仿宋_GBK" w:hAnsi="方正仿宋_GBK" w:cs="方正仿宋_GBK"/>
          <w:spacing w:val="-7"/>
          <w:szCs w:val="30"/>
        </w:rPr>
        <w:t>指标逻辑对应，经部门审核确定后的一级项目绩效目标及指</w:t>
      </w:r>
      <w:r>
        <w:rPr>
          <w:rFonts w:hint="eastAsia" w:ascii="方正仿宋_GBK" w:hAnsi="方正仿宋_GBK" w:cs="方正仿宋_GBK"/>
          <w:spacing w:val="-8"/>
          <w:szCs w:val="30"/>
        </w:rPr>
        <w:t>标，随</w:t>
      </w:r>
      <w:r>
        <w:rPr>
          <w:rFonts w:hint="eastAsia" w:ascii="方正仿宋_GBK" w:hAnsi="方正仿宋_GBK" w:cs="方正仿宋_GBK"/>
          <w:spacing w:val="-7"/>
          <w:szCs w:val="30"/>
        </w:rPr>
        <w:t>预算报财政部审核批复。二级项目绩效目标及指标，</w:t>
      </w:r>
      <w:r>
        <w:rPr>
          <w:rFonts w:hint="eastAsia" w:ascii="方正仿宋_GBK" w:hAnsi="方正仿宋_GBK" w:cs="方正仿宋_GBK"/>
          <w:spacing w:val="-8"/>
          <w:szCs w:val="30"/>
        </w:rPr>
        <w:t>由部门负责审</w:t>
      </w:r>
      <w:r>
        <w:rPr>
          <w:rFonts w:hint="eastAsia" w:ascii="方正仿宋_GBK" w:hAnsi="方正仿宋_GBK" w:cs="方正仿宋_GBK"/>
          <w:spacing w:val="-6"/>
          <w:szCs w:val="30"/>
        </w:rPr>
        <w:t>核。</w:t>
      </w:r>
    </w:p>
    <w:p>
      <w:pPr>
        <w:pStyle w:val="2"/>
        <w:ind w:firstLine="0" w:firstLineChars="0"/>
        <w:jc w:val="left"/>
        <w:rPr>
          <w:rFonts w:ascii="仿宋" w:hAnsi="仿宋" w:eastAsia="仿宋"/>
          <w:sz w:val="36"/>
          <w:szCs w:val="36"/>
          <w:lang w:bidi="en-US"/>
        </w:rPr>
      </w:pPr>
      <w:bookmarkStart w:id="59" w:name="_Toc3271"/>
      <w:r>
        <w:rPr>
          <w:rFonts w:hint="eastAsia" w:ascii="仿宋" w:hAnsi="仿宋" w:eastAsia="仿宋"/>
          <w:sz w:val="36"/>
          <w:szCs w:val="36"/>
          <w:lang w:bidi="en-US"/>
        </w:rPr>
        <w:t>七、其他需要说明的问题</w:t>
      </w:r>
      <w:bookmarkEnd w:id="58"/>
      <w:bookmarkEnd w:id="59"/>
    </w:p>
    <w:p>
      <w:pPr>
        <w:rPr>
          <w:rFonts w:ascii="方正仿宋_GBK" w:hAnsi="方正仿宋_GBK" w:cs="方正仿宋_GBK"/>
          <w:szCs w:val="28"/>
        </w:rPr>
      </w:pPr>
      <w:r>
        <w:rPr>
          <w:rFonts w:hint="eastAsia" w:ascii="方正仿宋_GBK" w:hAnsi="方正仿宋_GBK" w:cs="方正仿宋_GBK"/>
          <w:szCs w:val="28"/>
        </w:rPr>
        <w:t>1.项目支出政策和路径设计科学，符合实际需要；</w:t>
      </w:r>
    </w:p>
    <w:p>
      <w:pPr>
        <w:rPr>
          <w:rFonts w:ascii="方正仿宋_GBK" w:hAnsi="方正仿宋_GBK" w:cs="方正仿宋_GBK"/>
          <w:szCs w:val="28"/>
        </w:rPr>
      </w:pPr>
      <w:r>
        <w:rPr>
          <w:rFonts w:hint="eastAsia" w:ascii="方正仿宋_GBK" w:hAnsi="方正仿宋_GBK" w:cs="方正仿宋_GBK"/>
          <w:szCs w:val="28"/>
        </w:rPr>
        <w:t>2.项目安排准确，未发现背离项目立项初衷的情况；</w:t>
      </w:r>
    </w:p>
    <w:p>
      <w:pPr>
        <w:rPr>
          <w:rFonts w:ascii="方正仿宋_GBK" w:hAnsi="方正仿宋_GBK" w:cs="方正仿宋_GBK"/>
          <w:szCs w:val="28"/>
        </w:rPr>
      </w:pPr>
      <w:r>
        <w:rPr>
          <w:rFonts w:hint="eastAsia" w:ascii="方正仿宋_GBK" w:hAnsi="方正仿宋_GBK" w:cs="方正仿宋_GBK"/>
          <w:szCs w:val="28"/>
        </w:rPr>
        <w:t>3.项目的申报、审核机制完善；</w:t>
      </w:r>
    </w:p>
    <w:p>
      <w:pPr>
        <w:rPr>
          <w:rFonts w:ascii="方正仿宋_GBK" w:hAnsi="方正仿宋_GBK" w:cs="方正仿宋_GBK"/>
          <w:szCs w:val="28"/>
        </w:rPr>
      </w:pPr>
      <w:r>
        <w:rPr>
          <w:rFonts w:hint="eastAsia" w:ascii="方正仿宋_GBK" w:hAnsi="方正仿宋_GBK" w:cs="方正仿宋_GBK"/>
          <w:szCs w:val="28"/>
        </w:rPr>
        <w:t>4.未发现虚假行为和骗取财政资金的问题。</w:t>
      </w:r>
    </w:p>
    <w:p>
      <w:pPr>
        <w:spacing w:line="360" w:lineRule="auto"/>
        <w:rPr>
          <w:rFonts w:ascii="仿宋_GB2312"/>
          <w:szCs w:val="28"/>
        </w:rPr>
      </w:pPr>
    </w:p>
    <w:sectPr>
      <w:headerReference r:id="rId9" w:type="default"/>
      <w:footerReference r:id="rId10" w:type="default"/>
      <w:footnotePr>
        <w:numFmt w:val="decimalEnclosedCircleChinese"/>
        <w:numRestart w:val="eachPage"/>
      </w:footnotePr>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51C66B-94AC-4D1A-BDC7-DCAC8B5824D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7E33EB7-2DDB-4845-9B86-44DE5784C8B0}"/>
  </w:font>
  <w:font w:name="方正仿宋_GBK">
    <w:altName w:val="微软雅黑"/>
    <w:panose1 w:val="03000509000000000000"/>
    <w:charset w:val="86"/>
    <w:family w:val="script"/>
    <w:pitch w:val="default"/>
    <w:sig w:usb0="00000000" w:usb1="00000000" w:usb2="00000000" w:usb3="00000000" w:csb0="00040000" w:csb1="00000000"/>
    <w:embedRegular r:id="rId3" w:fontKey="{1B122EC3-6B0B-42F3-91BE-EBACF46AA1F9}"/>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embedRegular r:id="rId4" w:fontKey="{67CA83C2-B6E0-4E5F-A07F-5F860899A1BA}"/>
  </w:font>
  <w:font w:name="方正小标宋_GBK">
    <w:panose1 w:val="02000000000000000000"/>
    <w:charset w:val="86"/>
    <w:family w:val="script"/>
    <w:pitch w:val="default"/>
    <w:sig w:usb0="A00002BF" w:usb1="38CF7CFA" w:usb2="00082016" w:usb3="00000000" w:csb0="00040001" w:csb1="00000000"/>
    <w:embedRegular r:id="rId5" w:fontKey="{4AFFF46C-17B1-4C13-B345-9ECCF32D1336}"/>
  </w:font>
  <w:font w:name="仿宋">
    <w:panose1 w:val="02010609060101010101"/>
    <w:charset w:val="86"/>
    <w:family w:val="modern"/>
    <w:pitch w:val="default"/>
    <w:sig w:usb0="800002BF" w:usb1="38CF7CFA" w:usb2="00000016" w:usb3="00000000" w:csb0="00040001" w:csb1="00000000"/>
    <w:embedRegular r:id="rId6" w:fontKey="{EBDDDD78-F97C-40DE-AA61-C09990EC6739}"/>
  </w:font>
  <w:font w:name="Gungsuh">
    <w:altName w:val="Malgun Gothic"/>
    <w:panose1 w:val="02030600000101010101"/>
    <w:charset w:val="81"/>
    <w:family w:val="roman"/>
    <w:pitch w:val="default"/>
    <w:sig w:usb0="00000000" w:usb1="00000000" w:usb2="00000030" w:usb3="00000000" w:csb0="0008009F" w:csb1="00000000"/>
    <w:embedRegular r:id="rId7" w:fontKey="{B0379964-AC36-45C3-A467-6C7A84402F3B}"/>
  </w:font>
  <w:font w:name="华文宋体">
    <w:altName w:val="宋体"/>
    <w:panose1 w:val="02010600040101010101"/>
    <w:charset w:val="86"/>
    <w:family w:val="auto"/>
    <w:pitch w:val="default"/>
    <w:sig w:usb0="00000000" w:usb1="00000000" w:usb2="00000000" w:usb3="00000000" w:csb0="0004009F" w:csb1="DFD70000"/>
    <w:embedRegular r:id="rId8" w:fontKey="{41A47E49-3A4C-4016-89F9-958B01A4A8D5}"/>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pPr>
      <w:pStyle w:val="10"/>
      <w:rPr>
        <w:rFonts w:ascii="仿宋_GB2312" w:eastAsia="仿宋_GB2312"/>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20</w:t>
        </w:r>
        <w:r>
          <w:rPr>
            <w:rFonts w:hint="eastAsia" w:ascii="仿宋_GB2312" w:eastAsia="仿宋_GB2312"/>
            <w:sz w:val="21"/>
            <w:szCs w:val="21"/>
          </w:rPr>
          <w:fldChar w:fldCharType="end"/>
        </w:r>
      </w:p>
    </w:sdtContent>
  </w:sdt>
  <w:p>
    <w:pPr>
      <w:pStyle w:val="10"/>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320" w:firstLine="344"/>
      <w:rPr>
        <w:rFonts w:ascii="宋体" w:hAnsi="宋体" w:eastAsia="宋体" w:cs="宋体"/>
        <w:sz w:val="18"/>
        <w:szCs w:val="18"/>
      </w:rPr>
    </w:pPr>
    <w:r>
      <w:rPr>
        <w:rFonts w:ascii="宋体" w:hAnsi="宋体" w:eastAsia="宋体" w:cs="宋体"/>
        <w:spacing w:val="-4"/>
        <w:sz w:val="18"/>
        <w:szCs w:val="18"/>
      </w:rPr>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00"/>
      </w:pPr>
      <w:r>
        <w:separator/>
      </w:r>
    </w:p>
  </w:footnote>
  <w:footnote w:type="continuationSeparator" w:id="5">
    <w:p>
      <w:pPr>
        <w:spacing w:line="240" w:lineRule="auto"/>
        <w:ind w:firstLine="600"/>
      </w:pPr>
      <w:r>
        <w:continuationSeparator/>
      </w:r>
    </w:p>
  </w:footnote>
  <w:footnote w:id="0">
    <w:p>
      <w:pPr>
        <w:pStyle w:val="13"/>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09487"/>
    <w:multiLevelType w:val="singleLevel"/>
    <w:tmpl w:val="A2A09487"/>
    <w:lvl w:ilvl="0" w:tentative="0">
      <w:start w:val="2"/>
      <w:numFmt w:val="decimal"/>
      <w:lvlText w:val="%1."/>
      <w:lvlJc w:val="left"/>
      <w:pPr>
        <w:tabs>
          <w:tab w:val="left" w:pos="312"/>
        </w:tabs>
      </w:pPr>
    </w:lvl>
  </w:abstractNum>
  <w:abstractNum w:abstractNumId="1">
    <w:nsid w:val="4DD526AE"/>
    <w:multiLevelType w:val="singleLevel"/>
    <w:tmpl w:val="4DD526A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trackRevisions w:val="1"/>
  <w:documentProtection w:enforcement="0"/>
  <w:defaultTabStop w:val="420"/>
  <w:drawingGridHorizontalSpacing w:val="140"/>
  <w:drawingGridVerticalSpacing w:val="381"/>
  <w:noPunctuationKerning w:val="1"/>
  <w:characterSpacingControl w:val="compressPunctuation"/>
  <w:footnotePr>
    <w:numFmt w:val="decimalEnclosedCircleChinese"/>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lNmE5YTUwMTVmODdiYjcwYzMxNWRlMzE4ZDI4ZjUifQ=="/>
    <w:docVar w:name="KSO_WPS_MARK_KEY" w:val="66c73c40-3444-488f-818b-4c9511de6c00"/>
  </w:docVars>
  <w:rsids>
    <w:rsidRoot w:val="00172A27"/>
    <w:rsid w:val="00017386"/>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72A27"/>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300E"/>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CE4311"/>
    <w:rsid w:val="04F94D73"/>
    <w:rsid w:val="0DB25F8E"/>
    <w:rsid w:val="0F5D508F"/>
    <w:rsid w:val="131B45D5"/>
    <w:rsid w:val="13280AA0"/>
    <w:rsid w:val="15051099"/>
    <w:rsid w:val="16453271"/>
    <w:rsid w:val="16E504BC"/>
    <w:rsid w:val="17457E73"/>
    <w:rsid w:val="18982224"/>
    <w:rsid w:val="1A1679E0"/>
    <w:rsid w:val="1AC15A62"/>
    <w:rsid w:val="20BA367F"/>
    <w:rsid w:val="21197C6C"/>
    <w:rsid w:val="218617B3"/>
    <w:rsid w:val="22DB78DD"/>
    <w:rsid w:val="24672BC6"/>
    <w:rsid w:val="343E7CCC"/>
    <w:rsid w:val="3AF70BD4"/>
    <w:rsid w:val="3E157EDD"/>
    <w:rsid w:val="3EF92B31"/>
    <w:rsid w:val="41FB3C2B"/>
    <w:rsid w:val="4575742A"/>
    <w:rsid w:val="4A0C324A"/>
    <w:rsid w:val="4DBC0187"/>
    <w:rsid w:val="560426CB"/>
    <w:rsid w:val="58286540"/>
    <w:rsid w:val="58B06B3A"/>
    <w:rsid w:val="594F1EAF"/>
    <w:rsid w:val="5A6C4CE3"/>
    <w:rsid w:val="5D326AD6"/>
    <w:rsid w:val="5F9E6311"/>
    <w:rsid w:val="66C35C8B"/>
    <w:rsid w:val="6920000C"/>
    <w:rsid w:val="6DD95D94"/>
    <w:rsid w:val="733F2B3D"/>
    <w:rsid w:val="76601D13"/>
    <w:rsid w:val="76E9529A"/>
    <w:rsid w:val="7DB52379"/>
    <w:rsid w:val="7E557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00" w:firstLineChars="200"/>
      <w:jc w:val="both"/>
    </w:pPr>
    <w:rPr>
      <w:rFonts w:ascii="Calibri" w:hAnsi="Calibri" w:eastAsia="方正仿宋_GBK" w:cs="黑体"/>
      <w:kern w:val="2"/>
      <w:sz w:val="30"/>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Body Text"/>
    <w:basedOn w:val="1"/>
    <w:semiHidden/>
    <w:qFormat/>
    <w:uiPriority w:val="0"/>
    <w:rPr>
      <w:rFonts w:ascii="Arial" w:hAnsi="Arial" w:eastAsia="Arial" w:cs="Arial"/>
      <w:sz w:val="21"/>
      <w:szCs w:val="21"/>
      <w:lang w:eastAsia="en-US"/>
    </w:rPr>
  </w:style>
  <w:style w:type="paragraph" w:styleId="7">
    <w:name w:val="toc 3"/>
    <w:basedOn w:val="1"/>
    <w:next w:val="1"/>
    <w:unhideWhenUsed/>
    <w:qFormat/>
    <w:uiPriority w:val="39"/>
    <w:pPr>
      <w:ind w:left="840" w:leftChars="400"/>
    </w:pPr>
  </w:style>
  <w:style w:type="paragraph" w:styleId="8">
    <w:name w:val="Date"/>
    <w:basedOn w:val="1"/>
    <w:next w:val="1"/>
    <w:link w:val="24"/>
    <w:semiHidden/>
    <w:unhideWhenUsed/>
    <w:qFormat/>
    <w:uiPriority w:val="99"/>
    <w:pPr>
      <w:ind w:left="100" w:leftChars="2500"/>
    </w:pPr>
  </w:style>
  <w:style w:type="paragraph" w:styleId="9">
    <w:name w:val="Balloon Text"/>
    <w:basedOn w:val="1"/>
    <w:link w:val="33"/>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6"/>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1"/>
    <w:qFormat/>
    <w:uiPriority w:val="99"/>
    <w:rPr>
      <w:sz w:val="18"/>
      <w:szCs w:val="18"/>
    </w:rPr>
  </w:style>
  <w:style w:type="character" w:customStyle="1" w:styleId="23">
    <w:name w:val="页脚 Char"/>
    <w:basedOn w:val="18"/>
    <w:link w:val="10"/>
    <w:qFormat/>
    <w:uiPriority w:val="99"/>
    <w:rPr>
      <w:sz w:val="18"/>
      <w:szCs w:val="18"/>
    </w:rPr>
  </w:style>
  <w:style w:type="character" w:customStyle="1" w:styleId="24">
    <w:name w:val="日期 Char"/>
    <w:basedOn w:val="18"/>
    <w:link w:val="8"/>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3"/>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9"/>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5784E-5437-4DFB-9274-2C1720E25A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35</Pages>
  <Words>11968</Words>
  <Characters>12520</Characters>
  <Lines>122</Lines>
  <Paragraphs>34</Paragraphs>
  <TotalTime>91</TotalTime>
  <ScaleCrop>false</ScaleCrop>
  <LinksUpToDate>false</LinksUpToDate>
  <CharactersWithSpaces>12671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骑驴看星星</cp:lastModifiedBy>
  <cp:lastPrinted>2023-04-11T02:57:00Z</cp:lastPrinted>
  <dcterms:modified xsi:type="dcterms:W3CDTF">2024-08-21T08:28:30Z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FB7F09EF6C76418586402002F03951A3_13</vt:lpwstr>
  </property>
</Properties>
</file>