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D359BA">
      <w:pPr>
        <w:spacing w:line="480" w:lineRule="auto"/>
        <w:ind w:firstLine="0" w:firstLineChars="0"/>
        <w:rPr>
          <w:rFonts w:ascii="Times New Roman" w:hAnsi="Times New Roman" w:eastAsia="黑体" w:cs="Times New Roman"/>
          <w:b/>
          <w:kern w:val="0"/>
          <w:sz w:val="50"/>
          <w:szCs w:val="50"/>
          <w:lang w:bidi="en-US"/>
        </w:rPr>
      </w:pPr>
    </w:p>
    <w:p w14:paraId="112B8B01">
      <w:pPr>
        <w:spacing w:line="480" w:lineRule="auto"/>
        <w:ind w:firstLine="0" w:firstLineChars="0"/>
        <w:rPr>
          <w:rFonts w:ascii="Times New Roman" w:hAnsi="Times New Roman" w:eastAsia="黑体" w:cs="Times New Roman"/>
          <w:b/>
          <w:kern w:val="0"/>
          <w:sz w:val="50"/>
          <w:szCs w:val="50"/>
          <w:lang w:bidi="en-US"/>
        </w:rPr>
      </w:pPr>
    </w:p>
    <w:p w14:paraId="0AAD4E1B">
      <w:pPr>
        <w:spacing w:line="480" w:lineRule="auto"/>
        <w:ind w:firstLine="0" w:firstLineChars="0"/>
        <w:jc w:val="center"/>
        <w:rPr>
          <w:rFonts w:ascii="Times New Roman" w:hAnsi="Times New Roman" w:eastAsia="黑体" w:cs="Times New Roman"/>
          <w:b/>
          <w:kern w:val="0"/>
          <w:sz w:val="50"/>
          <w:szCs w:val="50"/>
          <w:lang w:bidi="en-US"/>
        </w:rPr>
      </w:pPr>
    </w:p>
    <w:p w14:paraId="39CA2C78">
      <w:pPr>
        <w:spacing w:before="120" w:after="120" w:line="480" w:lineRule="auto"/>
        <w:ind w:firstLine="0" w:firstLineChars="0"/>
        <w:jc w:val="center"/>
        <w:rPr>
          <w:rFonts w:ascii="仿宋_GB2312" w:hAnsi="Arial"/>
          <w:b/>
          <w:sz w:val="44"/>
          <w:szCs w:val="44"/>
        </w:rPr>
      </w:pPr>
      <w:r>
        <w:rPr>
          <w:rFonts w:hint="eastAsia" w:ascii="仿宋_GB2312" w:hAnsi="Arial"/>
          <w:b/>
          <w:sz w:val="44"/>
          <w:szCs w:val="44"/>
        </w:rPr>
        <w:t>财政项目支出绩效评价报告</w:t>
      </w:r>
    </w:p>
    <w:p w14:paraId="1C6F5F96">
      <w:pPr>
        <w:spacing w:line="480" w:lineRule="auto"/>
        <w:ind w:firstLine="0" w:firstLineChars="0"/>
        <w:jc w:val="center"/>
        <w:rPr>
          <w:rFonts w:ascii="Times New Roman" w:hAnsi="Times New Roman" w:eastAsia="黑体" w:cs="Times New Roman"/>
          <w:b/>
          <w:kern w:val="0"/>
          <w:sz w:val="50"/>
          <w:szCs w:val="50"/>
          <w:lang w:bidi="en-US"/>
        </w:rPr>
      </w:pPr>
    </w:p>
    <w:p w14:paraId="062AD56F">
      <w:pPr>
        <w:spacing w:line="480" w:lineRule="auto"/>
        <w:ind w:firstLine="0" w:firstLineChars="0"/>
        <w:jc w:val="center"/>
        <w:rPr>
          <w:rFonts w:ascii="Times New Roman" w:hAnsi="Times New Roman" w:eastAsia="黑体" w:cs="Times New Roman"/>
          <w:b/>
          <w:kern w:val="0"/>
          <w:sz w:val="50"/>
          <w:szCs w:val="50"/>
          <w:lang w:bidi="en-US"/>
        </w:rPr>
      </w:pPr>
    </w:p>
    <w:p w14:paraId="5873BA46">
      <w:pPr>
        <w:spacing w:line="480" w:lineRule="auto"/>
        <w:ind w:firstLine="0" w:firstLineChars="0"/>
        <w:jc w:val="center"/>
        <w:rPr>
          <w:rFonts w:ascii="Times New Roman" w:hAnsi="Times New Roman" w:eastAsia="黑体" w:cs="Times New Roman"/>
          <w:b/>
          <w:kern w:val="0"/>
          <w:sz w:val="50"/>
          <w:szCs w:val="50"/>
          <w:lang w:bidi="en-US"/>
        </w:rPr>
      </w:pPr>
    </w:p>
    <w:p w14:paraId="18FF5895">
      <w:pPr>
        <w:spacing w:line="480" w:lineRule="auto"/>
        <w:ind w:firstLine="0" w:firstLineChars="0"/>
        <w:jc w:val="center"/>
        <w:rPr>
          <w:rFonts w:ascii="Times New Roman" w:hAnsi="Times New Roman" w:eastAsia="黑体" w:cs="Times New Roman"/>
          <w:b/>
          <w:kern w:val="0"/>
          <w:sz w:val="50"/>
          <w:szCs w:val="50"/>
          <w:lang w:bidi="en-US"/>
        </w:rPr>
      </w:pPr>
    </w:p>
    <w:p w14:paraId="7D082535">
      <w:pPr>
        <w:spacing w:line="480" w:lineRule="auto"/>
        <w:ind w:firstLine="0" w:firstLineChars="0"/>
        <w:jc w:val="center"/>
        <w:rPr>
          <w:rFonts w:ascii="Times New Roman" w:hAnsi="Times New Roman" w:eastAsia="黑体" w:cs="Times New Roman"/>
          <w:b/>
          <w:kern w:val="0"/>
          <w:sz w:val="50"/>
          <w:szCs w:val="50"/>
          <w:lang w:bidi="en-US"/>
        </w:rPr>
      </w:pPr>
    </w:p>
    <w:p w14:paraId="3EBA266D">
      <w:pPr>
        <w:spacing w:line="480" w:lineRule="auto"/>
        <w:ind w:firstLine="0" w:firstLineChars="0"/>
        <w:jc w:val="center"/>
        <w:rPr>
          <w:rFonts w:ascii="Times New Roman" w:hAnsi="Times New Roman" w:eastAsia="黑体" w:cs="Times New Roman"/>
          <w:b/>
          <w:kern w:val="0"/>
          <w:sz w:val="50"/>
          <w:szCs w:val="50"/>
          <w:lang w:bidi="en-US"/>
        </w:rPr>
      </w:pPr>
    </w:p>
    <w:p w14:paraId="2F5FE2D4">
      <w:pPr>
        <w:spacing w:line="480" w:lineRule="auto"/>
        <w:ind w:firstLine="0" w:firstLineChars="0"/>
        <w:jc w:val="center"/>
        <w:rPr>
          <w:rFonts w:ascii="仿宋_GB2312" w:hAnsi="Times New Roman" w:cs="Times New Roman"/>
          <w:kern w:val="0"/>
          <w:sz w:val="30"/>
          <w:szCs w:val="30"/>
          <w:lang w:bidi="en-US"/>
        </w:rPr>
      </w:pPr>
    </w:p>
    <w:p w14:paraId="5D1DD087">
      <w:pPr>
        <w:spacing w:line="480" w:lineRule="auto"/>
        <w:ind w:firstLine="1411" w:firstLineChars="441"/>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项目名称：</w:t>
      </w:r>
      <w:r>
        <w:rPr>
          <w:rFonts w:hint="eastAsia" w:ascii="仿宋_GB2312" w:hAnsi="Times New Roman" w:cs="Times New Roman"/>
          <w:kern w:val="0"/>
          <w:sz w:val="32"/>
          <w:szCs w:val="32"/>
          <w:lang w:val="en-US" w:eastAsia="zh-CN" w:bidi="en-US"/>
        </w:rPr>
        <w:t>采供血业务-非政采</w:t>
      </w:r>
      <w:r>
        <w:rPr>
          <w:rFonts w:ascii="仿宋_GB2312" w:hAnsi="Times New Roman" w:cs="Times New Roman"/>
          <w:kern w:val="0"/>
          <w:sz w:val="32"/>
          <w:szCs w:val="32"/>
          <w:lang w:bidi="en-US"/>
        </w:rPr>
        <w:t xml:space="preserve"> </w:t>
      </w:r>
    </w:p>
    <w:p w14:paraId="24B7F272">
      <w:pPr>
        <w:spacing w:line="480" w:lineRule="auto"/>
        <w:ind w:left="280" w:leftChars="100" w:firstLine="1091" w:firstLineChars="341"/>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项目单位：</w:t>
      </w:r>
      <w:r>
        <w:rPr>
          <w:rFonts w:hint="eastAsia" w:ascii="仿宋_GB2312" w:hAnsi="Times New Roman" w:cs="Times New Roman"/>
          <w:kern w:val="0"/>
          <w:sz w:val="32"/>
          <w:szCs w:val="32"/>
          <w:lang w:val="en-US" w:eastAsia="zh-CN" w:bidi="en-US"/>
        </w:rPr>
        <w:t>乌鲁木齐市血液中心</w:t>
      </w:r>
      <w:r>
        <w:rPr>
          <w:rFonts w:ascii="仿宋_GB2312" w:hAnsi="Times New Roman" w:cs="Times New Roman"/>
          <w:kern w:val="0"/>
          <w:sz w:val="32"/>
          <w:szCs w:val="32"/>
          <w:lang w:bidi="en-US"/>
        </w:rPr>
        <w:t xml:space="preserve"> </w:t>
      </w:r>
    </w:p>
    <w:p w14:paraId="638C8E99">
      <w:pPr>
        <w:spacing w:line="480" w:lineRule="auto"/>
        <w:ind w:left="280" w:leftChars="100" w:firstLine="1091" w:firstLineChars="341"/>
        <w:jc w:val="left"/>
        <w:rPr>
          <w:rFonts w:hint="default" w:ascii="仿宋_GB2312" w:hAnsi="Times New Roman" w:eastAsia="仿宋_GB2312" w:cs="Times New Roman"/>
          <w:kern w:val="0"/>
          <w:sz w:val="32"/>
          <w:szCs w:val="32"/>
          <w:lang w:val="en-US" w:eastAsia="zh-CN" w:bidi="en-US"/>
        </w:rPr>
      </w:pPr>
      <w:r>
        <w:rPr>
          <w:rFonts w:hint="eastAsia" w:ascii="仿宋_GB2312" w:hAnsi="Times New Roman" w:cs="Times New Roman"/>
          <w:kern w:val="0"/>
          <w:sz w:val="32"/>
          <w:szCs w:val="32"/>
          <w:lang w:bidi="en-US"/>
        </w:rPr>
        <w:t>主管部门：</w:t>
      </w:r>
      <w:r>
        <w:rPr>
          <w:rFonts w:hint="eastAsia" w:ascii="仿宋_GB2312" w:hAnsi="Times New Roman" w:cs="Times New Roman"/>
          <w:kern w:val="0"/>
          <w:sz w:val="32"/>
          <w:szCs w:val="32"/>
          <w:lang w:val="en-US" w:eastAsia="zh-CN" w:bidi="en-US"/>
        </w:rPr>
        <w:t>乌鲁木齐市卫生健康委员会</w:t>
      </w:r>
    </w:p>
    <w:p w14:paraId="1CCA2BF1">
      <w:pPr>
        <w:spacing w:line="480" w:lineRule="auto"/>
        <w:ind w:firstLine="1411" w:firstLineChars="441"/>
        <w:jc w:val="left"/>
        <w:rPr>
          <w:rFonts w:ascii="仿宋_GB2312" w:hAnsi="Times New Roman" w:cs="Times New Roman"/>
          <w:kern w:val="0"/>
          <w:sz w:val="32"/>
          <w:szCs w:val="32"/>
          <w:lang w:bidi="en-US"/>
        </w:rPr>
      </w:pPr>
    </w:p>
    <w:p w14:paraId="6817BCC0">
      <w:pPr>
        <w:spacing w:line="480" w:lineRule="auto"/>
        <w:ind w:firstLine="0" w:firstLineChars="0"/>
        <w:rPr>
          <w:rFonts w:ascii="黑体" w:hAnsi="Times New Roman" w:eastAsia="黑体" w:cs="Times New Roman"/>
          <w:b/>
          <w:kern w:val="0"/>
          <w:sz w:val="32"/>
          <w:szCs w:val="32"/>
          <w:lang w:bidi="en-US"/>
        </w:rPr>
      </w:pPr>
    </w:p>
    <w:p w14:paraId="6ABAC92C">
      <w:pPr>
        <w:spacing w:line="480" w:lineRule="auto"/>
        <w:ind w:firstLine="0" w:firstLineChars="0"/>
        <w:rPr>
          <w:rFonts w:ascii="黑体" w:hAnsi="Times New Roman" w:eastAsia="黑体" w:cs="Times New Roman"/>
          <w:b/>
          <w:kern w:val="0"/>
          <w:sz w:val="32"/>
          <w:szCs w:val="32"/>
          <w:lang w:bidi="en-US"/>
        </w:rPr>
      </w:pPr>
    </w:p>
    <w:p w14:paraId="5C82A6D1">
      <w:pPr>
        <w:spacing w:line="480" w:lineRule="auto"/>
        <w:ind w:firstLine="0" w:firstLineChars="0"/>
        <w:jc w:val="center"/>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2023年0</w:t>
      </w:r>
      <w:r>
        <w:rPr>
          <w:rFonts w:ascii="仿宋_GB2312" w:hAnsi="Times New Roman" w:cs="Times New Roman"/>
          <w:kern w:val="0"/>
          <w:sz w:val="32"/>
          <w:szCs w:val="32"/>
          <w:lang w:bidi="en-US"/>
        </w:rPr>
        <w:t>4</w:t>
      </w:r>
      <w:r>
        <w:rPr>
          <w:rFonts w:hint="eastAsia" w:ascii="仿宋_GB2312" w:hAnsi="Times New Roman" w:cs="Times New Roman"/>
          <w:kern w:val="0"/>
          <w:sz w:val="32"/>
          <w:szCs w:val="32"/>
          <w:lang w:bidi="en-US"/>
        </w:rPr>
        <w:t>月</w:t>
      </w:r>
    </w:p>
    <w:p w14:paraId="53ED3F8A">
      <w:pPr>
        <w:spacing w:line="480" w:lineRule="auto"/>
        <w:ind w:firstLine="0" w:firstLineChars="0"/>
        <w:jc w:val="center"/>
        <w:rPr>
          <w:rFonts w:ascii="仿宋_GB2312" w:hAnsi="Times New Roman" w:cs="Times New Roman"/>
          <w:kern w:val="0"/>
          <w:sz w:val="32"/>
          <w:szCs w:val="32"/>
          <w:lang w:bidi="en-US"/>
        </w:rPr>
      </w:pPr>
    </w:p>
    <w:p w14:paraId="14B7A957">
      <w:pPr>
        <w:tabs>
          <w:tab w:val="left" w:pos="3324"/>
        </w:tabs>
        <w:spacing w:line="480" w:lineRule="auto"/>
        <w:ind w:firstLine="0" w:firstLineChars="0"/>
        <w:rPr>
          <w:rFonts w:ascii="仿宋_GB2312" w:hAnsi="Times New Roman" w:cs="Times New Roman"/>
          <w:kern w:val="0"/>
          <w:sz w:val="32"/>
          <w:szCs w:val="32"/>
          <w:lang w:bidi="en-US"/>
        </w:rPr>
      </w:pPr>
      <w:r>
        <w:rPr>
          <w:rFonts w:ascii="仿宋_GB2312" w:hAnsi="Times New Roman" w:cs="Times New Roman"/>
          <w:kern w:val="0"/>
          <w:sz w:val="32"/>
          <w:szCs w:val="32"/>
          <w:lang w:bidi="en-US"/>
        </w:rPr>
        <w:tab/>
      </w:r>
    </w:p>
    <w:p w14:paraId="20CF65BF">
      <w:pPr>
        <w:ind w:firstLine="640"/>
        <w:rPr>
          <w:rFonts w:ascii="仿宋_GB2312" w:hAnsi="Times New Roman" w:cs="Times New Roman"/>
          <w:kern w:val="0"/>
          <w:sz w:val="32"/>
          <w:szCs w:val="32"/>
          <w:lang w:bidi="en-US"/>
        </w:rPr>
      </w:pPr>
    </w:p>
    <w:sdt>
      <w:sdtPr>
        <w:rPr>
          <w:rFonts w:ascii="Calibri" w:hAnsi="Calibri" w:eastAsia="仿宋_GB2312" w:cs="黑体"/>
          <w:color w:val="auto"/>
          <w:kern w:val="2"/>
          <w:sz w:val="28"/>
          <w:szCs w:val="22"/>
          <w:lang w:val="zh-CN"/>
        </w:rPr>
        <w:id w:val="-1822651860"/>
        <w:docPartObj>
          <w:docPartGallery w:val="Table of Contents"/>
          <w:docPartUnique/>
        </w:docPartObj>
      </w:sdtPr>
      <w:sdtEndPr>
        <w:rPr>
          <w:rFonts w:ascii="Calibri" w:hAnsi="Calibri" w:eastAsia="仿宋_GB2312" w:cs="黑体"/>
          <w:b/>
          <w:bCs/>
          <w:color w:val="auto"/>
          <w:kern w:val="2"/>
          <w:sz w:val="28"/>
          <w:szCs w:val="22"/>
          <w:lang w:val="zh-CN"/>
        </w:rPr>
      </w:sdtEndPr>
      <w:sdtContent>
        <w:p w14:paraId="766D0F70">
          <w:pPr>
            <w:pStyle w:val="30"/>
            <w:ind w:firstLine="560"/>
            <w:jc w:val="center"/>
          </w:pPr>
          <w:r>
            <w:rPr>
              <w:lang w:val="zh-CN"/>
            </w:rPr>
            <w:t>目录</w:t>
          </w:r>
        </w:p>
        <w:p w14:paraId="1E2072E0">
          <w:pPr>
            <w:pStyle w:val="11"/>
            <w:tabs>
              <w:tab w:val="right" w:leader="dot" w:pos="8296"/>
            </w:tabs>
            <w:ind w:firstLine="560"/>
            <w:rPr>
              <w:rFonts w:asciiTheme="minorHAnsi" w:hAnsiTheme="minorHAnsi" w:eastAsiaTheme="minorEastAsia" w:cstheme="minorBidi"/>
              <w:sz w:val="21"/>
            </w:rPr>
          </w:pPr>
          <w:r>
            <w:fldChar w:fldCharType="begin"/>
          </w:r>
          <w:r>
            <w:instrText xml:space="preserve"> TOC \o "1-3" \h \z \u </w:instrText>
          </w:r>
          <w:r>
            <w:fldChar w:fldCharType="separate"/>
          </w:r>
          <w:r>
            <w:fldChar w:fldCharType="begin"/>
          </w:r>
          <w:r>
            <w:instrText xml:space="preserve"> HYPERLINK \l "_Toc165277220" </w:instrText>
          </w:r>
          <w:r>
            <w:fldChar w:fldCharType="separate"/>
          </w:r>
          <w:r>
            <w:rPr>
              <w:rStyle w:val="19"/>
              <w:rFonts w:hint="eastAsia" w:ascii="仿宋" w:hAnsi="仿宋" w:eastAsia="仿宋"/>
              <w:lang w:bidi="en-US"/>
            </w:rPr>
            <w:t>一、基本情况</w:t>
          </w:r>
          <w:r>
            <w:tab/>
          </w:r>
          <w:r>
            <w:fldChar w:fldCharType="begin"/>
          </w:r>
          <w:r>
            <w:instrText xml:space="preserve"> PAGEREF _Toc165277220 \h </w:instrText>
          </w:r>
          <w:r>
            <w:fldChar w:fldCharType="separate"/>
          </w:r>
          <w:r>
            <w:t>1</w:t>
          </w:r>
          <w:r>
            <w:fldChar w:fldCharType="end"/>
          </w:r>
          <w:r>
            <w:fldChar w:fldCharType="end"/>
          </w:r>
        </w:p>
        <w:p w14:paraId="7FFE271B">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"_Toc165277221" </w:instrText>
          </w:r>
          <w:r>
            <w:fldChar w:fldCharType="separate"/>
          </w:r>
          <w:r>
            <w:rPr>
              <w:rStyle w:val="19"/>
              <w:rFonts w:hint="eastAsia" w:ascii="仿宋" w:hAnsi="仿宋" w:eastAsia="仿宋"/>
              <w:lang w:bidi="en-US"/>
            </w:rPr>
            <w:t>（一）项目概况：</w:t>
          </w:r>
          <w:r>
            <w:tab/>
          </w:r>
          <w:r>
            <w:fldChar w:fldCharType="begin"/>
          </w:r>
          <w:r>
            <w:instrText xml:space="preserve"> PAGEREF _Toc165277221 \h </w:instrText>
          </w:r>
          <w:r>
            <w:fldChar w:fldCharType="separate"/>
          </w:r>
          <w:r>
            <w:t>1</w:t>
          </w:r>
          <w:r>
            <w:fldChar w:fldCharType="end"/>
          </w:r>
          <w:r>
            <w:fldChar w:fldCharType="end"/>
          </w:r>
        </w:p>
        <w:p w14:paraId="7521726C">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"_Toc165277222" </w:instrText>
          </w:r>
          <w:r>
            <w:fldChar w:fldCharType="separate"/>
          </w:r>
          <w:r>
            <w:rPr>
              <w:rStyle w:val="19"/>
            </w:rPr>
            <w:t>1</w:t>
          </w:r>
          <w:r>
            <w:rPr>
              <w:rStyle w:val="19"/>
              <w:rFonts w:hint="eastAsia"/>
            </w:rPr>
            <w:t>．项目背景、主要内容及实施情况</w:t>
          </w:r>
          <w:r>
            <w:tab/>
          </w:r>
          <w:r>
            <w:fldChar w:fldCharType="begin"/>
          </w:r>
          <w:r>
            <w:instrText xml:space="preserve"> PAGEREF _Toc165277222 \h </w:instrText>
          </w:r>
          <w:r>
            <w:fldChar w:fldCharType="separate"/>
          </w:r>
          <w:r>
            <w:t>1</w:t>
          </w:r>
          <w:r>
            <w:fldChar w:fldCharType="end"/>
          </w:r>
          <w:r>
            <w:fldChar w:fldCharType="end"/>
          </w:r>
        </w:p>
        <w:p w14:paraId="6E10CE50">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"_Toc165277223" </w:instrText>
          </w:r>
          <w:r>
            <w:fldChar w:fldCharType="separate"/>
          </w:r>
          <w:r>
            <w:rPr>
              <w:rStyle w:val="19"/>
            </w:rPr>
            <w:t>2.</w:t>
          </w:r>
          <w:r>
            <w:rPr>
              <w:rStyle w:val="19"/>
              <w:rFonts w:hint="eastAsia"/>
            </w:rPr>
            <w:t>资金投入和使用情况</w:t>
          </w:r>
          <w:r>
            <w:tab/>
          </w:r>
          <w:r>
            <w:fldChar w:fldCharType="begin"/>
          </w:r>
          <w:r>
            <w:instrText xml:space="preserve"> PAGEREF _Toc165277223 \h </w:instrText>
          </w:r>
          <w:r>
            <w:fldChar w:fldCharType="separate"/>
          </w:r>
          <w:r>
            <w:t>1</w:t>
          </w:r>
          <w:r>
            <w:fldChar w:fldCharType="end"/>
          </w:r>
          <w:r>
            <w:fldChar w:fldCharType="end"/>
          </w:r>
        </w:p>
        <w:p w14:paraId="78C37E73">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"_Toc165277224" </w:instrText>
          </w:r>
          <w:r>
            <w:fldChar w:fldCharType="separate"/>
          </w:r>
          <w:r>
            <w:rPr>
              <w:rStyle w:val="19"/>
              <w:rFonts w:hint="eastAsia" w:ascii="仿宋" w:hAnsi="仿宋" w:eastAsia="仿宋"/>
              <w:lang w:bidi="en-US"/>
            </w:rPr>
            <w:t>（二）项目绩效目标：</w:t>
          </w:r>
          <w:r>
            <w:tab/>
          </w:r>
          <w:r>
            <w:fldChar w:fldCharType="begin"/>
          </w:r>
          <w:r>
            <w:instrText xml:space="preserve"> PAGEREF _Toc165277224 \h </w:instrText>
          </w:r>
          <w:r>
            <w:fldChar w:fldCharType="separate"/>
          </w:r>
          <w:r>
            <w:t>1</w:t>
          </w:r>
          <w:r>
            <w:fldChar w:fldCharType="end"/>
          </w:r>
          <w:r>
            <w:fldChar w:fldCharType="end"/>
          </w:r>
        </w:p>
        <w:p w14:paraId="6FDCB1CD">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"_Toc165277225" </w:instrText>
          </w:r>
          <w:r>
            <w:fldChar w:fldCharType="separate"/>
          </w:r>
          <w:r>
            <w:rPr>
              <w:rStyle w:val="19"/>
              <w:rFonts w:hint="eastAsia" w:ascii="仿宋" w:hAnsi="仿宋" w:eastAsia="仿宋"/>
              <w:lang w:bidi="en-US"/>
            </w:rPr>
            <w:t>二、绩效评价工作开展情况</w:t>
          </w:r>
          <w:r>
            <w:tab/>
          </w:r>
          <w:r>
            <w:fldChar w:fldCharType="begin"/>
          </w:r>
          <w:r>
            <w:instrText xml:space="preserve"> PAGEREF _Toc165277225 \h </w:instrText>
          </w:r>
          <w:r>
            <w:fldChar w:fldCharType="separate"/>
          </w:r>
          <w:r>
            <w:t>2</w:t>
          </w:r>
          <w:r>
            <w:fldChar w:fldCharType="end"/>
          </w:r>
          <w:r>
            <w:fldChar w:fldCharType="end"/>
          </w:r>
        </w:p>
        <w:p w14:paraId="690B0B48">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"_Toc165277226" </w:instrText>
          </w:r>
          <w:r>
            <w:fldChar w:fldCharType="separate"/>
          </w:r>
          <w:r>
            <w:rPr>
              <w:rStyle w:val="19"/>
              <w:rFonts w:hint="eastAsia" w:ascii="仿宋" w:hAnsi="仿宋" w:eastAsia="仿宋"/>
              <w:lang w:bidi="en-US"/>
            </w:rPr>
            <w:t>（一）绩效评价目的、对象和范围</w:t>
          </w:r>
          <w:r>
            <w:tab/>
          </w:r>
          <w:r>
            <w:fldChar w:fldCharType="begin"/>
          </w:r>
          <w:r>
            <w:instrText xml:space="preserve"> PAGEREF _Toc165277226 \h </w:instrText>
          </w:r>
          <w:r>
            <w:fldChar w:fldCharType="separate"/>
          </w:r>
          <w:r>
            <w:t>2</w:t>
          </w:r>
          <w:r>
            <w:fldChar w:fldCharType="end"/>
          </w:r>
          <w:r>
            <w:fldChar w:fldCharType="end"/>
          </w:r>
        </w:p>
        <w:p w14:paraId="346E2B9B">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"_Toc165277227" </w:instrText>
          </w:r>
          <w:r>
            <w:fldChar w:fldCharType="separate"/>
          </w:r>
          <w:r>
            <w:rPr>
              <w:rStyle w:val="19"/>
            </w:rPr>
            <w:t>1.</w:t>
          </w:r>
          <w:r>
            <w:rPr>
              <w:rStyle w:val="19"/>
              <w:rFonts w:hint="eastAsia"/>
            </w:rPr>
            <w:t>绩效评价完整性</w:t>
          </w:r>
          <w:r>
            <w:tab/>
          </w:r>
          <w:r>
            <w:fldChar w:fldCharType="begin"/>
          </w:r>
          <w:r>
            <w:instrText xml:space="preserve"> PAGEREF _Toc165277227 \h </w:instrText>
          </w:r>
          <w:r>
            <w:fldChar w:fldCharType="separate"/>
          </w:r>
          <w:r>
            <w:t>2</w:t>
          </w:r>
          <w:r>
            <w:fldChar w:fldCharType="end"/>
          </w:r>
          <w:r>
            <w:fldChar w:fldCharType="end"/>
          </w:r>
        </w:p>
        <w:p w14:paraId="3805AB74">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"_Toc165277228" </w:instrText>
          </w:r>
          <w:r>
            <w:fldChar w:fldCharType="separate"/>
          </w:r>
          <w:r>
            <w:rPr>
              <w:rStyle w:val="19"/>
            </w:rPr>
            <w:t>2.</w:t>
          </w:r>
          <w:r>
            <w:rPr>
              <w:rStyle w:val="19"/>
              <w:rFonts w:hint="eastAsia"/>
            </w:rPr>
            <w:t>评价目的</w:t>
          </w:r>
          <w:r>
            <w:tab/>
          </w:r>
          <w:r>
            <w:fldChar w:fldCharType="begin"/>
          </w:r>
          <w:r>
            <w:instrText xml:space="preserve"> PAGEREF _Toc165277228 \h </w:instrText>
          </w:r>
          <w:r>
            <w:fldChar w:fldCharType="separate"/>
          </w:r>
          <w:r>
            <w:t>3</w:t>
          </w:r>
          <w:r>
            <w:fldChar w:fldCharType="end"/>
          </w:r>
          <w:r>
            <w:fldChar w:fldCharType="end"/>
          </w:r>
        </w:p>
        <w:p w14:paraId="7A13A53E">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"_Toc165277229" </w:instrText>
          </w:r>
          <w:r>
            <w:fldChar w:fldCharType="separate"/>
          </w:r>
          <w:r>
            <w:rPr>
              <w:rStyle w:val="19"/>
            </w:rPr>
            <w:t>3.</w:t>
          </w:r>
          <w:r>
            <w:rPr>
              <w:rStyle w:val="19"/>
              <w:rFonts w:hint="eastAsia"/>
            </w:rPr>
            <w:t>评价对象</w:t>
          </w:r>
          <w:r>
            <w:tab/>
          </w:r>
          <w:r>
            <w:fldChar w:fldCharType="begin"/>
          </w:r>
          <w:r>
            <w:instrText xml:space="preserve"> PAGEREF _Toc165277229 \h </w:instrText>
          </w:r>
          <w:r>
            <w:fldChar w:fldCharType="separate"/>
          </w:r>
          <w:r>
            <w:t>3</w:t>
          </w:r>
          <w:r>
            <w:fldChar w:fldCharType="end"/>
          </w:r>
          <w:r>
            <w:fldChar w:fldCharType="end"/>
          </w:r>
        </w:p>
        <w:p w14:paraId="0CDACEFB">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"_Toc165277230" </w:instrText>
          </w:r>
          <w:r>
            <w:fldChar w:fldCharType="separate"/>
          </w:r>
          <w:r>
            <w:rPr>
              <w:rStyle w:val="19"/>
            </w:rPr>
            <w:t>4.</w:t>
          </w:r>
          <w:r>
            <w:rPr>
              <w:rStyle w:val="19"/>
              <w:rFonts w:hint="eastAsia"/>
            </w:rPr>
            <w:t>绩效评价范围</w:t>
          </w:r>
          <w:r>
            <w:tab/>
          </w:r>
          <w:r>
            <w:fldChar w:fldCharType="begin"/>
          </w:r>
          <w:r>
            <w:instrText xml:space="preserve"> PAGEREF _Toc165277230 \h </w:instrText>
          </w:r>
          <w:r>
            <w:fldChar w:fldCharType="separate"/>
          </w:r>
          <w:r>
            <w:t>3</w:t>
          </w:r>
          <w:r>
            <w:fldChar w:fldCharType="end"/>
          </w:r>
          <w:r>
            <w:fldChar w:fldCharType="end"/>
          </w:r>
        </w:p>
        <w:p w14:paraId="6B624DB3">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"_Toc165277231" </w:instrText>
          </w:r>
          <w:r>
            <w:fldChar w:fldCharType="separate"/>
          </w:r>
          <w:r>
            <w:rPr>
              <w:rStyle w:val="19"/>
              <w:rFonts w:hint="eastAsia" w:ascii="仿宋" w:hAnsi="仿宋" w:eastAsia="仿宋"/>
              <w:lang w:bidi="en-US"/>
            </w:rPr>
            <w:t>（二）绩效评价原则、指标体系、方法及标准</w:t>
          </w:r>
          <w:r>
            <w:tab/>
          </w:r>
          <w:r>
            <w:fldChar w:fldCharType="begin"/>
          </w:r>
          <w:r>
            <w:instrText xml:space="preserve"> PAGEREF _Toc165277231 \h </w:instrText>
          </w:r>
          <w:r>
            <w:fldChar w:fldCharType="separate"/>
          </w:r>
          <w:r>
            <w:t>4</w:t>
          </w:r>
          <w:r>
            <w:fldChar w:fldCharType="end"/>
          </w:r>
          <w:r>
            <w:fldChar w:fldCharType="end"/>
          </w:r>
        </w:p>
        <w:p w14:paraId="2B91FD3A">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"_Toc165277232" </w:instrText>
          </w:r>
          <w:r>
            <w:fldChar w:fldCharType="separate"/>
          </w:r>
          <w:r>
            <w:rPr>
              <w:rStyle w:val="19"/>
            </w:rPr>
            <w:t>1.</w:t>
          </w:r>
          <w:r>
            <w:rPr>
              <w:rStyle w:val="19"/>
              <w:rFonts w:hint="eastAsia"/>
            </w:rPr>
            <w:t>评价原则</w:t>
          </w:r>
          <w:r>
            <w:tab/>
          </w:r>
          <w:r>
            <w:fldChar w:fldCharType="begin"/>
          </w:r>
          <w:r>
            <w:instrText xml:space="preserve"> PAGEREF _Toc165277232 \h </w:instrText>
          </w:r>
          <w:r>
            <w:fldChar w:fldCharType="separate"/>
          </w:r>
          <w:r>
            <w:t>4</w:t>
          </w:r>
          <w:r>
            <w:fldChar w:fldCharType="end"/>
          </w:r>
          <w:r>
            <w:fldChar w:fldCharType="end"/>
          </w:r>
        </w:p>
        <w:p w14:paraId="5FF063FE">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"_Toc165277233" </w:instrText>
          </w:r>
          <w:r>
            <w:fldChar w:fldCharType="separate"/>
          </w:r>
          <w:r>
            <w:rPr>
              <w:rStyle w:val="19"/>
            </w:rPr>
            <w:t>2.</w:t>
          </w:r>
          <w:r>
            <w:rPr>
              <w:rStyle w:val="19"/>
              <w:rFonts w:hint="eastAsia"/>
            </w:rPr>
            <w:t>评价指标体系</w:t>
          </w:r>
          <w:r>
            <w:tab/>
          </w:r>
          <w:r>
            <w:fldChar w:fldCharType="begin"/>
          </w:r>
          <w:r>
            <w:instrText xml:space="preserve"> PAGEREF _Toc165277233 \h </w:instrText>
          </w:r>
          <w:r>
            <w:fldChar w:fldCharType="separate"/>
          </w:r>
          <w:r>
            <w:t>4</w:t>
          </w:r>
          <w:r>
            <w:fldChar w:fldCharType="end"/>
          </w:r>
          <w:r>
            <w:fldChar w:fldCharType="end"/>
          </w:r>
        </w:p>
        <w:p w14:paraId="2AC12402">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"_Toc165277234" </w:instrText>
          </w:r>
          <w:r>
            <w:fldChar w:fldCharType="separate"/>
          </w:r>
          <w:r>
            <w:rPr>
              <w:rStyle w:val="19"/>
            </w:rPr>
            <w:t>3.</w:t>
          </w:r>
          <w:r>
            <w:rPr>
              <w:rStyle w:val="19"/>
              <w:rFonts w:hint="eastAsia"/>
            </w:rPr>
            <w:t>评价方法</w:t>
          </w:r>
          <w:r>
            <w:tab/>
          </w:r>
          <w:r>
            <w:fldChar w:fldCharType="begin"/>
          </w:r>
          <w:r>
            <w:instrText xml:space="preserve"> PAGEREF _Toc165277234 \h </w:instrText>
          </w:r>
          <w:r>
            <w:fldChar w:fldCharType="separate"/>
          </w:r>
          <w:r>
            <w:t>12</w:t>
          </w:r>
          <w:r>
            <w:fldChar w:fldCharType="end"/>
          </w:r>
          <w:r>
            <w:fldChar w:fldCharType="end"/>
          </w:r>
        </w:p>
        <w:p w14:paraId="29379CAB">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"_Toc165277235" </w:instrText>
          </w:r>
          <w:r>
            <w:fldChar w:fldCharType="separate"/>
          </w:r>
          <w:r>
            <w:rPr>
              <w:rStyle w:val="19"/>
            </w:rPr>
            <w:t>4.</w:t>
          </w:r>
          <w:r>
            <w:rPr>
              <w:rStyle w:val="19"/>
              <w:rFonts w:hint="eastAsia"/>
            </w:rPr>
            <w:t>评价标准</w:t>
          </w:r>
          <w:r>
            <w:tab/>
          </w:r>
          <w:r>
            <w:fldChar w:fldCharType="begin"/>
          </w:r>
          <w:r>
            <w:instrText xml:space="preserve"> PAGEREF _Toc165277235 \h </w:instrText>
          </w:r>
          <w:r>
            <w:fldChar w:fldCharType="separate"/>
          </w:r>
          <w:r>
            <w:t>13</w:t>
          </w:r>
          <w:r>
            <w:fldChar w:fldCharType="end"/>
          </w:r>
          <w:r>
            <w:fldChar w:fldCharType="end"/>
          </w:r>
        </w:p>
        <w:p w14:paraId="26F4A354">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"_Toc165277236" </w:instrText>
          </w:r>
          <w:r>
            <w:fldChar w:fldCharType="separate"/>
          </w:r>
          <w:r>
            <w:rPr>
              <w:rStyle w:val="19"/>
              <w:rFonts w:hint="eastAsia" w:ascii="仿宋" w:hAnsi="仿宋" w:eastAsia="仿宋"/>
              <w:lang w:bidi="en-US"/>
            </w:rPr>
            <w:t>（三）绩效评价工作过程</w:t>
          </w:r>
          <w:r>
            <w:tab/>
          </w:r>
          <w:r>
            <w:fldChar w:fldCharType="begin"/>
          </w:r>
          <w:r>
            <w:instrText xml:space="preserve"> PAGEREF _Toc165277236 \h </w:instrText>
          </w:r>
          <w:r>
            <w:fldChar w:fldCharType="separate"/>
          </w:r>
          <w:r>
            <w:t>13</w:t>
          </w:r>
          <w:r>
            <w:fldChar w:fldCharType="end"/>
          </w:r>
          <w:r>
            <w:fldChar w:fldCharType="end"/>
          </w:r>
        </w:p>
        <w:p w14:paraId="54202DBB">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"_Toc165277237" </w:instrText>
          </w:r>
          <w:r>
            <w:fldChar w:fldCharType="separate"/>
          </w:r>
          <w:r>
            <w:rPr>
              <w:rStyle w:val="19"/>
              <w:rFonts w:hint="eastAsia" w:ascii="仿宋" w:hAnsi="仿宋" w:eastAsia="仿宋"/>
              <w:lang w:bidi="en-US"/>
            </w:rPr>
            <w:t>三、综合评价情况及评价结论</w:t>
          </w:r>
          <w:r>
            <w:tab/>
          </w:r>
          <w:r>
            <w:fldChar w:fldCharType="begin"/>
          </w:r>
          <w:r>
            <w:instrText xml:space="preserve"> PAGEREF _Toc165277237 \h </w:instrText>
          </w:r>
          <w:r>
            <w:fldChar w:fldCharType="separate"/>
          </w:r>
          <w:r>
            <w:t>14</w:t>
          </w:r>
          <w:r>
            <w:fldChar w:fldCharType="end"/>
          </w:r>
          <w:r>
            <w:fldChar w:fldCharType="end"/>
          </w:r>
        </w:p>
        <w:p w14:paraId="522AE1E8">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"_Toc165277238" </w:instrText>
          </w:r>
          <w:r>
            <w:fldChar w:fldCharType="separate"/>
          </w:r>
          <w:r>
            <w:rPr>
              <w:rStyle w:val="19"/>
              <w:rFonts w:hint="eastAsia" w:ascii="仿宋" w:hAnsi="仿宋" w:eastAsia="仿宋"/>
              <w:lang w:bidi="en-US"/>
            </w:rPr>
            <w:t>（一）评价结论</w:t>
          </w:r>
          <w:r>
            <w:tab/>
          </w:r>
          <w:r>
            <w:fldChar w:fldCharType="begin"/>
          </w:r>
          <w:r>
            <w:instrText xml:space="preserve"> PAGEREF _Toc165277238 \h </w:instrText>
          </w:r>
          <w:r>
            <w:fldChar w:fldCharType="separate"/>
          </w:r>
          <w:r>
            <w:t>14</w:t>
          </w:r>
          <w:r>
            <w:fldChar w:fldCharType="end"/>
          </w:r>
          <w:r>
            <w:fldChar w:fldCharType="end"/>
          </w:r>
        </w:p>
        <w:p w14:paraId="1B7D2C47">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"_Toc165277239" </w:instrText>
          </w:r>
          <w:r>
            <w:fldChar w:fldCharType="separate"/>
          </w:r>
          <w:r>
            <w:rPr>
              <w:rStyle w:val="19"/>
              <w:rFonts w:hint="eastAsia" w:ascii="仿宋" w:hAnsi="仿宋" w:eastAsia="仿宋"/>
              <w:lang w:bidi="en-US"/>
            </w:rPr>
            <w:t>（二）主要绩效</w:t>
          </w:r>
          <w:r>
            <w:tab/>
          </w:r>
          <w:r>
            <w:fldChar w:fldCharType="begin"/>
          </w:r>
          <w:r>
            <w:instrText xml:space="preserve"> PAGEREF _Toc165277239 \h </w:instrText>
          </w:r>
          <w:r>
            <w:fldChar w:fldCharType="separate"/>
          </w:r>
          <w:r>
            <w:t>15</w:t>
          </w:r>
          <w:r>
            <w:fldChar w:fldCharType="end"/>
          </w:r>
          <w:r>
            <w:fldChar w:fldCharType="end"/>
          </w:r>
        </w:p>
        <w:p w14:paraId="6469A3ED">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"_Toc165277240" </w:instrText>
          </w:r>
          <w:r>
            <w:fldChar w:fldCharType="separate"/>
          </w:r>
          <w:r>
            <w:rPr>
              <w:rStyle w:val="19"/>
              <w:rFonts w:hint="eastAsia" w:ascii="仿宋" w:hAnsi="仿宋" w:eastAsia="仿宋"/>
              <w:lang w:bidi="en-US"/>
            </w:rPr>
            <w:t>四、绩效评价指标分析</w:t>
          </w:r>
          <w:r>
            <w:tab/>
          </w:r>
          <w:r>
            <w:fldChar w:fldCharType="begin"/>
          </w:r>
          <w:r>
            <w:instrText xml:space="preserve"> PAGEREF _Toc165277240 \h </w:instrText>
          </w:r>
          <w:r>
            <w:fldChar w:fldCharType="separate"/>
          </w:r>
          <w:r>
            <w:t>15</w:t>
          </w:r>
          <w:r>
            <w:fldChar w:fldCharType="end"/>
          </w:r>
          <w:r>
            <w:fldChar w:fldCharType="end"/>
          </w:r>
        </w:p>
        <w:p w14:paraId="52A3939F">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"_Toc165277241" </w:instrText>
          </w:r>
          <w:r>
            <w:fldChar w:fldCharType="separate"/>
          </w:r>
          <w:r>
            <w:rPr>
              <w:rStyle w:val="19"/>
              <w:rFonts w:hint="eastAsia" w:ascii="仿宋" w:hAnsi="仿宋" w:eastAsia="仿宋"/>
              <w:lang w:bidi="en-US"/>
            </w:rPr>
            <w:t>（一）项目决策情况</w:t>
          </w:r>
          <w:r>
            <w:tab/>
          </w:r>
          <w:r>
            <w:fldChar w:fldCharType="begin"/>
          </w:r>
          <w:r>
            <w:instrText xml:space="preserve"> PAGEREF _Toc165277241 \h </w:instrText>
          </w:r>
          <w:r>
            <w:fldChar w:fldCharType="separate"/>
          </w:r>
          <w:r>
            <w:t>15</w:t>
          </w:r>
          <w:r>
            <w:fldChar w:fldCharType="end"/>
          </w:r>
          <w:r>
            <w:fldChar w:fldCharType="end"/>
          </w:r>
        </w:p>
        <w:p w14:paraId="2E12C7E0">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"_Toc165277242" </w:instrText>
          </w:r>
          <w:r>
            <w:fldChar w:fldCharType="separate"/>
          </w:r>
          <w:r>
            <w:rPr>
              <w:rStyle w:val="19"/>
            </w:rPr>
            <w:t>1.</w:t>
          </w:r>
          <w:r>
            <w:rPr>
              <w:rStyle w:val="19"/>
              <w:rFonts w:hint="eastAsia"/>
            </w:rPr>
            <w:t>项目立项</w:t>
          </w:r>
          <w:r>
            <w:tab/>
          </w:r>
          <w:r>
            <w:fldChar w:fldCharType="begin"/>
          </w:r>
          <w:r>
            <w:instrText xml:space="preserve"> PAGEREF _Toc165277242 \h </w:instrText>
          </w:r>
          <w:r>
            <w:fldChar w:fldCharType="separate"/>
          </w:r>
          <w:r>
            <w:t>16</w:t>
          </w:r>
          <w:r>
            <w:fldChar w:fldCharType="end"/>
          </w:r>
          <w:r>
            <w:fldChar w:fldCharType="end"/>
          </w:r>
        </w:p>
        <w:p w14:paraId="2D620434">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"_Toc165277243" </w:instrText>
          </w:r>
          <w:r>
            <w:fldChar w:fldCharType="separate"/>
          </w:r>
          <w:r>
            <w:rPr>
              <w:rStyle w:val="19"/>
            </w:rPr>
            <w:t>2.</w:t>
          </w:r>
          <w:r>
            <w:rPr>
              <w:rStyle w:val="19"/>
              <w:rFonts w:hint="eastAsia"/>
            </w:rPr>
            <w:t>绩效目标</w:t>
          </w:r>
          <w:r>
            <w:tab/>
          </w:r>
          <w:r>
            <w:fldChar w:fldCharType="begin"/>
          </w:r>
          <w:r>
            <w:instrText xml:space="preserve"> PAGEREF _Toc165277243 \h </w:instrText>
          </w:r>
          <w:r>
            <w:fldChar w:fldCharType="separate"/>
          </w:r>
          <w:r>
            <w:t>16</w:t>
          </w:r>
          <w:r>
            <w:fldChar w:fldCharType="end"/>
          </w:r>
          <w:r>
            <w:fldChar w:fldCharType="end"/>
          </w:r>
        </w:p>
        <w:p w14:paraId="2C9998BE">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"_Toc165277244" </w:instrText>
          </w:r>
          <w:r>
            <w:fldChar w:fldCharType="separate"/>
          </w:r>
          <w:r>
            <w:rPr>
              <w:rStyle w:val="19"/>
            </w:rPr>
            <w:t>3.</w:t>
          </w:r>
          <w:r>
            <w:rPr>
              <w:rStyle w:val="19"/>
              <w:rFonts w:hint="eastAsia"/>
            </w:rPr>
            <w:t>资金投入</w:t>
          </w:r>
          <w:r>
            <w:tab/>
          </w:r>
          <w:r>
            <w:fldChar w:fldCharType="begin"/>
          </w:r>
          <w:r>
            <w:instrText xml:space="preserve"> PAGEREF _Toc165277244 \h </w:instrText>
          </w:r>
          <w:r>
            <w:fldChar w:fldCharType="separate"/>
          </w:r>
          <w:r>
            <w:t>17</w:t>
          </w:r>
          <w:r>
            <w:fldChar w:fldCharType="end"/>
          </w:r>
          <w:r>
            <w:fldChar w:fldCharType="end"/>
          </w:r>
        </w:p>
        <w:p w14:paraId="68372966">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"_Toc165277245" </w:instrText>
          </w:r>
          <w:r>
            <w:fldChar w:fldCharType="separate"/>
          </w:r>
          <w:r>
            <w:rPr>
              <w:rStyle w:val="19"/>
              <w:rFonts w:hint="eastAsia" w:ascii="仿宋" w:hAnsi="仿宋" w:eastAsia="仿宋"/>
              <w:lang w:bidi="en-US"/>
            </w:rPr>
            <w:t>（二）项目过程情况</w:t>
          </w:r>
          <w:r>
            <w:tab/>
          </w:r>
          <w:r>
            <w:fldChar w:fldCharType="begin"/>
          </w:r>
          <w:r>
            <w:instrText xml:space="preserve"> PAGEREF _Toc165277245 \h </w:instrText>
          </w:r>
          <w:r>
            <w:fldChar w:fldCharType="separate"/>
          </w:r>
          <w:r>
            <w:t>17</w:t>
          </w:r>
          <w:r>
            <w:fldChar w:fldCharType="end"/>
          </w:r>
          <w:r>
            <w:fldChar w:fldCharType="end"/>
          </w:r>
        </w:p>
        <w:p w14:paraId="0698B946">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"_Toc165277246" </w:instrText>
          </w:r>
          <w:r>
            <w:fldChar w:fldCharType="separate"/>
          </w:r>
          <w:r>
            <w:rPr>
              <w:rStyle w:val="19"/>
            </w:rPr>
            <w:t>1.</w:t>
          </w:r>
          <w:r>
            <w:rPr>
              <w:rStyle w:val="19"/>
              <w:rFonts w:hint="eastAsia"/>
            </w:rPr>
            <w:t>资金管理</w:t>
          </w:r>
          <w:r>
            <w:tab/>
          </w:r>
          <w:r>
            <w:fldChar w:fldCharType="begin"/>
          </w:r>
          <w:r>
            <w:instrText xml:space="preserve"> PAGEREF _Toc165277246 \h </w:instrText>
          </w:r>
          <w:r>
            <w:fldChar w:fldCharType="separate"/>
          </w:r>
          <w:r>
            <w:t>17</w:t>
          </w:r>
          <w:r>
            <w:fldChar w:fldCharType="end"/>
          </w:r>
          <w:r>
            <w:fldChar w:fldCharType="end"/>
          </w:r>
        </w:p>
        <w:p w14:paraId="525029A6">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"_Toc165277247" </w:instrText>
          </w:r>
          <w:r>
            <w:fldChar w:fldCharType="separate"/>
          </w:r>
          <w:r>
            <w:rPr>
              <w:rStyle w:val="19"/>
            </w:rPr>
            <w:t>2.</w:t>
          </w:r>
          <w:r>
            <w:rPr>
              <w:rStyle w:val="19"/>
              <w:rFonts w:hint="eastAsia"/>
            </w:rPr>
            <w:t>组织实施</w:t>
          </w:r>
          <w:r>
            <w:tab/>
          </w:r>
          <w:r>
            <w:fldChar w:fldCharType="begin"/>
          </w:r>
          <w:r>
            <w:instrText xml:space="preserve"> PAGEREF _Toc165277247 \h </w:instrText>
          </w:r>
          <w:r>
            <w:fldChar w:fldCharType="separate"/>
          </w:r>
          <w:r>
            <w:t>18</w:t>
          </w:r>
          <w:r>
            <w:fldChar w:fldCharType="end"/>
          </w:r>
          <w:r>
            <w:fldChar w:fldCharType="end"/>
          </w:r>
        </w:p>
        <w:p w14:paraId="4D458F5B">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"_Toc165277248" </w:instrText>
          </w:r>
          <w:r>
            <w:fldChar w:fldCharType="separate"/>
          </w:r>
          <w:r>
            <w:rPr>
              <w:rStyle w:val="19"/>
              <w:rFonts w:hint="eastAsia" w:ascii="仿宋" w:hAnsi="仿宋" w:eastAsia="仿宋"/>
              <w:lang w:bidi="en-US"/>
            </w:rPr>
            <w:t>（三）项目产出情况</w:t>
          </w:r>
          <w:r>
            <w:tab/>
          </w:r>
          <w:r>
            <w:fldChar w:fldCharType="begin"/>
          </w:r>
          <w:r>
            <w:instrText xml:space="preserve"> PAGEREF _Toc165277248 \h </w:instrText>
          </w:r>
          <w:r>
            <w:fldChar w:fldCharType="separate"/>
          </w:r>
          <w:r>
            <w:t>18</w:t>
          </w:r>
          <w:r>
            <w:fldChar w:fldCharType="end"/>
          </w:r>
          <w:r>
            <w:fldChar w:fldCharType="end"/>
          </w:r>
        </w:p>
        <w:p w14:paraId="7AC336E2">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"_Toc165277249" </w:instrText>
          </w:r>
          <w:r>
            <w:fldChar w:fldCharType="separate"/>
          </w:r>
          <w:r>
            <w:rPr>
              <w:rStyle w:val="19"/>
            </w:rPr>
            <w:t>1.</w:t>
          </w:r>
          <w:r>
            <w:rPr>
              <w:rStyle w:val="19"/>
              <w:rFonts w:hint="eastAsia"/>
            </w:rPr>
            <w:t>产出数量</w:t>
          </w:r>
          <w:r>
            <w:tab/>
          </w:r>
          <w:r>
            <w:fldChar w:fldCharType="begin"/>
          </w:r>
          <w:r>
            <w:instrText xml:space="preserve"> PAGEREF _Toc165277249 \h </w:instrText>
          </w:r>
          <w:r>
            <w:fldChar w:fldCharType="separate"/>
          </w:r>
          <w:r>
            <w:t>18</w:t>
          </w:r>
          <w:r>
            <w:fldChar w:fldCharType="end"/>
          </w:r>
          <w:r>
            <w:fldChar w:fldCharType="end"/>
          </w:r>
        </w:p>
        <w:p w14:paraId="68E46E23">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"_Toc165277250" </w:instrText>
          </w:r>
          <w:r>
            <w:fldChar w:fldCharType="separate"/>
          </w:r>
          <w:r>
            <w:rPr>
              <w:rStyle w:val="19"/>
            </w:rPr>
            <w:t>2.</w:t>
          </w:r>
          <w:r>
            <w:rPr>
              <w:rStyle w:val="19"/>
              <w:rFonts w:hint="eastAsia"/>
            </w:rPr>
            <w:t>产出质量</w:t>
          </w:r>
          <w:r>
            <w:tab/>
          </w:r>
          <w:r>
            <w:fldChar w:fldCharType="begin"/>
          </w:r>
          <w:r>
            <w:instrText xml:space="preserve"> PAGEREF _Toc165277250 \h </w:instrText>
          </w:r>
          <w:r>
            <w:fldChar w:fldCharType="separate"/>
          </w:r>
          <w:r>
            <w:t>19</w:t>
          </w:r>
          <w:r>
            <w:fldChar w:fldCharType="end"/>
          </w:r>
          <w:r>
            <w:fldChar w:fldCharType="end"/>
          </w:r>
        </w:p>
        <w:p w14:paraId="4C594421">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"_Toc165277251" </w:instrText>
          </w:r>
          <w:r>
            <w:fldChar w:fldCharType="separate"/>
          </w:r>
          <w:r>
            <w:rPr>
              <w:rStyle w:val="19"/>
            </w:rPr>
            <w:t>3.</w:t>
          </w:r>
          <w:r>
            <w:rPr>
              <w:rStyle w:val="19"/>
              <w:rFonts w:hint="eastAsia"/>
            </w:rPr>
            <w:t>产出时效</w:t>
          </w:r>
          <w:r>
            <w:tab/>
          </w:r>
          <w:r>
            <w:fldChar w:fldCharType="begin"/>
          </w:r>
          <w:r>
            <w:instrText xml:space="preserve"> PAGEREF _Toc165277251 \h </w:instrText>
          </w:r>
          <w:r>
            <w:fldChar w:fldCharType="separate"/>
          </w:r>
          <w:r>
            <w:t>19</w:t>
          </w:r>
          <w:r>
            <w:fldChar w:fldCharType="end"/>
          </w:r>
          <w:r>
            <w:fldChar w:fldCharType="end"/>
          </w:r>
        </w:p>
        <w:p w14:paraId="5DBB0229">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"_Toc165277252" </w:instrText>
          </w:r>
          <w:r>
            <w:fldChar w:fldCharType="separate"/>
          </w:r>
          <w:r>
            <w:rPr>
              <w:rStyle w:val="19"/>
            </w:rPr>
            <w:t>4.</w:t>
          </w:r>
          <w:r>
            <w:rPr>
              <w:rStyle w:val="19"/>
              <w:rFonts w:hint="eastAsia"/>
            </w:rPr>
            <w:t>产出成本</w:t>
          </w:r>
          <w:r>
            <w:tab/>
          </w:r>
          <w:r>
            <w:fldChar w:fldCharType="begin"/>
          </w:r>
          <w:r>
            <w:instrText xml:space="preserve"> PAGEREF _Toc165277252 \h </w:instrText>
          </w:r>
          <w:r>
            <w:fldChar w:fldCharType="separate"/>
          </w:r>
          <w:r>
            <w:t>19</w:t>
          </w:r>
          <w:r>
            <w:fldChar w:fldCharType="end"/>
          </w:r>
          <w:r>
            <w:fldChar w:fldCharType="end"/>
          </w:r>
        </w:p>
        <w:p w14:paraId="7E786F07">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"_Toc165277253" </w:instrText>
          </w:r>
          <w:r>
            <w:fldChar w:fldCharType="separate"/>
          </w:r>
          <w:r>
            <w:rPr>
              <w:rStyle w:val="19"/>
              <w:rFonts w:hint="eastAsia" w:ascii="仿宋" w:hAnsi="仿宋" w:eastAsia="仿宋"/>
              <w:lang w:bidi="en-US"/>
            </w:rPr>
            <w:t>（四）项目效益情况</w:t>
          </w:r>
          <w:r>
            <w:tab/>
          </w:r>
          <w:r>
            <w:fldChar w:fldCharType="begin"/>
          </w:r>
          <w:r>
            <w:instrText xml:space="preserve"> PAGEREF _Toc165277253 \h </w:instrText>
          </w:r>
          <w:r>
            <w:fldChar w:fldCharType="separate"/>
          </w:r>
          <w:r>
            <w:t>19</w:t>
          </w:r>
          <w:r>
            <w:fldChar w:fldCharType="end"/>
          </w:r>
          <w:r>
            <w:fldChar w:fldCharType="end"/>
          </w:r>
        </w:p>
        <w:p w14:paraId="38381209">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"_Toc165277254" </w:instrText>
          </w:r>
          <w:r>
            <w:fldChar w:fldCharType="separate"/>
          </w:r>
          <w:r>
            <w:rPr>
              <w:rStyle w:val="19"/>
            </w:rPr>
            <w:t>1.</w:t>
          </w:r>
          <w:r>
            <w:rPr>
              <w:rStyle w:val="19"/>
              <w:rFonts w:hint="eastAsia"/>
            </w:rPr>
            <w:t>项目效益</w:t>
          </w:r>
          <w:r>
            <w:tab/>
          </w:r>
          <w:r>
            <w:fldChar w:fldCharType="begin"/>
          </w:r>
          <w:r>
            <w:instrText xml:space="preserve"> PAGEREF _Toc165277254 \h </w:instrText>
          </w:r>
          <w:r>
            <w:fldChar w:fldCharType="separate"/>
          </w:r>
          <w:r>
            <w:t>19</w:t>
          </w:r>
          <w:r>
            <w:fldChar w:fldCharType="end"/>
          </w:r>
          <w:r>
            <w:fldChar w:fldCharType="end"/>
          </w:r>
        </w:p>
        <w:p w14:paraId="671B1606">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"_Toc165277255" </w:instrText>
          </w:r>
          <w:r>
            <w:fldChar w:fldCharType="separate"/>
          </w:r>
          <w:r>
            <w:rPr>
              <w:rStyle w:val="19"/>
            </w:rPr>
            <w:t xml:space="preserve">2. </w:t>
          </w:r>
          <w:r>
            <w:rPr>
              <w:rStyle w:val="19"/>
              <w:rFonts w:hint="eastAsia"/>
            </w:rPr>
            <w:t>满意度指标完成情况分析</w:t>
          </w:r>
          <w:r>
            <w:tab/>
          </w:r>
          <w:r>
            <w:fldChar w:fldCharType="begin"/>
          </w:r>
          <w:r>
            <w:instrText xml:space="preserve"> PAGEREF _Toc165277255 \h </w:instrText>
          </w:r>
          <w:r>
            <w:fldChar w:fldCharType="separate"/>
          </w:r>
          <w:r>
            <w:t>20</w:t>
          </w:r>
          <w:r>
            <w:fldChar w:fldCharType="end"/>
          </w:r>
          <w:r>
            <w:fldChar w:fldCharType="end"/>
          </w:r>
        </w:p>
        <w:p w14:paraId="04037668">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"_Toc165277256" </w:instrText>
          </w:r>
          <w:r>
            <w:fldChar w:fldCharType="separate"/>
          </w:r>
          <w:r>
            <w:rPr>
              <w:rStyle w:val="19"/>
              <w:rFonts w:hint="eastAsia" w:ascii="仿宋" w:hAnsi="仿宋" w:eastAsia="仿宋"/>
              <w:lang w:bidi="en-US"/>
            </w:rPr>
            <w:t>五、主要经验及做法、存在的问题及原因分析</w:t>
          </w:r>
          <w:r>
            <w:tab/>
          </w:r>
          <w:r>
            <w:fldChar w:fldCharType="begin"/>
          </w:r>
          <w:r>
            <w:instrText xml:space="preserve"> PAGEREF _Toc165277256 \h </w:instrText>
          </w:r>
          <w:r>
            <w:fldChar w:fldCharType="separate"/>
          </w:r>
          <w:r>
            <w:t>20</w:t>
          </w:r>
          <w:r>
            <w:fldChar w:fldCharType="end"/>
          </w:r>
          <w:r>
            <w:fldChar w:fldCharType="end"/>
          </w:r>
        </w:p>
        <w:p w14:paraId="63627A02">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"_Toc165277257" </w:instrText>
          </w:r>
          <w:r>
            <w:fldChar w:fldCharType="separate"/>
          </w:r>
          <w:r>
            <w:rPr>
              <w:rStyle w:val="19"/>
              <w:rFonts w:hint="eastAsia" w:ascii="仿宋" w:hAnsi="仿宋" w:eastAsia="仿宋"/>
              <w:lang w:bidi="en-US"/>
            </w:rPr>
            <w:t>（一）主要经验及做法</w:t>
          </w:r>
          <w:r>
            <w:tab/>
          </w:r>
          <w:r>
            <w:fldChar w:fldCharType="begin"/>
          </w:r>
          <w:r>
            <w:instrText xml:space="preserve"> PAGEREF _Toc165277257 \h </w:instrText>
          </w:r>
          <w:r>
            <w:fldChar w:fldCharType="separate"/>
          </w:r>
          <w:r>
            <w:t>20</w:t>
          </w:r>
          <w:r>
            <w:fldChar w:fldCharType="end"/>
          </w:r>
          <w:r>
            <w:fldChar w:fldCharType="end"/>
          </w:r>
        </w:p>
        <w:p w14:paraId="16F039CF">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"_Toc165277258" </w:instrText>
          </w:r>
          <w:r>
            <w:fldChar w:fldCharType="separate"/>
          </w:r>
          <w:r>
            <w:rPr>
              <w:rStyle w:val="19"/>
              <w:rFonts w:hint="eastAsia" w:ascii="仿宋" w:hAnsi="仿宋" w:eastAsia="仿宋"/>
              <w:lang w:bidi="en-US"/>
            </w:rPr>
            <w:t>（二）存在的问题及原因分析</w:t>
          </w:r>
          <w:r>
            <w:tab/>
          </w:r>
          <w:r>
            <w:fldChar w:fldCharType="begin"/>
          </w:r>
          <w:r>
            <w:instrText xml:space="preserve"> PAGEREF _Toc165277258 \h </w:instrText>
          </w:r>
          <w:r>
            <w:fldChar w:fldCharType="separate"/>
          </w:r>
          <w:r>
            <w:t>20</w:t>
          </w:r>
          <w:r>
            <w:fldChar w:fldCharType="end"/>
          </w:r>
          <w:r>
            <w:fldChar w:fldCharType="end"/>
          </w:r>
        </w:p>
        <w:p w14:paraId="5AE81BDD">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"_Toc165277259" </w:instrText>
          </w:r>
          <w:r>
            <w:fldChar w:fldCharType="separate"/>
          </w:r>
          <w:r>
            <w:rPr>
              <w:rStyle w:val="19"/>
              <w:rFonts w:hint="eastAsia" w:ascii="仿宋" w:hAnsi="仿宋" w:eastAsia="仿宋"/>
              <w:lang w:bidi="en-US"/>
            </w:rPr>
            <w:t>六、有关建议</w:t>
          </w:r>
          <w:r>
            <w:tab/>
          </w:r>
          <w:r>
            <w:fldChar w:fldCharType="begin"/>
          </w:r>
          <w:r>
            <w:instrText xml:space="preserve"> PAGEREF _Toc165277259 \h </w:instrText>
          </w:r>
          <w:r>
            <w:fldChar w:fldCharType="separate"/>
          </w:r>
          <w:r>
            <w:t>21</w:t>
          </w:r>
          <w:r>
            <w:fldChar w:fldCharType="end"/>
          </w:r>
          <w:r>
            <w:fldChar w:fldCharType="end"/>
          </w:r>
        </w:p>
        <w:p w14:paraId="39CFB9AD">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"_Toc165277260" </w:instrText>
          </w:r>
          <w:r>
            <w:fldChar w:fldCharType="separate"/>
          </w:r>
          <w:r>
            <w:rPr>
              <w:rStyle w:val="19"/>
              <w:rFonts w:hint="eastAsia" w:ascii="仿宋" w:hAnsi="仿宋" w:eastAsia="仿宋"/>
              <w:lang w:bidi="en-US"/>
            </w:rPr>
            <w:t>七、其他需要说明的问题</w:t>
          </w:r>
          <w:r>
            <w:tab/>
          </w:r>
          <w:r>
            <w:fldChar w:fldCharType="begin"/>
          </w:r>
          <w:r>
            <w:instrText xml:space="preserve"> PAGEREF _Toc165277260 \h </w:instrText>
          </w:r>
          <w:r>
            <w:fldChar w:fldCharType="separate"/>
          </w:r>
          <w:r>
            <w:t>21</w:t>
          </w:r>
          <w:r>
            <w:fldChar w:fldCharType="end"/>
          </w:r>
          <w:r>
            <w:fldChar w:fldCharType="end"/>
          </w:r>
        </w:p>
        <w:p w14:paraId="4BE0272B">
          <w:pPr>
            <w:ind w:firstLine="562"/>
          </w:pPr>
          <w:r>
            <w:rPr>
              <w:b/>
              <w:bCs/>
              <w:lang w:val="zh-CN"/>
            </w:rPr>
            <w:fldChar w:fldCharType="end"/>
          </w:r>
        </w:p>
      </w:sdtContent>
    </w:sdt>
    <w:p w14:paraId="44E827E9">
      <w:pPr>
        <w:ind w:firstLine="598" w:firstLineChars="187"/>
        <w:rPr>
          <w:rFonts w:ascii="仿宋_GB2312" w:hAnsi="Times New Roman" w:cs="Times New Roman"/>
          <w:sz w:val="32"/>
          <w:szCs w:val="32"/>
          <w:lang w:bidi="en-US"/>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14:paraId="6B5BE4FC">
      <w:pPr>
        <w:pStyle w:val="2"/>
        <w:ind w:firstLine="0" w:firstLineChars="0"/>
        <w:jc w:val="left"/>
        <w:rPr>
          <w:rFonts w:ascii="仿宋" w:hAnsi="仿宋" w:eastAsia="仿宋"/>
          <w:sz w:val="36"/>
          <w:szCs w:val="36"/>
          <w:lang w:bidi="en-US"/>
        </w:rPr>
      </w:pPr>
      <w:bookmarkStart w:id="0" w:name="_Toc67911601"/>
      <w:bookmarkStart w:id="1" w:name="_Toc165277220"/>
      <w:r>
        <w:rPr>
          <w:rFonts w:hint="eastAsia" w:ascii="仿宋" w:hAnsi="仿宋" w:eastAsia="仿宋"/>
          <w:sz w:val="36"/>
          <w:szCs w:val="36"/>
          <w:lang w:bidi="en-US"/>
        </w:rPr>
        <w:t>一、基本情况</w:t>
      </w:r>
      <w:bookmarkEnd w:id="0"/>
      <w:bookmarkEnd w:id="1"/>
    </w:p>
    <w:p w14:paraId="3D7B5590">
      <w:pPr>
        <w:pStyle w:val="3"/>
        <w:ind w:firstLine="643"/>
        <w:rPr>
          <w:rFonts w:ascii="仿宋" w:hAnsi="仿宋" w:eastAsia="仿宋"/>
          <w:lang w:bidi="en-US"/>
        </w:rPr>
      </w:pPr>
      <w:bookmarkStart w:id="2" w:name="_Toc67911602"/>
      <w:bookmarkStart w:id="3" w:name="_Toc165277221"/>
      <w:r>
        <w:rPr>
          <w:rFonts w:hint="eastAsia" w:ascii="仿宋" w:hAnsi="仿宋" w:eastAsia="仿宋"/>
          <w:lang w:bidi="en-US"/>
        </w:rPr>
        <w:t>（一）项目概况：</w:t>
      </w:r>
      <w:bookmarkEnd w:id="2"/>
      <w:bookmarkEnd w:id="3"/>
    </w:p>
    <w:p w14:paraId="0E837688">
      <w:pPr>
        <w:pStyle w:val="4"/>
        <w:ind w:firstLine="643"/>
      </w:pPr>
      <w:bookmarkStart w:id="4" w:name="_Toc165277222"/>
      <w:r>
        <w:rPr>
          <w:rFonts w:hint="eastAsia"/>
        </w:rPr>
        <w:t>1．项目背景、主要内容及实施情况</w:t>
      </w:r>
      <w:bookmarkEnd w:id="4"/>
    </w:p>
    <w:p w14:paraId="6EC3312F">
      <w:pPr>
        <w:spacing w:line="360" w:lineRule="auto"/>
        <w:ind w:firstLine="560"/>
        <w:rPr>
          <w:rFonts w:ascii="仿宋_GB2312"/>
        </w:rPr>
      </w:pPr>
      <w:r>
        <w:rPr>
          <w:rFonts w:hint="eastAsia" w:ascii="仿宋_GB2312"/>
        </w:rPr>
        <w:t>该项目实施背景：为保障单位正常运转、保证采供血工作的正常进行，</w:t>
      </w:r>
      <w:r>
        <w:rPr>
          <w:rFonts w:hint="eastAsia" w:ascii="仿宋_GB2312"/>
          <w:lang w:val="en-US" w:eastAsia="zh-CN"/>
        </w:rPr>
        <w:t>我单位</w:t>
      </w:r>
      <w:r>
        <w:rPr>
          <w:rFonts w:hint="eastAsia" w:ascii="仿宋_GB2312"/>
        </w:rPr>
        <w:t>编制电费、维修（护）费、劳务费、专用材料费、委托业务费、其他商品和服务支出房屋建筑物购建、其他资本性支出</w:t>
      </w:r>
      <w:r>
        <w:rPr>
          <w:rFonts w:hint="eastAsia" w:ascii="仿宋_GB2312"/>
          <w:lang w:eastAsia="zh-CN"/>
        </w:rPr>
        <w:t>；</w:t>
      </w:r>
      <w:r>
        <w:rPr>
          <w:rFonts w:hint="eastAsia" w:ascii="仿宋_GB2312"/>
          <w:lang w:val="en-US" w:eastAsia="zh-CN"/>
        </w:rPr>
        <w:t>根据</w:t>
      </w:r>
      <w:r>
        <w:rPr>
          <w:rFonts w:hint="eastAsia" w:ascii="仿宋_GB2312"/>
        </w:rPr>
        <w:t>《血站实验室质量管理规范》</w:t>
      </w:r>
      <w:r>
        <w:rPr>
          <w:rFonts w:hint="eastAsia" w:ascii="仿宋_GB2312"/>
          <w:lang w:eastAsia="zh-CN"/>
        </w:rPr>
        <w:t>、</w:t>
      </w:r>
      <w:r>
        <w:rPr>
          <w:rFonts w:hint="eastAsia" w:ascii="仿宋_GB2312"/>
        </w:rPr>
        <w:t>按照《血站技术操作规程》的要求制备的血液成分，经质量管理部门定期抽检，符合GB18469-2012《全血及成分血质量要求》的规定，以保证血液质量与血液安全</w:t>
      </w:r>
      <w:r>
        <w:rPr>
          <w:rFonts w:hint="eastAsia" w:ascii="仿宋_GB2312"/>
          <w:lang w:eastAsia="zh-CN"/>
        </w:rPr>
        <w:t>；</w:t>
      </w:r>
      <w:r>
        <w:rPr>
          <w:rFonts w:hint="eastAsia" w:ascii="仿宋_GB2312"/>
          <w:lang w:val="en-US" w:eastAsia="zh-CN"/>
        </w:rPr>
        <w:t>根据</w:t>
      </w:r>
      <w:r>
        <w:rPr>
          <w:rFonts w:hint="eastAsia" w:ascii="仿宋_GB2312"/>
        </w:rPr>
        <w:t>《中华人民共和国献血法》《血站管理办法》《血站质量管理规范》《血站实验室质量管理规范》</w:t>
      </w:r>
      <w:r>
        <w:rPr>
          <w:rFonts w:hint="eastAsia" w:ascii="仿宋_GB2312"/>
          <w:lang w:eastAsia="zh-CN"/>
        </w:rPr>
        <w:t>，</w:t>
      </w:r>
      <w:r>
        <w:rPr>
          <w:rFonts w:hint="eastAsia" w:ascii="仿宋_GB2312"/>
        </w:rPr>
        <w:t>血站应当根据医疗机构临床用血需求，制定血液采集、制备、供应计划，保障临床用血安全、及时、有效；自治区卫健委关于自治区无偿献血经验交流会会议纪要要求建立全疆血液联动机制支援乌鲁木齐血液供应等相关法律法规政策要求</w:t>
      </w:r>
      <w:r>
        <w:rPr>
          <w:rFonts w:hint="eastAsia" w:ascii="仿宋_GB2312"/>
          <w:lang w:eastAsia="zh-CN"/>
        </w:rPr>
        <w:t>；</w:t>
      </w:r>
      <w:r>
        <w:rPr>
          <w:rFonts w:hint="eastAsia" w:ascii="仿宋_GB2312"/>
        </w:rPr>
        <w:t>根据《中华人民共和国献血法》《自治区实施&lt;中华人民共和国献血法&gt;若干规定》，让无偿献血者享受到无偿献血的报销政策，让更多的人加入到无偿献血的队伍当中。为保证无偿献血工作的可持续发展，保障广大献血者的利益，调动医疗机构做好用血互助金的收取工作。</w:t>
      </w:r>
    </w:p>
    <w:p w14:paraId="155F1495">
      <w:pPr>
        <w:spacing w:line="360" w:lineRule="auto"/>
        <w:ind w:firstLine="560"/>
        <w:rPr>
          <w:rFonts w:hint="eastAsia" w:ascii="仿宋_GB2312"/>
        </w:rPr>
      </w:pPr>
      <w:r>
        <w:rPr>
          <w:rFonts w:ascii="仿宋_GB2312"/>
        </w:rPr>
        <w:t>项目</w:t>
      </w:r>
      <w:r>
        <w:rPr>
          <w:rFonts w:hint="eastAsia" w:ascii="仿宋_GB2312"/>
        </w:rPr>
        <w:t>2</w:t>
      </w:r>
      <w:r>
        <w:rPr>
          <w:rFonts w:ascii="仿宋_GB2312"/>
        </w:rPr>
        <w:t>023年的主要实施内容：</w:t>
      </w:r>
    </w:p>
    <w:p w14:paraId="483D3E86">
      <w:pPr>
        <w:numPr>
          <w:ilvl w:val="0"/>
          <w:numId w:val="0"/>
        </w:numPr>
        <w:spacing w:line="360" w:lineRule="auto"/>
        <w:ind w:firstLine="560" w:firstLineChars="200"/>
        <w:rPr>
          <w:rFonts w:hint="eastAsia" w:ascii="仿宋_GB2312"/>
        </w:rPr>
      </w:pPr>
      <w:r>
        <w:rPr>
          <w:rFonts w:hint="eastAsia" w:ascii="仿宋_GB2312" w:hAnsi="Calibri" w:eastAsia="仿宋_GB2312" w:cs="黑体"/>
          <w:kern w:val="2"/>
          <w:sz w:val="28"/>
          <w:szCs w:val="22"/>
          <w:lang w:val="en-US" w:eastAsia="zh-CN" w:bidi="ar-SA"/>
        </w:rPr>
        <w:t>1.</w:t>
      </w:r>
      <w:r>
        <w:rPr>
          <w:rFonts w:hint="eastAsia" w:ascii="仿宋_GB2312"/>
        </w:rPr>
        <w:t>为保障单位正常运转、保证采供血职能，编制电费、委托业务费及维修维护费。用于支付血液中心日常工作用电费用，水电暖总务维修费等费用。因采供血业务的特殊性，血库、检验、制备等设备需24小时用电。</w:t>
      </w:r>
    </w:p>
    <w:p w14:paraId="5A5E9899">
      <w:pPr>
        <w:numPr>
          <w:ilvl w:val="0"/>
          <w:numId w:val="0"/>
        </w:numPr>
        <w:spacing w:line="360" w:lineRule="auto"/>
        <w:ind w:firstLine="560" w:firstLineChars="200"/>
        <w:rPr>
          <w:rFonts w:hint="eastAsia" w:ascii="仿宋_GB2312"/>
        </w:rPr>
      </w:pPr>
      <w:r>
        <w:rPr>
          <w:rFonts w:hint="eastAsia" w:ascii="仿宋_GB2312"/>
        </w:rPr>
        <w:t>2</w:t>
      </w:r>
      <w:r>
        <w:rPr>
          <w:rFonts w:hint="eastAsia" w:ascii="仿宋_GB2312"/>
          <w:lang w:eastAsia="zh-CN"/>
        </w:rPr>
        <w:t>.</w:t>
      </w:r>
      <w:r>
        <w:rPr>
          <w:rFonts w:hint="eastAsia" w:ascii="仿宋_GB2312"/>
        </w:rPr>
        <w:t>为血站和临床医院提供RhD阴性确认试验、特殊血型鉴定、母婴血型不合引起的新生儿溶血病实验室检测、各种经血传播病毒的检测、输血反应查因、疑难输血检测服务、隐匿性乙型肝炎病毒复制相关基因甲基化水平的研究，服务于患者，满足临床用血机构的需求，保障用血安全。</w:t>
      </w:r>
    </w:p>
    <w:p w14:paraId="1B1BD40E">
      <w:pPr>
        <w:numPr>
          <w:ilvl w:val="0"/>
          <w:numId w:val="0"/>
        </w:numPr>
        <w:spacing w:line="360" w:lineRule="auto"/>
        <w:ind w:firstLine="560" w:firstLineChars="200"/>
        <w:rPr>
          <w:rFonts w:hint="eastAsia" w:ascii="仿宋_GB2312"/>
        </w:rPr>
      </w:pPr>
      <w:r>
        <w:rPr>
          <w:rFonts w:hint="eastAsia" w:ascii="仿宋_GB2312"/>
        </w:rPr>
        <w:t>3.乌鲁木齐市70%患者来自全疆各地，临床用血量每年5-10%递增。乌鲁木齐市血液中心除保障我市血液患者治疗需求外，还承担全疆各类血液保障任务和突发事件血液供应。自采血量无法满足，近几年均须从疆内调剂血液来补充。</w:t>
      </w:r>
    </w:p>
    <w:p w14:paraId="7C6B34E1">
      <w:pPr>
        <w:numPr>
          <w:ilvl w:val="0"/>
          <w:numId w:val="0"/>
        </w:numPr>
        <w:spacing w:line="360" w:lineRule="auto"/>
        <w:ind w:firstLine="560" w:firstLineChars="200"/>
        <w:rPr>
          <w:rFonts w:hint="eastAsia" w:ascii="仿宋_GB2312"/>
        </w:rPr>
      </w:pPr>
      <w:r>
        <w:rPr>
          <w:rFonts w:hint="eastAsia" w:ascii="仿宋_GB2312"/>
          <w:lang w:val="en-US" w:eastAsia="zh-CN"/>
        </w:rPr>
        <w:t>4.</w:t>
      </w:r>
      <w:r>
        <w:rPr>
          <w:rFonts w:hint="eastAsia" w:ascii="仿宋_GB2312"/>
        </w:rPr>
        <w:t>捐献机采血小板的献血者发放交通补助。</w:t>
      </w:r>
    </w:p>
    <w:p w14:paraId="4BA00AA8">
      <w:pPr>
        <w:numPr>
          <w:ilvl w:val="0"/>
          <w:numId w:val="0"/>
        </w:numPr>
        <w:spacing w:line="360" w:lineRule="auto"/>
        <w:ind w:firstLine="560" w:firstLineChars="200"/>
        <w:rPr>
          <w:rFonts w:hint="eastAsia" w:ascii="仿宋_GB2312"/>
        </w:rPr>
      </w:pPr>
      <w:r>
        <w:rPr>
          <w:rFonts w:hint="eastAsia" w:ascii="仿宋_GB2312"/>
          <w:lang w:val="en-US" w:eastAsia="zh-CN"/>
        </w:rPr>
        <w:t>5</w:t>
      </w:r>
      <w:r>
        <w:rPr>
          <w:rFonts w:hint="eastAsia" w:ascii="仿宋_GB2312"/>
        </w:rPr>
        <w:t>.血费报销：根据《中华人民共和国献血法》《自治区实施&lt;中华人民共和国献血法&gt;若干规定》，让无偿献血者享受到无偿献血的报销政策，让更多的人加入到无偿献血的队伍当中。</w:t>
      </w:r>
    </w:p>
    <w:p w14:paraId="0DC18371">
      <w:pPr>
        <w:numPr>
          <w:ilvl w:val="0"/>
          <w:numId w:val="0"/>
        </w:numPr>
        <w:spacing w:line="360" w:lineRule="auto"/>
        <w:ind w:firstLine="560" w:firstLineChars="200"/>
        <w:rPr>
          <w:rFonts w:hint="eastAsia" w:ascii="仿宋_GB2312"/>
        </w:rPr>
      </w:pPr>
      <w:r>
        <w:rPr>
          <w:rFonts w:hint="eastAsia" w:ascii="仿宋_GB2312"/>
          <w:lang w:val="en-US" w:eastAsia="zh-CN"/>
        </w:rPr>
        <w:t>6.</w:t>
      </w:r>
      <w:r>
        <w:rPr>
          <w:rFonts w:hint="eastAsia" w:ascii="仿宋_GB2312"/>
        </w:rPr>
        <w:t>医院奖励金：为保证无偿献血工作的可持续发展，保障广大献血者的利益，调动医疗机构做好用血互助金的收取工作。</w:t>
      </w:r>
    </w:p>
    <w:p w14:paraId="29695AF1">
      <w:pPr>
        <w:numPr>
          <w:ilvl w:val="0"/>
          <w:numId w:val="0"/>
        </w:numPr>
        <w:spacing w:line="360" w:lineRule="auto"/>
        <w:ind w:firstLine="560" w:firstLineChars="200"/>
        <w:rPr>
          <w:rFonts w:hint="eastAsia" w:ascii="仿宋_GB2312"/>
        </w:rPr>
      </w:pPr>
      <w:r>
        <w:rPr>
          <w:rFonts w:hint="eastAsia" w:ascii="仿宋_GB2312"/>
          <w:lang w:val="en-US" w:eastAsia="zh-CN"/>
        </w:rPr>
        <w:t>7</w:t>
      </w:r>
      <w:r>
        <w:rPr>
          <w:rFonts w:hint="eastAsia" w:ascii="仿宋_GB2312"/>
        </w:rPr>
        <w:t>.清理以前年度基建欠款，保障血液中心正常运行。</w:t>
      </w:r>
    </w:p>
    <w:p w14:paraId="2005BA67">
      <w:pPr>
        <w:numPr>
          <w:ilvl w:val="0"/>
          <w:numId w:val="0"/>
        </w:numPr>
        <w:spacing w:line="360" w:lineRule="auto"/>
        <w:ind w:firstLine="560" w:firstLineChars="200"/>
        <w:rPr>
          <w:rFonts w:ascii="仿宋_GB2312"/>
        </w:rPr>
      </w:pPr>
      <w:r>
        <w:rPr>
          <w:rFonts w:hint="eastAsia" w:ascii="仿宋_GB2312"/>
          <w:lang w:val="en-US" w:eastAsia="zh-CN"/>
        </w:rPr>
        <w:t>8</w:t>
      </w:r>
      <w:r>
        <w:rPr>
          <w:rFonts w:hint="eastAsia" w:ascii="仿宋_GB2312"/>
        </w:rPr>
        <w:t>.购置南大门道闸维护血液中心正常安保工作。</w:t>
      </w:r>
    </w:p>
    <w:p w14:paraId="12F42987">
      <w:pPr>
        <w:spacing w:line="360" w:lineRule="auto"/>
        <w:ind w:firstLine="560"/>
        <w:rPr>
          <w:rFonts w:ascii="仿宋_GB2312"/>
        </w:rPr>
      </w:pPr>
      <w:r>
        <w:rPr>
          <w:rFonts w:hint="eastAsia" w:ascii="仿宋_GB2312"/>
          <w:highlight w:val="none"/>
        </w:rPr>
        <w:t>2</w:t>
      </w:r>
      <w:r>
        <w:rPr>
          <w:rFonts w:ascii="仿宋_GB2312"/>
          <w:highlight w:val="none"/>
        </w:rPr>
        <w:t>023年当年</w:t>
      </w:r>
      <w:r>
        <w:rPr>
          <w:rFonts w:ascii="仿宋_GB2312"/>
        </w:rPr>
        <w:t>实际完成情况为：</w:t>
      </w:r>
    </w:p>
    <w:p w14:paraId="21172497">
      <w:pPr>
        <w:numPr>
          <w:ilvl w:val="0"/>
          <w:numId w:val="0"/>
        </w:numPr>
        <w:spacing w:line="360" w:lineRule="auto"/>
        <w:ind w:firstLine="560" w:firstLineChars="200"/>
        <w:rPr>
          <w:rFonts w:hint="eastAsia" w:ascii="仿宋_GB2312"/>
          <w:lang w:eastAsia="zh-CN"/>
        </w:rPr>
      </w:pPr>
      <w:r>
        <w:rPr>
          <w:rFonts w:hint="eastAsia" w:ascii="仿宋_GB2312" w:hAnsi="Calibri" w:eastAsia="仿宋_GB2312" w:cs="黑体"/>
          <w:kern w:val="2"/>
          <w:sz w:val="28"/>
          <w:szCs w:val="22"/>
          <w:lang w:val="en-US" w:eastAsia="zh-CN" w:bidi="ar-SA"/>
        </w:rPr>
        <w:t>1.</w:t>
      </w:r>
      <w:r>
        <w:rPr>
          <w:rFonts w:hint="eastAsia" w:ascii="仿宋_GB2312"/>
        </w:rPr>
        <w:t>项目实施后，</w:t>
      </w:r>
      <w:r>
        <w:rPr>
          <w:rFonts w:hint="eastAsia" w:ascii="仿宋_GB2312"/>
          <w:lang w:val="en-US" w:eastAsia="zh-CN"/>
        </w:rPr>
        <w:t>支付了电费，进行了设备电梯的维修维保工作，</w:t>
      </w:r>
      <w:r>
        <w:rPr>
          <w:rFonts w:hint="eastAsia" w:ascii="仿宋_GB2312"/>
        </w:rPr>
        <w:t>保障了采供血业务的正常运行，保障了采供血工作中采集、检验、存储、办公、照明正常运行，满足了正常工作的需求</w:t>
      </w:r>
      <w:r>
        <w:rPr>
          <w:rFonts w:hint="eastAsia" w:ascii="仿宋_GB2312"/>
          <w:lang w:eastAsia="zh-CN"/>
        </w:rPr>
        <w:t>，</w:t>
      </w:r>
      <w:r>
        <w:rPr>
          <w:rFonts w:hint="eastAsia" w:ascii="仿宋_GB2312"/>
        </w:rPr>
        <w:t>确保了我区血液质量安全</w:t>
      </w:r>
      <w:r>
        <w:rPr>
          <w:rFonts w:hint="eastAsia" w:ascii="仿宋_GB2312"/>
          <w:lang w:eastAsia="zh-CN"/>
        </w:rPr>
        <w:t>。</w:t>
      </w:r>
    </w:p>
    <w:p w14:paraId="726C358D">
      <w:pPr>
        <w:numPr>
          <w:ilvl w:val="0"/>
          <w:numId w:val="0"/>
        </w:numPr>
        <w:spacing w:line="360" w:lineRule="auto"/>
        <w:ind w:firstLine="560" w:firstLineChars="200"/>
        <w:rPr>
          <w:rFonts w:hint="eastAsia" w:ascii="仿宋_GB2312"/>
        </w:rPr>
      </w:pPr>
      <w:r>
        <w:rPr>
          <w:rFonts w:ascii="仿宋_GB2312" w:hAnsi="Calibri" w:eastAsia="仿宋_GB2312" w:cs="黑体"/>
          <w:kern w:val="2"/>
          <w:sz w:val="28"/>
          <w:szCs w:val="22"/>
          <w:lang w:val="en-US" w:eastAsia="zh-CN" w:bidi="ar-SA"/>
        </w:rPr>
        <w:t>2.</w:t>
      </w:r>
      <w:r>
        <w:rPr>
          <w:rFonts w:hint="eastAsia" w:ascii="仿宋_GB2312"/>
          <w:lang w:val="en-US" w:eastAsia="zh-CN"/>
        </w:rPr>
        <w:t>调剂红细胞、血小板、血浆和冷沉淀等血液制品，</w:t>
      </w:r>
      <w:r>
        <w:rPr>
          <w:rFonts w:hint="eastAsia" w:ascii="仿宋_GB2312"/>
        </w:rPr>
        <w:t>满足了临床用血的需求，确保了患者血液治疗的及时性和有效性</w:t>
      </w:r>
    </w:p>
    <w:p w14:paraId="62AE94DB">
      <w:pPr>
        <w:numPr>
          <w:ilvl w:val="0"/>
          <w:numId w:val="0"/>
        </w:numPr>
        <w:spacing w:line="360" w:lineRule="auto"/>
        <w:ind w:firstLine="560" w:firstLineChars="200"/>
        <w:rPr>
          <w:rFonts w:hint="eastAsia" w:ascii="仿宋_GB2312"/>
        </w:rPr>
      </w:pPr>
      <w:r>
        <w:rPr>
          <w:rFonts w:hint="eastAsia" w:ascii="仿宋_GB2312"/>
          <w:lang w:val="en-US" w:eastAsia="zh-CN"/>
        </w:rPr>
        <w:t>3.及时发放献血员交通费、报销血费，</w:t>
      </w:r>
      <w:r>
        <w:rPr>
          <w:rFonts w:hint="eastAsia" w:ascii="仿宋_GB2312"/>
        </w:rPr>
        <w:t>进一步做好献血者的关爱、献血者服务，扩大了献血者队伍，为临床提供了安全有效的血液。</w:t>
      </w:r>
    </w:p>
    <w:p w14:paraId="0E6E7886">
      <w:pPr>
        <w:numPr>
          <w:ilvl w:val="0"/>
          <w:numId w:val="0"/>
        </w:numPr>
        <w:spacing w:line="360" w:lineRule="auto"/>
        <w:ind w:firstLine="560" w:firstLineChars="200"/>
        <w:rPr>
          <w:rFonts w:ascii="仿宋_GB2312"/>
        </w:rPr>
      </w:pPr>
      <w:r>
        <w:rPr>
          <w:rFonts w:hint="eastAsia" w:ascii="仿宋_GB2312"/>
          <w:lang w:val="en-US" w:eastAsia="zh-CN"/>
        </w:rPr>
        <w:t>4.进行了试剂耗材的采购，</w:t>
      </w:r>
      <w:r>
        <w:rPr>
          <w:rFonts w:hint="eastAsia" w:ascii="仿宋_GB2312"/>
        </w:rPr>
        <w:t>完成了2023年血液调剂及支付工作</w:t>
      </w:r>
      <w:r>
        <w:rPr>
          <w:rFonts w:hint="eastAsia" w:ascii="仿宋_GB2312"/>
          <w:lang w:eastAsia="zh-CN"/>
        </w:rPr>
        <w:t>。</w:t>
      </w:r>
      <w:r>
        <w:rPr>
          <w:rFonts w:hint="eastAsia" w:ascii="仿宋_GB2312"/>
        </w:rPr>
        <w:t>制备各类血液成分，满足了临床所需；提高了血液安全性，避免了血液污染，避免了经血传播疾病。满足了正常采供血工作的需求。</w:t>
      </w:r>
    </w:p>
    <w:p w14:paraId="4C0E8AA7">
      <w:pPr>
        <w:pStyle w:val="4"/>
        <w:ind w:firstLine="643"/>
      </w:pPr>
      <w:bookmarkStart w:id="5" w:name="_Toc165277223"/>
      <w:r>
        <w:rPr>
          <w:rFonts w:hint="eastAsia"/>
        </w:rPr>
        <w:t>2</w:t>
      </w:r>
      <w:r>
        <w:t>.资金投入和使用情况</w:t>
      </w:r>
      <w:bookmarkEnd w:id="5"/>
    </w:p>
    <w:p w14:paraId="3B1F5817">
      <w:pPr>
        <w:spacing w:line="360" w:lineRule="auto"/>
        <w:ind w:firstLine="560"/>
        <w:rPr>
          <w:rFonts w:ascii="仿宋_GB2312"/>
        </w:rPr>
      </w:pPr>
      <w:r>
        <w:rPr>
          <w:rFonts w:hint="eastAsia" w:ascii="仿宋_GB2312"/>
        </w:rPr>
        <w:t>该项目资金投入情况：经</w:t>
      </w:r>
      <w:r>
        <w:rPr>
          <w:rFonts w:hint="eastAsia" w:ascii="仿宋_GB2312"/>
          <w:lang w:val="en-US" w:eastAsia="zh-CN"/>
        </w:rPr>
        <w:t>乌财社〔2023〕2</w:t>
      </w:r>
      <w:r>
        <w:rPr>
          <w:rFonts w:hint="eastAsia" w:ascii="仿宋_GB2312"/>
        </w:rPr>
        <w:t>号文件批准，项目系</w:t>
      </w:r>
      <w:r>
        <w:rPr>
          <w:rFonts w:ascii="仿宋_GB2312"/>
        </w:rPr>
        <w:t>2023</w:t>
      </w:r>
      <w:r>
        <w:rPr>
          <w:rFonts w:hint="eastAsia" w:ascii="仿宋_GB2312"/>
        </w:rPr>
        <w:t>年本级资金，共安排预算972.47万元</w:t>
      </w:r>
      <w:r>
        <w:rPr>
          <w:rFonts w:hint="eastAsia" w:ascii="仿宋_GB2312"/>
          <w:lang w:eastAsia="zh-CN"/>
        </w:rPr>
        <w:t>。</w:t>
      </w:r>
    </w:p>
    <w:p w14:paraId="1436FF1A">
      <w:pPr>
        <w:spacing w:line="360" w:lineRule="auto"/>
        <w:ind w:firstLine="560"/>
        <w:rPr>
          <w:rFonts w:hint="eastAsia" w:ascii="仿宋_GB2312"/>
          <w:lang w:val="en-US" w:eastAsia="zh-CN"/>
        </w:rPr>
      </w:pPr>
      <w:r>
        <w:rPr>
          <w:rFonts w:hint="eastAsia" w:ascii="仿宋_GB2312"/>
        </w:rPr>
        <w:t>该项目资金使用情况：总预算</w:t>
      </w:r>
      <w:r>
        <w:rPr>
          <w:rFonts w:hint="eastAsia" w:ascii="仿宋_GB2312"/>
          <w:lang w:val="en-US" w:eastAsia="zh-CN"/>
        </w:rPr>
        <w:t>972.47万元</w:t>
      </w:r>
      <w:r>
        <w:rPr>
          <w:rFonts w:hint="eastAsia" w:ascii="仿宋_GB2312"/>
          <w:lang w:eastAsia="zh-CN"/>
        </w:rPr>
        <w:t>。</w:t>
      </w:r>
      <w:r>
        <w:rPr>
          <w:rFonts w:hint="eastAsia" w:ascii="仿宋_GB2312"/>
          <w:lang w:val="en-US" w:eastAsia="zh-CN"/>
        </w:rPr>
        <w:t>总实际执行数960.68万元，全年预算执行率：98.79%。其中：</w:t>
      </w:r>
    </w:p>
    <w:p w14:paraId="6CEC9ABC">
      <w:pPr>
        <w:spacing w:line="360" w:lineRule="auto"/>
        <w:ind w:firstLine="560"/>
        <w:rPr>
          <w:rFonts w:hint="default" w:ascii="仿宋_GB2312"/>
          <w:lang w:val="en-US" w:eastAsia="zh-CN"/>
        </w:rPr>
      </w:pPr>
      <w:r>
        <w:rPr>
          <w:rFonts w:hint="eastAsia" w:ascii="仿宋_GB2312"/>
          <w:lang w:val="en-US" w:eastAsia="zh-CN"/>
        </w:rPr>
        <w:t>1.电费预算投入资金：70</w:t>
      </w:r>
      <w:r>
        <w:rPr>
          <w:rFonts w:hint="eastAsia" w:ascii="仿宋_GB2312"/>
          <w:lang w:eastAsia="zh-CN"/>
        </w:rPr>
        <w:t>万元。</w:t>
      </w:r>
      <w:r>
        <w:rPr>
          <w:rFonts w:hint="eastAsia" w:ascii="仿宋_GB2312"/>
          <w:lang w:val="en-US" w:eastAsia="zh-CN"/>
        </w:rPr>
        <w:t>实际执行情况：70</w:t>
      </w:r>
      <w:r>
        <w:rPr>
          <w:rFonts w:hint="eastAsia" w:ascii="仿宋_GB2312"/>
          <w:lang w:eastAsia="zh-CN"/>
        </w:rPr>
        <w:t>万元。</w:t>
      </w:r>
      <w:r>
        <w:rPr>
          <w:rFonts w:hint="eastAsia" w:ascii="仿宋_GB2312"/>
          <w:lang w:val="en-US" w:eastAsia="zh-CN"/>
        </w:rPr>
        <w:t>预算执行率：</w:t>
      </w:r>
      <w:r>
        <w:rPr>
          <w:rFonts w:hint="eastAsia" w:ascii="仿宋_GB2312"/>
          <w:lang w:eastAsia="zh-CN"/>
        </w:rPr>
        <w:t>100%；</w:t>
      </w:r>
    </w:p>
    <w:p w14:paraId="646D72F8">
      <w:pPr>
        <w:spacing w:line="360" w:lineRule="auto"/>
        <w:ind w:firstLine="560"/>
        <w:rPr>
          <w:rFonts w:hint="eastAsia" w:ascii="仿宋_GB2312"/>
          <w:lang w:eastAsia="zh-CN"/>
        </w:rPr>
      </w:pPr>
      <w:r>
        <w:rPr>
          <w:rFonts w:hint="eastAsia" w:ascii="仿宋_GB2312"/>
          <w:lang w:val="en-US" w:eastAsia="zh-CN"/>
        </w:rPr>
        <w:t>2.</w:t>
      </w:r>
      <w:r>
        <w:rPr>
          <w:rFonts w:hint="eastAsia" w:ascii="仿宋_GB2312"/>
          <w:lang w:eastAsia="zh-CN"/>
        </w:rPr>
        <w:t>设备、电梯维修维保等费用</w:t>
      </w:r>
      <w:r>
        <w:rPr>
          <w:rFonts w:hint="eastAsia" w:ascii="仿宋_GB2312"/>
          <w:lang w:val="en-US" w:eastAsia="zh-CN"/>
        </w:rPr>
        <w:t>预算投入资金：</w:t>
      </w:r>
      <w:r>
        <w:rPr>
          <w:rFonts w:hint="eastAsia" w:ascii="仿宋_GB2312"/>
          <w:lang w:eastAsia="zh-CN"/>
        </w:rPr>
        <w:t>113.70万元。</w:t>
      </w:r>
      <w:r>
        <w:rPr>
          <w:rFonts w:hint="eastAsia" w:ascii="仿宋_GB2312"/>
          <w:lang w:val="en-US" w:eastAsia="zh-CN"/>
        </w:rPr>
        <w:t>实际执行情况：</w:t>
      </w:r>
      <w:r>
        <w:rPr>
          <w:rFonts w:hint="eastAsia" w:ascii="仿宋_GB2312"/>
          <w:lang w:eastAsia="zh-CN"/>
        </w:rPr>
        <w:t>113.7万元。</w:t>
      </w:r>
      <w:r>
        <w:rPr>
          <w:rFonts w:hint="eastAsia" w:ascii="仿宋_GB2312"/>
          <w:lang w:val="en-US" w:eastAsia="zh-CN"/>
        </w:rPr>
        <w:t>预算执行率：</w:t>
      </w:r>
      <w:r>
        <w:rPr>
          <w:rFonts w:hint="eastAsia" w:ascii="仿宋_GB2312"/>
          <w:lang w:eastAsia="zh-CN"/>
        </w:rPr>
        <w:t>100%；</w:t>
      </w:r>
    </w:p>
    <w:p w14:paraId="2854A124">
      <w:pPr>
        <w:spacing w:line="360" w:lineRule="auto"/>
        <w:ind w:firstLine="560"/>
        <w:rPr>
          <w:rFonts w:hint="eastAsia" w:ascii="仿宋_GB2312"/>
          <w:lang w:eastAsia="zh-CN"/>
        </w:rPr>
      </w:pPr>
      <w:r>
        <w:rPr>
          <w:rFonts w:hint="eastAsia" w:ascii="仿宋_GB2312"/>
          <w:lang w:val="en-US" w:eastAsia="zh-CN"/>
        </w:rPr>
        <w:t>3.</w:t>
      </w:r>
      <w:r>
        <w:rPr>
          <w:rFonts w:hint="eastAsia" w:ascii="仿宋_GB2312"/>
          <w:lang w:eastAsia="zh-CN"/>
        </w:rPr>
        <w:t>试剂、耗材、外调血费用</w:t>
      </w:r>
      <w:r>
        <w:rPr>
          <w:rFonts w:hint="eastAsia" w:ascii="仿宋_GB2312"/>
          <w:lang w:val="en-US" w:eastAsia="zh-CN"/>
        </w:rPr>
        <w:t>预算投入资金：</w:t>
      </w:r>
      <w:r>
        <w:rPr>
          <w:rFonts w:hint="eastAsia" w:ascii="仿宋_GB2312"/>
          <w:lang w:eastAsia="zh-CN"/>
        </w:rPr>
        <w:t>333万元。</w:t>
      </w:r>
      <w:r>
        <w:rPr>
          <w:rFonts w:hint="eastAsia" w:ascii="仿宋_GB2312"/>
          <w:lang w:val="en-US" w:eastAsia="zh-CN"/>
        </w:rPr>
        <w:t>实际执行情况：</w:t>
      </w:r>
      <w:r>
        <w:rPr>
          <w:rFonts w:hint="eastAsia" w:ascii="仿宋_GB2312"/>
          <w:lang w:eastAsia="zh-CN"/>
        </w:rPr>
        <w:t>332.36万元。</w:t>
      </w:r>
      <w:r>
        <w:rPr>
          <w:rFonts w:hint="eastAsia" w:ascii="仿宋_GB2312"/>
          <w:lang w:val="en-US" w:eastAsia="zh-CN"/>
        </w:rPr>
        <w:t>预算执行率：</w:t>
      </w:r>
      <w:r>
        <w:rPr>
          <w:rFonts w:hint="eastAsia" w:ascii="仿宋_GB2312"/>
          <w:lang w:eastAsia="zh-CN"/>
        </w:rPr>
        <w:t>99.81%</w:t>
      </w:r>
    </w:p>
    <w:p w14:paraId="7891EBF1">
      <w:pPr>
        <w:spacing w:line="360" w:lineRule="auto"/>
        <w:ind w:firstLine="560"/>
        <w:rPr>
          <w:rFonts w:hint="eastAsia" w:ascii="仿宋_GB2312"/>
          <w:lang w:eastAsia="zh-CN"/>
        </w:rPr>
      </w:pPr>
      <w:r>
        <w:rPr>
          <w:rFonts w:hint="eastAsia" w:ascii="仿宋_GB2312"/>
          <w:lang w:val="en-US" w:eastAsia="zh-CN"/>
        </w:rPr>
        <w:t>4.</w:t>
      </w:r>
      <w:r>
        <w:rPr>
          <w:rFonts w:hint="eastAsia" w:ascii="仿宋_GB2312"/>
          <w:lang w:eastAsia="zh-CN"/>
        </w:rPr>
        <w:t>献血员交通费、血费报销等费用</w:t>
      </w:r>
      <w:r>
        <w:rPr>
          <w:rFonts w:hint="eastAsia" w:ascii="仿宋_GB2312"/>
          <w:lang w:val="en-US" w:eastAsia="zh-CN"/>
        </w:rPr>
        <w:t>预算投入资金：</w:t>
      </w:r>
      <w:r>
        <w:rPr>
          <w:rFonts w:hint="eastAsia" w:ascii="仿宋_GB2312"/>
          <w:lang w:eastAsia="zh-CN"/>
        </w:rPr>
        <w:t>117.70万元。</w:t>
      </w:r>
      <w:r>
        <w:rPr>
          <w:rFonts w:hint="eastAsia" w:ascii="仿宋_GB2312"/>
          <w:lang w:val="en-US" w:eastAsia="zh-CN"/>
        </w:rPr>
        <w:t>实际执行情况：</w:t>
      </w:r>
      <w:r>
        <w:rPr>
          <w:rFonts w:hint="eastAsia" w:ascii="仿宋_GB2312"/>
          <w:lang w:eastAsia="zh-CN"/>
        </w:rPr>
        <w:t>114.21万元。</w:t>
      </w:r>
      <w:r>
        <w:rPr>
          <w:rFonts w:hint="eastAsia" w:ascii="仿宋_GB2312"/>
          <w:lang w:val="en-US" w:eastAsia="zh-CN"/>
        </w:rPr>
        <w:t>预算执行率：</w:t>
      </w:r>
      <w:r>
        <w:rPr>
          <w:rFonts w:hint="eastAsia" w:ascii="仿宋_GB2312"/>
          <w:lang w:eastAsia="zh-CN"/>
        </w:rPr>
        <w:t>97.03%</w:t>
      </w:r>
    </w:p>
    <w:p w14:paraId="7FE9FE64">
      <w:pPr>
        <w:spacing w:line="360" w:lineRule="auto"/>
        <w:ind w:firstLine="560"/>
        <w:rPr>
          <w:rFonts w:hint="eastAsia" w:ascii="仿宋_GB2312"/>
          <w:lang w:eastAsia="zh-CN"/>
        </w:rPr>
      </w:pPr>
      <w:r>
        <w:rPr>
          <w:rFonts w:hint="eastAsia" w:ascii="仿宋_GB2312"/>
          <w:lang w:val="en-US" w:eastAsia="zh-CN"/>
        </w:rPr>
        <w:t>5.</w:t>
      </w:r>
      <w:r>
        <w:rPr>
          <w:rFonts w:hint="eastAsia" w:ascii="仿宋_GB2312"/>
          <w:lang w:eastAsia="zh-CN"/>
        </w:rPr>
        <w:t>临聘人员劳务费</w:t>
      </w:r>
      <w:r>
        <w:rPr>
          <w:rFonts w:hint="eastAsia" w:ascii="仿宋_GB2312"/>
          <w:lang w:val="en-US" w:eastAsia="zh-CN"/>
        </w:rPr>
        <w:t>预算投入资金：</w:t>
      </w:r>
      <w:r>
        <w:rPr>
          <w:rFonts w:hint="eastAsia" w:ascii="仿宋_GB2312"/>
          <w:lang w:eastAsia="zh-CN"/>
        </w:rPr>
        <w:t>90万元。</w:t>
      </w:r>
      <w:r>
        <w:rPr>
          <w:rFonts w:hint="eastAsia" w:ascii="仿宋_GB2312"/>
          <w:lang w:val="en-US" w:eastAsia="zh-CN"/>
        </w:rPr>
        <w:t>实际执行情况：</w:t>
      </w:r>
      <w:r>
        <w:rPr>
          <w:rFonts w:hint="eastAsia" w:ascii="仿宋_GB2312"/>
          <w:lang w:eastAsia="zh-CN"/>
        </w:rPr>
        <w:t>90万元。</w:t>
      </w:r>
      <w:r>
        <w:rPr>
          <w:rFonts w:hint="eastAsia" w:ascii="仿宋_GB2312"/>
          <w:lang w:val="en-US" w:eastAsia="zh-CN"/>
        </w:rPr>
        <w:t>预算执行率：</w:t>
      </w:r>
      <w:r>
        <w:rPr>
          <w:rFonts w:hint="eastAsia" w:ascii="仿宋_GB2312"/>
          <w:lang w:eastAsia="zh-CN"/>
        </w:rPr>
        <w:t>100%</w:t>
      </w:r>
    </w:p>
    <w:p w14:paraId="1FA2DF9B">
      <w:pPr>
        <w:spacing w:line="360" w:lineRule="auto"/>
        <w:ind w:firstLine="560"/>
        <w:rPr>
          <w:rFonts w:hint="eastAsia" w:ascii="仿宋_GB2312"/>
          <w:lang w:eastAsia="zh-CN"/>
        </w:rPr>
      </w:pPr>
      <w:r>
        <w:rPr>
          <w:rFonts w:hint="eastAsia" w:ascii="仿宋_GB2312"/>
          <w:lang w:val="en-US" w:eastAsia="zh-CN"/>
        </w:rPr>
        <w:t>6.</w:t>
      </w:r>
      <w:r>
        <w:rPr>
          <w:rFonts w:hint="eastAsia" w:ascii="仿宋_GB2312"/>
          <w:lang w:eastAsia="zh-CN"/>
        </w:rPr>
        <w:t>项目工程等欠款</w:t>
      </w:r>
      <w:r>
        <w:rPr>
          <w:rFonts w:hint="eastAsia" w:ascii="仿宋_GB2312"/>
          <w:lang w:val="en-US" w:eastAsia="zh-CN"/>
        </w:rPr>
        <w:t>预算投入资金：</w:t>
      </w:r>
      <w:r>
        <w:rPr>
          <w:rFonts w:hint="eastAsia" w:ascii="仿宋_GB2312"/>
          <w:lang w:eastAsia="zh-CN"/>
        </w:rPr>
        <w:t>236.13万元。</w:t>
      </w:r>
      <w:r>
        <w:rPr>
          <w:rFonts w:hint="eastAsia" w:ascii="仿宋_GB2312"/>
          <w:lang w:val="en-US" w:eastAsia="zh-CN"/>
        </w:rPr>
        <w:t>实际执行情况：</w:t>
      </w:r>
      <w:r>
        <w:rPr>
          <w:rFonts w:hint="eastAsia" w:ascii="仿宋_GB2312"/>
          <w:lang w:eastAsia="zh-CN"/>
        </w:rPr>
        <w:t>236.13万元。</w:t>
      </w:r>
      <w:r>
        <w:rPr>
          <w:rFonts w:hint="eastAsia" w:ascii="仿宋_GB2312"/>
          <w:lang w:val="en-US" w:eastAsia="zh-CN"/>
        </w:rPr>
        <w:t>预算执行率：</w:t>
      </w:r>
      <w:r>
        <w:rPr>
          <w:rFonts w:hint="eastAsia" w:ascii="仿宋_GB2312"/>
          <w:lang w:eastAsia="zh-CN"/>
        </w:rPr>
        <w:t>100%</w:t>
      </w:r>
    </w:p>
    <w:p w14:paraId="325309C4">
      <w:pPr>
        <w:spacing w:line="360" w:lineRule="auto"/>
        <w:ind w:firstLine="560"/>
        <w:rPr>
          <w:rFonts w:hint="eastAsia" w:ascii="仿宋_GB2312"/>
          <w:lang w:eastAsia="zh-CN"/>
        </w:rPr>
      </w:pPr>
      <w:r>
        <w:rPr>
          <w:rFonts w:hint="eastAsia" w:ascii="仿宋_GB2312"/>
          <w:lang w:val="en-US" w:eastAsia="zh-CN"/>
        </w:rPr>
        <w:t>7.</w:t>
      </w:r>
      <w:r>
        <w:rPr>
          <w:rFonts w:hint="eastAsia" w:ascii="仿宋_GB2312"/>
          <w:lang w:eastAsia="zh-CN"/>
        </w:rPr>
        <w:t>基因测序费、血液运输费等</w:t>
      </w:r>
      <w:r>
        <w:rPr>
          <w:rFonts w:hint="eastAsia" w:ascii="仿宋_GB2312"/>
          <w:lang w:val="en-US" w:eastAsia="zh-CN"/>
        </w:rPr>
        <w:t>预算投入资金：</w:t>
      </w:r>
      <w:r>
        <w:rPr>
          <w:rFonts w:hint="eastAsia" w:ascii="仿宋_GB2312"/>
          <w:lang w:eastAsia="zh-CN"/>
        </w:rPr>
        <w:t>8.94万元。</w:t>
      </w:r>
      <w:r>
        <w:rPr>
          <w:rFonts w:hint="eastAsia" w:ascii="仿宋_GB2312"/>
          <w:lang w:val="en-US" w:eastAsia="zh-CN"/>
        </w:rPr>
        <w:t>实际执行情况：</w:t>
      </w:r>
      <w:r>
        <w:rPr>
          <w:rFonts w:hint="eastAsia" w:ascii="仿宋_GB2312"/>
          <w:lang w:eastAsia="zh-CN"/>
        </w:rPr>
        <w:t>2万元。</w:t>
      </w:r>
      <w:r>
        <w:rPr>
          <w:rFonts w:hint="eastAsia" w:ascii="仿宋_GB2312"/>
          <w:lang w:val="en-US" w:eastAsia="zh-CN"/>
        </w:rPr>
        <w:t>预算执行率：</w:t>
      </w:r>
      <w:r>
        <w:rPr>
          <w:rFonts w:hint="eastAsia" w:ascii="仿宋_GB2312"/>
          <w:lang w:eastAsia="zh-CN"/>
        </w:rPr>
        <w:t>22.37%</w:t>
      </w:r>
    </w:p>
    <w:p w14:paraId="729FC373">
      <w:pPr>
        <w:spacing w:line="360" w:lineRule="auto"/>
        <w:ind w:firstLine="560"/>
        <w:rPr>
          <w:rFonts w:ascii="仿宋_GB2312"/>
        </w:rPr>
      </w:pPr>
      <w:r>
        <w:rPr>
          <w:rFonts w:hint="eastAsia" w:ascii="仿宋_GB2312"/>
          <w:lang w:val="en-US" w:eastAsia="zh-CN"/>
        </w:rPr>
        <w:t>8.</w:t>
      </w:r>
      <w:r>
        <w:rPr>
          <w:rFonts w:hint="eastAsia" w:ascii="仿宋_GB2312"/>
          <w:lang w:eastAsia="zh-CN"/>
        </w:rPr>
        <w:t>南大门道闸</w:t>
      </w:r>
      <w:r>
        <w:rPr>
          <w:rFonts w:hint="eastAsia" w:ascii="仿宋_GB2312"/>
          <w:lang w:val="en-US" w:eastAsia="zh-CN"/>
        </w:rPr>
        <w:t>预算投入资金：</w:t>
      </w:r>
      <w:r>
        <w:rPr>
          <w:rFonts w:hint="eastAsia" w:ascii="仿宋_GB2312"/>
          <w:lang w:eastAsia="zh-CN"/>
        </w:rPr>
        <w:t>3万元。</w:t>
      </w:r>
      <w:r>
        <w:rPr>
          <w:rFonts w:hint="eastAsia" w:ascii="仿宋_GB2312"/>
          <w:lang w:val="en-US" w:eastAsia="zh-CN"/>
        </w:rPr>
        <w:t>实际执行情况：</w:t>
      </w:r>
      <w:r>
        <w:rPr>
          <w:rFonts w:hint="eastAsia" w:ascii="仿宋_GB2312"/>
          <w:lang w:eastAsia="zh-CN"/>
        </w:rPr>
        <w:t>2.29万元。</w:t>
      </w:r>
      <w:r>
        <w:rPr>
          <w:rFonts w:hint="eastAsia" w:ascii="仿宋_GB2312"/>
          <w:lang w:val="en-US" w:eastAsia="zh-CN"/>
        </w:rPr>
        <w:t>预算执行率：</w:t>
      </w:r>
      <w:r>
        <w:rPr>
          <w:rFonts w:hint="eastAsia" w:ascii="仿宋_GB2312"/>
          <w:lang w:eastAsia="zh-CN"/>
        </w:rPr>
        <w:t>76.33%。</w:t>
      </w:r>
    </w:p>
    <w:p w14:paraId="773DEAD7">
      <w:pPr>
        <w:pStyle w:val="3"/>
        <w:ind w:firstLine="643"/>
        <w:rPr>
          <w:rFonts w:ascii="仿宋" w:hAnsi="仿宋" w:eastAsia="仿宋"/>
          <w:lang w:bidi="en-US"/>
        </w:rPr>
      </w:pPr>
      <w:bookmarkStart w:id="6" w:name="_Toc67911603"/>
      <w:bookmarkStart w:id="7" w:name="_Toc165277224"/>
      <w:r>
        <w:rPr>
          <w:rFonts w:hint="eastAsia" w:ascii="仿宋" w:hAnsi="仿宋" w:eastAsia="仿宋"/>
          <w:lang w:bidi="en-US"/>
        </w:rPr>
        <w:t>（二）项目绩效目标：</w:t>
      </w:r>
      <w:bookmarkEnd w:id="6"/>
      <w:bookmarkEnd w:id="7"/>
    </w:p>
    <w:p w14:paraId="7DECB912">
      <w:pPr>
        <w:spacing w:line="360" w:lineRule="auto"/>
        <w:ind w:firstLine="560"/>
        <w:rPr>
          <w:rFonts w:ascii="仿宋_GB2312" w:hAnsi="仿宋"/>
          <w:szCs w:val="28"/>
        </w:rPr>
      </w:pPr>
      <w:r>
        <w:rPr>
          <w:rFonts w:hint="eastAsia" w:ascii="仿宋_GB2312" w:hAnsi="仿宋"/>
          <w:szCs w:val="28"/>
        </w:rPr>
        <w:t>本项目依据《中共中央 国务院关于全面实施预算绩效管理的意见》（中发〔2018〕</w:t>
      </w:r>
      <w:r>
        <w:rPr>
          <w:rFonts w:ascii="仿宋_GB2312" w:hAnsi="仿宋"/>
          <w:szCs w:val="28"/>
        </w:rPr>
        <w:t>34</w:t>
      </w:r>
      <w:r>
        <w:rPr>
          <w:rFonts w:hint="eastAsia" w:ascii="仿宋_GB2312" w:hAnsi="仿宋"/>
          <w:szCs w:val="28"/>
        </w:rPr>
        <w:t>号）、《关于印发&lt;乌鲁木齐市本级部门预算绩效目标管理暂行办法</w:t>
      </w:r>
      <w:r>
        <w:rPr>
          <w:rFonts w:ascii="仿宋_GB2312" w:hAnsi="仿宋"/>
          <w:szCs w:val="28"/>
        </w:rPr>
        <w:t>&gt;</w:t>
      </w:r>
      <w:r>
        <w:rPr>
          <w:rFonts w:hint="eastAsia" w:ascii="仿宋_GB2312" w:hAnsi="仿宋"/>
          <w:szCs w:val="28"/>
        </w:rPr>
        <w:t>的通知》（乌财预</w:t>
      </w:r>
      <w:bookmarkStart w:id="8" w:name="_Hlk67566397"/>
      <w:r>
        <w:rPr>
          <w:rFonts w:hint="eastAsia" w:ascii="仿宋_GB2312" w:hAnsi="仿宋"/>
          <w:szCs w:val="28"/>
        </w:rPr>
        <w:t>〔2018〕</w:t>
      </w:r>
      <w:r>
        <w:rPr>
          <w:rFonts w:ascii="仿宋_GB2312" w:hAnsi="仿宋"/>
          <w:szCs w:val="28"/>
        </w:rPr>
        <w:t>5</w:t>
      </w:r>
      <w:r>
        <w:rPr>
          <w:rFonts w:hint="eastAsia" w:ascii="仿宋_GB2312" w:hAnsi="仿宋"/>
          <w:szCs w:val="28"/>
        </w:rPr>
        <w:t>6号</w:t>
      </w:r>
      <w:bookmarkEnd w:id="8"/>
      <w:r>
        <w:rPr>
          <w:rFonts w:hint="eastAsia" w:ascii="仿宋_GB2312" w:hAnsi="仿宋"/>
          <w:szCs w:val="28"/>
        </w:rPr>
        <w:t>）、《关于做好2</w:t>
      </w:r>
      <w:r>
        <w:rPr>
          <w:rFonts w:ascii="仿宋_GB2312" w:hAnsi="仿宋"/>
          <w:szCs w:val="28"/>
        </w:rPr>
        <w:t>019</w:t>
      </w:r>
      <w:r>
        <w:rPr>
          <w:rFonts w:hint="eastAsia" w:ascii="仿宋_GB2312" w:hAnsi="仿宋"/>
          <w:szCs w:val="28"/>
        </w:rPr>
        <w:t>年部门预算项目支出绩效目标管理有关事宜的通知》（乌财预〔20</w:t>
      </w:r>
      <w:r>
        <w:rPr>
          <w:rFonts w:ascii="仿宋_GB2312" w:hAnsi="仿宋"/>
          <w:szCs w:val="28"/>
        </w:rPr>
        <w:t>18</w:t>
      </w:r>
      <w:r>
        <w:rPr>
          <w:rFonts w:hint="eastAsia" w:ascii="仿宋_GB2312" w:hAnsi="仿宋"/>
          <w:szCs w:val="28"/>
        </w:rPr>
        <w:t>〕</w:t>
      </w:r>
      <w:r>
        <w:rPr>
          <w:rFonts w:ascii="仿宋_GB2312" w:hAnsi="仿宋"/>
          <w:szCs w:val="28"/>
        </w:rPr>
        <w:t>76</w:t>
      </w:r>
      <w:r>
        <w:rPr>
          <w:rFonts w:hint="eastAsia" w:ascii="仿宋_GB2312" w:hAnsi="仿宋"/>
          <w:szCs w:val="28"/>
        </w:rPr>
        <w:t>号）和《项目支出绩效评价管理办法》（财预〔20</w:t>
      </w:r>
      <w:r>
        <w:rPr>
          <w:rFonts w:ascii="仿宋_GB2312" w:hAnsi="仿宋"/>
          <w:szCs w:val="28"/>
        </w:rPr>
        <w:t>20</w:t>
      </w:r>
      <w:r>
        <w:rPr>
          <w:rFonts w:hint="eastAsia" w:ascii="仿宋_GB2312" w:hAnsi="仿宋"/>
          <w:szCs w:val="28"/>
        </w:rPr>
        <w:t>〕</w:t>
      </w:r>
      <w:r>
        <w:rPr>
          <w:rFonts w:ascii="仿宋_GB2312" w:hAnsi="仿宋"/>
          <w:szCs w:val="28"/>
        </w:rPr>
        <w:t>10</w:t>
      </w:r>
      <w:r>
        <w:rPr>
          <w:rFonts w:hint="eastAsia" w:ascii="仿宋_GB2312" w:hAnsi="仿宋"/>
          <w:szCs w:val="28"/>
        </w:rPr>
        <w:t>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14:paraId="70CAAD41">
      <w:pPr>
        <w:spacing w:line="360" w:lineRule="auto"/>
        <w:ind w:firstLine="560"/>
        <w:rPr>
          <w:rFonts w:ascii="仿宋_GB2312" w:hAnsi="仿宋"/>
          <w:szCs w:val="28"/>
        </w:rPr>
      </w:pPr>
      <w:r>
        <w:rPr>
          <w:rFonts w:hint="eastAsia" w:ascii="仿宋_GB2312" w:hAnsi="仿宋"/>
          <w:szCs w:val="28"/>
        </w:rPr>
        <w:t>该项目为</w:t>
      </w:r>
      <w:r>
        <w:rPr>
          <w:rFonts w:ascii="仿宋_GB2312" w:hAnsi="仿宋"/>
          <w:szCs w:val="28"/>
        </w:rPr>
        <w:t>为经常性项目。</w:t>
      </w:r>
    </w:p>
    <w:p w14:paraId="669C0B6B">
      <w:pPr>
        <w:spacing w:line="360" w:lineRule="auto"/>
        <w:ind w:firstLine="560"/>
        <w:rPr>
          <w:rFonts w:hint="eastAsia" w:ascii="仿宋_GB2312" w:hAnsi="仿宋"/>
          <w:szCs w:val="28"/>
        </w:rPr>
      </w:pPr>
      <w:r>
        <w:rPr>
          <w:rFonts w:hint="eastAsia" w:ascii="仿宋_GB2312" w:hAnsi="仿宋"/>
          <w:szCs w:val="28"/>
        </w:rPr>
        <w:t>该项目总体绩效目标：</w:t>
      </w:r>
    </w:p>
    <w:p w14:paraId="4470ABCE">
      <w:pPr>
        <w:numPr>
          <w:ilvl w:val="0"/>
          <w:numId w:val="0"/>
        </w:numPr>
        <w:spacing w:line="360" w:lineRule="auto"/>
        <w:ind w:firstLine="560" w:firstLineChars="200"/>
        <w:rPr>
          <w:rFonts w:hint="eastAsia" w:ascii="仿宋_GB2312" w:hAnsi="仿宋"/>
          <w:szCs w:val="28"/>
        </w:rPr>
      </w:pPr>
      <w:r>
        <w:rPr>
          <w:rFonts w:hint="eastAsia" w:ascii="仿宋_GB2312" w:hAnsi="仿宋" w:eastAsia="仿宋_GB2312" w:cs="黑体"/>
          <w:kern w:val="2"/>
          <w:sz w:val="28"/>
          <w:szCs w:val="28"/>
          <w:lang w:val="en-US" w:eastAsia="zh-CN" w:bidi="ar-SA"/>
        </w:rPr>
        <w:t>1.</w:t>
      </w:r>
      <w:r>
        <w:rPr>
          <w:rFonts w:hint="eastAsia" w:ascii="仿宋_GB2312" w:hAnsi="仿宋"/>
          <w:szCs w:val="28"/>
        </w:rPr>
        <w:t>制备各类血液成分，提高血液安全性，避免血液污染，避免经血传播疾病。</w:t>
      </w:r>
    </w:p>
    <w:p w14:paraId="42138C3D">
      <w:pPr>
        <w:numPr>
          <w:ilvl w:val="0"/>
          <w:numId w:val="0"/>
        </w:numPr>
        <w:spacing w:line="360" w:lineRule="auto"/>
        <w:ind w:firstLine="560" w:firstLineChars="200"/>
        <w:rPr>
          <w:rFonts w:hint="eastAsia" w:ascii="仿宋_GB2312" w:hAnsi="仿宋"/>
          <w:szCs w:val="28"/>
        </w:rPr>
      </w:pPr>
      <w:r>
        <w:rPr>
          <w:rFonts w:ascii="仿宋_GB2312" w:hAnsi="仿宋" w:eastAsia="仿宋_GB2312" w:cs="黑体"/>
          <w:kern w:val="2"/>
          <w:sz w:val="28"/>
          <w:szCs w:val="28"/>
          <w:lang w:val="en-US" w:eastAsia="zh-CN" w:bidi="ar-SA"/>
        </w:rPr>
        <w:t>2.</w:t>
      </w:r>
      <w:r>
        <w:rPr>
          <w:rFonts w:hint="eastAsia" w:ascii="仿宋_GB2312" w:hAnsi="仿宋"/>
          <w:szCs w:val="28"/>
        </w:rPr>
        <w:t>满足临床用血的需求，确保患者血液治疗的及时性和有效性。满足我市血液供应需求，特别是做好急危重患者血液救治及突发事件血液保障工作。</w:t>
      </w:r>
    </w:p>
    <w:p w14:paraId="6BEFA841">
      <w:pPr>
        <w:numPr>
          <w:ilvl w:val="0"/>
          <w:numId w:val="0"/>
        </w:numPr>
        <w:spacing w:line="360" w:lineRule="auto"/>
        <w:ind w:firstLine="560" w:firstLineChars="200"/>
        <w:rPr>
          <w:rFonts w:hint="eastAsia" w:ascii="仿宋_GB2312" w:hAnsi="仿宋"/>
          <w:szCs w:val="28"/>
        </w:rPr>
      </w:pPr>
      <w:r>
        <w:rPr>
          <w:rFonts w:hint="eastAsia" w:ascii="仿宋_GB2312" w:hAnsi="仿宋"/>
          <w:szCs w:val="28"/>
        </w:rPr>
        <w:t>3.保障血库、检验、制备等设备24小时正常运行。满足正常采供血工作的需求。</w:t>
      </w:r>
    </w:p>
    <w:p w14:paraId="6AF9BDB1">
      <w:pPr>
        <w:numPr>
          <w:ilvl w:val="0"/>
          <w:numId w:val="0"/>
        </w:numPr>
        <w:spacing w:line="360" w:lineRule="auto"/>
        <w:ind w:firstLine="560" w:firstLineChars="200"/>
        <w:rPr>
          <w:rFonts w:ascii="仿宋_GB2312" w:hAnsi="仿宋"/>
          <w:szCs w:val="28"/>
        </w:rPr>
      </w:pPr>
      <w:r>
        <w:rPr>
          <w:rFonts w:hint="eastAsia" w:ascii="仿宋_GB2312" w:hAnsi="仿宋"/>
          <w:szCs w:val="28"/>
        </w:rPr>
        <w:t>4.进一步推动全社会广泛参与自愿无偿献血事业，促进无偿献血工作持续健康发展。对医疗机构</w:t>
      </w:r>
      <w:r>
        <w:rPr>
          <w:rFonts w:hint="eastAsia" w:ascii="仿宋_GB2312" w:hAnsi="仿宋"/>
          <w:szCs w:val="28"/>
          <w:lang w:val="en-US" w:eastAsia="zh-CN"/>
        </w:rPr>
        <w:t>收缴</w:t>
      </w:r>
      <w:r>
        <w:rPr>
          <w:rFonts w:hint="eastAsia" w:ascii="仿宋_GB2312" w:hAnsi="仿宋"/>
          <w:szCs w:val="28"/>
        </w:rPr>
        <w:t>用血互助金进行奖励，以调动医疗机构做好用血互助金的收取工作，保障广大献血者权利</w:t>
      </w:r>
    </w:p>
    <w:p w14:paraId="5672BB33">
      <w:pPr>
        <w:spacing w:line="360" w:lineRule="auto"/>
        <w:ind w:firstLine="560"/>
        <w:rPr>
          <w:rFonts w:ascii="仿宋_GB2312" w:hAnsi="仿宋"/>
          <w:szCs w:val="28"/>
        </w:rPr>
      </w:pPr>
      <w:r>
        <w:rPr>
          <w:rFonts w:ascii="仿宋_GB2312" w:hAnsi="仿宋"/>
          <w:szCs w:val="28"/>
        </w:rPr>
        <w:t>该项目阶段性目标为：</w:t>
      </w:r>
      <w:r>
        <w:rPr>
          <w:rFonts w:hint="eastAsia" w:ascii="仿宋_GB2312" w:hAnsi="仿宋"/>
          <w:szCs w:val="28"/>
        </w:rPr>
        <w:t>在2</w:t>
      </w:r>
      <w:r>
        <w:rPr>
          <w:rFonts w:ascii="仿宋_GB2312" w:hAnsi="仿宋"/>
          <w:szCs w:val="28"/>
        </w:rPr>
        <w:t>023年</w:t>
      </w:r>
      <w:r>
        <w:rPr>
          <w:rFonts w:hint="eastAsia" w:ascii="仿宋_GB2312" w:hAnsi="仿宋"/>
          <w:szCs w:val="28"/>
        </w:rPr>
        <w:t>计划项目实施后，保障</w:t>
      </w:r>
      <w:r>
        <w:rPr>
          <w:rFonts w:hint="eastAsia" w:ascii="仿宋_GB2312" w:hAnsi="仿宋"/>
          <w:szCs w:val="28"/>
          <w:lang w:val="en-US" w:eastAsia="zh-CN"/>
        </w:rPr>
        <w:t>当年</w:t>
      </w:r>
      <w:r>
        <w:rPr>
          <w:rFonts w:hint="eastAsia" w:ascii="仿宋_GB2312" w:hAnsi="仿宋"/>
          <w:szCs w:val="28"/>
        </w:rPr>
        <w:t>采供血业务的正常运行，</w:t>
      </w:r>
      <w:r>
        <w:rPr>
          <w:rFonts w:hint="eastAsia" w:ascii="仿宋_GB2312" w:hAnsi="仿宋"/>
          <w:szCs w:val="28"/>
          <w:lang w:val="en-US" w:eastAsia="zh-CN"/>
        </w:rPr>
        <w:t>按时支付电费、维保费用，</w:t>
      </w:r>
      <w:r>
        <w:rPr>
          <w:rFonts w:hint="eastAsia" w:ascii="仿宋_GB2312" w:hAnsi="仿宋"/>
          <w:szCs w:val="28"/>
        </w:rPr>
        <w:t>保障采供血工作中采集、检验、存储、办公、照明正常运行，满足正常工作的需求</w:t>
      </w:r>
      <w:r>
        <w:rPr>
          <w:rFonts w:hint="eastAsia" w:ascii="仿宋_GB2312" w:hAnsi="仿宋"/>
          <w:szCs w:val="28"/>
          <w:lang w:eastAsia="zh-CN"/>
        </w:rPr>
        <w:t>，</w:t>
      </w:r>
      <w:r>
        <w:rPr>
          <w:rFonts w:hint="eastAsia" w:ascii="仿宋_GB2312" w:hAnsi="仿宋"/>
          <w:szCs w:val="28"/>
        </w:rPr>
        <w:t>确保我区血液质量安全。满足临床用血的需求，确保患者血液治疗的及时性和有效性。进一步做好献血者的关爱、献血者服务，扩大献血者队伍，为临床提供安全有效的血液。完成2023年血液调剂及支付工作制备各类血液成分，满足临床所需；提高血液安全性，避免血液污染，避免经血传播疾病。满足正常采供血工作的需求。</w:t>
      </w:r>
    </w:p>
    <w:p w14:paraId="6FF06273">
      <w:pPr>
        <w:pStyle w:val="2"/>
        <w:ind w:firstLine="0" w:firstLineChars="0"/>
        <w:jc w:val="left"/>
        <w:rPr>
          <w:rFonts w:ascii="仿宋" w:hAnsi="仿宋" w:eastAsia="仿宋"/>
          <w:sz w:val="36"/>
          <w:szCs w:val="36"/>
          <w:lang w:bidi="en-US"/>
        </w:rPr>
      </w:pPr>
      <w:bookmarkStart w:id="9" w:name="_Toc67911604"/>
      <w:bookmarkStart w:id="10" w:name="_Toc165277225"/>
      <w:r>
        <w:rPr>
          <w:rFonts w:hint="eastAsia" w:ascii="仿宋" w:hAnsi="仿宋" w:eastAsia="仿宋"/>
          <w:sz w:val="36"/>
          <w:szCs w:val="36"/>
          <w:lang w:bidi="en-US"/>
        </w:rPr>
        <w:t>二、绩效评价工作开展情况</w:t>
      </w:r>
      <w:bookmarkEnd w:id="9"/>
      <w:bookmarkEnd w:id="10"/>
    </w:p>
    <w:p w14:paraId="6650B68B">
      <w:pPr>
        <w:pStyle w:val="3"/>
        <w:ind w:firstLine="643"/>
        <w:rPr>
          <w:rFonts w:ascii="仿宋" w:hAnsi="仿宋" w:eastAsia="仿宋"/>
          <w:lang w:bidi="en-US"/>
        </w:rPr>
      </w:pPr>
      <w:bookmarkStart w:id="11" w:name="_Toc165277226"/>
      <w:bookmarkStart w:id="12" w:name="_Toc67911605"/>
      <w:r>
        <w:rPr>
          <w:rFonts w:hint="eastAsia" w:ascii="仿宋" w:hAnsi="仿宋" w:eastAsia="仿宋"/>
          <w:lang w:bidi="en-US"/>
        </w:rPr>
        <w:t>（一）绩效评价目的、对象和范围</w:t>
      </w:r>
      <w:bookmarkEnd w:id="11"/>
      <w:bookmarkEnd w:id="12"/>
    </w:p>
    <w:p w14:paraId="3C0945AF">
      <w:pPr>
        <w:pStyle w:val="4"/>
        <w:ind w:firstLine="643"/>
        <w:rPr>
          <w:highlight w:val="none"/>
        </w:rPr>
      </w:pPr>
      <w:bookmarkStart w:id="13" w:name="_Toc165277227"/>
      <w:bookmarkStart w:id="64" w:name="_GoBack"/>
      <w:r>
        <w:rPr>
          <w:rFonts w:hint="eastAsia"/>
          <w:highlight w:val="none"/>
        </w:rPr>
        <w:t>1</w:t>
      </w:r>
      <w:r>
        <w:rPr>
          <w:highlight w:val="none"/>
        </w:rPr>
        <w:t>.绩效评价完整性</w:t>
      </w:r>
      <w:bookmarkEnd w:id="13"/>
    </w:p>
    <w:p w14:paraId="284472A5">
      <w:pPr>
        <w:spacing w:line="360" w:lineRule="auto"/>
        <w:ind w:firstLine="560"/>
        <w:rPr>
          <w:rFonts w:hint="eastAsia" w:ascii="仿宋_GB2312" w:hAnsi="仿宋"/>
          <w:szCs w:val="28"/>
          <w:highlight w:val="none"/>
          <w:lang w:val="en-US" w:eastAsia="zh-CN"/>
        </w:rPr>
      </w:pPr>
      <w:r>
        <w:rPr>
          <w:rFonts w:hint="eastAsia" w:ascii="仿宋_GB2312" w:hAnsi="仿宋"/>
          <w:szCs w:val="28"/>
          <w:highlight w:val="none"/>
          <w:lang w:val="en-US" w:eastAsia="zh-CN"/>
        </w:rPr>
        <w:t>采供血业务运行经费-非政采项目为我单位的经常性项目，主要目标为保障我单位正常运行、保障采供血工作的正常运转，为全区提供安全有效的临床用血。根据项目的目标，我单位设置了完整的绩效评价体系，从产出、成本、效益和社会满意度四个角度对项目绩效进行评价，构建了由9个数量指标、2个质量指标、8个经济成本指标、1个社会效益指标和1个满意度指标组成的绩效评价体系，完整体现项目绩效成果及项目绩效执行情况。</w:t>
      </w:r>
    </w:p>
    <w:p w14:paraId="78F61A79">
      <w:pPr>
        <w:spacing w:line="360" w:lineRule="auto"/>
        <w:ind w:firstLine="560"/>
        <w:rPr>
          <w:rFonts w:hint="default" w:ascii="仿宋_GB2312" w:hAnsi="仿宋"/>
          <w:szCs w:val="28"/>
          <w:highlight w:val="none"/>
          <w:lang w:val="en-US" w:eastAsia="zh-CN"/>
        </w:rPr>
      </w:pPr>
      <w:r>
        <w:rPr>
          <w:rFonts w:hint="eastAsia" w:ascii="仿宋_GB2312" w:hAnsi="仿宋"/>
          <w:szCs w:val="28"/>
          <w:highlight w:val="none"/>
          <w:lang w:val="en-US" w:eastAsia="zh-CN"/>
        </w:rPr>
        <w:t>采供血业务运行经费-非政采项目由我单位献血服务科、总务科、供血科、信息设备科和财务科参与执行，于当年5月、8月分别进行项目绩效监控，阶段性检查项目执行进度。由各执行科室提供监控节点的实际完成情况的数值以及相关佐证材料，由财务科汇总上报。保证了数据的准确性和完整性。</w:t>
      </w:r>
    </w:p>
    <w:bookmarkEnd w:id="64"/>
    <w:p w14:paraId="1C1EFE3C">
      <w:pPr>
        <w:pStyle w:val="4"/>
        <w:ind w:firstLine="643"/>
      </w:pPr>
      <w:bookmarkStart w:id="14" w:name="_Toc165277228"/>
      <w:r>
        <w:t>2</w:t>
      </w:r>
      <w:r>
        <w:rPr>
          <w:rFonts w:hint="eastAsia"/>
        </w:rPr>
        <w:t>.评价目的</w:t>
      </w:r>
      <w:bookmarkEnd w:id="14"/>
    </w:p>
    <w:p w14:paraId="6F9CCF5D">
      <w:pPr>
        <w:spacing w:line="360" w:lineRule="auto"/>
        <w:ind w:firstLine="560"/>
        <w:rPr>
          <w:rFonts w:hint="eastAsia" w:ascii="仿宋_GB2312"/>
        </w:rPr>
      </w:pPr>
      <w:r>
        <w:rPr>
          <w:rFonts w:hint="eastAsia" w:ascii="仿宋_GB2312"/>
        </w:rPr>
        <w:t>本项工作旨在落实《中共中央 国务院关于全面实施预算绩效管理的意见》（中发〔2018〕34号）文件精神，全面推进预算绩效管理工作，落实预算执行及绩效管理主体责任。具体而言包括以下两点</w:t>
      </w:r>
    </w:p>
    <w:p w14:paraId="036B86FC">
      <w:pPr>
        <w:spacing w:line="360" w:lineRule="auto"/>
        <w:ind w:firstLine="560"/>
        <w:rPr>
          <w:rFonts w:hint="eastAsia" w:ascii="仿宋_GB2312"/>
        </w:rPr>
      </w:pPr>
      <w:r>
        <w:rPr>
          <w:rFonts w:hint="eastAsia" w:ascii="仿宋_GB2312"/>
        </w:rPr>
        <w:t>（1）通过对项目设立的背景、意义、项目内容、项目现状及绩效目标、资金投入、资金管理、组织实施、数量指标、质量指标、时效指标、成本指标和效益指标等进行深入调研和分析，进一步了解</w:t>
      </w:r>
      <w:r>
        <w:rPr>
          <w:rFonts w:hint="eastAsia" w:ascii="仿宋_GB2312"/>
          <w:highlight w:val="none"/>
        </w:rPr>
        <w:t>财政委托审计费项目实施情况，并考察项目实施过程和效果。</w:t>
      </w:r>
    </w:p>
    <w:p w14:paraId="5894B4DD">
      <w:pPr>
        <w:spacing w:line="360" w:lineRule="auto"/>
        <w:ind w:firstLine="560"/>
        <w:rPr>
          <w:rFonts w:ascii="仿宋_GB2312"/>
          <w:b/>
          <w:bCs/>
        </w:rPr>
      </w:pPr>
      <w:r>
        <w:rPr>
          <w:rFonts w:hint="eastAsia" w:ascii="仿宋_GB2312"/>
        </w:rPr>
        <w:t>（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14:paraId="208BD961">
      <w:pPr>
        <w:pStyle w:val="4"/>
        <w:ind w:firstLine="643"/>
      </w:pPr>
      <w:bookmarkStart w:id="15" w:name="_Toc165277229"/>
      <w:r>
        <w:t>3</w:t>
      </w:r>
      <w:r>
        <w:rPr>
          <w:rFonts w:hint="eastAsia"/>
        </w:rPr>
        <w:t>.评价对象</w:t>
      </w:r>
      <w:bookmarkEnd w:id="15"/>
    </w:p>
    <w:p w14:paraId="4563878D">
      <w:pPr>
        <w:spacing w:line="360" w:lineRule="auto"/>
        <w:ind w:firstLine="560"/>
        <w:rPr>
          <w:rFonts w:hint="default" w:ascii="仿宋_GB2312" w:eastAsia="仿宋_GB2312"/>
          <w:lang w:val="en-US" w:eastAsia="zh-CN"/>
        </w:rPr>
      </w:pPr>
      <w:r>
        <w:rPr>
          <w:rFonts w:hint="eastAsia" w:ascii="仿宋_GB2312"/>
        </w:rPr>
        <w:t>（1）绩效评价的对象：</w:t>
      </w:r>
      <w:r>
        <w:rPr>
          <w:rFonts w:hint="eastAsia" w:ascii="仿宋_GB2312"/>
          <w:lang w:val="en-US" w:eastAsia="zh-CN"/>
        </w:rPr>
        <w:t>采供血业务运行经费-非政采。</w:t>
      </w:r>
    </w:p>
    <w:p w14:paraId="639E7023">
      <w:pPr>
        <w:pStyle w:val="4"/>
        <w:ind w:firstLine="643"/>
      </w:pPr>
      <w:bookmarkStart w:id="16" w:name="_Toc165277230"/>
      <w:r>
        <w:rPr>
          <w:rFonts w:hint="eastAsia"/>
        </w:rPr>
        <w:t>4</w:t>
      </w:r>
      <w:r>
        <w:t>.</w:t>
      </w:r>
      <w:r>
        <w:rPr>
          <w:rFonts w:hint="eastAsia"/>
        </w:rPr>
        <w:t>绩效评价范围</w:t>
      </w:r>
      <w:bookmarkEnd w:id="16"/>
    </w:p>
    <w:p w14:paraId="6162A34D">
      <w:pPr>
        <w:spacing w:line="360" w:lineRule="auto"/>
        <w:ind w:firstLine="560"/>
        <w:rPr>
          <w:rFonts w:ascii="仿宋_GB2312"/>
        </w:rPr>
      </w:pPr>
      <w:r>
        <w:rPr>
          <w:rFonts w:ascii="仿宋_GB2312"/>
        </w:rPr>
        <w:t>1.</w:t>
      </w:r>
      <w:r>
        <w:rPr>
          <w:rFonts w:hint="eastAsia" w:ascii="仿宋_GB2312"/>
        </w:rPr>
        <w:t>时间范围：2</w:t>
      </w:r>
      <w:r>
        <w:rPr>
          <w:rFonts w:ascii="仿宋_GB2312"/>
        </w:rPr>
        <w:t>023</w:t>
      </w:r>
      <w:r>
        <w:rPr>
          <w:rFonts w:hint="eastAsia" w:ascii="仿宋_GB2312"/>
        </w:rPr>
        <w:t>年1月1日至2</w:t>
      </w:r>
      <w:r>
        <w:rPr>
          <w:rFonts w:ascii="仿宋_GB2312"/>
        </w:rPr>
        <w:t>023</w:t>
      </w:r>
      <w:r>
        <w:rPr>
          <w:rFonts w:hint="eastAsia" w:ascii="仿宋_GB2312"/>
        </w:rPr>
        <w:t>年1</w:t>
      </w:r>
      <w:r>
        <w:rPr>
          <w:rFonts w:ascii="仿宋_GB2312"/>
        </w:rPr>
        <w:t>2</w:t>
      </w:r>
      <w:r>
        <w:rPr>
          <w:rFonts w:hint="eastAsia" w:ascii="仿宋_GB2312"/>
        </w:rPr>
        <w:t>月3</w:t>
      </w:r>
      <w:r>
        <w:rPr>
          <w:rFonts w:ascii="仿宋_GB2312"/>
        </w:rPr>
        <w:t>1</w:t>
      </w:r>
      <w:r>
        <w:rPr>
          <w:rFonts w:hint="eastAsia" w:ascii="仿宋_GB2312"/>
        </w:rPr>
        <w:t>日。</w:t>
      </w:r>
    </w:p>
    <w:p w14:paraId="1D6EED36">
      <w:pPr>
        <w:spacing w:line="360" w:lineRule="auto"/>
        <w:ind w:firstLine="560"/>
        <w:rPr>
          <w:rFonts w:ascii="仿宋_GB2312"/>
        </w:rPr>
      </w:pPr>
      <w:r>
        <w:rPr>
          <w:rFonts w:ascii="仿宋_GB2312"/>
        </w:rPr>
        <w:t>2.</w:t>
      </w:r>
      <w:r>
        <w:rPr>
          <w:rFonts w:hint="eastAsia" w:ascii="仿宋_GB2312"/>
        </w:rPr>
        <w:t>项目范围：</w:t>
      </w:r>
      <w:r>
        <w:rPr>
          <w:rFonts w:hint="eastAsia" w:ascii="仿宋_GB2312"/>
          <w:lang w:val="en-US" w:eastAsia="zh-CN"/>
        </w:rPr>
        <w:t>采供血业务运行经费-非政采项目</w:t>
      </w:r>
      <w:r>
        <w:rPr>
          <w:rFonts w:hint="eastAsia" w:ascii="仿宋_GB2312"/>
        </w:rPr>
        <w:t>的基本情况、评价工作的开展情况、项目实现的产出情况、取得的效益情况、主要经验及做法、存在的问题及原因分析，以及综合性价结论等。</w:t>
      </w:r>
    </w:p>
    <w:p w14:paraId="1F91B1E9">
      <w:pPr>
        <w:pStyle w:val="3"/>
        <w:ind w:firstLine="643"/>
        <w:rPr>
          <w:rFonts w:ascii="仿宋" w:hAnsi="仿宋" w:eastAsia="仿宋"/>
          <w:lang w:bidi="en-US"/>
        </w:rPr>
      </w:pPr>
      <w:bookmarkStart w:id="17" w:name="_Toc165277231"/>
      <w:bookmarkStart w:id="18" w:name="_Toc67911606"/>
      <w:bookmarkStart w:id="19" w:name="_Hlk67586765"/>
      <w:r>
        <w:rPr>
          <w:rFonts w:hint="eastAsia" w:ascii="仿宋" w:hAnsi="仿宋" w:eastAsia="仿宋"/>
          <w:lang w:bidi="en-US"/>
        </w:rPr>
        <w:t>（二）绩效评价原则、指标体系、方法及标准</w:t>
      </w:r>
      <w:bookmarkEnd w:id="17"/>
      <w:bookmarkEnd w:id="18"/>
    </w:p>
    <w:bookmarkEnd w:id="19"/>
    <w:p w14:paraId="5797F46C">
      <w:pPr>
        <w:pStyle w:val="4"/>
        <w:ind w:firstLine="643"/>
      </w:pPr>
      <w:bookmarkStart w:id="20" w:name="_Toc165277232"/>
      <w:r>
        <w:rPr>
          <w:rFonts w:hint="eastAsia"/>
        </w:rPr>
        <w:t>1</w:t>
      </w:r>
      <w:r>
        <w:t>.</w:t>
      </w:r>
      <w:r>
        <w:rPr>
          <w:rFonts w:hint="eastAsia"/>
        </w:rPr>
        <w:t>评价原则</w:t>
      </w:r>
      <w:bookmarkEnd w:id="20"/>
    </w:p>
    <w:p w14:paraId="72B976F0">
      <w:pPr>
        <w:spacing w:line="600" w:lineRule="exact"/>
        <w:ind w:firstLine="640"/>
        <w:rPr>
          <w:rFonts w:ascii="仿宋_GB2312"/>
          <w:bCs/>
          <w:sz w:val="28"/>
          <w:szCs w:val="28"/>
        </w:rPr>
      </w:pPr>
      <w:r>
        <w:rPr>
          <w:rFonts w:hint="eastAsia" w:ascii="仿宋_GB2312"/>
          <w:bCs/>
          <w:sz w:val="28"/>
          <w:szCs w:val="28"/>
        </w:rPr>
        <w:t>（一）科学公正。绩效评价应当运用科学合理的方法，按照规范的程序，对项目绩效进行客观、公正的反映。</w:t>
      </w:r>
    </w:p>
    <w:p w14:paraId="6FEDA763">
      <w:pPr>
        <w:spacing w:line="600" w:lineRule="exact"/>
        <w:ind w:firstLine="640"/>
        <w:rPr>
          <w:rFonts w:ascii="仿宋_GB2312"/>
          <w:bCs/>
          <w:sz w:val="28"/>
          <w:szCs w:val="28"/>
        </w:rPr>
      </w:pPr>
      <w:r>
        <w:rPr>
          <w:rFonts w:hint="eastAsia" w:ascii="仿宋_GB2312"/>
          <w:bCs/>
          <w:sz w:val="28"/>
          <w:szCs w:val="28"/>
        </w:rPr>
        <w:t>（二）统筹兼顾。单位自评、部门评价和财政评价应职责明确，各有侧重，相互衔接。单位自评应由项目单位自主实施，即“谁支出、谁自评”。部门评价和财政评价应在单位自评的基础上开展，必要时可委托第三方机构实施。</w:t>
      </w:r>
    </w:p>
    <w:p w14:paraId="3B83FCED">
      <w:pPr>
        <w:spacing w:line="600" w:lineRule="exact"/>
        <w:ind w:firstLine="640"/>
        <w:rPr>
          <w:rFonts w:ascii="仿宋_GB2312"/>
          <w:bCs/>
          <w:sz w:val="28"/>
          <w:szCs w:val="28"/>
        </w:rPr>
      </w:pPr>
      <w:r>
        <w:rPr>
          <w:rFonts w:hint="eastAsia" w:ascii="仿宋_GB2312"/>
          <w:bCs/>
          <w:sz w:val="28"/>
          <w:szCs w:val="28"/>
        </w:rPr>
        <w:t>（三）激励约束。绩效评价结果应与预算安排、政策调整、改进管理实质性挂钩，体现奖优罚劣和激励相容导向，有效要安排、低效要压减、无效要问责。</w:t>
      </w:r>
    </w:p>
    <w:p w14:paraId="0DBF5DD8">
      <w:pPr>
        <w:spacing w:line="600" w:lineRule="exact"/>
        <w:ind w:firstLine="640"/>
        <w:rPr>
          <w:rFonts w:ascii="仿宋_GB2312"/>
          <w:bCs/>
          <w:sz w:val="28"/>
          <w:szCs w:val="28"/>
        </w:rPr>
      </w:pPr>
      <w:r>
        <w:rPr>
          <w:rFonts w:hint="eastAsia" w:ascii="仿宋_GB2312"/>
          <w:bCs/>
          <w:sz w:val="28"/>
          <w:szCs w:val="28"/>
        </w:rPr>
        <w:t>（四）公开透明。绩效评价结果应依法依规公开，并自觉接受社会监督。</w:t>
      </w:r>
    </w:p>
    <w:p w14:paraId="4A60EC86">
      <w:pPr>
        <w:pStyle w:val="4"/>
        <w:ind w:firstLine="643"/>
      </w:pPr>
      <w:bookmarkStart w:id="21" w:name="_Toc165277233"/>
      <w:r>
        <w:t>2.</w:t>
      </w:r>
      <w:r>
        <w:rPr>
          <w:rFonts w:hint="eastAsia"/>
        </w:rPr>
        <w:t>评价指标体系</w:t>
      </w:r>
      <w:bookmarkEnd w:id="21"/>
    </w:p>
    <w:p w14:paraId="28B35A17">
      <w:pPr>
        <w:spacing w:line="360" w:lineRule="auto"/>
        <w:ind w:firstLine="560"/>
        <w:rPr>
          <w:rFonts w:ascii="仿宋_GB2312"/>
        </w:rPr>
      </w:pPr>
      <w:r>
        <w:rPr>
          <w:rFonts w:hint="eastAsia" w:ascii="仿宋_GB2312"/>
        </w:rPr>
        <w:t>绩效评价指标体系作为衡量绩效目标实现程度的考核工具，一般遵循以下原则：</w:t>
      </w:r>
    </w:p>
    <w:p w14:paraId="005AA357">
      <w:pPr>
        <w:spacing w:line="360" w:lineRule="auto"/>
        <w:ind w:firstLine="560"/>
        <w:rPr>
          <w:rFonts w:ascii="仿宋_GB2312"/>
        </w:rPr>
      </w:pPr>
      <w:r>
        <w:rPr>
          <w:rFonts w:hint="eastAsia" w:ascii="仿宋_GB2312"/>
        </w:rPr>
        <w:t>（1）相关性原则：绩效评价指标应当与绩效目标有直接的联系，能够恰当反映目标的实现程度。</w:t>
      </w:r>
    </w:p>
    <w:p w14:paraId="0A931792">
      <w:pPr>
        <w:spacing w:line="360" w:lineRule="auto"/>
        <w:ind w:firstLine="560"/>
        <w:rPr>
          <w:rFonts w:ascii="仿宋_GB2312"/>
        </w:rPr>
      </w:pPr>
      <w:r>
        <w:rPr>
          <w:rFonts w:hint="eastAsia" w:ascii="仿宋_GB2312"/>
        </w:rPr>
        <w:t>（2）重要性原则：应当优先使用最具评价对象代表性、最能反映评价要求的核心指标。</w:t>
      </w:r>
    </w:p>
    <w:p w14:paraId="0EF22540">
      <w:pPr>
        <w:spacing w:line="360" w:lineRule="auto"/>
        <w:ind w:firstLine="560"/>
        <w:rPr>
          <w:rFonts w:ascii="仿宋_GB2312"/>
        </w:rPr>
      </w:pPr>
      <w:r>
        <w:rPr>
          <w:rFonts w:hint="eastAsia" w:ascii="仿宋_GB2312"/>
        </w:rPr>
        <w:t>（3）可比性原则：对同类评价对象要设定共性的绩效评价指标，以便于评价结果可以相互比较。</w:t>
      </w:r>
    </w:p>
    <w:p w14:paraId="7FA24A90">
      <w:pPr>
        <w:spacing w:line="360" w:lineRule="auto"/>
        <w:ind w:firstLine="560"/>
        <w:rPr>
          <w:rFonts w:ascii="仿宋_GB2312"/>
        </w:rPr>
      </w:pPr>
      <w:r>
        <w:rPr>
          <w:rFonts w:hint="eastAsia" w:ascii="仿宋_GB2312"/>
        </w:rPr>
        <w:t>（4）系统性原则：绩效评价指标的设置应当将定量指标与定性指标相结合，能系统反映财政支出所产生的社会效益、经济效益和可持续影响等。</w:t>
      </w:r>
    </w:p>
    <w:p w14:paraId="064C1D19">
      <w:pPr>
        <w:spacing w:line="360" w:lineRule="auto"/>
        <w:ind w:firstLine="560"/>
        <w:rPr>
          <w:rFonts w:ascii="仿宋_GB2312"/>
        </w:rPr>
      </w:pPr>
      <w:r>
        <w:rPr>
          <w:rFonts w:hint="eastAsia" w:ascii="仿宋_GB2312"/>
        </w:rPr>
        <w:t>（5）经济性原则：绩效评价指标设计应当通俗易懂、简便易行，数据的获得应当考虑现实条件和可操作性，符合成本效益原则。</w:t>
      </w:r>
    </w:p>
    <w:p w14:paraId="6978A098">
      <w:pPr>
        <w:spacing w:line="360" w:lineRule="auto"/>
        <w:ind w:firstLine="560"/>
        <w:rPr>
          <w:rFonts w:ascii="仿宋_GB2312"/>
          <w:highlight w:val="none"/>
        </w:rPr>
      </w:pPr>
      <w:r>
        <w:rPr>
          <w:rFonts w:hint="eastAsia" w:ascii="仿宋_GB2312"/>
          <w:highlight w:val="none"/>
        </w:rPr>
        <w:t>本项目的评价指标体系建立如下表所示。</w:t>
      </w:r>
    </w:p>
    <w:p w14:paraId="05B433A0">
      <w:pPr>
        <w:spacing w:line="360" w:lineRule="auto"/>
        <w:ind w:firstLine="560"/>
        <w:rPr>
          <w:rFonts w:ascii="仿宋_GB2312"/>
        </w:rPr>
      </w:pPr>
    </w:p>
    <w:p w14:paraId="4668C3CA">
      <w:pPr>
        <w:spacing w:line="360" w:lineRule="auto"/>
        <w:ind w:firstLine="560"/>
        <w:rPr>
          <w:rFonts w:ascii="仿宋_GB2312"/>
        </w:rPr>
      </w:pPr>
    </w:p>
    <w:p w14:paraId="25F4EA96">
      <w:pPr>
        <w:spacing w:line="360" w:lineRule="auto"/>
        <w:ind w:firstLine="560"/>
        <w:rPr>
          <w:rFonts w:ascii="仿宋_GB2312"/>
        </w:rPr>
        <w:sectPr>
          <w:headerReference r:id="rId11" w:type="default"/>
          <w:footerReference r:id="rId12"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14:paraId="4B972F94">
      <w:pPr>
        <w:spacing w:line="360" w:lineRule="auto"/>
        <w:ind w:firstLine="0" w:firstLineChars="0"/>
        <w:jc w:val="center"/>
        <w:rPr>
          <w:rFonts w:ascii="仿宋_GB2312"/>
          <w:b/>
          <w:bCs/>
        </w:rPr>
      </w:pPr>
      <w:r>
        <w:rPr>
          <w:rFonts w:ascii="仿宋_GB2312"/>
          <w:b/>
          <w:bCs/>
        </w:rPr>
        <w:t xml:space="preserve">  </w:t>
      </w:r>
      <w:r>
        <w:rPr>
          <w:rFonts w:hint="eastAsia" w:ascii="仿宋_GB2312"/>
          <w:b/>
          <w:bCs/>
        </w:rPr>
        <w:t>项目支出绩效评价指标体系</w:t>
      </w:r>
    </w:p>
    <w:tbl>
      <w:tblPr>
        <w:tblStyle w:val="15"/>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14:paraId="65D4D8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14:paraId="66A48C62">
            <w:pPr>
              <w:widowControl/>
              <w:ind w:firstLine="0" w:firstLineChars="0"/>
              <w:jc w:val="center"/>
              <w:rPr>
                <w:rFonts w:ascii="宋体" w:hAnsi="宋体" w:eastAsia="宋体" w:cs="宋体"/>
                <w:b/>
                <w:bCs/>
                <w:color w:val="000000"/>
                <w:kern w:val="0"/>
                <w:sz w:val="22"/>
                <w:highlight w:val="none"/>
              </w:rPr>
            </w:pPr>
            <w:r>
              <w:rPr>
                <w:rFonts w:hint="eastAsia" w:ascii="宋体" w:hAnsi="宋体" w:eastAsia="宋体" w:cs="宋体"/>
                <w:b/>
                <w:bCs/>
                <w:color w:val="000000"/>
                <w:kern w:val="0"/>
                <w:sz w:val="22"/>
                <w:highlight w:val="none"/>
              </w:rPr>
              <w:t>一级指标</w:t>
            </w:r>
          </w:p>
        </w:tc>
        <w:tc>
          <w:tcPr>
            <w:tcW w:w="1199" w:type="dxa"/>
            <w:tcBorders>
              <w:tl2br w:val="nil"/>
              <w:tr2bl w:val="nil"/>
            </w:tcBorders>
            <w:shd w:val="clear" w:color="auto" w:fill="D0CECE" w:themeFill="background2" w:themeFillShade="E6"/>
            <w:vAlign w:val="center"/>
          </w:tcPr>
          <w:p w14:paraId="4E73FF49">
            <w:pPr>
              <w:widowControl/>
              <w:ind w:firstLine="0" w:firstLineChars="0"/>
              <w:jc w:val="center"/>
              <w:rPr>
                <w:rFonts w:ascii="宋体" w:hAnsi="宋体" w:eastAsia="宋体" w:cs="宋体"/>
                <w:b/>
                <w:bCs/>
                <w:color w:val="000000"/>
                <w:kern w:val="0"/>
                <w:sz w:val="22"/>
                <w:highlight w:val="none"/>
              </w:rPr>
            </w:pPr>
            <w:r>
              <w:rPr>
                <w:rFonts w:hint="eastAsia" w:ascii="宋体" w:hAnsi="宋体" w:eastAsia="宋体" w:cs="宋体"/>
                <w:b/>
                <w:bCs/>
                <w:color w:val="000000"/>
                <w:kern w:val="0"/>
                <w:sz w:val="22"/>
                <w:highlight w:val="none"/>
              </w:rPr>
              <w:t>二级指标</w:t>
            </w:r>
          </w:p>
        </w:tc>
        <w:tc>
          <w:tcPr>
            <w:tcW w:w="1411" w:type="dxa"/>
            <w:tcBorders>
              <w:tl2br w:val="nil"/>
              <w:tr2bl w:val="nil"/>
            </w:tcBorders>
            <w:shd w:val="clear" w:color="auto" w:fill="D0CECE" w:themeFill="background2" w:themeFillShade="E6"/>
            <w:vAlign w:val="center"/>
          </w:tcPr>
          <w:p w14:paraId="621FE26D">
            <w:pPr>
              <w:widowControl/>
              <w:ind w:firstLine="0" w:firstLineChars="0"/>
              <w:jc w:val="center"/>
              <w:rPr>
                <w:rFonts w:ascii="宋体" w:hAnsi="宋体" w:eastAsia="宋体" w:cs="宋体"/>
                <w:b/>
                <w:bCs/>
                <w:color w:val="000000"/>
                <w:kern w:val="0"/>
                <w:sz w:val="22"/>
                <w:highlight w:val="none"/>
              </w:rPr>
            </w:pPr>
            <w:r>
              <w:rPr>
                <w:rFonts w:hint="eastAsia" w:ascii="宋体" w:hAnsi="宋体" w:eastAsia="宋体" w:cs="宋体"/>
                <w:b/>
                <w:bCs/>
                <w:color w:val="000000"/>
                <w:kern w:val="0"/>
                <w:sz w:val="22"/>
                <w:highlight w:val="none"/>
              </w:rPr>
              <w:t>三级指标</w:t>
            </w:r>
          </w:p>
        </w:tc>
        <w:tc>
          <w:tcPr>
            <w:tcW w:w="2789" w:type="dxa"/>
            <w:tcBorders>
              <w:tl2br w:val="nil"/>
              <w:tr2bl w:val="nil"/>
            </w:tcBorders>
            <w:shd w:val="clear" w:color="auto" w:fill="D0CECE" w:themeFill="background2" w:themeFillShade="E6"/>
            <w:vAlign w:val="center"/>
          </w:tcPr>
          <w:p w14:paraId="3EC43D89">
            <w:pPr>
              <w:widowControl/>
              <w:ind w:firstLine="0" w:firstLineChars="0"/>
              <w:jc w:val="center"/>
              <w:rPr>
                <w:rFonts w:ascii="宋体" w:hAnsi="宋体" w:eastAsia="宋体" w:cs="宋体"/>
                <w:b/>
                <w:bCs/>
                <w:color w:val="000000"/>
                <w:kern w:val="0"/>
                <w:sz w:val="22"/>
                <w:highlight w:val="none"/>
              </w:rPr>
            </w:pPr>
            <w:r>
              <w:rPr>
                <w:rFonts w:hint="eastAsia" w:ascii="宋体" w:hAnsi="宋体" w:eastAsia="宋体" w:cs="宋体"/>
                <w:b/>
                <w:bCs/>
                <w:color w:val="000000"/>
                <w:kern w:val="0"/>
                <w:sz w:val="22"/>
                <w:highlight w:val="none"/>
              </w:rPr>
              <w:t>指标解释</w:t>
            </w:r>
          </w:p>
        </w:tc>
        <w:tc>
          <w:tcPr>
            <w:tcW w:w="7341" w:type="dxa"/>
            <w:tcBorders>
              <w:tl2br w:val="nil"/>
              <w:tr2bl w:val="nil"/>
            </w:tcBorders>
            <w:shd w:val="clear" w:color="auto" w:fill="D0CECE" w:themeFill="background2" w:themeFillShade="E6"/>
            <w:vAlign w:val="center"/>
          </w:tcPr>
          <w:p w14:paraId="67B680DE">
            <w:pPr>
              <w:widowControl/>
              <w:ind w:firstLine="0" w:firstLineChars="0"/>
              <w:jc w:val="center"/>
              <w:rPr>
                <w:rFonts w:ascii="宋体" w:hAnsi="宋体" w:eastAsia="宋体" w:cs="宋体"/>
                <w:b/>
                <w:bCs/>
                <w:color w:val="000000"/>
                <w:kern w:val="0"/>
                <w:sz w:val="22"/>
                <w:highlight w:val="none"/>
              </w:rPr>
            </w:pPr>
            <w:r>
              <w:rPr>
                <w:rFonts w:hint="eastAsia" w:ascii="宋体" w:hAnsi="宋体" w:eastAsia="宋体" w:cs="宋体"/>
                <w:b/>
                <w:bCs/>
                <w:color w:val="000000"/>
                <w:kern w:val="0"/>
                <w:sz w:val="22"/>
                <w:highlight w:val="none"/>
              </w:rPr>
              <w:t>指标说明</w:t>
            </w:r>
          </w:p>
        </w:tc>
      </w:tr>
      <w:tr w14:paraId="12324F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14:paraId="3423D11A">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决策</w:t>
            </w:r>
          </w:p>
        </w:tc>
        <w:tc>
          <w:tcPr>
            <w:tcW w:w="1199" w:type="dxa"/>
            <w:vMerge w:val="restart"/>
            <w:tcBorders>
              <w:tl2br w:val="nil"/>
              <w:tr2bl w:val="nil"/>
            </w:tcBorders>
            <w:shd w:val="clear" w:color="auto" w:fill="FFFFFF"/>
            <w:vAlign w:val="center"/>
          </w:tcPr>
          <w:p w14:paraId="015C612B">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项目立项</w:t>
            </w:r>
          </w:p>
        </w:tc>
        <w:tc>
          <w:tcPr>
            <w:tcW w:w="1411" w:type="dxa"/>
            <w:tcBorders>
              <w:tl2br w:val="nil"/>
              <w:tr2bl w:val="nil"/>
            </w:tcBorders>
            <w:shd w:val="clear" w:color="auto" w:fill="FFFFFF"/>
            <w:vAlign w:val="center"/>
          </w:tcPr>
          <w:p w14:paraId="3F505A02">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立项依据</w:t>
            </w:r>
          </w:p>
          <w:p w14:paraId="50561D13">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充分性</w:t>
            </w:r>
          </w:p>
        </w:tc>
        <w:tc>
          <w:tcPr>
            <w:tcW w:w="2789" w:type="dxa"/>
            <w:tcBorders>
              <w:tl2br w:val="nil"/>
              <w:tr2bl w:val="nil"/>
            </w:tcBorders>
            <w:shd w:val="clear" w:color="auto" w:fill="FFFFFF"/>
            <w:vAlign w:val="center"/>
          </w:tcPr>
          <w:p w14:paraId="2B26B0FC">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14:paraId="3783DF12">
            <w:pPr>
              <w:widowControl/>
              <w:ind w:firstLine="0" w:firstLineChars="0"/>
              <w:jc w:val="left"/>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①项目立项是否符合国家法律法规、国民经济发展规划和相关政策；</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②项目立项是否符合行业发展规划和政策要求；</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③项目立项是否与部门职责范围相符，属于部门履职所需；</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④项目是否属于公共财政支持范围，是否符合中央、地方事权支出责任划分原则；</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⑤项目是否与相关部门同类项目或部门内部相关项目重复。</w:t>
            </w:r>
          </w:p>
        </w:tc>
      </w:tr>
      <w:tr w14:paraId="034B0A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14:paraId="79C30999">
            <w:pPr>
              <w:ind w:firstLine="0" w:firstLineChars="0"/>
              <w:jc w:val="center"/>
              <w:rPr>
                <w:rFonts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14:paraId="66C87A97">
            <w:pPr>
              <w:widowControl/>
              <w:ind w:firstLine="0" w:firstLineChars="0"/>
              <w:jc w:val="center"/>
              <w:rPr>
                <w:rFonts w:ascii="宋体" w:hAnsi="宋体" w:eastAsia="宋体" w:cs="宋体"/>
                <w:color w:val="000000"/>
                <w:kern w:val="0"/>
                <w:sz w:val="22"/>
                <w:highlight w:val="none"/>
              </w:rPr>
            </w:pPr>
          </w:p>
        </w:tc>
        <w:tc>
          <w:tcPr>
            <w:tcW w:w="1411" w:type="dxa"/>
            <w:tcBorders>
              <w:tl2br w:val="nil"/>
              <w:tr2bl w:val="nil"/>
            </w:tcBorders>
            <w:shd w:val="clear" w:color="auto" w:fill="FFFFFF"/>
            <w:vAlign w:val="center"/>
          </w:tcPr>
          <w:p w14:paraId="08C92D38">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立项程序</w:t>
            </w:r>
          </w:p>
          <w:p w14:paraId="5E3EDF03">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规范性</w:t>
            </w:r>
          </w:p>
        </w:tc>
        <w:tc>
          <w:tcPr>
            <w:tcW w:w="2789" w:type="dxa"/>
            <w:tcBorders>
              <w:tl2br w:val="nil"/>
              <w:tr2bl w:val="nil"/>
            </w:tcBorders>
            <w:shd w:val="clear" w:color="auto" w:fill="FFFFFF"/>
            <w:vAlign w:val="center"/>
          </w:tcPr>
          <w:p w14:paraId="48CB1254">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项目申请、设立过程是否符合相关要求，用以反映和考核项目立项的规范情况。</w:t>
            </w:r>
          </w:p>
        </w:tc>
        <w:tc>
          <w:tcPr>
            <w:tcW w:w="7341" w:type="dxa"/>
            <w:tcBorders>
              <w:tl2br w:val="nil"/>
              <w:tr2bl w:val="nil"/>
            </w:tcBorders>
            <w:shd w:val="clear" w:color="auto" w:fill="FFFFFF"/>
            <w:vAlign w:val="center"/>
          </w:tcPr>
          <w:p w14:paraId="2AF6599B">
            <w:pPr>
              <w:widowControl/>
              <w:ind w:firstLine="0" w:firstLineChars="0"/>
              <w:jc w:val="left"/>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①项目是否按照规定的程序申请设立；</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②审批文件、材料是否符合相关要求；</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③事前是否已经过必要的可行性研究、专家论证、风险评估、绩效评估、集体决策。</w:t>
            </w:r>
          </w:p>
        </w:tc>
      </w:tr>
      <w:tr w14:paraId="1FA5A1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14:paraId="4D08129B">
            <w:pPr>
              <w:ind w:firstLine="0" w:firstLineChars="0"/>
              <w:jc w:val="center"/>
              <w:rPr>
                <w:rFonts w:ascii="宋体" w:hAnsi="宋体" w:eastAsia="宋体" w:cs="宋体"/>
                <w:color w:val="000000"/>
                <w:kern w:val="0"/>
                <w:sz w:val="22"/>
                <w:highlight w:val="none"/>
              </w:rPr>
            </w:pPr>
          </w:p>
        </w:tc>
        <w:tc>
          <w:tcPr>
            <w:tcW w:w="1199" w:type="dxa"/>
            <w:tcBorders>
              <w:tl2br w:val="nil"/>
              <w:tr2bl w:val="nil"/>
            </w:tcBorders>
            <w:shd w:val="clear" w:color="auto" w:fill="FFFFFF"/>
            <w:vAlign w:val="center"/>
          </w:tcPr>
          <w:p w14:paraId="7568A079">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绩效目标</w:t>
            </w:r>
          </w:p>
        </w:tc>
        <w:tc>
          <w:tcPr>
            <w:tcW w:w="1411" w:type="dxa"/>
            <w:tcBorders>
              <w:tl2br w:val="nil"/>
              <w:tr2bl w:val="nil"/>
            </w:tcBorders>
            <w:shd w:val="clear" w:color="auto" w:fill="FFFFFF"/>
            <w:vAlign w:val="center"/>
          </w:tcPr>
          <w:p w14:paraId="51F9B842">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绩效目标</w:t>
            </w:r>
          </w:p>
          <w:p w14:paraId="646BD570">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合理性</w:t>
            </w:r>
          </w:p>
        </w:tc>
        <w:tc>
          <w:tcPr>
            <w:tcW w:w="2789" w:type="dxa"/>
            <w:tcBorders>
              <w:tl2br w:val="nil"/>
              <w:tr2bl w:val="nil"/>
            </w:tcBorders>
            <w:shd w:val="clear" w:color="000000" w:fill="FFFFFF"/>
            <w:vAlign w:val="center"/>
          </w:tcPr>
          <w:p w14:paraId="23889270">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14:paraId="135D7EE1">
            <w:pPr>
              <w:widowControl/>
              <w:ind w:firstLine="0" w:firstLineChars="0"/>
              <w:jc w:val="left"/>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（如未设定预算绩效目标，也可考核其他工作任务目标）</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①项目是否有绩效目标；</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②项目绩效目标与实际工作内容是否具有相关性；</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③项目预期产出效益和效果是否符合正常的业绩水平；</w:t>
            </w:r>
          </w:p>
          <w:p w14:paraId="1B083BD6">
            <w:pPr>
              <w:widowControl/>
              <w:ind w:firstLine="0" w:firstLineChars="0"/>
              <w:jc w:val="left"/>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④是否与预算确定的项目投资额或资金量相匹配。</w:t>
            </w:r>
          </w:p>
        </w:tc>
      </w:tr>
      <w:tr w14:paraId="4DBB69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14:paraId="18A3156D">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决策</w:t>
            </w:r>
          </w:p>
        </w:tc>
        <w:tc>
          <w:tcPr>
            <w:tcW w:w="1199" w:type="dxa"/>
            <w:tcBorders>
              <w:tl2br w:val="nil"/>
              <w:tr2bl w:val="nil"/>
            </w:tcBorders>
            <w:shd w:val="clear" w:color="auto" w:fill="FFFFFF"/>
            <w:vAlign w:val="center"/>
          </w:tcPr>
          <w:p w14:paraId="47CC45DA">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绩效目标</w:t>
            </w:r>
          </w:p>
        </w:tc>
        <w:tc>
          <w:tcPr>
            <w:tcW w:w="1411" w:type="dxa"/>
            <w:tcBorders>
              <w:tl2br w:val="nil"/>
              <w:tr2bl w:val="nil"/>
            </w:tcBorders>
            <w:shd w:val="clear" w:color="auto" w:fill="FFFFFF"/>
            <w:vAlign w:val="center"/>
          </w:tcPr>
          <w:p w14:paraId="1AAD2C1B">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绩效指标</w:t>
            </w:r>
          </w:p>
          <w:p w14:paraId="7BBF9645">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明确性</w:t>
            </w:r>
          </w:p>
        </w:tc>
        <w:tc>
          <w:tcPr>
            <w:tcW w:w="2789" w:type="dxa"/>
            <w:tcBorders>
              <w:tl2br w:val="nil"/>
              <w:tr2bl w:val="nil"/>
            </w:tcBorders>
            <w:shd w:val="clear" w:color="000000" w:fill="FFFFFF"/>
            <w:vAlign w:val="center"/>
          </w:tcPr>
          <w:p w14:paraId="50DD9AF9">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14:paraId="5E1C2956">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①是否将项目绩效目标细化分解为具体的绩效指标；</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②是否通过清晰、可衡量的指标值予以体现；</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③是否与项目目标任务数或计划数相对应。</w:t>
            </w:r>
            <w:r>
              <w:rPr>
                <w:rFonts w:hint="eastAsia" w:ascii="宋体" w:hAnsi="宋体" w:eastAsia="宋体" w:cs="宋体"/>
                <w:color w:val="000000"/>
                <w:kern w:val="0"/>
                <w:sz w:val="22"/>
                <w:highlight w:val="none"/>
              </w:rPr>
              <w:br w:type="textWrapping"/>
            </w:r>
          </w:p>
        </w:tc>
      </w:tr>
      <w:tr w14:paraId="56ABD0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14:paraId="0970AD5A">
            <w:pPr>
              <w:ind w:firstLine="0" w:firstLineChars="0"/>
              <w:jc w:val="center"/>
              <w:rPr>
                <w:rFonts w:ascii="宋体" w:hAnsi="宋体" w:eastAsia="宋体" w:cs="宋体"/>
                <w:color w:val="000000"/>
                <w:kern w:val="0"/>
                <w:sz w:val="22"/>
                <w:highlight w:val="none"/>
              </w:rPr>
            </w:pPr>
          </w:p>
        </w:tc>
        <w:tc>
          <w:tcPr>
            <w:tcW w:w="1199" w:type="dxa"/>
            <w:vMerge w:val="restart"/>
            <w:tcBorders>
              <w:tl2br w:val="nil"/>
              <w:tr2bl w:val="nil"/>
            </w:tcBorders>
            <w:shd w:val="clear" w:color="auto" w:fill="FFFFFF"/>
            <w:vAlign w:val="center"/>
          </w:tcPr>
          <w:p w14:paraId="6A91376A">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资金投入</w:t>
            </w:r>
          </w:p>
        </w:tc>
        <w:tc>
          <w:tcPr>
            <w:tcW w:w="1411" w:type="dxa"/>
            <w:tcBorders>
              <w:tl2br w:val="nil"/>
              <w:tr2bl w:val="nil"/>
            </w:tcBorders>
            <w:shd w:val="clear" w:color="auto" w:fill="FFFFFF"/>
            <w:vAlign w:val="center"/>
          </w:tcPr>
          <w:p w14:paraId="631A94AA">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预算编制</w:t>
            </w:r>
          </w:p>
          <w:p w14:paraId="5C3147C7">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科学性</w:t>
            </w:r>
          </w:p>
        </w:tc>
        <w:tc>
          <w:tcPr>
            <w:tcW w:w="2789" w:type="dxa"/>
            <w:tcBorders>
              <w:tl2br w:val="nil"/>
              <w:tr2bl w:val="nil"/>
            </w:tcBorders>
            <w:shd w:val="clear" w:color="auto" w:fill="FFFFFF"/>
            <w:vAlign w:val="center"/>
          </w:tcPr>
          <w:p w14:paraId="1763E28B">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14:paraId="597FAE84">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①预算编制是否经过科学论证；</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②预算内容与项目内容是否匹配；</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③预算额度测算依据是否充分，是否按照标准编制；</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④预算确定的项目投资额或资金量是否与工作任务相匹配。</w:t>
            </w:r>
          </w:p>
        </w:tc>
      </w:tr>
      <w:tr w14:paraId="63398A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14:paraId="64F5ADB1">
            <w:pPr>
              <w:widowControl/>
              <w:ind w:firstLine="0" w:firstLineChars="0"/>
              <w:jc w:val="center"/>
              <w:rPr>
                <w:rFonts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14:paraId="20BA41E2">
            <w:pPr>
              <w:widowControl/>
              <w:ind w:firstLine="0" w:firstLineChars="0"/>
              <w:jc w:val="center"/>
              <w:rPr>
                <w:rFonts w:ascii="宋体" w:hAnsi="宋体" w:eastAsia="宋体" w:cs="宋体"/>
                <w:color w:val="000000"/>
                <w:kern w:val="0"/>
                <w:sz w:val="22"/>
                <w:highlight w:val="none"/>
              </w:rPr>
            </w:pPr>
          </w:p>
        </w:tc>
        <w:tc>
          <w:tcPr>
            <w:tcW w:w="1411" w:type="dxa"/>
            <w:tcBorders>
              <w:tl2br w:val="nil"/>
              <w:tr2bl w:val="nil"/>
            </w:tcBorders>
            <w:shd w:val="clear" w:color="auto" w:fill="FFFFFF"/>
            <w:vAlign w:val="center"/>
          </w:tcPr>
          <w:p w14:paraId="5CBBB133">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资金分配</w:t>
            </w:r>
          </w:p>
          <w:p w14:paraId="596590E2">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合理性</w:t>
            </w:r>
          </w:p>
        </w:tc>
        <w:tc>
          <w:tcPr>
            <w:tcW w:w="2789" w:type="dxa"/>
            <w:tcBorders>
              <w:tl2br w:val="nil"/>
              <w:tr2bl w:val="nil"/>
            </w:tcBorders>
            <w:shd w:val="clear" w:color="auto" w:fill="FFFFFF"/>
            <w:vAlign w:val="center"/>
          </w:tcPr>
          <w:p w14:paraId="1F00EC15">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14:paraId="3F9753B1">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①预算资金分配依据是否充分；</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②资金分配额度是否合理，与项目单位或地方实际是否相适应。</w:t>
            </w:r>
          </w:p>
        </w:tc>
      </w:tr>
      <w:tr w14:paraId="6086AC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14:paraId="067CF07E">
            <w:pPr>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过程</w:t>
            </w:r>
          </w:p>
        </w:tc>
        <w:tc>
          <w:tcPr>
            <w:tcW w:w="1199" w:type="dxa"/>
            <w:vMerge w:val="restart"/>
            <w:tcBorders>
              <w:tl2br w:val="nil"/>
              <w:tr2bl w:val="nil"/>
            </w:tcBorders>
            <w:shd w:val="clear" w:color="auto" w:fill="FFFFFF"/>
            <w:vAlign w:val="center"/>
          </w:tcPr>
          <w:p w14:paraId="1F8C685F">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资金管理</w:t>
            </w:r>
          </w:p>
        </w:tc>
        <w:tc>
          <w:tcPr>
            <w:tcW w:w="1411" w:type="dxa"/>
            <w:tcBorders>
              <w:tl2br w:val="nil"/>
              <w:tr2bl w:val="nil"/>
            </w:tcBorders>
            <w:shd w:val="clear" w:color="auto" w:fill="FFFFFF"/>
            <w:vAlign w:val="center"/>
          </w:tcPr>
          <w:p w14:paraId="73BDC446">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资金到位率</w:t>
            </w:r>
          </w:p>
        </w:tc>
        <w:tc>
          <w:tcPr>
            <w:tcW w:w="2789" w:type="dxa"/>
            <w:tcBorders>
              <w:tl2br w:val="nil"/>
              <w:tr2bl w:val="nil"/>
            </w:tcBorders>
            <w:shd w:val="clear" w:color="000000" w:fill="FFFFFF"/>
            <w:vAlign w:val="center"/>
          </w:tcPr>
          <w:p w14:paraId="54DD7092">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14:paraId="604FEC3F">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资金到位率=（实际到位资金/预算资金）×100%。</w:t>
            </w:r>
          </w:p>
          <w:p w14:paraId="475B23DC">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实际到位资金：一定时期（本年度或项目期）内落实到具体项目的资金。</w:t>
            </w:r>
          </w:p>
          <w:p w14:paraId="72C5F624">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预算资金：一定时期（本年度或项目期）内预算安排到具体项目的资金。</w:t>
            </w:r>
          </w:p>
        </w:tc>
      </w:tr>
      <w:tr w14:paraId="36DC2E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14:paraId="1660F297">
            <w:pPr>
              <w:ind w:firstLine="0" w:firstLineChars="0"/>
              <w:jc w:val="center"/>
              <w:rPr>
                <w:rFonts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14:paraId="41FCF989">
            <w:pPr>
              <w:ind w:firstLine="0" w:firstLineChars="0"/>
              <w:jc w:val="center"/>
              <w:rPr>
                <w:rFonts w:ascii="宋体" w:hAnsi="宋体" w:eastAsia="宋体" w:cs="宋体"/>
                <w:color w:val="000000"/>
                <w:kern w:val="0"/>
                <w:sz w:val="22"/>
                <w:highlight w:val="none"/>
              </w:rPr>
            </w:pPr>
          </w:p>
        </w:tc>
        <w:tc>
          <w:tcPr>
            <w:tcW w:w="1411" w:type="dxa"/>
            <w:tcBorders>
              <w:tl2br w:val="nil"/>
              <w:tr2bl w:val="nil"/>
            </w:tcBorders>
            <w:shd w:val="clear" w:color="auto" w:fill="FFFFFF"/>
            <w:vAlign w:val="center"/>
          </w:tcPr>
          <w:p w14:paraId="07A6C425">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预算执行率</w:t>
            </w:r>
          </w:p>
        </w:tc>
        <w:tc>
          <w:tcPr>
            <w:tcW w:w="2789" w:type="dxa"/>
            <w:tcBorders>
              <w:tl2br w:val="nil"/>
              <w:tr2bl w:val="nil"/>
            </w:tcBorders>
            <w:shd w:val="clear" w:color="auto" w:fill="FFFFFF"/>
            <w:vAlign w:val="center"/>
          </w:tcPr>
          <w:p w14:paraId="0D1B83C0">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项目预算资金是否按照计划执行，用以反映或考核项目预算执行情况。</w:t>
            </w:r>
          </w:p>
        </w:tc>
        <w:tc>
          <w:tcPr>
            <w:tcW w:w="7341" w:type="dxa"/>
            <w:tcBorders>
              <w:tl2br w:val="nil"/>
              <w:tr2bl w:val="nil"/>
            </w:tcBorders>
            <w:shd w:val="clear" w:color="auto" w:fill="FFFFFF"/>
            <w:vAlign w:val="center"/>
          </w:tcPr>
          <w:p w14:paraId="6A130C20">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预算执行率=（实际支出资金/实际到位资金）×100%。</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实际支出资金：一定时期（本年度或项目期）内项目实际拨付的资金。</w:t>
            </w:r>
          </w:p>
        </w:tc>
      </w:tr>
      <w:tr w14:paraId="12C504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14:paraId="5E2959CF">
            <w:pPr>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过程</w:t>
            </w:r>
          </w:p>
        </w:tc>
        <w:tc>
          <w:tcPr>
            <w:tcW w:w="1199" w:type="dxa"/>
            <w:tcBorders>
              <w:tl2br w:val="nil"/>
              <w:tr2bl w:val="nil"/>
            </w:tcBorders>
            <w:shd w:val="clear" w:color="auto" w:fill="FFFFFF"/>
            <w:vAlign w:val="center"/>
          </w:tcPr>
          <w:p w14:paraId="627DFF97">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资金管理</w:t>
            </w:r>
          </w:p>
        </w:tc>
        <w:tc>
          <w:tcPr>
            <w:tcW w:w="1411" w:type="dxa"/>
            <w:tcBorders>
              <w:tl2br w:val="nil"/>
              <w:tr2bl w:val="nil"/>
            </w:tcBorders>
            <w:shd w:val="clear" w:color="auto" w:fill="FFFFFF"/>
            <w:vAlign w:val="center"/>
          </w:tcPr>
          <w:p w14:paraId="535AE4FD">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资金使用</w:t>
            </w:r>
          </w:p>
          <w:p w14:paraId="5F61D753">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合规性</w:t>
            </w:r>
          </w:p>
        </w:tc>
        <w:tc>
          <w:tcPr>
            <w:tcW w:w="2789" w:type="dxa"/>
            <w:tcBorders>
              <w:tl2br w:val="nil"/>
              <w:tr2bl w:val="nil"/>
            </w:tcBorders>
            <w:shd w:val="clear" w:color="000000" w:fill="FFFFFF"/>
            <w:vAlign w:val="center"/>
          </w:tcPr>
          <w:p w14:paraId="0977E267">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14:paraId="7E63BCC8">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①是否符合国家财经法规和财务管理制度以及有关专项资金管理办法的规定；</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②资金的拨付是否有完整的审批程序和手续；</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③是否符合项目预算批复或合同规定的用途；</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④是否存在截留、挤占、挪用、虚列支出等情况。</w:t>
            </w:r>
          </w:p>
        </w:tc>
      </w:tr>
      <w:tr w14:paraId="0010FC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14:paraId="6E6C08B7">
            <w:pPr>
              <w:ind w:firstLine="0" w:firstLineChars="0"/>
              <w:jc w:val="center"/>
              <w:rPr>
                <w:rFonts w:ascii="宋体" w:hAnsi="宋体" w:eastAsia="宋体" w:cs="宋体"/>
                <w:color w:val="000000"/>
                <w:kern w:val="0"/>
                <w:sz w:val="22"/>
                <w:highlight w:val="none"/>
              </w:rPr>
            </w:pPr>
          </w:p>
        </w:tc>
        <w:tc>
          <w:tcPr>
            <w:tcW w:w="1199" w:type="dxa"/>
            <w:vMerge w:val="restart"/>
            <w:tcBorders>
              <w:tl2br w:val="nil"/>
              <w:tr2bl w:val="nil"/>
            </w:tcBorders>
            <w:shd w:val="clear" w:color="auto" w:fill="FFFFFF"/>
            <w:vAlign w:val="center"/>
          </w:tcPr>
          <w:p w14:paraId="74B1B566">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组织实施</w:t>
            </w:r>
          </w:p>
        </w:tc>
        <w:tc>
          <w:tcPr>
            <w:tcW w:w="1411" w:type="dxa"/>
            <w:tcBorders>
              <w:tl2br w:val="nil"/>
              <w:tr2bl w:val="nil"/>
            </w:tcBorders>
            <w:shd w:val="clear" w:color="auto" w:fill="FFFFFF"/>
            <w:vAlign w:val="center"/>
          </w:tcPr>
          <w:p w14:paraId="57568F0B">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管理制度</w:t>
            </w:r>
          </w:p>
          <w:p w14:paraId="7294FDC7">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健全性</w:t>
            </w:r>
          </w:p>
        </w:tc>
        <w:tc>
          <w:tcPr>
            <w:tcW w:w="2789" w:type="dxa"/>
            <w:tcBorders>
              <w:tl2br w:val="nil"/>
              <w:tr2bl w:val="nil"/>
            </w:tcBorders>
            <w:shd w:val="clear" w:color="000000" w:fill="FFFFFF"/>
            <w:vAlign w:val="center"/>
          </w:tcPr>
          <w:p w14:paraId="3933429F">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14:paraId="7A7ECDB6">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①是否已制定或具有相应的财务和业务管理制度；</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②财务和业务管理制度是否合法、合规、完整。</w:t>
            </w:r>
          </w:p>
        </w:tc>
      </w:tr>
      <w:tr w14:paraId="1C9AFF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14:paraId="1CA23CA4">
            <w:pPr>
              <w:widowControl/>
              <w:ind w:firstLine="0" w:firstLineChars="0"/>
              <w:jc w:val="center"/>
              <w:rPr>
                <w:rFonts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14:paraId="500B3CF5">
            <w:pPr>
              <w:widowControl/>
              <w:ind w:firstLine="0" w:firstLineChars="0"/>
              <w:jc w:val="center"/>
              <w:rPr>
                <w:rFonts w:ascii="宋体" w:hAnsi="宋体" w:eastAsia="宋体" w:cs="宋体"/>
                <w:color w:val="000000"/>
                <w:kern w:val="0"/>
                <w:sz w:val="22"/>
                <w:highlight w:val="none"/>
              </w:rPr>
            </w:pPr>
          </w:p>
        </w:tc>
        <w:tc>
          <w:tcPr>
            <w:tcW w:w="1411" w:type="dxa"/>
            <w:tcBorders>
              <w:tl2br w:val="nil"/>
              <w:tr2bl w:val="nil"/>
            </w:tcBorders>
            <w:shd w:val="clear" w:color="auto" w:fill="FFFFFF"/>
            <w:vAlign w:val="center"/>
          </w:tcPr>
          <w:p w14:paraId="2D23A7ED">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制度执行</w:t>
            </w:r>
          </w:p>
          <w:p w14:paraId="0D3CD662">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有效性</w:t>
            </w:r>
          </w:p>
        </w:tc>
        <w:tc>
          <w:tcPr>
            <w:tcW w:w="2789" w:type="dxa"/>
            <w:tcBorders>
              <w:tl2br w:val="nil"/>
              <w:tr2bl w:val="nil"/>
            </w:tcBorders>
            <w:shd w:val="clear" w:color="000000" w:fill="FFFFFF"/>
            <w:vAlign w:val="center"/>
          </w:tcPr>
          <w:p w14:paraId="5EA93138">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项目实施是否符合相关管理规定，用以反映和考核相关管理制度的有效执行情况。</w:t>
            </w:r>
          </w:p>
        </w:tc>
        <w:tc>
          <w:tcPr>
            <w:tcW w:w="7341" w:type="dxa"/>
            <w:tcBorders>
              <w:tl2br w:val="nil"/>
              <w:tr2bl w:val="nil"/>
            </w:tcBorders>
            <w:shd w:val="clear" w:color="000000" w:fill="FFFFFF"/>
            <w:vAlign w:val="center"/>
          </w:tcPr>
          <w:p w14:paraId="645AAD55">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①是否遵守相关法律法规和相关管理规定；</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②项目调整及支出调整手续是否完备；</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③项目合同书、验收报告、技术鉴定等资料是否齐全并及时归档；</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④项目实施的人员条件、场地设备、信息支撑等是否落实到位。</w:t>
            </w:r>
          </w:p>
        </w:tc>
      </w:tr>
      <w:tr w14:paraId="56F0CB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51" w:hRule="atLeast"/>
          <w:jc w:val="center"/>
        </w:trPr>
        <w:tc>
          <w:tcPr>
            <w:tcW w:w="1155" w:type="dxa"/>
            <w:vMerge w:val="restart"/>
            <w:tcBorders>
              <w:tl2br w:val="nil"/>
              <w:tr2bl w:val="nil"/>
            </w:tcBorders>
            <w:shd w:val="clear" w:color="auto" w:fill="FFFFFF"/>
            <w:vAlign w:val="center"/>
          </w:tcPr>
          <w:p w14:paraId="365E66CA">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w:t>
            </w:r>
          </w:p>
        </w:tc>
        <w:tc>
          <w:tcPr>
            <w:tcW w:w="1199" w:type="dxa"/>
            <w:vMerge w:val="restart"/>
            <w:tcBorders>
              <w:tl2br w:val="nil"/>
              <w:tr2bl w:val="nil"/>
            </w:tcBorders>
            <w:shd w:val="clear" w:color="auto" w:fill="FFFFFF"/>
            <w:vAlign w:val="center"/>
          </w:tcPr>
          <w:p w14:paraId="420ACFDC">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产出数量</w:t>
            </w:r>
          </w:p>
        </w:tc>
        <w:tc>
          <w:tcPr>
            <w:tcW w:w="1411" w:type="dxa"/>
            <w:tcBorders>
              <w:tl2br w:val="nil"/>
              <w:tr2bl w:val="nil"/>
            </w:tcBorders>
            <w:shd w:val="clear" w:color="auto" w:fill="FFFFFF"/>
            <w:vAlign w:val="top"/>
          </w:tcPr>
          <w:p w14:paraId="74967321">
            <w:pPr>
              <w:keepNext w:val="0"/>
              <w:keepLines w:val="0"/>
              <w:widowControl/>
              <w:suppressLineNumbers w:val="0"/>
              <w:ind w:left="0" w:leftChars="0" w:firstLine="0" w:firstLineChars="0"/>
              <w:jc w:val="center"/>
              <w:textAlignment w:val="top"/>
              <w:rPr>
                <w:rFonts w:ascii="宋体" w:hAnsi="宋体" w:eastAsia="宋体" w:cs="宋体"/>
                <w:color w:val="000000"/>
                <w:kern w:val="0"/>
                <w:sz w:val="22"/>
                <w:highlight w:val="none"/>
              </w:rPr>
            </w:pPr>
            <w:r>
              <w:rPr>
                <w:rFonts w:hint="eastAsia" w:ascii="宋体" w:hAnsi="宋体" w:eastAsia="宋体" w:cs="宋体"/>
                <w:i w:val="0"/>
                <w:iCs w:val="0"/>
                <w:color w:val="000000"/>
                <w:kern w:val="0"/>
                <w:sz w:val="22"/>
                <w:szCs w:val="22"/>
                <w:highlight w:val="none"/>
                <w:u w:val="none"/>
                <w:lang w:val="en-US" w:eastAsia="zh-CN" w:bidi="ar"/>
              </w:rPr>
              <w:t>电梯定期维保次数</w:t>
            </w:r>
          </w:p>
        </w:tc>
        <w:tc>
          <w:tcPr>
            <w:tcW w:w="2789" w:type="dxa"/>
            <w:vMerge w:val="restart"/>
            <w:tcBorders>
              <w:tl2br w:val="nil"/>
              <w:tr2bl w:val="nil"/>
            </w:tcBorders>
            <w:shd w:val="clear" w:color="000000" w:fill="FFFFFF"/>
            <w:vAlign w:val="center"/>
          </w:tcPr>
          <w:p w14:paraId="7D3C2175">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14:paraId="0B91A803">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实际完成率=（实际产出数/计划产出数）×100%。</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实际产出数：一定时期（本年度或项目期）内项目实际产出的产品或提供的服务数量。</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计划产出数：项目绩效目标确定的在一定时期（本年度或项目期）内计划产出的产品或提供的服务数量。</w:t>
            </w:r>
          </w:p>
        </w:tc>
      </w:tr>
      <w:tr w14:paraId="5C02A4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51" w:hRule="atLeast"/>
          <w:jc w:val="center"/>
        </w:trPr>
        <w:tc>
          <w:tcPr>
            <w:tcW w:w="1155" w:type="dxa"/>
            <w:vMerge w:val="continue"/>
            <w:tcBorders>
              <w:tl2br w:val="nil"/>
              <w:tr2bl w:val="nil"/>
            </w:tcBorders>
            <w:shd w:val="clear" w:color="auto" w:fill="FFFFFF"/>
            <w:vAlign w:val="center"/>
          </w:tcPr>
          <w:p w14:paraId="5A149694">
            <w:pPr>
              <w:widowControl/>
              <w:ind w:firstLine="0" w:firstLineChars="0"/>
              <w:jc w:val="center"/>
              <w:rPr>
                <w:highlight w:val="none"/>
              </w:rPr>
            </w:pPr>
          </w:p>
        </w:tc>
        <w:tc>
          <w:tcPr>
            <w:tcW w:w="1199" w:type="dxa"/>
            <w:vMerge w:val="continue"/>
            <w:tcBorders>
              <w:tl2br w:val="nil"/>
              <w:tr2bl w:val="nil"/>
            </w:tcBorders>
            <w:shd w:val="clear" w:color="auto" w:fill="FFFFFF"/>
            <w:vAlign w:val="center"/>
          </w:tcPr>
          <w:p w14:paraId="51734621">
            <w:pPr>
              <w:widowControl/>
              <w:ind w:firstLine="0" w:firstLineChars="0"/>
              <w:jc w:val="center"/>
              <w:rPr>
                <w:highlight w:val="none"/>
              </w:rPr>
            </w:pPr>
          </w:p>
        </w:tc>
        <w:tc>
          <w:tcPr>
            <w:tcW w:w="1411" w:type="dxa"/>
            <w:tcBorders>
              <w:tl2br w:val="nil"/>
              <w:tr2bl w:val="nil"/>
            </w:tcBorders>
            <w:shd w:val="clear" w:color="auto" w:fill="FFFFFF"/>
            <w:vAlign w:val="top"/>
          </w:tcPr>
          <w:p w14:paraId="1792832B">
            <w:pPr>
              <w:keepNext w:val="0"/>
              <w:keepLines w:val="0"/>
              <w:widowControl/>
              <w:suppressLineNumbers w:val="0"/>
              <w:ind w:left="0" w:leftChars="0" w:firstLine="0" w:firstLineChars="0"/>
              <w:jc w:val="center"/>
              <w:textAlignment w:val="top"/>
              <w:rPr>
                <w:rFonts w:ascii="宋体" w:hAnsi="宋体" w:eastAsia="宋体" w:cs="宋体"/>
                <w:color w:val="000000"/>
                <w:kern w:val="0"/>
                <w:sz w:val="22"/>
                <w:highlight w:val="none"/>
              </w:rPr>
            </w:pPr>
            <w:r>
              <w:rPr>
                <w:rFonts w:hint="eastAsia" w:ascii="宋体" w:hAnsi="宋体" w:eastAsia="宋体" w:cs="宋体"/>
                <w:i w:val="0"/>
                <w:iCs w:val="0"/>
                <w:color w:val="000000"/>
                <w:kern w:val="0"/>
                <w:sz w:val="22"/>
                <w:szCs w:val="22"/>
                <w:highlight w:val="none"/>
                <w:u w:val="none"/>
                <w:lang w:val="en-US" w:eastAsia="zh-CN" w:bidi="ar"/>
              </w:rPr>
              <w:t>室间质评数</w:t>
            </w:r>
          </w:p>
        </w:tc>
        <w:tc>
          <w:tcPr>
            <w:tcW w:w="2789" w:type="dxa"/>
            <w:vMerge w:val="continue"/>
            <w:tcBorders>
              <w:tl2br w:val="nil"/>
              <w:tr2bl w:val="nil"/>
            </w:tcBorders>
            <w:shd w:val="clear" w:color="000000" w:fill="FFFFFF"/>
            <w:vAlign w:val="center"/>
          </w:tcPr>
          <w:p w14:paraId="0309482D">
            <w:pPr>
              <w:widowControl/>
              <w:ind w:firstLine="0" w:firstLineChars="0"/>
              <w:jc w:val="center"/>
              <w:rPr>
                <w:rFonts w:ascii="宋体" w:hAnsi="宋体" w:eastAsia="宋体" w:cs="宋体"/>
                <w:color w:val="000000"/>
                <w:kern w:val="0"/>
                <w:sz w:val="22"/>
                <w:highlight w:val="none"/>
              </w:rPr>
            </w:pPr>
          </w:p>
        </w:tc>
        <w:tc>
          <w:tcPr>
            <w:tcW w:w="7341" w:type="dxa"/>
            <w:vMerge w:val="continue"/>
            <w:tcBorders>
              <w:tl2br w:val="nil"/>
              <w:tr2bl w:val="nil"/>
            </w:tcBorders>
            <w:shd w:val="clear" w:color="000000" w:fill="FFFFFF"/>
            <w:vAlign w:val="center"/>
          </w:tcPr>
          <w:p w14:paraId="4FF3F14A">
            <w:pPr>
              <w:widowControl/>
              <w:ind w:firstLine="0" w:firstLineChars="0"/>
              <w:jc w:val="center"/>
              <w:rPr>
                <w:rFonts w:ascii="宋体" w:hAnsi="宋体" w:eastAsia="宋体" w:cs="宋体"/>
                <w:color w:val="000000"/>
                <w:kern w:val="0"/>
                <w:sz w:val="22"/>
                <w:highlight w:val="none"/>
              </w:rPr>
            </w:pPr>
          </w:p>
        </w:tc>
      </w:tr>
      <w:tr w14:paraId="4FC865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51" w:hRule="atLeast"/>
          <w:jc w:val="center"/>
        </w:trPr>
        <w:tc>
          <w:tcPr>
            <w:tcW w:w="1155" w:type="dxa"/>
            <w:vMerge w:val="continue"/>
            <w:tcBorders>
              <w:tl2br w:val="nil"/>
              <w:tr2bl w:val="nil"/>
            </w:tcBorders>
            <w:shd w:val="clear" w:color="auto" w:fill="FFFFFF"/>
            <w:vAlign w:val="center"/>
          </w:tcPr>
          <w:p w14:paraId="003C1E0C">
            <w:pPr>
              <w:widowControl/>
              <w:ind w:firstLine="0" w:firstLineChars="0"/>
              <w:jc w:val="center"/>
              <w:rPr>
                <w:rFonts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14:paraId="420674FB">
            <w:pPr>
              <w:widowControl/>
              <w:ind w:firstLine="0" w:firstLineChars="0"/>
              <w:jc w:val="center"/>
              <w:rPr>
                <w:rFonts w:ascii="宋体" w:hAnsi="宋体" w:eastAsia="宋体" w:cs="宋体"/>
                <w:color w:val="000000"/>
                <w:kern w:val="0"/>
                <w:sz w:val="22"/>
                <w:highlight w:val="none"/>
              </w:rPr>
            </w:pPr>
          </w:p>
        </w:tc>
        <w:tc>
          <w:tcPr>
            <w:tcW w:w="1411" w:type="dxa"/>
            <w:tcBorders>
              <w:tl2br w:val="nil"/>
              <w:tr2bl w:val="nil"/>
            </w:tcBorders>
            <w:shd w:val="clear" w:color="auto" w:fill="FFFFFF"/>
            <w:vAlign w:val="top"/>
          </w:tcPr>
          <w:p w14:paraId="1B38E169">
            <w:pPr>
              <w:keepNext w:val="0"/>
              <w:keepLines w:val="0"/>
              <w:widowControl/>
              <w:suppressLineNumbers w:val="0"/>
              <w:ind w:left="0" w:leftChars="0" w:firstLine="0" w:firstLineChars="0"/>
              <w:jc w:val="center"/>
              <w:textAlignment w:val="top"/>
              <w:rPr>
                <w:rFonts w:ascii="宋体" w:hAnsi="宋体" w:eastAsia="宋体" w:cs="宋体"/>
                <w:color w:val="000000"/>
                <w:kern w:val="0"/>
                <w:sz w:val="22"/>
                <w:highlight w:val="none"/>
              </w:rPr>
            </w:pPr>
            <w:r>
              <w:rPr>
                <w:rFonts w:hint="eastAsia" w:ascii="宋体" w:hAnsi="宋体" w:eastAsia="宋体" w:cs="宋体"/>
                <w:i w:val="0"/>
                <w:iCs w:val="0"/>
                <w:color w:val="000000"/>
                <w:kern w:val="0"/>
                <w:sz w:val="22"/>
                <w:szCs w:val="22"/>
                <w:highlight w:val="none"/>
                <w:u w:val="none"/>
                <w:lang w:val="en-US" w:eastAsia="zh-CN" w:bidi="ar"/>
              </w:rPr>
              <w:t>维修维护设备种类</w:t>
            </w:r>
          </w:p>
        </w:tc>
        <w:tc>
          <w:tcPr>
            <w:tcW w:w="2789" w:type="dxa"/>
            <w:vMerge w:val="continue"/>
            <w:tcBorders>
              <w:tl2br w:val="nil"/>
              <w:tr2bl w:val="nil"/>
            </w:tcBorders>
            <w:shd w:val="clear" w:color="000000" w:fill="FFFFFF"/>
            <w:vAlign w:val="center"/>
          </w:tcPr>
          <w:p w14:paraId="634EFE72">
            <w:pPr>
              <w:widowControl/>
              <w:ind w:firstLine="0" w:firstLineChars="0"/>
              <w:jc w:val="center"/>
              <w:rPr>
                <w:rFonts w:ascii="宋体" w:hAnsi="宋体" w:eastAsia="宋体" w:cs="宋体"/>
                <w:color w:val="000000"/>
                <w:kern w:val="0"/>
                <w:sz w:val="22"/>
                <w:highlight w:val="none"/>
              </w:rPr>
            </w:pPr>
          </w:p>
        </w:tc>
        <w:tc>
          <w:tcPr>
            <w:tcW w:w="7341" w:type="dxa"/>
            <w:vMerge w:val="continue"/>
            <w:tcBorders>
              <w:tl2br w:val="nil"/>
              <w:tr2bl w:val="nil"/>
            </w:tcBorders>
            <w:shd w:val="clear" w:color="000000" w:fill="FFFFFF"/>
            <w:vAlign w:val="center"/>
          </w:tcPr>
          <w:p w14:paraId="29F15664">
            <w:pPr>
              <w:widowControl/>
              <w:ind w:firstLine="0" w:firstLineChars="0"/>
              <w:jc w:val="center"/>
              <w:rPr>
                <w:rFonts w:ascii="宋体" w:hAnsi="宋体" w:eastAsia="宋体" w:cs="宋体"/>
                <w:color w:val="000000"/>
                <w:kern w:val="0"/>
                <w:sz w:val="22"/>
                <w:highlight w:val="none"/>
              </w:rPr>
            </w:pPr>
          </w:p>
        </w:tc>
      </w:tr>
      <w:tr w14:paraId="0CBC1C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51" w:hRule="atLeast"/>
          <w:jc w:val="center"/>
        </w:trPr>
        <w:tc>
          <w:tcPr>
            <w:tcW w:w="1155" w:type="dxa"/>
            <w:vMerge w:val="continue"/>
            <w:tcBorders>
              <w:tl2br w:val="nil"/>
              <w:tr2bl w:val="nil"/>
            </w:tcBorders>
            <w:shd w:val="clear" w:color="auto" w:fill="FFFFFF"/>
            <w:vAlign w:val="center"/>
          </w:tcPr>
          <w:p w14:paraId="277BEAA5">
            <w:pPr>
              <w:widowControl/>
              <w:ind w:firstLine="0" w:firstLineChars="0"/>
              <w:jc w:val="center"/>
              <w:rPr>
                <w:rFonts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14:paraId="49C8C14D">
            <w:pPr>
              <w:widowControl/>
              <w:ind w:firstLine="0" w:firstLineChars="0"/>
              <w:jc w:val="center"/>
              <w:rPr>
                <w:rFonts w:ascii="宋体" w:hAnsi="宋体" w:eastAsia="宋体" w:cs="宋体"/>
                <w:color w:val="000000"/>
                <w:kern w:val="0"/>
                <w:sz w:val="22"/>
                <w:highlight w:val="none"/>
              </w:rPr>
            </w:pPr>
          </w:p>
        </w:tc>
        <w:tc>
          <w:tcPr>
            <w:tcW w:w="1411" w:type="dxa"/>
            <w:tcBorders>
              <w:tl2br w:val="nil"/>
              <w:tr2bl w:val="nil"/>
            </w:tcBorders>
            <w:shd w:val="clear" w:color="auto" w:fill="FFFFFF"/>
            <w:vAlign w:val="top"/>
          </w:tcPr>
          <w:p w14:paraId="2DABADC0">
            <w:pPr>
              <w:keepNext w:val="0"/>
              <w:keepLines w:val="0"/>
              <w:widowControl/>
              <w:suppressLineNumbers w:val="0"/>
              <w:ind w:left="0" w:leftChars="0" w:firstLine="0" w:firstLineChars="0"/>
              <w:jc w:val="center"/>
              <w:textAlignment w:val="top"/>
              <w:rPr>
                <w:rFonts w:ascii="宋体" w:hAnsi="宋体" w:eastAsia="宋体" w:cs="宋体"/>
                <w:color w:val="000000"/>
                <w:kern w:val="0"/>
                <w:sz w:val="22"/>
                <w:highlight w:val="none"/>
              </w:rPr>
            </w:pPr>
            <w:r>
              <w:rPr>
                <w:rFonts w:hint="eastAsia" w:ascii="宋体" w:hAnsi="宋体" w:eastAsia="宋体" w:cs="宋体"/>
                <w:i w:val="0"/>
                <w:iCs w:val="0"/>
                <w:color w:val="000000"/>
                <w:kern w:val="0"/>
                <w:sz w:val="22"/>
                <w:szCs w:val="22"/>
                <w:highlight w:val="none"/>
                <w:u w:val="none"/>
                <w:lang w:val="en-US" w:eastAsia="zh-CN" w:bidi="ar"/>
              </w:rPr>
              <w:t>采购试剂耗材种类</w:t>
            </w:r>
          </w:p>
        </w:tc>
        <w:tc>
          <w:tcPr>
            <w:tcW w:w="2789" w:type="dxa"/>
            <w:vMerge w:val="continue"/>
            <w:tcBorders>
              <w:tl2br w:val="nil"/>
              <w:tr2bl w:val="nil"/>
            </w:tcBorders>
            <w:shd w:val="clear" w:color="000000" w:fill="FFFFFF"/>
            <w:vAlign w:val="center"/>
          </w:tcPr>
          <w:p w14:paraId="4D65B401">
            <w:pPr>
              <w:widowControl/>
              <w:ind w:firstLine="0" w:firstLineChars="0"/>
              <w:jc w:val="center"/>
              <w:rPr>
                <w:rFonts w:ascii="宋体" w:hAnsi="宋体" w:eastAsia="宋体" w:cs="宋体"/>
                <w:color w:val="000000"/>
                <w:kern w:val="0"/>
                <w:sz w:val="22"/>
                <w:highlight w:val="none"/>
              </w:rPr>
            </w:pPr>
          </w:p>
        </w:tc>
        <w:tc>
          <w:tcPr>
            <w:tcW w:w="7341" w:type="dxa"/>
            <w:vMerge w:val="continue"/>
            <w:tcBorders>
              <w:tl2br w:val="nil"/>
              <w:tr2bl w:val="nil"/>
            </w:tcBorders>
            <w:shd w:val="clear" w:color="000000" w:fill="FFFFFF"/>
            <w:vAlign w:val="center"/>
          </w:tcPr>
          <w:p w14:paraId="70DC2AD5">
            <w:pPr>
              <w:widowControl/>
              <w:ind w:firstLine="0" w:firstLineChars="0"/>
              <w:jc w:val="center"/>
              <w:rPr>
                <w:rFonts w:ascii="宋体" w:hAnsi="宋体" w:eastAsia="宋体" w:cs="宋体"/>
                <w:color w:val="000000"/>
                <w:kern w:val="0"/>
                <w:sz w:val="22"/>
                <w:highlight w:val="none"/>
              </w:rPr>
            </w:pPr>
          </w:p>
        </w:tc>
      </w:tr>
      <w:tr w14:paraId="359911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51" w:hRule="atLeast"/>
          <w:jc w:val="center"/>
        </w:trPr>
        <w:tc>
          <w:tcPr>
            <w:tcW w:w="1155" w:type="dxa"/>
            <w:vMerge w:val="continue"/>
            <w:tcBorders>
              <w:tl2br w:val="nil"/>
              <w:tr2bl w:val="nil"/>
            </w:tcBorders>
            <w:shd w:val="clear" w:color="auto" w:fill="FFFFFF"/>
            <w:vAlign w:val="center"/>
          </w:tcPr>
          <w:p w14:paraId="7F10D5EA">
            <w:pPr>
              <w:widowControl/>
              <w:ind w:firstLine="0" w:firstLineChars="0"/>
              <w:jc w:val="center"/>
              <w:rPr>
                <w:rFonts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14:paraId="3BFF94E8">
            <w:pPr>
              <w:widowControl/>
              <w:ind w:firstLine="0" w:firstLineChars="0"/>
              <w:jc w:val="center"/>
              <w:rPr>
                <w:rFonts w:ascii="宋体" w:hAnsi="宋体" w:eastAsia="宋体" w:cs="宋体"/>
                <w:color w:val="000000"/>
                <w:kern w:val="0"/>
                <w:sz w:val="22"/>
                <w:highlight w:val="none"/>
              </w:rPr>
            </w:pPr>
          </w:p>
        </w:tc>
        <w:tc>
          <w:tcPr>
            <w:tcW w:w="1411" w:type="dxa"/>
            <w:tcBorders>
              <w:tl2br w:val="nil"/>
              <w:tr2bl w:val="nil"/>
            </w:tcBorders>
            <w:shd w:val="clear" w:color="auto" w:fill="FFFFFF"/>
            <w:vAlign w:val="top"/>
          </w:tcPr>
          <w:p w14:paraId="740A8E49">
            <w:pPr>
              <w:keepNext w:val="0"/>
              <w:keepLines w:val="0"/>
              <w:widowControl/>
              <w:suppressLineNumbers w:val="0"/>
              <w:ind w:left="0" w:leftChars="0" w:firstLine="0" w:firstLineChars="0"/>
              <w:jc w:val="center"/>
              <w:textAlignment w:val="top"/>
              <w:rPr>
                <w:rFonts w:ascii="宋体" w:hAnsi="宋体" w:eastAsia="宋体" w:cs="宋体"/>
                <w:color w:val="000000"/>
                <w:kern w:val="0"/>
                <w:sz w:val="22"/>
                <w:highlight w:val="none"/>
              </w:rPr>
            </w:pPr>
            <w:r>
              <w:rPr>
                <w:rFonts w:hint="eastAsia" w:ascii="宋体" w:hAnsi="宋体" w:eastAsia="宋体" w:cs="宋体"/>
                <w:i w:val="0"/>
                <w:iCs w:val="0"/>
                <w:color w:val="000000"/>
                <w:kern w:val="0"/>
                <w:sz w:val="22"/>
                <w:szCs w:val="22"/>
                <w:highlight w:val="none"/>
                <w:u w:val="none"/>
                <w:lang w:val="en-US" w:eastAsia="zh-CN" w:bidi="ar"/>
              </w:rPr>
              <w:t>红细胞和血小板类调剂量</w:t>
            </w:r>
          </w:p>
        </w:tc>
        <w:tc>
          <w:tcPr>
            <w:tcW w:w="2789" w:type="dxa"/>
            <w:vMerge w:val="continue"/>
            <w:tcBorders>
              <w:tl2br w:val="nil"/>
              <w:tr2bl w:val="nil"/>
            </w:tcBorders>
            <w:shd w:val="clear" w:color="000000" w:fill="FFFFFF"/>
            <w:vAlign w:val="center"/>
          </w:tcPr>
          <w:p w14:paraId="078C6A4E">
            <w:pPr>
              <w:widowControl/>
              <w:ind w:firstLine="0" w:firstLineChars="0"/>
              <w:jc w:val="center"/>
              <w:rPr>
                <w:rFonts w:ascii="宋体" w:hAnsi="宋体" w:eastAsia="宋体" w:cs="宋体"/>
                <w:color w:val="000000"/>
                <w:kern w:val="0"/>
                <w:sz w:val="22"/>
                <w:highlight w:val="none"/>
              </w:rPr>
            </w:pPr>
          </w:p>
        </w:tc>
        <w:tc>
          <w:tcPr>
            <w:tcW w:w="7341" w:type="dxa"/>
            <w:vMerge w:val="continue"/>
            <w:tcBorders>
              <w:tl2br w:val="nil"/>
              <w:tr2bl w:val="nil"/>
            </w:tcBorders>
            <w:shd w:val="clear" w:color="000000" w:fill="FFFFFF"/>
            <w:vAlign w:val="center"/>
          </w:tcPr>
          <w:p w14:paraId="192024BD">
            <w:pPr>
              <w:widowControl/>
              <w:ind w:firstLine="0" w:firstLineChars="0"/>
              <w:jc w:val="center"/>
              <w:rPr>
                <w:rFonts w:ascii="宋体" w:hAnsi="宋体" w:eastAsia="宋体" w:cs="宋体"/>
                <w:color w:val="000000"/>
                <w:kern w:val="0"/>
                <w:sz w:val="22"/>
                <w:highlight w:val="none"/>
              </w:rPr>
            </w:pPr>
          </w:p>
        </w:tc>
      </w:tr>
      <w:tr w14:paraId="6ABCDB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51" w:hRule="atLeast"/>
          <w:jc w:val="center"/>
        </w:trPr>
        <w:tc>
          <w:tcPr>
            <w:tcW w:w="1155" w:type="dxa"/>
            <w:vMerge w:val="continue"/>
            <w:tcBorders>
              <w:tl2br w:val="nil"/>
              <w:tr2bl w:val="nil"/>
            </w:tcBorders>
            <w:shd w:val="clear" w:color="auto" w:fill="FFFFFF"/>
            <w:vAlign w:val="center"/>
          </w:tcPr>
          <w:p w14:paraId="219770A8">
            <w:pPr>
              <w:widowControl/>
              <w:ind w:firstLine="0" w:firstLineChars="0"/>
              <w:jc w:val="center"/>
              <w:rPr>
                <w:rFonts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14:paraId="3ED63BCC">
            <w:pPr>
              <w:widowControl/>
              <w:ind w:firstLine="0" w:firstLineChars="0"/>
              <w:jc w:val="center"/>
              <w:rPr>
                <w:rFonts w:ascii="宋体" w:hAnsi="宋体" w:eastAsia="宋体" w:cs="宋体"/>
                <w:color w:val="000000"/>
                <w:kern w:val="0"/>
                <w:sz w:val="22"/>
                <w:highlight w:val="none"/>
              </w:rPr>
            </w:pPr>
          </w:p>
        </w:tc>
        <w:tc>
          <w:tcPr>
            <w:tcW w:w="1411" w:type="dxa"/>
            <w:tcBorders>
              <w:tl2br w:val="nil"/>
              <w:tr2bl w:val="nil"/>
            </w:tcBorders>
            <w:shd w:val="clear" w:color="auto" w:fill="FFFFFF"/>
            <w:vAlign w:val="top"/>
          </w:tcPr>
          <w:p w14:paraId="79A68E49">
            <w:pPr>
              <w:keepNext w:val="0"/>
              <w:keepLines w:val="0"/>
              <w:widowControl/>
              <w:suppressLineNumbers w:val="0"/>
              <w:ind w:left="0" w:leftChars="0" w:firstLine="0" w:firstLineChars="0"/>
              <w:jc w:val="center"/>
              <w:textAlignment w:val="top"/>
              <w:rPr>
                <w:rFonts w:ascii="宋体" w:hAnsi="宋体" w:eastAsia="宋体" w:cs="宋体"/>
                <w:color w:val="000000"/>
                <w:kern w:val="0"/>
                <w:sz w:val="22"/>
                <w:highlight w:val="none"/>
              </w:rPr>
            </w:pPr>
            <w:r>
              <w:rPr>
                <w:rFonts w:hint="eastAsia" w:ascii="宋体" w:hAnsi="宋体" w:eastAsia="宋体" w:cs="宋体"/>
                <w:i w:val="0"/>
                <w:iCs w:val="0"/>
                <w:color w:val="000000"/>
                <w:kern w:val="0"/>
                <w:sz w:val="22"/>
                <w:szCs w:val="22"/>
                <w:highlight w:val="none"/>
                <w:u w:val="none"/>
                <w:lang w:val="en-US" w:eastAsia="zh-CN" w:bidi="ar"/>
              </w:rPr>
              <w:t>血浆和冷沉淀类调剂量</w:t>
            </w:r>
          </w:p>
        </w:tc>
        <w:tc>
          <w:tcPr>
            <w:tcW w:w="2789" w:type="dxa"/>
            <w:vMerge w:val="continue"/>
            <w:tcBorders>
              <w:tl2br w:val="nil"/>
              <w:tr2bl w:val="nil"/>
            </w:tcBorders>
            <w:shd w:val="clear" w:color="000000" w:fill="FFFFFF"/>
            <w:vAlign w:val="center"/>
          </w:tcPr>
          <w:p w14:paraId="3493A16F">
            <w:pPr>
              <w:widowControl/>
              <w:ind w:firstLine="0" w:firstLineChars="0"/>
              <w:jc w:val="center"/>
              <w:rPr>
                <w:rFonts w:ascii="宋体" w:hAnsi="宋体" w:eastAsia="宋体" w:cs="宋体"/>
                <w:color w:val="000000"/>
                <w:kern w:val="0"/>
                <w:sz w:val="22"/>
                <w:highlight w:val="none"/>
              </w:rPr>
            </w:pPr>
          </w:p>
        </w:tc>
        <w:tc>
          <w:tcPr>
            <w:tcW w:w="7341" w:type="dxa"/>
            <w:vMerge w:val="continue"/>
            <w:tcBorders>
              <w:tl2br w:val="nil"/>
              <w:tr2bl w:val="nil"/>
            </w:tcBorders>
            <w:shd w:val="clear" w:color="000000" w:fill="FFFFFF"/>
            <w:vAlign w:val="center"/>
          </w:tcPr>
          <w:p w14:paraId="6BD17339">
            <w:pPr>
              <w:widowControl/>
              <w:ind w:firstLine="0" w:firstLineChars="0"/>
              <w:jc w:val="center"/>
              <w:rPr>
                <w:rFonts w:ascii="宋体" w:hAnsi="宋体" w:eastAsia="宋体" w:cs="宋体"/>
                <w:color w:val="000000"/>
                <w:kern w:val="0"/>
                <w:sz w:val="22"/>
                <w:highlight w:val="none"/>
              </w:rPr>
            </w:pPr>
          </w:p>
        </w:tc>
      </w:tr>
      <w:tr w14:paraId="48A5AA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51" w:hRule="atLeast"/>
          <w:jc w:val="center"/>
        </w:trPr>
        <w:tc>
          <w:tcPr>
            <w:tcW w:w="1155" w:type="dxa"/>
            <w:vMerge w:val="continue"/>
            <w:tcBorders>
              <w:tl2br w:val="nil"/>
              <w:tr2bl w:val="nil"/>
            </w:tcBorders>
            <w:shd w:val="clear" w:color="auto" w:fill="FFFFFF"/>
            <w:vAlign w:val="center"/>
          </w:tcPr>
          <w:p w14:paraId="0507180D">
            <w:pPr>
              <w:widowControl/>
              <w:ind w:firstLine="0" w:firstLineChars="0"/>
              <w:jc w:val="center"/>
              <w:rPr>
                <w:rFonts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14:paraId="4A30E09D">
            <w:pPr>
              <w:widowControl/>
              <w:ind w:firstLine="0" w:firstLineChars="0"/>
              <w:jc w:val="center"/>
              <w:rPr>
                <w:rFonts w:ascii="宋体" w:hAnsi="宋体" w:eastAsia="宋体" w:cs="宋体"/>
                <w:color w:val="000000"/>
                <w:kern w:val="0"/>
                <w:sz w:val="22"/>
                <w:highlight w:val="none"/>
              </w:rPr>
            </w:pPr>
          </w:p>
        </w:tc>
        <w:tc>
          <w:tcPr>
            <w:tcW w:w="1411" w:type="dxa"/>
            <w:tcBorders>
              <w:tl2br w:val="nil"/>
              <w:tr2bl w:val="nil"/>
            </w:tcBorders>
            <w:shd w:val="clear" w:color="auto" w:fill="FFFFFF"/>
            <w:vAlign w:val="top"/>
          </w:tcPr>
          <w:p w14:paraId="3AE09B9F">
            <w:pPr>
              <w:keepNext w:val="0"/>
              <w:keepLines w:val="0"/>
              <w:widowControl/>
              <w:suppressLineNumbers w:val="0"/>
              <w:ind w:left="0" w:leftChars="0" w:firstLine="0" w:firstLineChars="0"/>
              <w:jc w:val="center"/>
              <w:textAlignment w:val="top"/>
              <w:rPr>
                <w:rFonts w:ascii="宋体" w:hAnsi="宋体" w:eastAsia="宋体" w:cs="宋体"/>
                <w:color w:val="000000"/>
                <w:kern w:val="0"/>
                <w:sz w:val="22"/>
                <w:highlight w:val="none"/>
              </w:rPr>
            </w:pPr>
            <w:r>
              <w:rPr>
                <w:rFonts w:hint="eastAsia" w:ascii="宋体" w:hAnsi="宋体" w:eastAsia="宋体" w:cs="宋体"/>
                <w:i w:val="0"/>
                <w:iCs w:val="0"/>
                <w:color w:val="000000"/>
                <w:kern w:val="0"/>
                <w:sz w:val="22"/>
                <w:szCs w:val="22"/>
                <w:highlight w:val="none"/>
                <w:u w:val="none"/>
                <w:lang w:val="en-US" w:eastAsia="zh-CN" w:bidi="ar"/>
              </w:rPr>
              <w:t>发放机采交通费数量</w:t>
            </w:r>
          </w:p>
        </w:tc>
        <w:tc>
          <w:tcPr>
            <w:tcW w:w="2789" w:type="dxa"/>
            <w:vMerge w:val="continue"/>
            <w:tcBorders>
              <w:tl2br w:val="nil"/>
              <w:tr2bl w:val="nil"/>
            </w:tcBorders>
            <w:shd w:val="clear" w:color="000000" w:fill="FFFFFF"/>
            <w:vAlign w:val="center"/>
          </w:tcPr>
          <w:p w14:paraId="659D8484">
            <w:pPr>
              <w:widowControl/>
              <w:ind w:firstLine="0" w:firstLineChars="0"/>
              <w:jc w:val="center"/>
              <w:rPr>
                <w:rFonts w:ascii="宋体" w:hAnsi="宋体" w:eastAsia="宋体" w:cs="宋体"/>
                <w:color w:val="000000"/>
                <w:kern w:val="0"/>
                <w:sz w:val="22"/>
                <w:highlight w:val="none"/>
              </w:rPr>
            </w:pPr>
          </w:p>
        </w:tc>
        <w:tc>
          <w:tcPr>
            <w:tcW w:w="7341" w:type="dxa"/>
            <w:vMerge w:val="continue"/>
            <w:tcBorders>
              <w:tl2br w:val="nil"/>
              <w:tr2bl w:val="nil"/>
            </w:tcBorders>
            <w:shd w:val="clear" w:color="000000" w:fill="FFFFFF"/>
            <w:vAlign w:val="center"/>
          </w:tcPr>
          <w:p w14:paraId="1C269292">
            <w:pPr>
              <w:widowControl/>
              <w:ind w:firstLine="0" w:firstLineChars="0"/>
              <w:jc w:val="center"/>
              <w:rPr>
                <w:rFonts w:ascii="宋体" w:hAnsi="宋体" w:eastAsia="宋体" w:cs="宋体"/>
                <w:color w:val="000000"/>
                <w:kern w:val="0"/>
                <w:sz w:val="22"/>
                <w:highlight w:val="none"/>
              </w:rPr>
            </w:pPr>
          </w:p>
        </w:tc>
      </w:tr>
      <w:tr w14:paraId="576704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51" w:hRule="atLeast"/>
          <w:jc w:val="center"/>
        </w:trPr>
        <w:tc>
          <w:tcPr>
            <w:tcW w:w="1155" w:type="dxa"/>
            <w:vMerge w:val="continue"/>
            <w:tcBorders>
              <w:tl2br w:val="nil"/>
              <w:tr2bl w:val="nil"/>
            </w:tcBorders>
            <w:shd w:val="clear" w:color="auto" w:fill="FFFFFF"/>
            <w:vAlign w:val="center"/>
          </w:tcPr>
          <w:p w14:paraId="5E17B3FD">
            <w:pPr>
              <w:widowControl/>
              <w:ind w:firstLine="0" w:firstLineChars="0"/>
              <w:jc w:val="center"/>
              <w:rPr>
                <w:rFonts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14:paraId="5621E666">
            <w:pPr>
              <w:widowControl/>
              <w:ind w:firstLine="0" w:firstLineChars="0"/>
              <w:jc w:val="center"/>
              <w:rPr>
                <w:rFonts w:ascii="宋体" w:hAnsi="宋体" w:eastAsia="宋体" w:cs="宋体"/>
                <w:color w:val="000000"/>
                <w:kern w:val="0"/>
                <w:sz w:val="22"/>
                <w:highlight w:val="none"/>
              </w:rPr>
            </w:pPr>
          </w:p>
        </w:tc>
        <w:tc>
          <w:tcPr>
            <w:tcW w:w="1411" w:type="dxa"/>
            <w:tcBorders>
              <w:tl2br w:val="nil"/>
              <w:tr2bl w:val="nil"/>
            </w:tcBorders>
            <w:shd w:val="clear" w:color="auto" w:fill="FFFFFF"/>
            <w:vAlign w:val="top"/>
          </w:tcPr>
          <w:p w14:paraId="6694894E">
            <w:pPr>
              <w:keepNext w:val="0"/>
              <w:keepLines w:val="0"/>
              <w:widowControl/>
              <w:suppressLineNumbers w:val="0"/>
              <w:ind w:left="0" w:leftChars="0" w:firstLine="0" w:firstLineChars="0"/>
              <w:jc w:val="center"/>
              <w:textAlignment w:val="top"/>
              <w:rPr>
                <w:rFonts w:ascii="宋体" w:hAnsi="宋体" w:eastAsia="宋体" w:cs="宋体"/>
                <w:color w:val="000000"/>
                <w:kern w:val="0"/>
                <w:sz w:val="22"/>
                <w:highlight w:val="none"/>
              </w:rPr>
            </w:pPr>
            <w:r>
              <w:rPr>
                <w:rFonts w:hint="eastAsia" w:ascii="宋体" w:hAnsi="宋体" w:eastAsia="宋体" w:cs="宋体"/>
                <w:i w:val="0"/>
                <w:iCs w:val="0"/>
                <w:color w:val="000000"/>
                <w:kern w:val="0"/>
                <w:sz w:val="22"/>
                <w:szCs w:val="22"/>
                <w:highlight w:val="none"/>
                <w:u w:val="none"/>
                <w:lang w:val="en-US" w:eastAsia="zh-CN" w:bidi="ar"/>
              </w:rPr>
              <w:t>临聘人员数量</w:t>
            </w:r>
          </w:p>
        </w:tc>
        <w:tc>
          <w:tcPr>
            <w:tcW w:w="2789" w:type="dxa"/>
            <w:vMerge w:val="continue"/>
            <w:tcBorders>
              <w:tl2br w:val="nil"/>
              <w:tr2bl w:val="nil"/>
            </w:tcBorders>
            <w:shd w:val="clear" w:color="000000" w:fill="FFFFFF"/>
            <w:vAlign w:val="center"/>
          </w:tcPr>
          <w:p w14:paraId="03EC4B1C">
            <w:pPr>
              <w:widowControl/>
              <w:ind w:firstLine="0" w:firstLineChars="0"/>
              <w:jc w:val="center"/>
              <w:rPr>
                <w:rFonts w:ascii="宋体" w:hAnsi="宋体" w:eastAsia="宋体" w:cs="宋体"/>
                <w:color w:val="000000"/>
                <w:kern w:val="0"/>
                <w:sz w:val="22"/>
                <w:highlight w:val="none"/>
              </w:rPr>
            </w:pPr>
          </w:p>
        </w:tc>
        <w:tc>
          <w:tcPr>
            <w:tcW w:w="7341" w:type="dxa"/>
            <w:vMerge w:val="continue"/>
            <w:tcBorders>
              <w:tl2br w:val="nil"/>
              <w:tr2bl w:val="nil"/>
            </w:tcBorders>
            <w:shd w:val="clear" w:color="000000" w:fill="FFFFFF"/>
            <w:vAlign w:val="center"/>
          </w:tcPr>
          <w:p w14:paraId="0B2920C3">
            <w:pPr>
              <w:widowControl/>
              <w:ind w:firstLine="0" w:firstLineChars="0"/>
              <w:jc w:val="center"/>
              <w:rPr>
                <w:rFonts w:ascii="宋体" w:hAnsi="宋体" w:eastAsia="宋体" w:cs="宋体"/>
                <w:color w:val="000000"/>
                <w:kern w:val="0"/>
                <w:sz w:val="22"/>
                <w:highlight w:val="none"/>
              </w:rPr>
            </w:pPr>
          </w:p>
        </w:tc>
      </w:tr>
      <w:tr w14:paraId="52D43F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51" w:hRule="atLeast"/>
          <w:jc w:val="center"/>
        </w:trPr>
        <w:tc>
          <w:tcPr>
            <w:tcW w:w="1155" w:type="dxa"/>
            <w:vMerge w:val="continue"/>
            <w:tcBorders>
              <w:tl2br w:val="nil"/>
              <w:tr2bl w:val="nil"/>
            </w:tcBorders>
            <w:shd w:val="clear" w:color="auto" w:fill="FFFFFF"/>
            <w:vAlign w:val="center"/>
          </w:tcPr>
          <w:p w14:paraId="4130F103">
            <w:pPr>
              <w:widowControl/>
              <w:ind w:firstLine="0" w:firstLineChars="0"/>
              <w:jc w:val="center"/>
              <w:rPr>
                <w:rFonts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14:paraId="0897851D">
            <w:pPr>
              <w:widowControl/>
              <w:ind w:firstLine="0" w:firstLineChars="0"/>
              <w:jc w:val="center"/>
              <w:rPr>
                <w:rFonts w:ascii="宋体" w:hAnsi="宋体" w:eastAsia="宋体" w:cs="宋体"/>
                <w:color w:val="000000"/>
                <w:kern w:val="0"/>
                <w:sz w:val="22"/>
                <w:highlight w:val="none"/>
              </w:rPr>
            </w:pPr>
          </w:p>
        </w:tc>
        <w:tc>
          <w:tcPr>
            <w:tcW w:w="1411" w:type="dxa"/>
            <w:tcBorders>
              <w:tl2br w:val="nil"/>
              <w:tr2bl w:val="nil"/>
            </w:tcBorders>
            <w:shd w:val="clear" w:color="auto" w:fill="FFFFFF"/>
            <w:vAlign w:val="top"/>
          </w:tcPr>
          <w:p w14:paraId="38E94DDF">
            <w:pPr>
              <w:keepNext w:val="0"/>
              <w:keepLines w:val="0"/>
              <w:widowControl/>
              <w:suppressLineNumbers w:val="0"/>
              <w:ind w:left="0" w:leftChars="0" w:firstLine="0" w:firstLineChars="0"/>
              <w:jc w:val="center"/>
              <w:textAlignment w:val="top"/>
              <w:rPr>
                <w:rFonts w:ascii="宋体" w:hAnsi="宋体" w:eastAsia="宋体" w:cs="宋体"/>
                <w:color w:val="000000"/>
                <w:kern w:val="0"/>
                <w:sz w:val="22"/>
                <w:highlight w:val="none"/>
              </w:rPr>
            </w:pPr>
            <w:r>
              <w:rPr>
                <w:rFonts w:hint="eastAsia" w:ascii="宋体" w:hAnsi="宋体" w:eastAsia="宋体" w:cs="宋体"/>
                <w:i w:val="0"/>
                <w:iCs w:val="0"/>
                <w:color w:val="000000"/>
                <w:kern w:val="0"/>
                <w:sz w:val="22"/>
                <w:szCs w:val="22"/>
                <w:highlight w:val="none"/>
                <w:u w:val="none"/>
                <w:lang w:val="en-US" w:eastAsia="zh-CN" w:bidi="ar"/>
              </w:rPr>
              <w:t>支付欠款项目数量</w:t>
            </w:r>
          </w:p>
        </w:tc>
        <w:tc>
          <w:tcPr>
            <w:tcW w:w="2789" w:type="dxa"/>
            <w:vMerge w:val="continue"/>
            <w:tcBorders>
              <w:tl2br w:val="nil"/>
              <w:tr2bl w:val="nil"/>
            </w:tcBorders>
            <w:shd w:val="clear" w:color="000000" w:fill="FFFFFF"/>
            <w:vAlign w:val="center"/>
          </w:tcPr>
          <w:p w14:paraId="773F6A60">
            <w:pPr>
              <w:widowControl/>
              <w:ind w:firstLine="0" w:firstLineChars="0"/>
              <w:jc w:val="center"/>
              <w:rPr>
                <w:rFonts w:ascii="宋体" w:hAnsi="宋体" w:eastAsia="宋体" w:cs="宋体"/>
                <w:color w:val="000000"/>
                <w:kern w:val="0"/>
                <w:sz w:val="22"/>
                <w:highlight w:val="none"/>
              </w:rPr>
            </w:pPr>
          </w:p>
        </w:tc>
        <w:tc>
          <w:tcPr>
            <w:tcW w:w="7341" w:type="dxa"/>
            <w:vMerge w:val="continue"/>
            <w:tcBorders>
              <w:tl2br w:val="nil"/>
              <w:tr2bl w:val="nil"/>
            </w:tcBorders>
            <w:shd w:val="clear" w:color="000000" w:fill="FFFFFF"/>
            <w:vAlign w:val="center"/>
          </w:tcPr>
          <w:p w14:paraId="2622FD7B">
            <w:pPr>
              <w:widowControl/>
              <w:ind w:firstLine="0" w:firstLineChars="0"/>
              <w:jc w:val="center"/>
              <w:rPr>
                <w:rFonts w:ascii="宋体" w:hAnsi="宋体" w:eastAsia="宋体" w:cs="宋体"/>
                <w:color w:val="000000"/>
                <w:kern w:val="0"/>
                <w:sz w:val="22"/>
                <w:highlight w:val="none"/>
              </w:rPr>
            </w:pPr>
          </w:p>
        </w:tc>
      </w:tr>
      <w:tr w14:paraId="21DFDF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9" w:hRule="atLeast"/>
          <w:jc w:val="center"/>
        </w:trPr>
        <w:tc>
          <w:tcPr>
            <w:tcW w:w="1155" w:type="dxa"/>
            <w:vMerge w:val="restart"/>
            <w:tcBorders>
              <w:tl2br w:val="nil"/>
              <w:tr2bl w:val="nil"/>
            </w:tcBorders>
            <w:shd w:val="clear" w:color="auto" w:fill="FFFFFF"/>
            <w:vAlign w:val="center"/>
          </w:tcPr>
          <w:p w14:paraId="793BEDFD">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w:t>
            </w:r>
          </w:p>
        </w:tc>
        <w:tc>
          <w:tcPr>
            <w:tcW w:w="1199" w:type="dxa"/>
            <w:vMerge w:val="restart"/>
            <w:tcBorders>
              <w:tl2br w:val="nil"/>
              <w:tr2bl w:val="nil"/>
            </w:tcBorders>
            <w:shd w:val="clear" w:color="auto" w:fill="FFFFFF"/>
            <w:vAlign w:val="center"/>
          </w:tcPr>
          <w:p w14:paraId="4A9B82C6">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产出质量</w:t>
            </w:r>
          </w:p>
        </w:tc>
        <w:tc>
          <w:tcPr>
            <w:tcW w:w="1411" w:type="dxa"/>
            <w:tcBorders>
              <w:tl2br w:val="nil"/>
              <w:tr2bl w:val="nil"/>
            </w:tcBorders>
            <w:shd w:val="clear" w:color="auto" w:fill="FFFFFF"/>
            <w:vAlign w:val="center"/>
          </w:tcPr>
          <w:p w14:paraId="2CAAA8CB">
            <w:pPr>
              <w:keepNext w:val="0"/>
              <w:keepLines w:val="0"/>
              <w:widowControl/>
              <w:suppressLineNumbers w:val="0"/>
              <w:ind w:left="0" w:leftChars="0" w:firstLine="0" w:firstLineChars="0"/>
              <w:jc w:val="center"/>
              <w:textAlignment w:val="center"/>
              <w:rPr>
                <w:rFonts w:ascii="宋体" w:hAnsi="宋体" w:eastAsia="宋体" w:cs="宋体"/>
                <w:color w:val="000000"/>
                <w:kern w:val="0"/>
                <w:sz w:val="22"/>
                <w:highlight w:val="none"/>
              </w:rPr>
            </w:pPr>
            <w:r>
              <w:rPr>
                <w:rFonts w:hint="eastAsia" w:ascii="宋体" w:hAnsi="宋体" w:eastAsia="宋体" w:cs="宋体"/>
                <w:i w:val="0"/>
                <w:iCs w:val="0"/>
                <w:color w:val="000000"/>
                <w:kern w:val="0"/>
                <w:sz w:val="22"/>
                <w:szCs w:val="22"/>
                <w:highlight w:val="none"/>
                <w:u w:val="none"/>
                <w:lang w:val="en-US" w:eastAsia="zh-CN" w:bidi="ar"/>
              </w:rPr>
              <w:t>一次性验收合格率</w:t>
            </w:r>
          </w:p>
        </w:tc>
        <w:tc>
          <w:tcPr>
            <w:tcW w:w="2789" w:type="dxa"/>
            <w:vMerge w:val="restart"/>
            <w:tcBorders>
              <w:tl2br w:val="nil"/>
              <w:tr2bl w:val="nil"/>
            </w:tcBorders>
            <w:shd w:val="clear" w:color="000000" w:fill="FFFFFF"/>
            <w:vAlign w:val="center"/>
          </w:tcPr>
          <w:p w14:paraId="0D146753">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项目完成的质量达标产出数与实际产出数的比率，用以反映和考核项目产出质量目标的实现程度。</w:t>
            </w:r>
          </w:p>
        </w:tc>
        <w:tc>
          <w:tcPr>
            <w:tcW w:w="7341" w:type="dxa"/>
            <w:vMerge w:val="restart"/>
            <w:tcBorders>
              <w:tl2br w:val="nil"/>
              <w:tr2bl w:val="nil"/>
            </w:tcBorders>
            <w:shd w:val="clear" w:color="000000" w:fill="FFFFFF"/>
            <w:vAlign w:val="center"/>
          </w:tcPr>
          <w:p w14:paraId="6D4D6D31">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质量达标率=（质量达标产出数/实际产出数）×100%。</w:t>
            </w:r>
          </w:p>
          <w:p w14:paraId="3EDF3760">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4E6FA1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9" w:hRule="atLeast"/>
          <w:jc w:val="center"/>
        </w:trPr>
        <w:tc>
          <w:tcPr>
            <w:tcW w:w="1155" w:type="dxa"/>
            <w:vMerge w:val="continue"/>
            <w:tcBorders>
              <w:tl2br w:val="nil"/>
              <w:tr2bl w:val="nil"/>
            </w:tcBorders>
            <w:shd w:val="clear" w:color="auto" w:fill="FFFFFF"/>
            <w:vAlign w:val="center"/>
          </w:tcPr>
          <w:p w14:paraId="63BECC78">
            <w:pPr>
              <w:widowControl/>
              <w:ind w:firstLine="0" w:firstLineChars="0"/>
              <w:jc w:val="both"/>
              <w:rPr>
                <w:highlight w:val="none"/>
              </w:rPr>
            </w:pPr>
          </w:p>
        </w:tc>
        <w:tc>
          <w:tcPr>
            <w:tcW w:w="1199" w:type="dxa"/>
            <w:vMerge w:val="continue"/>
            <w:tcBorders>
              <w:tl2br w:val="nil"/>
              <w:tr2bl w:val="nil"/>
            </w:tcBorders>
            <w:shd w:val="clear" w:color="auto" w:fill="FFFFFF"/>
            <w:vAlign w:val="center"/>
          </w:tcPr>
          <w:p w14:paraId="774C3C83">
            <w:pPr>
              <w:widowControl/>
              <w:ind w:firstLine="0" w:firstLineChars="0"/>
              <w:jc w:val="both"/>
              <w:rPr>
                <w:highlight w:val="none"/>
              </w:rPr>
            </w:pPr>
          </w:p>
        </w:tc>
        <w:tc>
          <w:tcPr>
            <w:tcW w:w="1411" w:type="dxa"/>
            <w:tcBorders>
              <w:tl2br w:val="nil"/>
              <w:tr2bl w:val="nil"/>
            </w:tcBorders>
            <w:shd w:val="clear" w:color="auto" w:fill="FFFFFF"/>
            <w:vAlign w:val="center"/>
          </w:tcPr>
          <w:p w14:paraId="23DD53FB">
            <w:pPr>
              <w:keepNext w:val="0"/>
              <w:keepLines w:val="0"/>
              <w:widowControl/>
              <w:suppressLineNumbers w:val="0"/>
              <w:ind w:left="0" w:leftChars="0" w:firstLine="0" w:firstLineChars="0"/>
              <w:jc w:val="center"/>
              <w:textAlignment w:val="center"/>
              <w:rPr>
                <w:rFonts w:ascii="宋体" w:hAnsi="宋体" w:eastAsia="宋体" w:cs="宋体"/>
                <w:color w:val="000000"/>
                <w:kern w:val="0"/>
                <w:sz w:val="22"/>
                <w:highlight w:val="none"/>
              </w:rPr>
            </w:pPr>
            <w:r>
              <w:rPr>
                <w:rFonts w:hint="eastAsia" w:ascii="宋体" w:hAnsi="宋体" w:eastAsia="宋体" w:cs="宋体"/>
                <w:i w:val="0"/>
                <w:iCs w:val="0"/>
                <w:color w:val="000000"/>
                <w:kern w:val="0"/>
                <w:sz w:val="22"/>
                <w:szCs w:val="22"/>
                <w:highlight w:val="none"/>
                <w:u w:val="none"/>
                <w:lang w:val="en-US" w:eastAsia="zh-CN" w:bidi="ar"/>
              </w:rPr>
              <w:t>报销血费、返还医院奖励金合规性</w:t>
            </w:r>
          </w:p>
        </w:tc>
        <w:tc>
          <w:tcPr>
            <w:tcW w:w="2789" w:type="dxa"/>
            <w:vMerge w:val="continue"/>
            <w:tcBorders>
              <w:tl2br w:val="nil"/>
              <w:tr2bl w:val="nil"/>
            </w:tcBorders>
            <w:shd w:val="clear" w:color="000000" w:fill="FFFFFF"/>
            <w:vAlign w:val="center"/>
          </w:tcPr>
          <w:p w14:paraId="78F219E2">
            <w:pPr>
              <w:widowControl/>
              <w:ind w:firstLine="0" w:firstLineChars="0"/>
              <w:jc w:val="center"/>
              <w:rPr>
                <w:rFonts w:ascii="宋体" w:hAnsi="宋体" w:eastAsia="宋体" w:cs="宋体"/>
                <w:color w:val="000000"/>
                <w:kern w:val="0"/>
                <w:sz w:val="22"/>
                <w:highlight w:val="none"/>
              </w:rPr>
            </w:pPr>
          </w:p>
        </w:tc>
        <w:tc>
          <w:tcPr>
            <w:tcW w:w="7341" w:type="dxa"/>
            <w:vMerge w:val="continue"/>
            <w:tcBorders>
              <w:tl2br w:val="nil"/>
              <w:tr2bl w:val="nil"/>
            </w:tcBorders>
            <w:shd w:val="clear" w:color="000000" w:fill="FFFFFF"/>
            <w:vAlign w:val="center"/>
          </w:tcPr>
          <w:p w14:paraId="77183CF8">
            <w:pPr>
              <w:widowControl/>
              <w:ind w:firstLine="0" w:firstLineChars="0"/>
              <w:jc w:val="both"/>
              <w:rPr>
                <w:rFonts w:ascii="宋体" w:hAnsi="宋体" w:eastAsia="宋体" w:cs="宋体"/>
                <w:color w:val="000000"/>
                <w:kern w:val="0"/>
                <w:sz w:val="22"/>
                <w:highlight w:val="none"/>
              </w:rPr>
            </w:pPr>
          </w:p>
        </w:tc>
      </w:tr>
      <w:tr w14:paraId="7B8B85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8" w:hRule="atLeast"/>
          <w:jc w:val="center"/>
        </w:trPr>
        <w:tc>
          <w:tcPr>
            <w:tcW w:w="1155" w:type="dxa"/>
            <w:vMerge w:val="continue"/>
            <w:tcBorders>
              <w:tl2br w:val="nil"/>
              <w:tr2bl w:val="nil"/>
            </w:tcBorders>
            <w:shd w:val="clear" w:color="auto" w:fill="FFFFFF"/>
            <w:vAlign w:val="center"/>
          </w:tcPr>
          <w:p w14:paraId="3D5059D7">
            <w:pPr>
              <w:ind w:firstLine="0" w:firstLineChars="0"/>
              <w:jc w:val="center"/>
              <w:rPr>
                <w:rFonts w:ascii="宋体" w:hAnsi="宋体" w:eastAsia="宋体" w:cs="宋体"/>
                <w:color w:val="000000"/>
                <w:kern w:val="0"/>
                <w:sz w:val="22"/>
                <w:highlight w:val="none"/>
              </w:rPr>
            </w:pPr>
          </w:p>
        </w:tc>
        <w:tc>
          <w:tcPr>
            <w:tcW w:w="1199" w:type="dxa"/>
            <w:tcBorders>
              <w:tl2br w:val="nil"/>
              <w:tr2bl w:val="nil"/>
            </w:tcBorders>
            <w:shd w:val="clear" w:color="auto" w:fill="FFFFFF"/>
            <w:vAlign w:val="center"/>
          </w:tcPr>
          <w:p w14:paraId="5C0522E9">
            <w:pPr>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产出时效</w:t>
            </w:r>
          </w:p>
        </w:tc>
        <w:tc>
          <w:tcPr>
            <w:tcW w:w="1411" w:type="dxa"/>
            <w:tcBorders>
              <w:tl2br w:val="nil"/>
              <w:tr2bl w:val="nil"/>
            </w:tcBorders>
            <w:shd w:val="clear" w:color="auto" w:fill="FFFFFF"/>
            <w:vAlign w:val="center"/>
          </w:tcPr>
          <w:p w14:paraId="67AD5964">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项目完成时间</w:t>
            </w:r>
          </w:p>
        </w:tc>
        <w:tc>
          <w:tcPr>
            <w:tcW w:w="2789" w:type="dxa"/>
            <w:tcBorders>
              <w:tl2br w:val="nil"/>
              <w:tr2bl w:val="nil"/>
            </w:tcBorders>
            <w:shd w:val="clear" w:color="000000" w:fill="FFFFFF"/>
            <w:vAlign w:val="center"/>
          </w:tcPr>
          <w:p w14:paraId="0E008992">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14:paraId="6BEFD42E">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实际完成时间：项目实施单位完成该项目实际所耗用的时间。</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计划完成时间：按照项目实施计划或相关规定完成该项目所需的时间。</w:t>
            </w:r>
          </w:p>
        </w:tc>
      </w:tr>
      <w:tr w14:paraId="743F77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9" w:hRule="atLeast"/>
          <w:jc w:val="center"/>
        </w:trPr>
        <w:tc>
          <w:tcPr>
            <w:tcW w:w="1155" w:type="dxa"/>
            <w:vMerge w:val="continue"/>
            <w:tcBorders>
              <w:tl2br w:val="nil"/>
              <w:tr2bl w:val="nil"/>
            </w:tcBorders>
            <w:shd w:val="clear" w:color="auto" w:fill="FFFFFF"/>
            <w:vAlign w:val="center"/>
          </w:tcPr>
          <w:p w14:paraId="05D401C1">
            <w:pPr>
              <w:widowControl/>
              <w:ind w:firstLine="0" w:firstLineChars="0"/>
              <w:jc w:val="center"/>
              <w:rPr>
                <w:rFonts w:ascii="宋体" w:hAnsi="宋体" w:eastAsia="宋体" w:cs="宋体"/>
                <w:color w:val="000000"/>
                <w:kern w:val="0"/>
                <w:sz w:val="22"/>
                <w:highlight w:val="none"/>
              </w:rPr>
            </w:pPr>
          </w:p>
        </w:tc>
        <w:tc>
          <w:tcPr>
            <w:tcW w:w="1199" w:type="dxa"/>
            <w:vMerge w:val="restart"/>
            <w:tcBorders>
              <w:tl2br w:val="nil"/>
              <w:tr2bl w:val="nil"/>
            </w:tcBorders>
            <w:shd w:val="clear" w:color="auto" w:fill="FFFFFF"/>
            <w:vAlign w:val="center"/>
          </w:tcPr>
          <w:p w14:paraId="235C60E6">
            <w:pPr>
              <w:widowControl/>
              <w:ind w:firstLine="0" w:firstLineChars="0"/>
              <w:jc w:val="center"/>
              <w:rPr>
                <w:rFonts w:hint="eastAsia" w:ascii="宋体" w:hAnsi="宋体" w:eastAsia="宋体" w:cs="宋体"/>
                <w:color w:val="000000"/>
                <w:kern w:val="0"/>
                <w:sz w:val="22"/>
                <w:highlight w:val="none"/>
              </w:rPr>
            </w:pPr>
          </w:p>
          <w:p w14:paraId="74EAF8B8">
            <w:pPr>
              <w:widowControl/>
              <w:ind w:firstLine="0" w:firstLineChars="0"/>
              <w:jc w:val="center"/>
              <w:rPr>
                <w:rFonts w:hint="eastAsia" w:ascii="宋体" w:hAnsi="宋体" w:eastAsia="宋体" w:cs="宋体"/>
                <w:color w:val="000000"/>
                <w:kern w:val="0"/>
                <w:sz w:val="22"/>
                <w:highlight w:val="none"/>
              </w:rPr>
            </w:pPr>
          </w:p>
          <w:p w14:paraId="26B471F9">
            <w:pPr>
              <w:widowControl/>
              <w:ind w:firstLine="0" w:firstLineChars="0"/>
              <w:jc w:val="center"/>
              <w:rPr>
                <w:rFonts w:hint="eastAsia" w:ascii="宋体" w:hAnsi="宋体" w:eastAsia="宋体" w:cs="宋体"/>
                <w:color w:val="000000"/>
                <w:kern w:val="0"/>
                <w:sz w:val="22"/>
                <w:highlight w:val="none"/>
              </w:rPr>
            </w:pPr>
          </w:p>
          <w:p w14:paraId="134FB1F1">
            <w:pPr>
              <w:widowControl/>
              <w:ind w:firstLine="0" w:firstLineChars="0"/>
              <w:jc w:val="center"/>
              <w:rPr>
                <w:rFonts w:hint="eastAsia" w:ascii="宋体" w:hAnsi="宋体" w:eastAsia="宋体" w:cs="宋体"/>
                <w:color w:val="000000"/>
                <w:kern w:val="0"/>
                <w:sz w:val="22"/>
                <w:highlight w:val="none"/>
              </w:rPr>
            </w:pPr>
          </w:p>
          <w:p w14:paraId="15E258F7">
            <w:pPr>
              <w:widowControl/>
              <w:ind w:firstLine="0" w:firstLineChars="0"/>
              <w:jc w:val="center"/>
              <w:rPr>
                <w:rFonts w:hint="eastAsia" w:ascii="宋体" w:hAnsi="宋体" w:eastAsia="宋体" w:cs="宋体"/>
                <w:color w:val="000000"/>
                <w:kern w:val="0"/>
                <w:sz w:val="22"/>
                <w:highlight w:val="none"/>
              </w:rPr>
            </w:pPr>
          </w:p>
          <w:p w14:paraId="79665292">
            <w:pPr>
              <w:widowControl/>
              <w:ind w:firstLine="0" w:firstLineChars="0"/>
              <w:jc w:val="center"/>
              <w:rPr>
                <w:rFonts w:hint="eastAsia" w:ascii="宋体" w:hAnsi="宋体" w:eastAsia="宋体" w:cs="宋体"/>
                <w:color w:val="000000"/>
                <w:kern w:val="0"/>
                <w:sz w:val="22"/>
                <w:highlight w:val="none"/>
              </w:rPr>
            </w:pPr>
          </w:p>
          <w:p w14:paraId="0656F7AD">
            <w:pPr>
              <w:widowControl/>
              <w:ind w:firstLine="0" w:firstLineChars="0"/>
              <w:jc w:val="center"/>
              <w:rPr>
                <w:rFonts w:hint="eastAsia" w:ascii="宋体" w:hAnsi="宋体" w:eastAsia="宋体" w:cs="宋体"/>
                <w:color w:val="000000"/>
                <w:kern w:val="0"/>
                <w:sz w:val="22"/>
                <w:highlight w:val="none"/>
              </w:rPr>
            </w:pPr>
          </w:p>
          <w:p w14:paraId="5A4CC8A4">
            <w:pPr>
              <w:widowControl/>
              <w:ind w:firstLine="0" w:firstLineChars="0"/>
              <w:jc w:val="center"/>
              <w:rPr>
                <w:rFonts w:hint="eastAsia" w:ascii="宋体" w:hAnsi="宋体" w:eastAsia="宋体" w:cs="宋体"/>
                <w:color w:val="000000"/>
                <w:kern w:val="0"/>
                <w:sz w:val="22"/>
                <w:highlight w:val="none"/>
              </w:rPr>
            </w:pPr>
          </w:p>
          <w:p w14:paraId="1B19EF73">
            <w:pPr>
              <w:widowControl/>
              <w:ind w:firstLine="0" w:firstLineChars="0"/>
              <w:jc w:val="center"/>
              <w:rPr>
                <w:rFonts w:hint="eastAsia" w:ascii="宋体" w:hAnsi="宋体" w:eastAsia="宋体" w:cs="宋体"/>
                <w:color w:val="000000"/>
                <w:kern w:val="0"/>
                <w:sz w:val="22"/>
                <w:highlight w:val="none"/>
              </w:rPr>
            </w:pPr>
          </w:p>
          <w:p w14:paraId="2CF73F26">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产出成本</w:t>
            </w:r>
          </w:p>
        </w:tc>
        <w:tc>
          <w:tcPr>
            <w:tcW w:w="1411" w:type="dxa"/>
            <w:tcBorders>
              <w:tl2br w:val="nil"/>
              <w:tr2bl w:val="nil"/>
            </w:tcBorders>
            <w:shd w:val="clear" w:color="auto" w:fill="FFFFFF"/>
            <w:vAlign w:val="center"/>
          </w:tcPr>
          <w:p w14:paraId="687AD908">
            <w:pPr>
              <w:keepNext w:val="0"/>
              <w:keepLines w:val="0"/>
              <w:widowControl/>
              <w:suppressLineNumbers w:val="0"/>
              <w:ind w:left="0" w:leftChars="0" w:firstLine="0" w:firstLineChars="0"/>
              <w:jc w:val="center"/>
              <w:textAlignment w:val="center"/>
              <w:rPr>
                <w:rFonts w:ascii="宋体" w:hAnsi="宋体" w:eastAsia="宋体" w:cs="宋体"/>
                <w:color w:val="000000"/>
                <w:kern w:val="0"/>
                <w:sz w:val="22"/>
                <w:highlight w:val="none"/>
              </w:rPr>
            </w:pPr>
            <w:r>
              <w:rPr>
                <w:rFonts w:hint="eastAsia" w:ascii="宋体" w:hAnsi="宋体" w:eastAsia="宋体" w:cs="宋体"/>
                <w:i w:val="0"/>
                <w:iCs w:val="0"/>
                <w:color w:val="000000"/>
                <w:kern w:val="0"/>
                <w:sz w:val="22"/>
                <w:szCs w:val="22"/>
                <w:highlight w:val="none"/>
                <w:u w:val="none"/>
                <w:lang w:val="en-US" w:eastAsia="zh-CN" w:bidi="ar"/>
              </w:rPr>
              <w:t>电费</w:t>
            </w:r>
          </w:p>
        </w:tc>
        <w:tc>
          <w:tcPr>
            <w:tcW w:w="2789" w:type="dxa"/>
            <w:vMerge w:val="restart"/>
            <w:tcBorders>
              <w:tl2br w:val="nil"/>
              <w:tr2bl w:val="nil"/>
            </w:tcBorders>
            <w:shd w:val="clear" w:color="000000" w:fill="FFFFFF"/>
            <w:vAlign w:val="center"/>
          </w:tcPr>
          <w:p w14:paraId="1E147880">
            <w:pPr>
              <w:widowControl/>
              <w:ind w:firstLine="0" w:firstLineChars="0"/>
              <w:jc w:val="center"/>
              <w:rPr>
                <w:rFonts w:hint="eastAsia" w:ascii="宋体" w:hAnsi="宋体" w:eastAsia="宋体" w:cs="宋体"/>
                <w:color w:val="000000"/>
                <w:kern w:val="0"/>
                <w:sz w:val="22"/>
                <w:highlight w:val="none"/>
              </w:rPr>
            </w:pPr>
          </w:p>
          <w:p w14:paraId="2DE96E29">
            <w:pPr>
              <w:widowControl/>
              <w:ind w:firstLine="0" w:firstLineChars="0"/>
              <w:jc w:val="center"/>
              <w:rPr>
                <w:rFonts w:hint="eastAsia" w:ascii="宋体" w:hAnsi="宋体" w:eastAsia="宋体" w:cs="宋体"/>
                <w:color w:val="000000"/>
                <w:kern w:val="0"/>
                <w:sz w:val="22"/>
                <w:highlight w:val="none"/>
              </w:rPr>
            </w:pPr>
          </w:p>
          <w:p w14:paraId="710B7A04">
            <w:pPr>
              <w:widowControl/>
              <w:ind w:firstLine="0" w:firstLineChars="0"/>
              <w:jc w:val="center"/>
              <w:rPr>
                <w:rFonts w:hint="eastAsia" w:ascii="宋体" w:hAnsi="宋体" w:eastAsia="宋体" w:cs="宋体"/>
                <w:color w:val="000000"/>
                <w:kern w:val="0"/>
                <w:sz w:val="22"/>
                <w:highlight w:val="none"/>
              </w:rPr>
            </w:pPr>
          </w:p>
          <w:p w14:paraId="0032479A">
            <w:pPr>
              <w:widowControl/>
              <w:ind w:firstLine="0" w:firstLineChars="0"/>
              <w:jc w:val="center"/>
              <w:rPr>
                <w:rFonts w:hint="eastAsia" w:ascii="宋体" w:hAnsi="宋体" w:eastAsia="宋体" w:cs="宋体"/>
                <w:color w:val="000000"/>
                <w:kern w:val="0"/>
                <w:sz w:val="22"/>
                <w:highlight w:val="none"/>
              </w:rPr>
            </w:pPr>
          </w:p>
          <w:p w14:paraId="2252AC88">
            <w:pPr>
              <w:widowControl/>
              <w:ind w:firstLine="0" w:firstLineChars="0"/>
              <w:jc w:val="center"/>
              <w:rPr>
                <w:rFonts w:hint="eastAsia" w:ascii="宋体" w:hAnsi="宋体" w:eastAsia="宋体" w:cs="宋体"/>
                <w:color w:val="000000"/>
                <w:kern w:val="0"/>
                <w:sz w:val="22"/>
                <w:highlight w:val="none"/>
              </w:rPr>
            </w:pPr>
          </w:p>
          <w:p w14:paraId="6C229AF9">
            <w:pPr>
              <w:widowControl/>
              <w:ind w:firstLine="0" w:firstLineChars="0"/>
              <w:jc w:val="center"/>
              <w:rPr>
                <w:rFonts w:hint="eastAsia" w:ascii="宋体" w:hAnsi="宋体" w:eastAsia="宋体" w:cs="宋体"/>
                <w:color w:val="000000"/>
                <w:kern w:val="0"/>
                <w:sz w:val="22"/>
                <w:highlight w:val="none"/>
              </w:rPr>
            </w:pPr>
          </w:p>
          <w:p w14:paraId="0544B022">
            <w:pPr>
              <w:widowControl/>
              <w:ind w:firstLine="0" w:firstLineChars="0"/>
              <w:jc w:val="center"/>
              <w:rPr>
                <w:rFonts w:hint="eastAsia" w:ascii="宋体" w:hAnsi="宋体" w:eastAsia="宋体" w:cs="宋体"/>
                <w:color w:val="000000"/>
                <w:kern w:val="0"/>
                <w:sz w:val="22"/>
                <w:highlight w:val="none"/>
              </w:rPr>
            </w:pPr>
          </w:p>
          <w:p w14:paraId="701BE5D8">
            <w:pPr>
              <w:widowControl/>
              <w:ind w:firstLine="0" w:firstLineChars="0"/>
              <w:jc w:val="center"/>
              <w:rPr>
                <w:rFonts w:hint="eastAsia" w:ascii="宋体" w:hAnsi="宋体" w:eastAsia="宋体" w:cs="宋体"/>
                <w:color w:val="000000"/>
                <w:kern w:val="0"/>
                <w:sz w:val="22"/>
                <w:highlight w:val="none"/>
              </w:rPr>
            </w:pPr>
          </w:p>
          <w:p w14:paraId="6A5AF3DC">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14:paraId="4E0D3E07">
            <w:pPr>
              <w:widowControl/>
              <w:ind w:firstLine="0" w:firstLineChars="0"/>
              <w:jc w:val="both"/>
              <w:rPr>
                <w:rFonts w:hint="eastAsia" w:ascii="宋体" w:hAnsi="宋体" w:eastAsia="宋体" w:cs="宋体"/>
                <w:color w:val="000000"/>
                <w:kern w:val="0"/>
                <w:sz w:val="22"/>
                <w:highlight w:val="none"/>
              </w:rPr>
            </w:pPr>
          </w:p>
          <w:p w14:paraId="2DE65CFF">
            <w:pPr>
              <w:widowControl/>
              <w:ind w:firstLine="0" w:firstLineChars="0"/>
              <w:jc w:val="both"/>
              <w:rPr>
                <w:rFonts w:hint="eastAsia" w:ascii="宋体" w:hAnsi="宋体" w:eastAsia="宋体" w:cs="宋体"/>
                <w:color w:val="000000"/>
                <w:kern w:val="0"/>
                <w:sz w:val="22"/>
                <w:highlight w:val="none"/>
              </w:rPr>
            </w:pPr>
          </w:p>
          <w:p w14:paraId="7D2DD9DA">
            <w:pPr>
              <w:widowControl/>
              <w:ind w:firstLine="0" w:firstLineChars="0"/>
              <w:jc w:val="both"/>
              <w:rPr>
                <w:rFonts w:hint="eastAsia" w:ascii="宋体" w:hAnsi="宋体" w:eastAsia="宋体" w:cs="宋体"/>
                <w:color w:val="000000"/>
                <w:kern w:val="0"/>
                <w:sz w:val="22"/>
                <w:highlight w:val="none"/>
              </w:rPr>
            </w:pPr>
          </w:p>
          <w:p w14:paraId="010E1F25">
            <w:pPr>
              <w:widowControl/>
              <w:ind w:firstLine="0" w:firstLineChars="0"/>
              <w:jc w:val="both"/>
              <w:rPr>
                <w:rFonts w:hint="eastAsia" w:ascii="宋体" w:hAnsi="宋体" w:eastAsia="宋体" w:cs="宋体"/>
                <w:color w:val="000000"/>
                <w:kern w:val="0"/>
                <w:sz w:val="22"/>
                <w:highlight w:val="none"/>
              </w:rPr>
            </w:pPr>
          </w:p>
          <w:p w14:paraId="4ED4B049">
            <w:pPr>
              <w:widowControl/>
              <w:ind w:firstLine="0" w:firstLineChars="0"/>
              <w:jc w:val="both"/>
              <w:rPr>
                <w:rFonts w:hint="eastAsia" w:ascii="宋体" w:hAnsi="宋体" w:eastAsia="宋体" w:cs="宋体"/>
                <w:color w:val="000000"/>
                <w:kern w:val="0"/>
                <w:sz w:val="22"/>
                <w:highlight w:val="none"/>
              </w:rPr>
            </w:pPr>
          </w:p>
          <w:p w14:paraId="3D6082ED">
            <w:pPr>
              <w:widowControl/>
              <w:ind w:firstLine="0" w:firstLineChars="0"/>
              <w:jc w:val="both"/>
              <w:rPr>
                <w:rFonts w:hint="eastAsia" w:ascii="宋体" w:hAnsi="宋体" w:eastAsia="宋体" w:cs="宋体"/>
                <w:color w:val="000000"/>
                <w:kern w:val="0"/>
                <w:sz w:val="22"/>
                <w:highlight w:val="none"/>
              </w:rPr>
            </w:pPr>
          </w:p>
          <w:p w14:paraId="4334E404">
            <w:pPr>
              <w:widowControl/>
              <w:ind w:firstLine="0" w:firstLineChars="0"/>
              <w:jc w:val="both"/>
              <w:rPr>
                <w:rFonts w:hint="eastAsia" w:ascii="宋体" w:hAnsi="宋体" w:eastAsia="宋体" w:cs="宋体"/>
                <w:color w:val="000000"/>
                <w:kern w:val="0"/>
                <w:sz w:val="22"/>
                <w:highlight w:val="none"/>
              </w:rPr>
            </w:pPr>
          </w:p>
          <w:p w14:paraId="6431BE11">
            <w:pPr>
              <w:widowControl/>
              <w:ind w:firstLine="0" w:firstLineChars="0"/>
              <w:jc w:val="both"/>
              <w:rPr>
                <w:rFonts w:hint="eastAsia" w:ascii="宋体" w:hAnsi="宋体" w:eastAsia="宋体" w:cs="宋体"/>
                <w:color w:val="000000"/>
                <w:kern w:val="0"/>
                <w:sz w:val="22"/>
                <w:highlight w:val="none"/>
              </w:rPr>
            </w:pPr>
          </w:p>
          <w:p w14:paraId="7064AA07">
            <w:pPr>
              <w:widowControl/>
              <w:ind w:firstLine="0" w:firstLineChars="0"/>
              <w:jc w:val="both"/>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成本节约率=[（计划成本-实际成本）/计划成本]×100%。</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实际成本：项目实施单位如期、保质、保量完成既定工作目标实际所耗费的支出。</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计划成本：项目实施单位为完成工作目标计划安排的支出，一般以项目预算为参考。</w:t>
            </w:r>
          </w:p>
        </w:tc>
      </w:tr>
      <w:tr w14:paraId="260B7A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9" w:hRule="atLeast"/>
          <w:jc w:val="center"/>
        </w:trPr>
        <w:tc>
          <w:tcPr>
            <w:tcW w:w="1155" w:type="dxa"/>
            <w:vMerge w:val="continue"/>
            <w:tcBorders>
              <w:tl2br w:val="nil"/>
              <w:tr2bl w:val="nil"/>
            </w:tcBorders>
            <w:shd w:val="clear" w:color="auto" w:fill="FFFFFF"/>
            <w:vAlign w:val="center"/>
          </w:tcPr>
          <w:p w14:paraId="402145E2">
            <w:pPr>
              <w:widowControl/>
              <w:ind w:firstLine="0" w:firstLineChars="0"/>
              <w:jc w:val="both"/>
              <w:rPr>
                <w:highlight w:val="none"/>
              </w:rPr>
            </w:pPr>
          </w:p>
        </w:tc>
        <w:tc>
          <w:tcPr>
            <w:tcW w:w="1199" w:type="dxa"/>
            <w:vMerge w:val="continue"/>
            <w:tcBorders>
              <w:tl2br w:val="nil"/>
              <w:tr2bl w:val="nil"/>
            </w:tcBorders>
            <w:shd w:val="clear" w:color="auto" w:fill="FFFFFF"/>
            <w:vAlign w:val="center"/>
          </w:tcPr>
          <w:p w14:paraId="2AE469C3">
            <w:pPr>
              <w:widowControl/>
              <w:ind w:firstLine="0" w:firstLineChars="0"/>
              <w:jc w:val="both"/>
              <w:rPr>
                <w:highlight w:val="none"/>
              </w:rPr>
            </w:pPr>
          </w:p>
        </w:tc>
        <w:tc>
          <w:tcPr>
            <w:tcW w:w="1411" w:type="dxa"/>
            <w:tcBorders>
              <w:tl2br w:val="nil"/>
              <w:tr2bl w:val="nil"/>
            </w:tcBorders>
            <w:shd w:val="clear" w:color="auto" w:fill="FFFFFF"/>
            <w:vAlign w:val="center"/>
          </w:tcPr>
          <w:p w14:paraId="0A871017">
            <w:pPr>
              <w:keepNext w:val="0"/>
              <w:keepLines w:val="0"/>
              <w:widowControl/>
              <w:suppressLineNumbers w:val="0"/>
              <w:ind w:left="0" w:leftChars="0" w:firstLine="0" w:firstLineChars="0"/>
              <w:jc w:val="center"/>
              <w:textAlignment w:val="center"/>
              <w:rPr>
                <w:rFonts w:ascii="宋体" w:hAnsi="宋体" w:eastAsia="宋体" w:cs="宋体"/>
                <w:color w:val="000000"/>
                <w:kern w:val="0"/>
                <w:sz w:val="22"/>
                <w:highlight w:val="none"/>
              </w:rPr>
            </w:pPr>
            <w:r>
              <w:rPr>
                <w:rFonts w:hint="eastAsia" w:ascii="宋体" w:hAnsi="宋体" w:eastAsia="宋体" w:cs="宋体"/>
                <w:i w:val="0"/>
                <w:iCs w:val="0"/>
                <w:color w:val="000000"/>
                <w:kern w:val="0"/>
                <w:sz w:val="22"/>
                <w:szCs w:val="22"/>
                <w:highlight w:val="none"/>
                <w:u w:val="none"/>
                <w:lang w:val="en-US" w:eastAsia="zh-CN" w:bidi="ar"/>
              </w:rPr>
              <w:t>设备、电梯维修维保等费用</w:t>
            </w:r>
          </w:p>
        </w:tc>
        <w:tc>
          <w:tcPr>
            <w:tcW w:w="2789" w:type="dxa"/>
            <w:vMerge w:val="continue"/>
            <w:tcBorders>
              <w:tl2br w:val="nil"/>
              <w:tr2bl w:val="nil"/>
            </w:tcBorders>
            <w:shd w:val="clear" w:color="000000" w:fill="FFFFFF"/>
            <w:vAlign w:val="center"/>
          </w:tcPr>
          <w:p w14:paraId="3C80213A">
            <w:pPr>
              <w:widowControl/>
              <w:ind w:firstLine="0" w:firstLineChars="0"/>
              <w:jc w:val="center"/>
              <w:rPr>
                <w:rFonts w:ascii="宋体" w:hAnsi="宋体" w:eastAsia="宋体" w:cs="宋体"/>
                <w:color w:val="000000"/>
                <w:kern w:val="0"/>
                <w:sz w:val="22"/>
                <w:highlight w:val="none"/>
              </w:rPr>
            </w:pPr>
          </w:p>
        </w:tc>
        <w:tc>
          <w:tcPr>
            <w:tcW w:w="7341" w:type="dxa"/>
            <w:vMerge w:val="continue"/>
            <w:tcBorders>
              <w:tl2br w:val="nil"/>
              <w:tr2bl w:val="nil"/>
            </w:tcBorders>
            <w:shd w:val="clear" w:color="000000" w:fill="FFFFFF"/>
            <w:vAlign w:val="center"/>
          </w:tcPr>
          <w:p w14:paraId="6792E32C">
            <w:pPr>
              <w:widowControl/>
              <w:ind w:firstLine="0" w:firstLineChars="0"/>
              <w:jc w:val="both"/>
              <w:rPr>
                <w:rFonts w:ascii="宋体" w:hAnsi="宋体" w:eastAsia="宋体" w:cs="宋体"/>
                <w:color w:val="000000"/>
                <w:kern w:val="0"/>
                <w:sz w:val="22"/>
                <w:highlight w:val="none"/>
              </w:rPr>
            </w:pPr>
          </w:p>
        </w:tc>
      </w:tr>
      <w:tr w14:paraId="4A4523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9" w:hRule="atLeast"/>
          <w:jc w:val="center"/>
        </w:trPr>
        <w:tc>
          <w:tcPr>
            <w:tcW w:w="1155" w:type="dxa"/>
            <w:vMerge w:val="continue"/>
            <w:tcBorders>
              <w:tl2br w:val="nil"/>
              <w:tr2bl w:val="nil"/>
            </w:tcBorders>
            <w:shd w:val="clear" w:color="auto" w:fill="FFFFFF"/>
            <w:vAlign w:val="center"/>
          </w:tcPr>
          <w:p w14:paraId="578A4B00">
            <w:pPr>
              <w:widowControl/>
              <w:ind w:firstLine="0" w:firstLineChars="0"/>
              <w:jc w:val="both"/>
              <w:rPr>
                <w:rFonts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14:paraId="075F202C">
            <w:pPr>
              <w:widowControl/>
              <w:ind w:firstLine="0" w:firstLineChars="0"/>
              <w:jc w:val="both"/>
              <w:rPr>
                <w:rFonts w:ascii="宋体" w:hAnsi="宋体" w:eastAsia="宋体" w:cs="宋体"/>
                <w:color w:val="000000"/>
                <w:kern w:val="0"/>
                <w:sz w:val="22"/>
                <w:highlight w:val="none"/>
              </w:rPr>
            </w:pPr>
          </w:p>
        </w:tc>
        <w:tc>
          <w:tcPr>
            <w:tcW w:w="1411" w:type="dxa"/>
            <w:tcBorders>
              <w:tl2br w:val="nil"/>
              <w:tr2bl w:val="nil"/>
            </w:tcBorders>
            <w:shd w:val="clear" w:color="auto" w:fill="FFFFFF"/>
            <w:vAlign w:val="center"/>
          </w:tcPr>
          <w:p w14:paraId="7B6E9BD2">
            <w:pPr>
              <w:keepNext w:val="0"/>
              <w:keepLines w:val="0"/>
              <w:widowControl/>
              <w:suppressLineNumbers w:val="0"/>
              <w:ind w:left="0" w:leftChars="0" w:firstLine="0" w:firstLineChars="0"/>
              <w:jc w:val="center"/>
              <w:textAlignment w:val="center"/>
              <w:rPr>
                <w:rFonts w:ascii="宋体" w:hAnsi="宋体" w:eastAsia="宋体" w:cs="宋体"/>
                <w:color w:val="000000"/>
                <w:kern w:val="0"/>
                <w:sz w:val="22"/>
                <w:highlight w:val="none"/>
              </w:rPr>
            </w:pPr>
            <w:r>
              <w:rPr>
                <w:rFonts w:hint="eastAsia" w:ascii="宋体" w:hAnsi="宋体" w:eastAsia="宋体" w:cs="宋体"/>
                <w:i w:val="0"/>
                <w:iCs w:val="0"/>
                <w:color w:val="000000"/>
                <w:kern w:val="0"/>
                <w:sz w:val="22"/>
                <w:szCs w:val="22"/>
                <w:highlight w:val="none"/>
                <w:u w:val="none"/>
                <w:lang w:val="en-US" w:eastAsia="zh-CN" w:bidi="ar"/>
              </w:rPr>
              <w:t>试剂、耗材、外调血费用</w:t>
            </w:r>
          </w:p>
        </w:tc>
        <w:tc>
          <w:tcPr>
            <w:tcW w:w="2789" w:type="dxa"/>
            <w:vMerge w:val="continue"/>
            <w:tcBorders>
              <w:tl2br w:val="nil"/>
              <w:tr2bl w:val="nil"/>
            </w:tcBorders>
            <w:shd w:val="clear" w:color="000000" w:fill="FFFFFF"/>
            <w:vAlign w:val="center"/>
          </w:tcPr>
          <w:p w14:paraId="37A599C0">
            <w:pPr>
              <w:widowControl/>
              <w:ind w:firstLine="0" w:firstLineChars="0"/>
              <w:jc w:val="center"/>
              <w:rPr>
                <w:rFonts w:ascii="宋体" w:hAnsi="宋体" w:eastAsia="宋体" w:cs="宋体"/>
                <w:color w:val="000000"/>
                <w:kern w:val="0"/>
                <w:sz w:val="22"/>
                <w:highlight w:val="none"/>
              </w:rPr>
            </w:pPr>
          </w:p>
        </w:tc>
        <w:tc>
          <w:tcPr>
            <w:tcW w:w="7341" w:type="dxa"/>
            <w:vMerge w:val="continue"/>
            <w:tcBorders>
              <w:tl2br w:val="nil"/>
              <w:tr2bl w:val="nil"/>
            </w:tcBorders>
            <w:shd w:val="clear" w:color="000000" w:fill="FFFFFF"/>
            <w:vAlign w:val="center"/>
          </w:tcPr>
          <w:p w14:paraId="08FF0B05">
            <w:pPr>
              <w:widowControl/>
              <w:ind w:firstLine="0" w:firstLineChars="0"/>
              <w:jc w:val="both"/>
              <w:rPr>
                <w:rFonts w:ascii="宋体" w:hAnsi="宋体" w:eastAsia="宋体" w:cs="宋体"/>
                <w:color w:val="000000"/>
                <w:kern w:val="0"/>
                <w:sz w:val="22"/>
                <w:highlight w:val="none"/>
              </w:rPr>
            </w:pPr>
          </w:p>
        </w:tc>
      </w:tr>
      <w:tr w14:paraId="24A940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9" w:hRule="atLeast"/>
          <w:jc w:val="center"/>
        </w:trPr>
        <w:tc>
          <w:tcPr>
            <w:tcW w:w="1155" w:type="dxa"/>
            <w:vMerge w:val="continue"/>
            <w:tcBorders>
              <w:tl2br w:val="nil"/>
              <w:tr2bl w:val="nil"/>
            </w:tcBorders>
            <w:shd w:val="clear" w:color="auto" w:fill="FFFFFF"/>
            <w:vAlign w:val="center"/>
          </w:tcPr>
          <w:p w14:paraId="3FC92D05">
            <w:pPr>
              <w:widowControl/>
              <w:ind w:firstLine="0" w:firstLineChars="0"/>
              <w:jc w:val="both"/>
              <w:rPr>
                <w:rFonts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14:paraId="6C65F48B">
            <w:pPr>
              <w:widowControl/>
              <w:ind w:firstLine="0" w:firstLineChars="0"/>
              <w:jc w:val="both"/>
              <w:rPr>
                <w:rFonts w:ascii="宋体" w:hAnsi="宋体" w:eastAsia="宋体" w:cs="宋体"/>
                <w:color w:val="000000"/>
                <w:kern w:val="0"/>
                <w:sz w:val="22"/>
                <w:highlight w:val="none"/>
              </w:rPr>
            </w:pPr>
          </w:p>
        </w:tc>
        <w:tc>
          <w:tcPr>
            <w:tcW w:w="1411" w:type="dxa"/>
            <w:tcBorders>
              <w:tl2br w:val="nil"/>
              <w:tr2bl w:val="nil"/>
            </w:tcBorders>
            <w:shd w:val="clear" w:color="auto" w:fill="FFFFFF"/>
            <w:vAlign w:val="center"/>
          </w:tcPr>
          <w:p w14:paraId="0F1E666D">
            <w:pPr>
              <w:keepNext w:val="0"/>
              <w:keepLines w:val="0"/>
              <w:widowControl/>
              <w:suppressLineNumbers w:val="0"/>
              <w:ind w:left="0" w:leftChars="0" w:firstLine="0" w:firstLineChars="0"/>
              <w:jc w:val="center"/>
              <w:textAlignment w:val="center"/>
              <w:rPr>
                <w:rFonts w:ascii="宋体" w:hAnsi="宋体" w:eastAsia="宋体" w:cs="宋体"/>
                <w:color w:val="000000"/>
                <w:kern w:val="0"/>
                <w:sz w:val="22"/>
                <w:highlight w:val="none"/>
              </w:rPr>
            </w:pPr>
            <w:r>
              <w:rPr>
                <w:rFonts w:hint="eastAsia" w:ascii="宋体" w:hAnsi="宋体" w:eastAsia="宋体" w:cs="宋体"/>
                <w:i w:val="0"/>
                <w:iCs w:val="0"/>
                <w:color w:val="000000"/>
                <w:kern w:val="0"/>
                <w:sz w:val="22"/>
                <w:szCs w:val="22"/>
                <w:highlight w:val="none"/>
                <w:u w:val="none"/>
                <w:lang w:val="en-US" w:eastAsia="zh-CN" w:bidi="ar"/>
              </w:rPr>
              <w:t>献血员交通费、血费报销等费用</w:t>
            </w:r>
          </w:p>
        </w:tc>
        <w:tc>
          <w:tcPr>
            <w:tcW w:w="2789" w:type="dxa"/>
            <w:vMerge w:val="continue"/>
            <w:tcBorders>
              <w:tl2br w:val="nil"/>
              <w:tr2bl w:val="nil"/>
            </w:tcBorders>
            <w:shd w:val="clear" w:color="000000" w:fill="FFFFFF"/>
            <w:vAlign w:val="center"/>
          </w:tcPr>
          <w:p w14:paraId="69D9E061">
            <w:pPr>
              <w:widowControl/>
              <w:ind w:firstLine="0" w:firstLineChars="0"/>
              <w:jc w:val="center"/>
              <w:rPr>
                <w:rFonts w:ascii="宋体" w:hAnsi="宋体" w:eastAsia="宋体" w:cs="宋体"/>
                <w:color w:val="000000"/>
                <w:kern w:val="0"/>
                <w:sz w:val="22"/>
                <w:highlight w:val="none"/>
              </w:rPr>
            </w:pPr>
          </w:p>
        </w:tc>
        <w:tc>
          <w:tcPr>
            <w:tcW w:w="7341" w:type="dxa"/>
            <w:vMerge w:val="continue"/>
            <w:tcBorders>
              <w:tl2br w:val="nil"/>
              <w:tr2bl w:val="nil"/>
            </w:tcBorders>
            <w:shd w:val="clear" w:color="000000" w:fill="FFFFFF"/>
            <w:vAlign w:val="center"/>
          </w:tcPr>
          <w:p w14:paraId="7D8DA7A2">
            <w:pPr>
              <w:widowControl/>
              <w:ind w:firstLine="0" w:firstLineChars="0"/>
              <w:jc w:val="both"/>
              <w:rPr>
                <w:rFonts w:ascii="宋体" w:hAnsi="宋体" w:eastAsia="宋体" w:cs="宋体"/>
                <w:color w:val="000000"/>
                <w:kern w:val="0"/>
                <w:sz w:val="22"/>
                <w:highlight w:val="none"/>
              </w:rPr>
            </w:pPr>
          </w:p>
        </w:tc>
      </w:tr>
      <w:tr w14:paraId="42EBDE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9" w:hRule="atLeast"/>
          <w:jc w:val="center"/>
        </w:trPr>
        <w:tc>
          <w:tcPr>
            <w:tcW w:w="1155" w:type="dxa"/>
            <w:vMerge w:val="continue"/>
            <w:tcBorders>
              <w:tl2br w:val="nil"/>
              <w:tr2bl w:val="nil"/>
            </w:tcBorders>
            <w:shd w:val="clear" w:color="auto" w:fill="FFFFFF"/>
            <w:vAlign w:val="center"/>
          </w:tcPr>
          <w:p w14:paraId="051B72AE">
            <w:pPr>
              <w:widowControl/>
              <w:ind w:firstLine="0" w:firstLineChars="0"/>
              <w:jc w:val="both"/>
              <w:rPr>
                <w:rFonts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14:paraId="036FDE3A">
            <w:pPr>
              <w:widowControl/>
              <w:ind w:firstLine="0" w:firstLineChars="0"/>
              <w:jc w:val="both"/>
              <w:rPr>
                <w:rFonts w:ascii="宋体" w:hAnsi="宋体" w:eastAsia="宋体" w:cs="宋体"/>
                <w:color w:val="000000"/>
                <w:kern w:val="0"/>
                <w:sz w:val="22"/>
                <w:highlight w:val="none"/>
              </w:rPr>
            </w:pPr>
          </w:p>
        </w:tc>
        <w:tc>
          <w:tcPr>
            <w:tcW w:w="1411" w:type="dxa"/>
            <w:tcBorders>
              <w:tl2br w:val="nil"/>
              <w:tr2bl w:val="nil"/>
            </w:tcBorders>
            <w:shd w:val="clear" w:color="auto" w:fill="FFFFFF"/>
            <w:vAlign w:val="center"/>
          </w:tcPr>
          <w:p w14:paraId="03A409A7">
            <w:pPr>
              <w:keepNext w:val="0"/>
              <w:keepLines w:val="0"/>
              <w:widowControl/>
              <w:suppressLineNumbers w:val="0"/>
              <w:ind w:left="0" w:leftChars="0" w:firstLine="0" w:firstLineChars="0"/>
              <w:jc w:val="center"/>
              <w:textAlignment w:val="center"/>
              <w:rPr>
                <w:rFonts w:ascii="宋体" w:hAnsi="宋体" w:eastAsia="宋体" w:cs="宋体"/>
                <w:color w:val="000000"/>
                <w:kern w:val="0"/>
                <w:sz w:val="22"/>
                <w:highlight w:val="none"/>
              </w:rPr>
            </w:pPr>
            <w:r>
              <w:rPr>
                <w:rFonts w:hint="eastAsia" w:ascii="宋体" w:hAnsi="宋体" w:eastAsia="宋体" w:cs="宋体"/>
                <w:i w:val="0"/>
                <w:iCs w:val="0"/>
                <w:color w:val="000000"/>
                <w:kern w:val="0"/>
                <w:sz w:val="22"/>
                <w:szCs w:val="22"/>
                <w:highlight w:val="none"/>
                <w:u w:val="none"/>
                <w:lang w:val="en-US" w:eastAsia="zh-CN" w:bidi="ar"/>
              </w:rPr>
              <w:t>临聘人员劳务费</w:t>
            </w:r>
          </w:p>
        </w:tc>
        <w:tc>
          <w:tcPr>
            <w:tcW w:w="2789" w:type="dxa"/>
            <w:vMerge w:val="continue"/>
            <w:tcBorders>
              <w:tl2br w:val="nil"/>
              <w:tr2bl w:val="nil"/>
            </w:tcBorders>
            <w:shd w:val="clear" w:color="000000" w:fill="FFFFFF"/>
            <w:vAlign w:val="center"/>
          </w:tcPr>
          <w:p w14:paraId="174AD34B">
            <w:pPr>
              <w:widowControl/>
              <w:ind w:firstLine="0" w:firstLineChars="0"/>
              <w:jc w:val="center"/>
              <w:rPr>
                <w:rFonts w:ascii="宋体" w:hAnsi="宋体" w:eastAsia="宋体" w:cs="宋体"/>
                <w:color w:val="000000"/>
                <w:kern w:val="0"/>
                <w:sz w:val="22"/>
                <w:highlight w:val="none"/>
              </w:rPr>
            </w:pPr>
          </w:p>
        </w:tc>
        <w:tc>
          <w:tcPr>
            <w:tcW w:w="7341" w:type="dxa"/>
            <w:vMerge w:val="continue"/>
            <w:tcBorders>
              <w:tl2br w:val="nil"/>
              <w:tr2bl w:val="nil"/>
            </w:tcBorders>
            <w:shd w:val="clear" w:color="000000" w:fill="FFFFFF"/>
            <w:vAlign w:val="center"/>
          </w:tcPr>
          <w:p w14:paraId="250815E2">
            <w:pPr>
              <w:widowControl/>
              <w:ind w:firstLine="0" w:firstLineChars="0"/>
              <w:jc w:val="both"/>
              <w:rPr>
                <w:rFonts w:ascii="宋体" w:hAnsi="宋体" w:eastAsia="宋体" w:cs="宋体"/>
                <w:color w:val="000000"/>
                <w:kern w:val="0"/>
                <w:sz w:val="22"/>
                <w:highlight w:val="none"/>
              </w:rPr>
            </w:pPr>
          </w:p>
        </w:tc>
      </w:tr>
      <w:tr w14:paraId="6FC298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9" w:hRule="atLeast"/>
          <w:jc w:val="center"/>
        </w:trPr>
        <w:tc>
          <w:tcPr>
            <w:tcW w:w="1155" w:type="dxa"/>
            <w:vMerge w:val="continue"/>
            <w:tcBorders>
              <w:tl2br w:val="nil"/>
              <w:tr2bl w:val="nil"/>
            </w:tcBorders>
            <w:shd w:val="clear" w:color="auto" w:fill="FFFFFF"/>
            <w:vAlign w:val="center"/>
          </w:tcPr>
          <w:p w14:paraId="13E3264E">
            <w:pPr>
              <w:widowControl/>
              <w:ind w:firstLine="0" w:firstLineChars="0"/>
              <w:jc w:val="both"/>
              <w:rPr>
                <w:rFonts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14:paraId="303D9C56">
            <w:pPr>
              <w:widowControl/>
              <w:ind w:firstLine="0" w:firstLineChars="0"/>
              <w:jc w:val="both"/>
              <w:rPr>
                <w:rFonts w:ascii="宋体" w:hAnsi="宋体" w:eastAsia="宋体" w:cs="宋体"/>
                <w:color w:val="000000"/>
                <w:kern w:val="0"/>
                <w:sz w:val="22"/>
                <w:highlight w:val="none"/>
              </w:rPr>
            </w:pPr>
          </w:p>
        </w:tc>
        <w:tc>
          <w:tcPr>
            <w:tcW w:w="1411" w:type="dxa"/>
            <w:tcBorders>
              <w:tl2br w:val="nil"/>
              <w:tr2bl w:val="nil"/>
            </w:tcBorders>
            <w:shd w:val="clear" w:color="auto" w:fill="FFFFFF"/>
            <w:vAlign w:val="center"/>
          </w:tcPr>
          <w:p w14:paraId="1425398D">
            <w:pPr>
              <w:keepNext w:val="0"/>
              <w:keepLines w:val="0"/>
              <w:widowControl/>
              <w:suppressLineNumbers w:val="0"/>
              <w:ind w:left="0" w:leftChars="0" w:firstLine="0" w:firstLineChars="0"/>
              <w:jc w:val="center"/>
              <w:textAlignment w:val="center"/>
              <w:rPr>
                <w:rFonts w:ascii="宋体" w:hAnsi="宋体" w:eastAsia="宋体" w:cs="宋体"/>
                <w:color w:val="000000"/>
                <w:kern w:val="0"/>
                <w:sz w:val="22"/>
                <w:highlight w:val="none"/>
              </w:rPr>
            </w:pPr>
            <w:r>
              <w:rPr>
                <w:rFonts w:hint="eastAsia" w:ascii="宋体" w:hAnsi="宋体" w:eastAsia="宋体" w:cs="宋体"/>
                <w:i w:val="0"/>
                <w:iCs w:val="0"/>
                <w:color w:val="000000"/>
                <w:kern w:val="0"/>
                <w:sz w:val="22"/>
                <w:szCs w:val="22"/>
                <w:highlight w:val="none"/>
                <w:u w:val="none"/>
                <w:lang w:val="en-US" w:eastAsia="zh-CN" w:bidi="ar"/>
              </w:rPr>
              <w:t>项目工程等欠款</w:t>
            </w:r>
          </w:p>
        </w:tc>
        <w:tc>
          <w:tcPr>
            <w:tcW w:w="2789" w:type="dxa"/>
            <w:vMerge w:val="continue"/>
            <w:tcBorders>
              <w:tl2br w:val="nil"/>
              <w:tr2bl w:val="nil"/>
            </w:tcBorders>
            <w:shd w:val="clear" w:color="000000" w:fill="FFFFFF"/>
            <w:vAlign w:val="center"/>
          </w:tcPr>
          <w:p w14:paraId="26A6D06A">
            <w:pPr>
              <w:widowControl/>
              <w:ind w:firstLine="0" w:firstLineChars="0"/>
              <w:jc w:val="center"/>
              <w:rPr>
                <w:rFonts w:ascii="宋体" w:hAnsi="宋体" w:eastAsia="宋体" w:cs="宋体"/>
                <w:color w:val="000000"/>
                <w:kern w:val="0"/>
                <w:sz w:val="22"/>
                <w:highlight w:val="none"/>
              </w:rPr>
            </w:pPr>
          </w:p>
        </w:tc>
        <w:tc>
          <w:tcPr>
            <w:tcW w:w="7341" w:type="dxa"/>
            <w:vMerge w:val="continue"/>
            <w:tcBorders>
              <w:tl2br w:val="nil"/>
              <w:tr2bl w:val="nil"/>
            </w:tcBorders>
            <w:shd w:val="clear" w:color="000000" w:fill="FFFFFF"/>
            <w:vAlign w:val="center"/>
          </w:tcPr>
          <w:p w14:paraId="73983378">
            <w:pPr>
              <w:widowControl/>
              <w:ind w:firstLine="0" w:firstLineChars="0"/>
              <w:jc w:val="both"/>
              <w:rPr>
                <w:rFonts w:ascii="宋体" w:hAnsi="宋体" w:eastAsia="宋体" w:cs="宋体"/>
                <w:color w:val="000000"/>
                <w:kern w:val="0"/>
                <w:sz w:val="22"/>
                <w:highlight w:val="none"/>
              </w:rPr>
            </w:pPr>
          </w:p>
        </w:tc>
      </w:tr>
      <w:tr w14:paraId="23CF13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9" w:hRule="atLeast"/>
          <w:jc w:val="center"/>
        </w:trPr>
        <w:tc>
          <w:tcPr>
            <w:tcW w:w="1155" w:type="dxa"/>
            <w:vMerge w:val="continue"/>
            <w:tcBorders>
              <w:tl2br w:val="nil"/>
              <w:tr2bl w:val="nil"/>
            </w:tcBorders>
            <w:shd w:val="clear" w:color="auto" w:fill="FFFFFF"/>
            <w:vAlign w:val="center"/>
          </w:tcPr>
          <w:p w14:paraId="73FC25CD">
            <w:pPr>
              <w:widowControl/>
              <w:ind w:firstLine="0" w:firstLineChars="0"/>
              <w:jc w:val="both"/>
              <w:rPr>
                <w:rFonts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14:paraId="18EB5E6F">
            <w:pPr>
              <w:widowControl/>
              <w:ind w:firstLine="0" w:firstLineChars="0"/>
              <w:jc w:val="both"/>
              <w:rPr>
                <w:rFonts w:ascii="宋体" w:hAnsi="宋体" w:eastAsia="宋体" w:cs="宋体"/>
                <w:color w:val="000000"/>
                <w:kern w:val="0"/>
                <w:sz w:val="22"/>
                <w:highlight w:val="none"/>
              </w:rPr>
            </w:pPr>
          </w:p>
        </w:tc>
        <w:tc>
          <w:tcPr>
            <w:tcW w:w="1411" w:type="dxa"/>
            <w:tcBorders>
              <w:tl2br w:val="nil"/>
              <w:tr2bl w:val="nil"/>
            </w:tcBorders>
            <w:shd w:val="clear" w:color="auto" w:fill="FFFFFF"/>
            <w:vAlign w:val="center"/>
          </w:tcPr>
          <w:p w14:paraId="5B73D640">
            <w:pPr>
              <w:keepNext w:val="0"/>
              <w:keepLines w:val="0"/>
              <w:widowControl/>
              <w:suppressLineNumbers w:val="0"/>
              <w:ind w:left="0" w:leftChars="0" w:firstLine="0" w:firstLineChars="0"/>
              <w:jc w:val="center"/>
              <w:textAlignment w:val="center"/>
              <w:rPr>
                <w:rFonts w:ascii="宋体" w:hAnsi="宋体" w:eastAsia="宋体" w:cs="宋体"/>
                <w:color w:val="000000"/>
                <w:kern w:val="0"/>
                <w:sz w:val="22"/>
                <w:highlight w:val="none"/>
              </w:rPr>
            </w:pPr>
            <w:r>
              <w:rPr>
                <w:rFonts w:hint="eastAsia" w:ascii="宋体" w:hAnsi="宋体" w:eastAsia="宋体" w:cs="宋体"/>
                <w:i w:val="0"/>
                <w:iCs w:val="0"/>
                <w:color w:val="000000"/>
                <w:kern w:val="0"/>
                <w:sz w:val="22"/>
                <w:szCs w:val="22"/>
                <w:highlight w:val="none"/>
                <w:u w:val="none"/>
                <w:lang w:val="en-US" w:eastAsia="zh-CN" w:bidi="ar"/>
              </w:rPr>
              <w:t>基因测序费、血液运输费等</w:t>
            </w:r>
          </w:p>
        </w:tc>
        <w:tc>
          <w:tcPr>
            <w:tcW w:w="2789" w:type="dxa"/>
            <w:vMerge w:val="continue"/>
            <w:tcBorders>
              <w:tl2br w:val="nil"/>
              <w:tr2bl w:val="nil"/>
            </w:tcBorders>
            <w:shd w:val="clear" w:color="000000" w:fill="FFFFFF"/>
            <w:vAlign w:val="center"/>
          </w:tcPr>
          <w:p w14:paraId="5C3CDE7E">
            <w:pPr>
              <w:widowControl/>
              <w:ind w:firstLine="0" w:firstLineChars="0"/>
              <w:jc w:val="center"/>
              <w:rPr>
                <w:rFonts w:ascii="宋体" w:hAnsi="宋体" w:eastAsia="宋体" w:cs="宋体"/>
                <w:color w:val="000000"/>
                <w:kern w:val="0"/>
                <w:sz w:val="22"/>
                <w:highlight w:val="none"/>
              </w:rPr>
            </w:pPr>
          </w:p>
        </w:tc>
        <w:tc>
          <w:tcPr>
            <w:tcW w:w="7341" w:type="dxa"/>
            <w:vMerge w:val="continue"/>
            <w:tcBorders>
              <w:tl2br w:val="nil"/>
              <w:tr2bl w:val="nil"/>
            </w:tcBorders>
            <w:shd w:val="clear" w:color="000000" w:fill="FFFFFF"/>
            <w:vAlign w:val="center"/>
          </w:tcPr>
          <w:p w14:paraId="37202DA1">
            <w:pPr>
              <w:widowControl/>
              <w:ind w:firstLine="0" w:firstLineChars="0"/>
              <w:jc w:val="both"/>
              <w:rPr>
                <w:rFonts w:ascii="宋体" w:hAnsi="宋体" w:eastAsia="宋体" w:cs="宋体"/>
                <w:color w:val="000000"/>
                <w:kern w:val="0"/>
                <w:sz w:val="22"/>
                <w:highlight w:val="none"/>
              </w:rPr>
            </w:pPr>
          </w:p>
        </w:tc>
      </w:tr>
      <w:tr w14:paraId="0DDBEF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9" w:hRule="atLeast"/>
          <w:jc w:val="center"/>
        </w:trPr>
        <w:tc>
          <w:tcPr>
            <w:tcW w:w="1155" w:type="dxa"/>
            <w:vMerge w:val="continue"/>
            <w:tcBorders>
              <w:tl2br w:val="nil"/>
              <w:tr2bl w:val="nil"/>
            </w:tcBorders>
            <w:shd w:val="clear" w:color="auto" w:fill="FFFFFF"/>
            <w:vAlign w:val="center"/>
          </w:tcPr>
          <w:p w14:paraId="1304220F">
            <w:pPr>
              <w:widowControl/>
              <w:ind w:firstLine="0" w:firstLineChars="0"/>
              <w:jc w:val="both"/>
              <w:rPr>
                <w:rFonts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14:paraId="6ACFC248">
            <w:pPr>
              <w:widowControl/>
              <w:ind w:firstLine="0" w:firstLineChars="0"/>
              <w:jc w:val="both"/>
              <w:rPr>
                <w:rFonts w:ascii="宋体" w:hAnsi="宋体" w:eastAsia="宋体" w:cs="宋体"/>
                <w:color w:val="000000"/>
                <w:kern w:val="0"/>
                <w:sz w:val="22"/>
                <w:highlight w:val="none"/>
              </w:rPr>
            </w:pPr>
          </w:p>
        </w:tc>
        <w:tc>
          <w:tcPr>
            <w:tcW w:w="1411" w:type="dxa"/>
            <w:tcBorders>
              <w:tl2br w:val="nil"/>
              <w:tr2bl w:val="nil"/>
            </w:tcBorders>
            <w:shd w:val="clear" w:color="auto" w:fill="FFFFFF"/>
            <w:vAlign w:val="center"/>
          </w:tcPr>
          <w:p w14:paraId="65F6CC1C">
            <w:pPr>
              <w:keepNext w:val="0"/>
              <w:keepLines w:val="0"/>
              <w:widowControl/>
              <w:suppressLineNumbers w:val="0"/>
              <w:ind w:left="0" w:leftChars="0" w:firstLine="0" w:firstLineChars="0"/>
              <w:jc w:val="center"/>
              <w:textAlignment w:val="center"/>
              <w:rPr>
                <w:rFonts w:ascii="宋体" w:hAnsi="宋体" w:eastAsia="宋体" w:cs="宋体"/>
                <w:color w:val="000000"/>
                <w:kern w:val="0"/>
                <w:sz w:val="22"/>
                <w:highlight w:val="none"/>
              </w:rPr>
            </w:pPr>
            <w:r>
              <w:rPr>
                <w:rFonts w:hint="eastAsia" w:ascii="宋体" w:hAnsi="宋体" w:eastAsia="宋体" w:cs="宋体"/>
                <w:i w:val="0"/>
                <w:iCs w:val="0"/>
                <w:color w:val="000000"/>
                <w:kern w:val="0"/>
                <w:sz w:val="22"/>
                <w:szCs w:val="22"/>
                <w:highlight w:val="none"/>
                <w:u w:val="none"/>
                <w:lang w:val="en-US" w:eastAsia="zh-CN" w:bidi="ar"/>
              </w:rPr>
              <w:t>南大门道闸</w:t>
            </w:r>
          </w:p>
        </w:tc>
        <w:tc>
          <w:tcPr>
            <w:tcW w:w="2789" w:type="dxa"/>
            <w:vMerge w:val="continue"/>
            <w:tcBorders>
              <w:tl2br w:val="nil"/>
              <w:tr2bl w:val="nil"/>
            </w:tcBorders>
            <w:shd w:val="clear" w:color="000000" w:fill="FFFFFF"/>
            <w:vAlign w:val="center"/>
          </w:tcPr>
          <w:p w14:paraId="00DCA3DF">
            <w:pPr>
              <w:widowControl/>
              <w:ind w:firstLine="0" w:firstLineChars="0"/>
              <w:jc w:val="center"/>
              <w:rPr>
                <w:rFonts w:ascii="宋体" w:hAnsi="宋体" w:eastAsia="宋体" w:cs="宋体"/>
                <w:color w:val="000000"/>
                <w:kern w:val="0"/>
                <w:sz w:val="22"/>
                <w:highlight w:val="none"/>
              </w:rPr>
            </w:pPr>
          </w:p>
        </w:tc>
        <w:tc>
          <w:tcPr>
            <w:tcW w:w="7341" w:type="dxa"/>
            <w:vMerge w:val="continue"/>
            <w:tcBorders>
              <w:tl2br w:val="nil"/>
              <w:tr2bl w:val="nil"/>
            </w:tcBorders>
            <w:shd w:val="clear" w:color="000000" w:fill="FFFFFF"/>
            <w:vAlign w:val="center"/>
          </w:tcPr>
          <w:p w14:paraId="5419FB0E">
            <w:pPr>
              <w:widowControl/>
              <w:ind w:firstLine="0" w:firstLineChars="0"/>
              <w:jc w:val="both"/>
              <w:rPr>
                <w:rFonts w:ascii="宋体" w:hAnsi="宋体" w:eastAsia="宋体" w:cs="宋体"/>
                <w:color w:val="000000"/>
                <w:kern w:val="0"/>
                <w:sz w:val="22"/>
                <w:highlight w:val="none"/>
              </w:rPr>
            </w:pPr>
          </w:p>
        </w:tc>
      </w:tr>
      <w:tr w14:paraId="6E1792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tcBorders>
              <w:tl2br w:val="nil"/>
              <w:tr2bl w:val="nil"/>
            </w:tcBorders>
            <w:shd w:val="clear" w:color="auto" w:fill="FFFFFF"/>
            <w:vAlign w:val="center"/>
          </w:tcPr>
          <w:p w14:paraId="313DA109">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效益</w:t>
            </w:r>
          </w:p>
        </w:tc>
        <w:tc>
          <w:tcPr>
            <w:tcW w:w="1199" w:type="dxa"/>
            <w:tcBorders>
              <w:tl2br w:val="nil"/>
              <w:tr2bl w:val="nil"/>
            </w:tcBorders>
            <w:shd w:val="clear" w:color="auto" w:fill="FFFFFF"/>
            <w:vAlign w:val="center"/>
          </w:tcPr>
          <w:p w14:paraId="76107020">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社会效益指标</w:t>
            </w:r>
          </w:p>
        </w:tc>
        <w:tc>
          <w:tcPr>
            <w:tcW w:w="1411" w:type="dxa"/>
            <w:tcBorders>
              <w:tl2br w:val="nil"/>
              <w:tr2bl w:val="nil"/>
            </w:tcBorders>
            <w:shd w:val="clear" w:color="auto" w:fill="FFFFFF"/>
            <w:vAlign w:val="center"/>
          </w:tcPr>
          <w:p w14:paraId="18799764">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保障临床用血需求</w:t>
            </w:r>
          </w:p>
        </w:tc>
        <w:tc>
          <w:tcPr>
            <w:tcW w:w="2789" w:type="dxa"/>
            <w:tcBorders>
              <w:tl2br w:val="nil"/>
              <w:tr2bl w:val="nil"/>
            </w:tcBorders>
            <w:shd w:val="clear" w:color="auto" w:fill="FFFFFF"/>
            <w:vAlign w:val="center"/>
          </w:tcPr>
          <w:p w14:paraId="518DD705">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项目实施所产生的效益。</w:t>
            </w:r>
          </w:p>
        </w:tc>
        <w:tc>
          <w:tcPr>
            <w:tcW w:w="7341" w:type="dxa"/>
            <w:tcBorders>
              <w:tl2br w:val="nil"/>
              <w:tr2bl w:val="nil"/>
            </w:tcBorders>
            <w:shd w:val="clear" w:color="auto" w:fill="FFFFFF"/>
            <w:vAlign w:val="center"/>
          </w:tcPr>
          <w:p w14:paraId="7E4B1A3B">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项目实施所产生的社会效益、经济效益、生态效益、可持续影响等。可根据项目实际情况有选择地设置和细化。</w:t>
            </w:r>
          </w:p>
        </w:tc>
      </w:tr>
      <w:tr w14:paraId="2CEE37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14:paraId="090C959F">
            <w:pPr>
              <w:widowControl/>
              <w:ind w:firstLine="0" w:firstLineChars="0"/>
              <w:jc w:val="center"/>
              <w:rPr>
                <w:rFonts w:ascii="宋体" w:hAnsi="宋体" w:eastAsia="宋体" w:cs="宋体"/>
                <w:color w:val="000000"/>
                <w:kern w:val="0"/>
                <w:sz w:val="22"/>
                <w:highlight w:val="none"/>
              </w:rPr>
            </w:pPr>
            <w:r>
              <w:rPr>
                <w:rFonts w:ascii="宋体" w:hAnsi="宋体" w:eastAsia="宋体" w:cs="宋体"/>
                <w:color w:val="000000"/>
                <w:kern w:val="0"/>
                <w:sz w:val="22"/>
                <w:highlight w:val="none"/>
              </w:rPr>
              <w:t>满意度指标完成情况分析</w:t>
            </w:r>
          </w:p>
        </w:tc>
        <w:tc>
          <w:tcPr>
            <w:tcW w:w="1199" w:type="dxa"/>
            <w:tcBorders>
              <w:tl2br w:val="nil"/>
              <w:tr2bl w:val="nil"/>
            </w:tcBorders>
            <w:shd w:val="clear" w:color="auto" w:fill="FFFFFF"/>
            <w:vAlign w:val="center"/>
          </w:tcPr>
          <w:p w14:paraId="040C15BD">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满意度指标</w:t>
            </w:r>
          </w:p>
        </w:tc>
        <w:tc>
          <w:tcPr>
            <w:tcW w:w="1411" w:type="dxa"/>
            <w:tcBorders>
              <w:tl2br w:val="nil"/>
              <w:tr2bl w:val="nil"/>
            </w:tcBorders>
            <w:shd w:val="clear" w:color="auto" w:fill="FFFFFF"/>
            <w:vAlign w:val="center"/>
          </w:tcPr>
          <w:p w14:paraId="3FE2E1C1">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献血者满意度</w:t>
            </w:r>
          </w:p>
        </w:tc>
        <w:tc>
          <w:tcPr>
            <w:tcW w:w="2789" w:type="dxa"/>
            <w:tcBorders>
              <w:tl2br w:val="nil"/>
              <w:tr2bl w:val="nil"/>
            </w:tcBorders>
            <w:shd w:val="clear" w:color="000000" w:fill="FFFFFF"/>
            <w:vAlign w:val="center"/>
          </w:tcPr>
          <w:p w14:paraId="63D44AC5">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社会公众或服务对象对项目实施效果的满意程度。</w:t>
            </w:r>
          </w:p>
        </w:tc>
        <w:tc>
          <w:tcPr>
            <w:tcW w:w="7341" w:type="dxa"/>
            <w:tcBorders>
              <w:tl2br w:val="nil"/>
              <w:tr2bl w:val="nil"/>
            </w:tcBorders>
            <w:shd w:val="clear" w:color="000000" w:fill="FFFFFF"/>
            <w:vAlign w:val="center"/>
          </w:tcPr>
          <w:p w14:paraId="18A0EFCE">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社会公众或服务对象是指因该项目实施而受到影响的部门（单位）、群体或个人。一般采取社会调查的方式。</w:t>
            </w:r>
          </w:p>
        </w:tc>
      </w:tr>
    </w:tbl>
    <w:p w14:paraId="2B4A56FB">
      <w:pPr>
        <w:ind w:firstLine="0" w:firstLineChars="0"/>
        <w:jc w:val="center"/>
        <w:rPr>
          <w:rFonts w:ascii="仿宋_GB2312"/>
        </w:rPr>
      </w:pPr>
    </w:p>
    <w:p w14:paraId="04F77A26">
      <w:pPr>
        <w:ind w:firstLine="0" w:firstLineChars="0"/>
        <w:jc w:val="center"/>
        <w:rPr>
          <w:rFonts w:ascii="仿宋_GB2312"/>
        </w:rPr>
      </w:pPr>
    </w:p>
    <w:p w14:paraId="497FD9A7">
      <w:pPr>
        <w:ind w:firstLine="0" w:firstLineChars="0"/>
        <w:jc w:val="center"/>
        <w:rPr>
          <w:rFonts w:ascii="仿宋_GB2312"/>
        </w:rPr>
      </w:pPr>
    </w:p>
    <w:p w14:paraId="76AFF4E4">
      <w:pPr>
        <w:ind w:firstLine="0" w:firstLineChars="0"/>
        <w:jc w:val="center"/>
        <w:rPr>
          <w:rFonts w:ascii="仿宋_GB2312"/>
        </w:rPr>
      </w:pPr>
    </w:p>
    <w:p w14:paraId="58B4B963">
      <w:pPr>
        <w:ind w:firstLine="0" w:firstLineChars="0"/>
        <w:jc w:val="center"/>
        <w:rPr>
          <w:rFonts w:ascii="仿宋_GB2312"/>
        </w:rPr>
      </w:pPr>
    </w:p>
    <w:p w14:paraId="652DB8DF">
      <w:pPr>
        <w:ind w:firstLine="0" w:firstLineChars="0"/>
        <w:jc w:val="center"/>
        <w:rPr>
          <w:rFonts w:ascii="仿宋_GB2312"/>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14:paraId="2A3F0E79">
      <w:pPr>
        <w:pStyle w:val="4"/>
        <w:ind w:firstLine="643"/>
      </w:pPr>
      <w:bookmarkStart w:id="22" w:name="_Toc165277234"/>
      <w:bookmarkStart w:id="23" w:name="_Hlk67586038"/>
      <w:r>
        <w:t>3.</w:t>
      </w:r>
      <w:r>
        <w:rPr>
          <w:rFonts w:hint="eastAsia"/>
        </w:rPr>
        <w:t>评价方法</w:t>
      </w:r>
      <w:bookmarkEnd w:id="22"/>
    </w:p>
    <w:bookmarkEnd w:id="23"/>
    <w:p w14:paraId="77D2FC67">
      <w:pPr>
        <w:spacing w:line="360" w:lineRule="auto"/>
        <w:ind w:firstLine="560"/>
        <w:rPr>
          <w:rFonts w:ascii="仿宋_GB2312"/>
        </w:rPr>
      </w:pPr>
      <w:r>
        <w:rPr>
          <w:rFonts w:hint="eastAsia" w:ascii="仿宋_GB2312"/>
        </w:rPr>
        <w:t>《关于印发&lt;项目支出绩效评价管理办法&gt;的通知》（财预〔2020〕10号）文件指出部门评价的方法主要包括成本效益分析法、比较法、因素分析法、最低成本法、公众评判法、标杆管理法等。</w:t>
      </w:r>
    </w:p>
    <w:p w14:paraId="46293E7A">
      <w:pPr>
        <w:spacing w:line="360" w:lineRule="auto"/>
        <w:ind w:firstLine="560"/>
        <w:rPr>
          <w:rFonts w:ascii="仿宋_GB2312"/>
        </w:rPr>
      </w:pPr>
      <w:r>
        <w:rPr>
          <w:rFonts w:hint="eastAsia" w:ascii="仿宋_GB2312"/>
        </w:rPr>
        <w:t>（1）成本效益分析法。是指将投入与产出、效益进行关联性分析的方法。</w:t>
      </w:r>
    </w:p>
    <w:p w14:paraId="0C3BCB61">
      <w:pPr>
        <w:spacing w:line="360" w:lineRule="auto"/>
        <w:ind w:firstLine="560"/>
        <w:rPr>
          <w:rFonts w:ascii="仿宋_GB2312"/>
        </w:rPr>
      </w:pPr>
      <w:r>
        <w:rPr>
          <w:rFonts w:hint="eastAsia" w:ascii="仿宋_GB2312"/>
        </w:rPr>
        <w:t>（2）比较法。是指将实施情况与绩效目标、历史情况、不同部门和地区同类支出情况进行比较的方法。</w:t>
      </w:r>
    </w:p>
    <w:p w14:paraId="2A723FE3">
      <w:pPr>
        <w:spacing w:line="360" w:lineRule="auto"/>
        <w:ind w:firstLine="560"/>
        <w:rPr>
          <w:rFonts w:ascii="仿宋_GB2312"/>
        </w:rPr>
      </w:pPr>
      <w:r>
        <w:rPr>
          <w:rFonts w:hint="eastAsia" w:ascii="仿宋_GB2312"/>
        </w:rPr>
        <w:t>（3）因素分析法。是指综合分析影响绩效目标实现、实施效果的内外部因素的方法。</w:t>
      </w:r>
    </w:p>
    <w:p w14:paraId="07B12019">
      <w:pPr>
        <w:spacing w:line="360" w:lineRule="auto"/>
        <w:ind w:firstLine="560"/>
        <w:rPr>
          <w:rFonts w:ascii="仿宋_GB2312"/>
        </w:rPr>
      </w:pPr>
      <w:r>
        <w:rPr>
          <w:rFonts w:hint="eastAsia" w:ascii="仿宋_GB2312"/>
        </w:rPr>
        <w:t>（4）最低成本法。是指在绩效目标确定的前提下，成本最小者为优的方法。</w:t>
      </w:r>
    </w:p>
    <w:p w14:paraId="21BBC837">
      <w:pPr>
        <w:spacing w:line="360" w:lineRule="auto"/>
        <w:ind w:firstLine="560"/>
        <w:rPr>
          <w:rFonts w:ascii="仿宋_GB2312"/>
        </w:rPr>
      </w:pPr>
      <w:r>
        <w:rPr>
          <w:rFonts w:hint="eastAsia" w:ascii="仿宋_GB2312"/>
        </w:rPr>
        <w:t>（5）公众评判法。是指通过专家评估、公众问卷及抽样调查等方式进行评判的方法。</w:t>
      </w:r>
    </w:p>
    <w:p w14:paraId="45FDEC99">
      <w:pPr>
        <w:spacing w:line="360" w:lineRule="auto"/>
        <w:ind w:firstLine="560"/>
        <w:rPr>
          <w:rFonts w:ascii="仿宋_GB2312"/>
        </w:rPr>
      </w:pPr>
      <w:r>
        <w:rPr>
          <w:rFonts w:hint="eastAsia" w:ascii="仿宋_GB2312"/>
        </w:rPr>
        <w:t>（6）标杆管理法。是指以国内外同行业中较高的绩效水平为标杆进行评判的方法。</w:t>
      </w:r>
    </w:p>
    <w:p w14:paraId="5090449C">
      <w:pPr>
        <w:spacing w:line="360" w:lineRule="auto"/>
        <w:ind w:firstLine="560"/>
        <w:rPr>
          <w:rFonts w:ascii="仿宋_GB2312"/>
        </w:rPr>
      </w:pPr>
      <w:r>
        <w:rPr>
          <w:rFonts w:hint="eastAsia" w:ascii="仿宋_GB2312"/>
        </w:rPr>
        <w:t>（7）其他评价方法。</w:t>
      </w:r>
    </w:p>
    <w:p w14:paraId="0B53E810">
      <w:pPr>
        <w:spacing w:line="360" w:lineRule="auto"/>
        <w:ind w:firstLine="560"/>
        <w:rPr>
          <w:rFonts w:ascii="仿宋_GB2312"/>
        </w:rPr>
      </w:pPr>
      <w:r>
        <w:rPr>
          <w:rFonts w:hint="eastAsia" w:ascii="仿宋_GB2312"/>
        </w:rPr>
        <w:t>根据本项目（</w:t>
      </w:r>
      <w:r>
        <w:rPr>
          <w:rFonts w:hint="eastAsia" w:ascii="仿宋_GB2312"/>
          <w:lang w:val="en-US" w:eastAsia="zh-CN"/>
        </w:rPr>
        <w:t>采供血业务运行经费-非政采</w:t>
      </w:r>
      <w:r>
        <w:rPr>
          <w:rFonts w:hint="eastAsia" w:ascii="仿宋_GB2312"/>
        </w:rPr>
        <w:t>）的特点，本次评价</w:t>
      </w:r>
      <w:r>
        <w:rPr>
          <w:rFonts w:hint="eastAsia" w:ascii="仿宋_GB2312"/>
          <w:highlight w:val="none"/>
        </w:rPr>
        <w:t>主要采用比较法和公众评判法，</w:t>
      </w:r>
      <w:r>
        <w:rPr>
          <w:rFonts w:hint="eastAsia" w:ascii="仿宋_GB2312"/>
        </w:rPr>
        <w:t>对项目总预算和明细预算的内容、标准、计划是否经济合理进行深入分析，以考察实际产出和效益是否达到预期。</w:t>
      </w:r>
    </w:p>
    <w:p w14:paraId="3091686D">
      <w:pPr>
        <w:pStyle w:val="4"/>
        <w:ind w:firstLine="643"/>
      </w:pPr>
      <w:bookmarkStart w:id="24" w:name="_Toc165277235"/>
      <w:r>
        <w:t>4.</w:t>
      </w:r>
      <w:r>
        <w:rPr>
          <w:rFonts w:hint="eastAsia"/>
        </w:rPr>
        <w:t>评价标准</w:t>
      </w:r>
      <w:bookmarkEnd w:id="24"/>
    </w:p>
    <w:p w14:paraId="51AAEA9E">
      <w:pPr>
        <w:spacing w:line="360" w:lineRule="auto"/>
        <w:ind w:firstLine="560"/>
        <w:rPr>
          <w:rFonts w:ascii="仿宋_GB2312"/>
        </w:rPr>
      </w:pPr>
      <w:r>
        <w:rPr>
          <w:rFonts w:hint="eastAsia" w:ascii="仿宋_GB2312"/>
        </w:rPr>
        <w:t>绩效评价标准主要包括计划标准、行业标准、历史标准等，用于对绩效指标完成情况进行比较。</w:t>
      </w:r>
    </w:p>
    <w:p w14:paraId="6225D98E">
      <w:pPr>
        <w:spacing w:line="360" w:lineRule="auto"/>
        <w:ind w:firstLine="560"/>
        <w:rPr>
          <w:rFonts w:ascii="仿宋_GB2312"/>
        </w:rPr>
      </w:pPr>
      <w:r>
        <w:rPr>
          <w:rFonts w:hint="eastAsia" w:ascii="仿宋_GB2312"/>
        </w:rPr>
        <w:t>（1）计划标准。指以预先制定的目标、计划、预算、定额等作为评价标准。</w:t>
      </w:r>
    </w:p>
    <w:p w14:paraId="35D4A6CA">
      <w:pPr>
        <w:spacing w:line="360" w:lineRule="auto"/>
        <w:ind w:firstLine="560"/>
        <w:rPr>
          <w:rFonts w:ascii="仿宋_GB2312"/>
        </w:rPr>
      </w:pPr>
      <w:r>
        <w:rPr>
          <w:rFonts w:hint="eastAsia" w:ascii="仿宋_GB2312"/>
        </w:rPr>
        <w:t>（2）行业标准。指参照国家公布的行业指标数据制定的评价标准。</w:t>
      </w:r>
    </w:p>
    <w:p w14:paraId="61E98367">
      <w:pPr>
        <w:spacing w:line="360" w:lineRule="auto"/>
        <w:ind w:firstLine="560"/>
        <w:rPr>
          <w:rFonts w:ascii="仿宋_GB2312"/>
        </w:rPr>
      </w:pPr>
      <w:r>
        <w:rPr>
          <w:rFonts w:hint="eastAsia" w:ascii="仿宋_GB2312"/>
        </w:rPr>
        <w:t>（3）历史标准。指参照历史数据制定的评价标准，为体现绩效改进的原则，在可实现的条件下应当确定相对较高的评价标准。</w:t>
      </w:r>
    </w:p>
    <w:p w14:paraId="54801F02">
      <w:pPr>
        <w:spacing w:line="360" w:lineRule="auto"/>
        <w:ind w:firstLine="560"/>
        <w:rPr>
          <w:rFonts w:ascii="仿宋_GB2312"/>
        </w:rPr>
      </w:pPr>
      <w:r>
        <w:rPr>
          <w:rFonts w:hint="eastAsia" w:ascii="仿宋_GB2312"/>
        </w:rPr>
        <w:t>在上述评价标准的基础上，本次评价依据以下文件为重要指导和准绳：</w:t>
      </w:r>
    </w:p>
    <w:p w14:paraId="72564317">
      <w:pPr>
        <w:spacing w:line="360" w:lineRule="auto"/>
        <w:ind w:firstLine="560"/>
        <w:rPr>
          <w:rFonts w:ascii="仿宋_GB2312"/>
        </w:rPr>
      </w:pPr>
      <w:r>
        <w:rPr>
          <w:rFonts w:hint="eastAsia" w:ascii="黑体" w:hAnsi="黑体" w:eastAsia="黑体" w:cs="Times New Roman"/>
          <w:szCs w:val="28"/>
        </w:rPr>
        <w:t>·</w:t>
      </w:r>
      <w:r>
        <w:rPr>
          <w:rFonts w:hint="eastAsia" w:ascii="仿宋_GB2312"/>
        </w:rPr>
        <w:t>《中共中央国务院关于全面实施预算绩效管理的意见》（中发〔2018〕34号）</w:t>
      </w:r>
    </w:p>
    <w:p w14:paraId="1F052664">
      <w:pPr>
        <w:spacing w:line="360" w:lineRule="auto"/>
        <w:ind w:firstLine="560"/>
        <w:rPr>
          <w:rFonts w:ascii="仿宋_GB2312"/>
        </w:rPr>
      </w:pPr>
      <w:r>
        <w:rPr>
          <w:rFonts w:hint="eastAsia" w:ascii="黑体" w:hAnsi="黑体" w:eastAsia="黑体" w:cs="Times New Roman"/>
          <w:szCs w:val="28"/>
        </w:rPr>
        <w:t>·</w:t>
      </w:r>
      <w:r>
        <w:rPr>
          <w:rFonts w:hint="eastAsia" w:ascii="仿宋_GB2312"/>
        </w:rPr>
        <w:t>《关于印发&lt;乌鲁木齐市本级部门预算绩效目标管理暂行办法&gt;的通知》（乌财预〔2018〕56号）</w:t>
      </w:r>
    </w:p>
    <w:p w14:paraId="2252CD5B">
      <w:pPr>
        <w:spacing w:line="360" w:lineRule="auto"/>
        <w:ind w:firstLine="560" w:firstLineChars="0"/>
        <w:rPr>
          <w:rFonts w:ascii="仿宋_GB2312"/>
        </w:rPr>
      </w:pPr>
      <w:r>
        <w:rPr>
          <w:rFonts w:hint="eastAsia" w:ascii="黑体" w:hAnsi="黑体" w:eastAsia="黑体" w:cs="Times New Roman"/>
          <w:szCs w:val="28"/>
        </w:rPr>
        <w:t>·</w:t>
      </w:r>
      <w:r>
        <w:rPr>
          <w:rFonts w:hint="eastAsia" w:ascii="仿宋_GB2312"/>
        </w:rPr>
        <w:t>《关于做好2019年部门预算项目支出绩效目标管理有关事宜的通知》（乌财预〔2018〕76号）</w:t>
      </w:r>
    </w:p>
    <w:p w14:paraId="75A2ED34">
      <w:pPr>
        <w:spacing w:line="360" w:lineRule="auto"/>
        <w:ind w:firstLine="560"/>
        <w:rPr>
          <w:rFonts w:hint="eastAsia" w:ascii="仿宋_GB2312"/>
        </w:rPr>
      </w:pPr>
      <w:r>
        <w:rPr>
          <w:rFonts w:hint="eastAsia" w:ascii="黑体" w:hAnsi="黑体" w:eastAsia="黑体" w:cs="Times New Roman"/>
          <w:szCs w:val="28"/>
        </w:rPr>
        <w:t>·</w:t>
      </w:r>
      <w:r>
        <w:rPr>
          <w:rFonts w:hint="eastAsia" w:ascii="仿宋_GB2312"/>
        </w:rPr>
        <w:t>《项目支出绩效评价管理办法》（财预〔2020〕10号）</w:t>
      </w:r>
    </w:p>
    <w:p w14:paraId="3BEDEC88">
      <w:pPr>
        <w:spacing w:line="360" w:lineRule="auto"/>
        <w:ind w:firstLine="560"/>
        <w:rPr>
          <w:rFonts w:hint="eastAsia" w:ascii="仿宋_GB2312"/>
        </w:rPr>
      </w:pPr>
      <w:r>
        <w:rPr>
          <w:rFonts w:hint="eastAsia" w:ascii="黑体" w:hAnsi="黑体" w:eastAsia="黑体" w:cs="Times New Roman"/>
          <w:szCs w:val="28"/>
        </w:rPr>
        <w:t>·</w:t>
      </w:r>
      <w:r>
        <w:rPr>
          <w:rFonts w:hint="eastAsia" w:ascii="仿宋_GB2312"/>
        </w:rPr>
        <w:t>《2019版血站技术操作规程》</w:t>
      </w:r>
    </w:p>
    <w:p w14:paraId="1AE0FF5A">
      <w:pPr>
        <w:spacing w:line="360" w:lineRule="auto"/>
        <w:ind w:firstLine="560"/>
        <w:rPr>
          <w:rFonts w:hint="eastAsia" w:ascii="仿宋_GB2312"/>
        </w:rPr>
      </w:pPr>
      <w:r>
        <w:rPr>
          <w:rFonts w:hint="eastAsia" w:ascii="黑体" w:hAnsi="黑体" w:eastAsia="黑体" w:cs="Times New Roman"/>
          <w:szCs w:val="28"/>
        </w:rPr>
        <w:t>·</w:t>
      </w:r>
      <w:r>
        <w:rPr>
          <w:rFonts w:hint="eastAsia" w:ascii="仿宋_GB2312"/>
        </w:rPr>
        <w:t>《血站基本标准》</w:t>
      </w:r>
    </w:p>
    <w:p w14:paraId="48E90148">
      <w:pPr>
        <w:spacing w:line="360" w:lineRule="auto"/>
        <w:ind w:firstLine="560"/>
        <w:rPr>
          <w:rFonts w:hint="eastAsia" w:ascii="仿宋_GB2312"/>
        </w:rPr>
      </w:pPr>
      <w:r>
        <w:rPr>
          <w:rFonts w:hint="eastAsia" w:ascii="黑体" w:hAnsi="黑体" w:eastAsia="黑体" w:cs="Times New Roman"/>
          <w:szCs w:val="28"/>
        </w:rPr>
        <w:t>·</w:t>
      </w:r>
      <w:r>
        <w:rPr>
          <w:rFonts w:hint="eastAsia" w:ascii="仿宋_GB2312"/>
        </w:rPr>
        <w:t>《突发公共卫生事件应急条例》</w:t>
      </w:r>
    </w:p>
    <w:p w14:paraId="56A20CD5">
      <w:pPr>
        <w:spacing w:line="360" w:lineRule="auto"/>
        <w:ind w:firstLine="560"/>
        <w:rPr>
          <w:rFonts w:hint="eastAsia" w:ascii="仿宋_GB2312"/>
        </w:rPr>
      </w:pPr>
      <w:r>
        <w:rPr>
          <w:rFonts w:hint="eastAsia" w:ascii="黑体" w:hAnsi="黑体" w:eastAsia="黑体" w:cs="Times New Roman"/>
          <w:szCs w:val="28"/>
        </w:rPr>
        <w:t>·</w:t>
      </w:r>
      <w:r>
        <w:rPr>
          <w:rFonts w:hint="eastAsia" w:ascii="仿宋_GB2312"/>
        </w:rPr>
        <w:t>《血站质量管理规范》</w:t>
      </w:r>
    </w:p>
    <w:p w14:paraId="36EAA76E">
      <w:pPr>
        <w:spacing w:line="360" w:lineRule="auto"/>
        <w:ind w:firstLine="560"/>
        <w:rPr>
          <w:rFonts w:ascii="仿宋_GB2312"/>
        </w:rPr>
      </w:pPr>
      <w:r>
        <w:rPr>
          <w:rFonts w:hint="eastAsia" w:ascii="黑体" w:hAnsi="黑体" w:eastAsia="黑体" w:cs="Times New Roman"/>
          <w:szCs w:val="28"/>
        </w:rPr>
        <w:t>·</w:t>
      </w:r>
      <w:r>
        <w:rPr>
          <w:rFonts w:hint="eastAsia" w:ascii="仿宋_GB2312"/>
        </w:rPr>
        <w:t>《血站实验室质量管理规范》</w:t>
      </w:r>
    </w:p>
    <w:p w14:paraId="30CE096C">
      <w:pPr>
        <w:pStyle w:val="3"/>
        <w:ind w:firstLine="643"/>
        <w:rPr>
          <w:rFonts w:ascii="仿宋" w:hAnsi="仿宋" w:eastAsia="仿宋"/>
          <w:lang w:bidi="en-US"/>
        </w:rPr>
      </w:pPr>
      <w:bookmarkStart w:id="25" w:name="_Toc165277236"/>
      <w:bookmarkStart w:id="26" w:name="_Toc67911607"/>
      <w:r>
        <w:rPr>
          <w:rFonts w:hint="eastAsia" w:ascii="仿宋" w:hAnsi="仿宋" w:eastAsia="仿宋"/>
          <w:lang w:bidi="en-US"/>
        </w:rPr>
        <w:t>（三）绩效评价工作过程</w:t>
      </w:r>
      <w:bookmarkEnd w:id="25"/>
      <w:bookmarkEnd w:id="26"/>
    </w:p>
    <w:p w14:paraId="5384D4CE">
      <w:pPr>
        <w:spacing w:line="360" w:lineRule="auto"/>
        <w:ind w:firstLine="560"/>
        <w:rPr>
          <w:rFonts w:ascii="仿宋_GB2312"/>
        </w:rPr>
      </w:pPr>
      <w:r>
        <w:rPr>
          <w:rFonts w:hint="eastAsia" w:ascii="仿宋_GB231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1"/>
          <w:rFonts w:ascii="仿宋_GB2312"/>
        </w:rPr>
        <w:footnoteReference w:id="0"/>
      </w:r>
      <w:r>
        <w:rPr>
          <w:rFonts w:hint="eastAsia" w:ascii="仿宋_GB2312"/>
        </w:rPr>
        <w:t>、材料审核分析、现场核查评价、综合分析评价及报告撰写，评价项目实施情况，展现资金使用效益。</w:t>
      </w:r>
    </w:p>
    <w:p w14:paraId="6E1792C7">
      <w:pPr>
        <w:pStyle w:val="2"/>
        <w:ind w:firstLine="0" w:firstLineChars="0"/>
        <w:jc w:val="left"/>
        <w:rPr>
          <w:rFonts w:ascii="仿宋" w:hAnsi="仿宋" w:eastAsia="仿宋"/>
          <w:sz w:val="36"/>
          <w:szCs w:val="36"/>
          <w:lang w:bidi="en-US"/>
        </w:rPr>
      </w:pPr>
      <w:bookmarkStart w:id="27" w:name="_Toc67911608"/>
      <w:bookmarkStart w:id="28" w:name="_Toc165277237"/>
      <w:r>
        <w:rPr>
          <w:rFonts w:hint="eastAsia" w:ascii="仿宋" w:hAnsi="仿宋" w:eastAsia="仿宋"/>
          <w:sz w:val="36"/>
          <w:szCs w:val="36"/>
          <w:lang w:bidi="en-US"/>
        </w:rPr>
        <w:t>三、综合评价情况及评价结论</w:t>
      </w:r>
      <w:bookmarkEnd w:id="27"/>
      <w:bookmarkEnd w:id="28"/>
    </w:p>
    <w:p w14:paraId="64CBF2A4">
      <w:pPr>
        <w:pStyle w:val="3"/>
        <w:ind w:firstLine="643"/>
        <w:rPr>
          <w:rFonts w:ascii="仿宋" w:hAnsi="仿宋" w:eastAsia="仿宋"/>
          <w:lang w:bidi="en-US"/>
        </w:rPr>
      </w:pPr>
      <w:bookmarkStart w:id="29" w:name="_Toc165277238"/>
      <w:bookmarkStart w:id="30" w:name="_Toc67911609"/>
      <w:r>
        <w:rPr>
          <w:rFonts w:hint="eastAsia" w:ascii="仿宋" w:hAnsi="仿宋" w:eastAsia="仿宋"/>
          <w:lang w:bidi="en-US"/>
        </w:rPr>
        <w:t>（一）评价结论</w:t>
      </w:r>
      <w:bookmarkEnd w:id="29"/>
      <w:bookmarkEnd w:id="30"/>
    </w:p>
    <w:p w14:paraId="010C7DB6">
      <w:pPr>
        <w:spacing w:line="360" w:lineRule="auto"/>
        <w:ind w:firstLine="560"/>
        <w:rPr>
          <w:rFonts w:ascii="仿宋_GB2312"/>
          <w:szCs w:val="28"/>
        </w:rPr>
      </w:pPr>
      <w:r>
        <w:rPr>
          <w:rFonts w:hint="eastAsia" w:ascii="仿宋_GB2312"/>
          <w:szCs w:val="28"/>
        </w:rPr>
        <w:t>结合项目特点，制定符合项目实际的绩效评价指标体系及评分标准，通过数据采集、问卷调查及访谈等形式，对2</w:t>
      </w:r>
      <w:r>
        <w:rPr>
          <w:rFonts w:ascii="仿宋_GB2312"/>
          <w:szCs w:val="28"/>
        </w:rPr>
        <w:t>023</w:t>
      </w:r>
      <w:r>
        <w:rPr>
          <w:rFonts w:hint="eastAsia" w:ascii="仿宋_GB2312"/>
          <w:szCs w:val="28"/>
        </w:rPr>
        <w:t>年</w:t>
      </w:r>
      <w:r>
        <w:rPr>
          <w:rFonts w:hint="eastAsia" w:ascii="仿宋_GB2312"/>
          <w:szCs w:val="28"/>
          <w:lang w:val="en-US" w:eastAsia="zh-CN"/>
        </w:rPr>
        <w:t>采供血业务运行经费-非政采</w:t>
      </w:r>
      <w:r>
        <w:rPr>
          <w:rFonts w:hint="eastAsia" w:ascii="仿宋_GB2312"/>
          <w:szCs w:val="28"/>
        </w:rPr>
        <w:t>进行客观评价，最终评分结果为：总分为</w:t>
      </w:r>
      <w:r>
        <w:rPr>
          <w:rFonts w:hint="eastAsia" w:ascii="仿宋_GB2312"/>
          <w:szCs w:val="28"/>
          <w:lang w:val="en-US" w:eastAsia="zh-CN"/>
        </w:rPr>
        <w:t>97</w:t>
      </w:r>
      <w:r>
        <w:rPr>
          <w:rFonts w:hint="eastAsia" w:ascii="仿宋_GB2312"/>
          <w:szCs w:val="28"/>
        </w:rPr>
        <w:t>分，绩效评级为“</w:t>
      </w:r>
      <w:r>
        <w:rPr>
          <w:rFonts w:hint="eastAsia" w:ascii="仿宋_GB2312"/>
          <w:szCs w:val="28"/>
          <w:lang w:val="en-US" w:eastAsia="zh-CN"/>
        </w:rPr>
        <w:t>优秀</w:t>
      </w:r>
      <w:r>
        <w:rPr>
          <w:rFonts w:hint="eastAsia" w:ascii="仿宋_GB2312"/>
          <w:szCs w:val="28"/>
        </w:rPr>
        <w:t>”</w:t>
      </w:r>
      <w:r>
        <w:rPr>
          <w:rStyle w:val="21"/>
          <w:rFonts w:ascii="仿宋_GB2312"/>
          <w:szCs w:val="28"/>
        </w:rPr>
        <w:footnoteReference w:id="1"/>
      </w:r>
      <w:r>
        <w:rPr>
          <w:rFonts w:hint="eastAsia" w:ascii="仿宋_GB2312"/>
          <w:szCs w:val="28"/>
        </w:rPr>
        <w:t>。</w:t>
      </w:r>
    </w:p>
    <w:p w14:paraId="6D0CCE28">
      <w:pPr>
        <w:spacing w:line="360" w:lineRule="auto"/>
        <w:ind w:firstLine="560"/>
        <w:rPr>
          <w:rFonts w:ascii="仿宋_GB2312"/>
          <w:szCs w:val="28"/>
          <w:highlight w:val="none"/>
        </w:rPr>
      </w:pPr>
      <w:r>
        <w:rPr>
          <w:rFonts w:hint="eastAsia" w:ascii="仿宋_GB2312"/>
          <w:szCs w:val="28"/>
          <w:highlight w:val="none"/>
        </w:rPr>
        <w:t>项目各部分权重和绩效分值如附表所示：</w:t>
      </w:r>
    </w:p>
    <w:p w14:paraId="3E996854">
      <w:pPr>
        <w:spacing w:line="360" w:lineRule="auto"/>
        <w:ind w:firstLine="0" w:firstLineChars="0"/>
        <w:jc w:val="center"/>
        <w:rPr>
          <w:rFonts w:ascii="仿宋_GB2312"/>
          <w:b/>
          <w:bCs/>
          <w:szCs w:val="28"/>
        </w:rPr>
      </w:pPr>
      <w:r>
        <w:rPr>
          <w:rFonts w:ascii="仿宋_GB2312"/>
          <w:b/>
          <w:bCs/>
          <w:szCs w:val="28"/>
        </w:rPr>
        <w:t xml:space="preserve">  </w:t>
      </w:r>
      <w:r>
        <w:rPr>
          <w:rFonts w:hint="eastAsia" w:ascii="仿宋_GB2312"/>
          <w:b/>
          <w:bCs/>
          <w:szCs w:val="28"/>
        </w:rPr>
        <w:t>项目各部分权重和绩效分值</w:t>
      </w:r>
    </w:p>
    <w:tbl>
      <w:tblPr>
        <w:tblStyle w:val="15"/>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241"/>
        <w:gridCol w:w="1243"/>
        <w:gridCol w:w="3743"/>
        <w:gridCol w:w="768"/>
        <w:gridCol w:w="918"/>
        <w:gridCol w:w="1149"/>
      </w:tblGrid>
      <w:tr w14:paraId="7CEEAF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241" w:type="dxa"/>
            <w:tcBorders>
              <w:tl2br w:val="nil"/>
              <w:tr2bl w:val="nil"/>
            </w:tcBorders>
            <w:shd w:val="clear" w:color="auto" w:fill="D0CECE" w:themeFill="background2" w:themeFillShade="E6"/>
            <w:vAlign w:val="center"/>
          </w:tcPr>
          <w:p w14:paraId="5CE09288">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一级指标</w:t>
            </w:r>
          </w:p>
        </w:tc>
        <w:tc>
          <w:tcPr>
            <w:tcW w:w="1243" w:type="dxa"/>
            <w:tcBorders>
              <w:tl2br w:val="nil"/>
              <w:tr2bl w:val="nil"/>
            </w:tcBorders>
            <w:shd w:val="clear" w:color="auto" w:fill="D0CECE" w:themeFill="background2" w:themeFillShade="E6"/>
            <w:vAlign w:val="center"/>
          </w:tcPr>
          <w:p w14:paraId="52C971B4">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二级指标</w:t>
            </w:r>
          </w:p>
        </w:tc>
        <w:tc>
          <w:tcPr>
            <w:tcW w:w="3743" w:type="dxa"/>
            <w:tcBorders>
              <w:tl2br w:val="nil"/>
              <w:tr2bl w:val="nil"/>
            </w:tcBorders>
            <w:shd w:val="clear" w:color="auto" w:fill="D0CECE" w:themeFill="background2" w:themeFillShade="E6"/>
            <w:vAlign w:val="center"/>
          </w:tcPr>
          <w:p w14:paraId="2E37D1FD">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三级指标</w:t>
            </w:r>
          </w:p>
        </w:tc>
        <w:tc>
          <w:tcPr>
            <w:tcW w:w="768" w:type="dxa"/>
            <w:tcBorders>
              <w:tl2br w:val="nil"/>
              <w:tr2bl w:val="nil"/>
            </w:tcBorders>
            <w:shd w:val="clear" w:color="auto" w:fill="D0CECE" w:themeFill="background2" w:themeFillShade="E6"/>
            <w:vAlign w:val="center"/>
          </w:tcPr>
          <w:p w14:paraId="5E06E44A">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分值</w:t>
            </w:r>
          </w:p>
        </w:tc>
        <w:tc>
          <w:tcPr>
            <w:tcW w:w="918" w:type="dxa"/>
            <w:tcBorders>
              <w:tl2br w:val="nil"/>
              <w:tr2bl w:val="nil"/>
            </w:tcBorders>
            <w:shd w:val="clear" w:color="auto" w:fill="D0CECE" w:themeFill="background2" w:themeFillShade="E6"/>
            <w:vAlign w:val="center"/>
          </w:tcPr>
          <w:p w14:paraId="7803E2C3">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得分</w:t>
            </w:r>
          </w:p>
        </w:tc>
        <w:tc>
          <w:tcPr>
            <w:tcW w:w="1149" w:type="dxa"/>
            <w:tcBorders>
              <w:tl2br w:val="nil"/>
              <w:tr2bl w:val="nil"/>
            </w:tcBorders>
            <w:shd w:val="clear" w:color="auto" w:fill="D0CECE" w:themeFill="background2" w:themeFillShade="E6"/>
            <w:vAlign w:val="center"/>
          </w:tcPr>
          <w:p w14:paraId="03391EF4">
            <w:pPr>
              <w:widowControl/>
              <w:ind w:firstLine="0" w:firstLineChars="0"/>
              <w:jc w:val="center"/>
              <w:rPr>
                <w:rFonts w:ascii="仿宋_GB2312" w:hAnsi="Gungsuh" w:cs="宋体"/>
                <w:b/>
                <w:bCs/>
                <w:kern w:val="0"/>
                <w:sz w:val="24"/>
                <w:szCs w:val="24"/>
              </w:rPr>
            </w:pPr>
            <w:r>
              <w:rPr>
                <w:rFonts w:hint="eastAsia" w:ascii="仿宋_GB2312" w:hAnsi="Gungsuh" w:cs="宋体"/>
                <w:b/>
                <w:bCs/>
                <w:kern w:val="0"/>
                <w:sz w:val="24"/>
                <w:szCs w:val="24"/>
              </w:rPr>
              <w:t>得分率</w:t>
            </w:r>
          </w:p>
        </w:tc>
      </w:tr>
      <w:tr w14:paraId="6F9693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241" w:type="dxa"/>
            <w:vMerge w:val="restart"/>
            <w:tcBorders>
              <w:tl2br w:val="nil"/>
              <w:tr2bl w:val="nil"/>
            </w:tcBorders>
            <w:shd w:val="clear" w:color="auto" w:fill="FFFFFF"/>
            <w:vAlign w:val="center"/>
          </w:tcPr>
          <w:p w14:paraId="669AB010">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决策</w:t>
            </w:r>
          </w:p>
        </w:tc>
        <w:tc>
          <w:tcPr>
            <w:tcW w:w="1243" w:type="dxa"/>
            <w:vMerge w:val="restart"/>
            <w:tcBorders>
              <w:tl2br w:val="nil"/>
              <w:tr2bl w:val="nil"/>
            </w:tcBorders>
            <w:shd w:val="clear" w:color="auto" w:fill="FFFFFF"/>
            <w:vAlign w:val="center"/>
          </w:tcPr>
          <w:p w14:paraId="5D883A61">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项目立项</w:t>
            </w:r>
          </w:p>
        </w:tc>
        <w:tc>
          <w:tcPr>
            <w:tcW w:w="3743" w:type="dxa"/>
            <w:tcBorders>
              <w:tl2br w:val="nil"/>
              <w:tr2bl w:val="nil"/>
            </w:tcBorders>
            <w:shd w:val="clear" w:color="auto" w:fill="FFFFFF"/>
            <w:vAlign w:val="center"/>
          </w:tcPr>
          <w:p w14:paraId="3A41EBA0">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立项依据充分性</w:t>
            </w:r>
          </w:p>
        </w:tc>
        <w:tc>
          <w:tcPr>
            <w:tcW w:w="768" w:type="dxa"/>
            <w:tcBorders>
              <w:tl2br w:val="nil"/>
              <w:tr2bl w:val="nil"/>
            </w:tcBorders>
            <w:shd w:val="clear" w:color="auto" w:fill="FFFFFF"/>
            <w:vAlign w:val="bottom"/>
          </w:tcPr>
          <w:p w14:paraId="52D5D54A">
            <w:pPr>
              <w:keepNext w:val="0"/>
              <w:keepLines w:val="0"/>
              <w:widowControl/>
              <w:suppressLineNumbers w:val="0"/>
              <w:ind w:left="0" w:leftChars="0" w:firstLine="0" w:firstLineChars="0"/>
              <w:jc w:val="center"/>
              <w:textAlignment w:val="bottom"/>
              <w:rPr>
                <w:rFonts w:ascii="仿宋_GB2312" w:hAnsi="宋体" w:cs="宋体"/>
                <w:kern w:val="0"/>
                <w:sz w:val="24"/>
                <w:szCs w:val="24"/>
              </w:rPr>
            </w:pPr>
            <w:r>
              <w:rPr>
                <w:rFonts w:hint="default" w:ascii="仿宋_GB2312" w:hAnsi="宋体" w:eastAsia="仿宋_GB2312" w:cs="仿宋_GB2312"/>
                <w:i w:val="0"/>
                <w:iCs w:val="0"/>
                <w:color w:val="000000"/>
                <w:kern w:val="0"/>
                <w:sz w:val="24"/>
                <w:szCs w:val="24"/>
                <w:u w:val="none"/>
                <w:lang w:val="en-US" w:eastAsia="zh-CN" w:bidi="ar"/>
              </w:rPr>
              <w:t>2</w:t>
            </w:r>
          </w:p>
        </w:tc>
        <w:tc>
          <w:tcPr>
            <w:tcW w:w="918" w:type="dxa"/>
            <w:tcBorders>
              <w:tl2br w:val="nil"/>
              <w:tr2bl w:val="nil"/>
            </w:tcBorders>
            <w:shd w:val="clear" w:color="auto" w:fill="FFFFFF"/>
            <w:vAlign w:val="bottom"/>
          </w:tcPr>
          <w:p w14:paraId="1783B7AB">
            <w:pPr>
              <w:keepNext w:val="0"/>
              <w:keepLines w:val="0"/>
              <w:widowControl/>
              <w:suppressLineNumbers w:val="0"/>
              <w:ind w:left="0" w:leftChars="0" w:firstLine="0" w:firstLineChars="0"/>
              <w:jc w:val="center"/>
              <w:textAlignment w:val="bottom"/>
              <w:rPr>
                <w:rFonts w:hint="eastAsia" w:ascii="仿宋_GB2312" w:hAnsi="宋体" w:eastAsia="仿宋_GB2312" w:cs="宋体"/>
                <w:kern w:val="0"/>
                <w:sz w:val="24"/>
                <w:szCs w:val="24"/>
                <w:lang w:val="en-US" w:eastAsia="zh-CN"/>
              </w:rPr>
            </w:pPr>
            <w:r>
              <w:rPr>
                <w:rFonts w:hint="default" w:ascii="仿宋_GB2312" w:hAnsi="宋体" w:eastAsia="仿宋_GB2312" w:cs="仿宋_GB2312"/>
                <w:i w:val="0"/>
                <w:iCs w:val="0"/>
                <w:color w:val="000000"/>
                <w:kern w:val="0"/>
                <w:sz w:val="24"/>
                <w:szCs w:val="24"/>
                <w:u w:val="none"/>
                <w:lang w:val="en-US" w:eastAsia="zh-CN" w:bidi="ar"/>
              </w:rPr>
              <w:t>2</w:t>
            </w:r>
          </w:p>
        </w:tc>
        <w:tc>
          <w:tcPr>
            <w:tcW w:w="1149" w:type="dxa"/>
            <w:tcBorders>
              <w:tl2br w:val="nil"/>
              <w:tr2bl w:val="nil"/>
            </w:tcBorders>
            <w:shd w:val="clear" w:color="auto" w:fill="FFFFFF"/>
            <w:vAlign w:val="center"/>
          </w:tcPr>
          <w:p w14:paraId="70040AEF">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100%</w:t>
            </w:r>
          </w:p>
        </w:tc>
      </w:tr>
      <w:tr w14:paraId="2FB422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241" w:type="dxa"/>
            <w:vMerge w:val="continue"/>
            <w:tcBorders>
              <w:tl2br w:val="nil"/>
              <w:tr2bl w:val="nil"/>
            </w:tcBorders>
            <w:shd w:val="clear" w:color="auto" w:fill="FFFFFF"/>
            <w:vAlign w:val="center"/>
          </w:tcPr>
          <w:p w14:paraId="43399877">
            <w:pPr>
              <w:ind w:firstLine="480"/>
              <w:jc w:val="center"/>
              <w:rPr>
                <w:rFonts w:ascii="仿宋_GB2312" w:hAnsi="宋体" w:cs="宋体"/>
                <w:kern w:val="0"/>
                <w:sz w:val="24"/>
                <w:szCs w:val="24"/>
              </w:rPr>
            </w:pPr>
          </w:p>
        </w:tc>
        <w:tc>
          <w:tcPr>
            <w:tcW w:w="1243" w:type="dxa"/>
            <w:vMerge w:val="continue"/>
            <w:tcBorders>
              <w:tl2br w:val="nil"/>
              <w:tr2bl w:val="nil"/>
            </w:tcBorders>
            <w:shd w:val="clear" w:color="auto" w:fill="FFFFFF"/>
            <w:vAlign w:val="center"/>
          </w:tcPr>
          <w:p w14:paraId="27DF9169">
            <w:pPr>
              <w:widowControl/>
              <w:ind w:firstLine="0" w:firstLineChars="0"/>
              <w:jc w:val="center"/>
              <w:rPr>
                <w:rFonts w:ascii="仿宋_GB2312" w:hAnsi="宋体" w:cs="宋体"/>
                <w:kern w:val="0"/>
                <w:sz w:val="24"/>
                <w:szCs w:val="24"/>
              </w:rPr>
            </w:pPr>
          </w:p>
        </w:tc>
        <w:tc>
          <w:tcPr>
            <w:tcW w:w="3743" w:type="dxa"/>
            <w:tcBorders>
              <w:tl2br w:val="nil"/>
              <w:tr2bl w:val="nil"/>
            </w:tcBorders>
            <w:shd w:val="clear" w:color="auto" w:fill="FFFFFF"/>
            <w:vAlign w:val="center"/>
          </w:tcPr>
          <w:p w14:paraId="34E5F2D1">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立项程序规范性</w:t>
            </w:r>
          </w:p>
        </w:tc>
        <w:tc>
          <w:tcPr>
            <w:tcW w:w="768" w:type="dxa"/>
            <w:tcBorders>
              <w:tl2br w:val="nil"/>
              <w:tr2bl w:val="nil"/>
            </w:tcBorders>
            <w:shd w:val="clear" w:color="auto" w:fill="FFFFFF"/>
            <w:vAlign w:val="bottom"/>
          </w:tcPr>
          <w:p w14:paraId="26ADB737">
            <w:pPr>
              <w:keepNext w:val="0"/>
              <w:keepLines w:val="0"/>
              <w:widowControl/>
              <w:suppressLineNumbers w:val="0"/>
              <w:ind w:left="0" w:leftChars="0" w:firstLine="0" w:firstLineChars="0"/>
              <w:jc w:val="center"/>
              <w:textAlignment w:val="bottom"/>
              <w:rPr>
                <w:rFonts w:ascii="仿宋_GB2312" w:hAnsi="宋体" w:cs="宋体"/>
                <w:kern w:val="0"/>
                <w:sz w:val="24"/>
                <w:szCs w:val="24"/>
              </w:rPr>
            </w:pPr>
            <w:r>
              <w:rPr>
                <w:rFonts w:hint="default" w:ascii="仿宋_GB2312" w:hAnsi="宋体" w:eastAsia="仿宋_GB2312" w:cs="仿宋_GB2312"/>
                <w:i w:val="0"/>
                <w:iCs w:val="0"/>
                <w:color w:val="000000"/>
                <w:kern w:val="0"/>
                <w:sz w:val="24"/>
                <w:szCs w:val="24"/>
                <w:u w:val="none"/>
                <w:lang w:val="en-US" w:eastAsia="zh-CN" w:bidi="ar"/>
              </w:rPr>
              <w:t>2</w:t>
            </w:r>
          </w:p>
        </w:tc>
        <w:tc>
          <w:tcPr>
            <w:tcW w:w="918" w:type="dxa"/>
            <w:tcBorders>
              <w:tl2br w:val="nil"/>
              <w:tr2bl w:val="nil"/>
            </w:tcBorders>
            <w:shd w:val="clear" w:color="auto" w:fill="FFFFFF"/>
            <w:vAlign w:val="bottom"/>
          </w:tcPr>
          <w:p w14:paraId="69AA2EDA">
            <w:pPr>
              <w:keepNext w:val="0"/>
              <w:keepLines w:val="0"/>
              <w:widowControl/>
              <w:suppressLineNumbers w:val="0"/>
              <w:ind w:left="0" w:leftChars="0" w:firstLine="0" w:firstLineChars="0"/>
              <w:jc w:val="center"/>
              <w:textAlignment w:val="bottom"/>
              <w:rPr>
                <w:rFonts w:ascii="仿宋_GB2312" w:hAnsi="宋体" w:eastAsia="仿宋_GB2312" w:cs="宋体"/>
                <w:kern w:val="0"/>
                <w:sz w:val="24"/>
                <w:szCs w:val="24"/>
                <w:lang w:val="en-US" w:eastAsia="zh-CN" w:bidi="ar-SA"/>
              </w:rPr>
            </w:pPr>
            <w:r>
              <w:rPr>
                <w:rFonts w:hint="default" w:ascii="仿宋_GB2312" w:hAnsi="宋体" w:eastAsia="仿宋_GB2312" w:cs="仿宋_GB2312"/>
                <w:i w:val="0"/>
                <w:iCs w:val="0"/>
                <w:color w:val="000000"/>
                <w:kern w:val="0"/>
                <w:sz w:val="24"/>
                <w:szCs w:val="24"/>
                <w:u w:val="none"/>
                <w:lang w:val="en-US" w:eastAsia="zh-CN" w:bidi="ar"/>
              </w:rPr>
              <w:t>2</w:t>
            </w:r>
          </w:p>
        </w:tc>
        <w:tc>
          <w:tcPr>
            <w:tcW w:w="1149" w:type="dxa"/>
            <w:tcBorders>
              <w:tl2br w:val="nil"/>
              <w:tr2bl w:val="nil"/>
            </w:tcBorders>
            <w:shd w:val="clear" w:color="auto" w:fill="FFFFFF"/>
            <w:vAlign w:val="center"/>
          </w:tcPr>
          <w:p w14:paraId="64DECCB4">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100%</w:t>
            </w:r>
          </w:p>
        </w:tc>
      </w:tr>
      <w:tr w14:paraId="7F8F6D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241" w:type="dxa"/>
            <w:vMerge w:val="continue"/>
            <w:tcBorders>
              <w:tl2br w:val="nil"/>
              <w:tr2bl w:val="nil"/>
            </w:tcBorders>
            <w:shd w:val="clear" w:color="auto" w:fill="FFFFFF"/>
            <w:vAlign w:val="center"/>
          </w:tcPr>
          <w:p w14:paraId="251EBB8C">
            <w:pPr>
              <w:ind w:firstLine="480"/>
              <w:jc w:val="center"/>
              <w:rPr>
                <w:rFonts w:ascii="仿宋_GB2312" w:hAnsi="宋体" w:cs="宋体"/>
                <w:kern w:val="0"/>
                <w:sz w:val="24"/>
                <w:szCs w:val="24"/>
              </w:rPr>
            </w:pPr>
          </w:p>
        </w:tc>
        <w:tc>
          <w:tcPr>
            <w:tcW w:w="1243" w:type="dxa"/>
            <w:vMerge w:val="restart"/>
            <w:tcBorders>
              <w:tl2br w:val="nil"/>
              <w:tr2bl w:val="nil"/>
            </w:tcBorders>
            <w:shd w:val="clear" w:color="auto" w:fill="FFFFFF"/>
            <w:vAlign w:val="center"/>
          </w:tcPr>
          <w:p w14:paraId="0F495208">
            <w:pPr>
              <w:ind w:firstLine="0" w:firstLineChars="0"/>
              <w:jc w:val="center"/>
              <w:rPr>
                <w:rFonts w:ascii="仿宋_GB2312" w:hAnsi="宋体" w:cs="宋体"/>
                <w:kern w:val="0"/>
                <w:sz w:val="24"/>
                <w:szCs w:val="24"/>
              </w:rPr>
            </w:pPr>
            <w:r>
              <w:rPr>
                <w:rFonts w:hint="eastAsia" w:ascii="仿宋_GB2312" w:hAnsi="宋体" w:cs="宋体"/>
                <w:kern w:val="0"/>
                <w:sz w:val="24"/>
                <w:szCs w:val="24"/>
              </w:rPr>
              <w:t>绩效目标</w:t>
            </w:r>
          </w:p>
        </w:tc>
        <w:tc>
          <w:tcPr>
            <w:tcW w:w="3743" w:type="dxa"/>
            <w:tcBorders>
              <w:tl2br w:val="nil"/>
              <w:tr2bl w:val="nil"/>
            </w:tcBorders>
            <w:shd w:val="clear" w:color="auto" w:fill="FFFFFF"/>
            <w:vAlign w:val="center"/>
          </w:tcPr>
          <w:p w14:paraId="2A109D3A">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绩效目标合理性</w:t>
            </w:r>
          </w:p>
        </w:tc>
        <w:tc>
          <w:tcPr>
            <w:tcW w:w="768" w:type="dxa"/>
            <w:tcBorders>
              <w:tl2br w:val="nil"/>
              <w:tr2bl w:val="nil"/>
            </w:tcBorders>
            <w:shd w:val="clear" w:color="000000" w:fill="FFFFFF"/>
            <w:vAlign w:val="bottom"/>
          </w:tcPr>
          <w:p w14:paraId="3A103F1B">
            <w:pPr>
              <w:keepNext w:val="0"/>
              <w:keepLines w:val="0"/>
              <w:widowControl/>
              <w:suppressLineNumbers w:val="0"/>
              <w:ind w:left="0" w:leftChars="0" w:firstLine="0" w:firstLineChars="0"/>
              <w:jc w:val="center"/>
              <w:textAlignment w:val="bottom"/>
              <w:rPr>
                <w:rFonts w:ascii="仿宋_GB2312" w:hAnsi="宋体" w:cs="宋体"/>
                <w:kern w:val="0"/>
                <w:sz w:val="24"/>
                <w:szCs w:val="24"/>
              </w:rPr>
            </w:pPr>
            <w:r>
              <w:rPr>
                <w:rFonts w:hint="default" w:ascii="仿宋_GB2312" w:hAnsi="宋体" w:eastAsia="仿宋_GB2312" w:cs="仿宋_GB2312"/>
                <w:i w:val="0"/>
                <w:iCs w:val="0"/>
                <w:color w:val="000000"/>
                <w:kern w:val="0"/>
                <w:sz w:val="24"/>
                <w:szCs w:val="24"/>
                <w:u w:val="none"/>
                <w:lang w:val="en-US" w:eastAsia="zh-CN" w:bidi="ar"/>
              </w:rPr>
              <w:t>1.5</w:t>
            </w:r>
          </w:p>
        </w:tc>
        <w:tc>
          <w:tcPr>
            <w:tcW w:w="918" w:type="dxa"/>
            <w:tcBorders>
              <w:tl2br w:val="nil"/>
              <w:tr2bl w:val="nil"/>
            </w:tcBorders>
            <w:shd w:val="clear" w:color="000000" w:fill="FFFFFF"/>
            <w:vAlign w:val="bottom"/>
          </w:tcPr>
          <w:p w14:paraId="305658A7">
            <w:pPr>
              <w:keepNext w:val="0"/>
              <w:keepLines w:val="0"/>
              <w:widowControl/>
              <w:suppressLineNumbers w:val="0"/>
              <w:ind w:left="0" w:leftChars="0" w:firstLine="0" w:firstLineChars="0"/>
              <w:jc w:val="center"/>
              <w:textAlignment w:val="bottom"/>
              <w:rPr>
                <w:rFonts w:ascii="仿宋_GB2312" w:hAnsi="宋体" w:eastAsia="仿宋_GB2312" w:cs="宋体"/>
                <w:kern w:val="0"/>
                <w:sz w:val="24"/>
                <w:szCs w:val="24"/>
                <w:lang w:val="en-US" w:eastAsia="zh-CN" w:bidi="ar-SA"/>
              </w:rPr>
            </w:pPr>
            <w:r>
              <w:rPr>
                <w:rFonts w:hint="default" w:ascii="仿宋_GB2312" w:hAnsi="宋体" w:eastAsia="仿宋_GB2312" w:cs="仿宋_GB2312"/>
                <w:i w:val="0"/>
                <w:iCs w:val="0"/>
                <w:color w:val="000000"/>
                <w:kern w:val="0"/>
                <w:sz w:val="24"/>
                <w:szCs w:val="24"/>
                <w:u w:val="none"/>
                <w:lang w:val="en-US" w:eastAsia="zh-CN" w:bidi="ar"/>
              </w:rPr>
              <w:t>1.5</w:t>
            </w:r>
          </w:p>
        </w:tc>
        <w:tc>
          <w:tcPr>
            <w:tcW w:w="1149" w:type="dxa"/>
            <w:tcBorders>
              <w:tl2br w:val="nil"/>
              <w:tr2bl w:val="nil"/>
            </w:tcBorders>
            <w:shd w:val="clear" w:color="000000" w:fill="FFFFFF"/>
            <w:vAlign w:val="center"/>
          </w:tcPr>
          <w:p w14:paraId="621C29F1">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23F70E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241" w:type="dxa"/>
            <w:vMerge w:val="continue"/>
            <w:tcBorders>
              <w:tl2br w:val="nil"/>
              <w:tr2bl w:val="nil"/>
            </w:tcBorders>
            <w:shd w:val="clear" w:color="auto" w:fill="FFFFFF"/>
            <w:vAlign w:val="center"/>
          </w:tcPr>
          <w:p w14:paraId="62A1B344">
            <w:pPr>
              <w:widowControl/>
              <w:ind w:firstLine="0" w:firstLineChars="0"/>
              <w:jc w:val="center"/>
              <w:rPr>
                <w:rFonts w:ascii="仿宋_GB2312" w:hAnsi="宋体" w:cs="宋体"/>
                <w:kern w:val="0"/>
                <w:sz w:val="24"/>
                <w:szCs w:val="24"/>
              </w:rPr>
            </w:pPr>
          </w:p>
        </w:tc>
        <w:tc>
          <w:tcPr>
            <w:tcW w:w="1243" w:type="dxa"/>
            <w:vMerge w:val="continue"/>
            <w:tcBorders>
              <w:tl2br w:val="nil"/>
              <w:tr2bl w:val="nil"/>
            </w:tcBorders>
            <w:shd w:val="clear" w:color="auto" w:fill="FFFFFF"/>
            <w:vAlign w:val="center"/>
          </w:tcPr>
          <w:p w14:paraId="75726E6C">
            <w:pPr>
              <w:widowControl/>
              <w:ind w:firstLine="0" w:firstLineChars="0"/>
              <w:jc w:val="center"/>
              <w:rPr>
                <w:rFonts w:ascii="仿宋_GB2312" w:hAnsi="宋体" w:cs="宋体"/>
                <w:kern w:val="0"/>
                <w:sz w:val="24"/>
                <w:szCs w:val="24"/>
              </w:rPr>
            </w:pPr>
          </w:p>
        </w:tc>
        <w:tc>
          <w:tcPr>
            <w:tcW w:w="3743" w:type="dxa"/>
            <w:tcBorders>
              <w:tl2br w:val="nil"/>
              <w:tr2bl w:val="nil"/>
            </w:tcBorders>
            <w:shd w:val="clear" w:color="auto" w:fill="FFFFFF"/>
            <w:vAlign w:val="center"/>
          </w:tcPr>
          <w:p w14:paraId="15C4E88D">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绩效指标明确性</w:t>
            </w:r>
          </w:p>
        </w:tc>
        <w:tc>
          <w:tcPr>
            <w:tcW w:w="768" w:type="dxa"/>
            <w:tcBorders>
              <w:tl2br w:val="nil"/>
              <w:tr2bl w:val="nil"/>
            </w:tcBorders>
            <w:shd w:val="clear" w:color="000000" w:fill="FFFFFF"/>
            <w:vAlign w:val="bottom"/>
          </w:tcPr>
          <w:p w14:paraId="45E4124F">
            <w:pPr>
              <w:keepNext w:val="0"/>
              <w:keepLines w:val="0"/>
              <w:widowControl/>
              <w:suppressLineNumbers w:val="0"/>
              <w:ind w:left="0" w:leftChars="0" w:firstLine="0" w:firstLineChars="0"/>
              <w:jc w:val="center"/>
              <w:textAlignment w:val="bottom"/>
              <w:rPr>
                <w:rFonts w:ascii="仿宋_GB2312" w:hAnsi="宋体" w:cs="宋体"/>
                <w:kern w:val="0"/>
                <w:sz w:val="24"/>
                <w:szCs w:val="24"/>
              </w:rPr>
            </w:pPr>
            <w:r>
              <w:rPr>
                <w:rFonts w:hint="default" w:ascii="仿宋_GB2312" w:hAnsi="宋体" w:eastAsia="仿宋_GB2312" w:cs="仿宋_GB2312"/>
                <w:i w:val="0"/>
                <w:iCs w:val="0"/>
                <w:color w:val="000000"/>
                <w:kern w:val="0"/>
                <w:sz w:val="24"/>
                <w:szCs w:val="24"/>
                <w:u w:val="none"/>
                <w:lang w:val="en-US" w:eastAsia="zh-CN" w:bidi="ar"/>
              </w:rPr>
              <w:t>1.5</w:t>
            </w:r>
          </w:p>
        </w:tc>
        <w:tc>
          <w:tcPr>
            <w:tcW w:w="918" w:type="dxa"/>
            <w:tcBorders>
              <w:tl2br w:val="nil"/>
              <w:tr2bl w:val="nil"/>
            </w:tcBorders>
            <w:shd w:val="clear" w:color="000000" w:fill="FFFFFF"/>
            <w:vAlign w:val="bottom"/>
          </w:tcPr>
          <w:p w14:paraId="0A2BA718">
            <w:pPr>
              <w:keepNext w:val="0"/>
              <w:keepLines w:val="0"/>
              <w:widowControl/>
              <w:suppressLineNumbers w:val="0"/>
              <w:ind w:left="0" w:leftChars="0" w:firstLine="0" w:firstLineChars="0"/>
              <w:jc w:val="center"/>
              <w:textAlignment w:val="bottom"/>
              <w:rPr>
                <w:rFonts w:ascii="仿宋_GB2312" w:hAnsi="宋体" w:eastAsia="仿宋_GB2312" w:cs="宋体"/>
                <w:kern w:val="0"/>
                <w:sz w:val="24"/>
                <w:szCs w:val="24"/>
                <w:lang w:val="en-US" w:eastAsia="zh-CN" w:bidi="ar-SA"/>
              </w:rPr>
            </w:pPr>
            <w:r>
              <w:rPr>
                <w:rFonts w:hint="default" w:ascii="仿宋_GB2312" w:hAnsi="宋体" w:eastAsia="仿宋_GB2312" w:cs="仿宋_GB2312"/>
                <w:i w:val="0"/>
                <w:iCs w:val="0"/>
                <w:color w:val="000000"/>
                <w:kern w:val="0"/>
                <w:sz w:val="24"/>
                <w:szCs w:val="24"/>
                <w:u w:val="none"/>
                <w:lang w:val="en-US" w:eastAsia="zh-CN" w:bidi="ar"/>
              </w:rPr>
              <w:t>1.5</w:t>
            </w:r>
          </w:p>
        </w:tc>
        <w:tc>
          <w:tcPr>
            <w:tcW w:w="1149" w:type="dxa"/>
            <w:tcBorders>
              <w:tl2br w:val="nil"/>
              <w:tr2bl w:val="nil"/>
            </w:tcBorders>
            <w:shd w:val="clear" w:color="000000" w:fill="FFFFFF"/>
            <w:vAlign w:val="center"/>
          </w:tcPr>
          <w:p w14:paraId="53333704">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48152C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241" w:type="dxa"/>
            <w:vMerge w:val="continue"/>
            <w:tcBorders>
              <w:tl2br w:val="nil"/>
              <w:tr2bl w:val="nil"/>
            </w:tcBorders>
            <w:shd w:val="clear" w:color="auto" w:fill="FFFFFF"/>
            <w:vAlign w:val="center"/>
          </w:tcPr>
          <w:p w14:paraId="20C03663">
            <w:pPr>
              <w:ind w:firstLine="0" w:firstLineChars="0"/>
              <w:jc w:val="center"/>
              <w:rPr>
                <w:rFonts w:ascii="仿宋_GB2312" w:hAnsi="宋体" w:cs="宋体"/>
                <w:kern w:val="0"/>
                <w:sz w:val="24"/>
                <w:szCs w:val="24"/>
              </w:rPr>
            </w:pPr>
          </w:p>
        </w:tc>
        <w:tc>
          <w:tcPr>
            <w:tcW w:w="1243" w:type="dxa"/>
            <w:vMerge w:val="restart"/>
            <w:tcBorders>
              <w:tl2br w:val="nil"/>
              <w:tr2bl w:val="nil"/>
            </w:tcBorders>
            <w:shd w:val="clear" w:color="auto" w:fill="FFFFFF"/>
            <w:vAlign w:val="center"/>
          </w:tcPr>
          <w:p w14:paraId="33816844">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资金投入</w:t>
            </w:r>
          </w:p>
        </w:tc>
        <w:tc>
          <w:tcPr>
            <w:tcW w:w="3743" w:type="dxa"/>
            <w:tcBorders>
              <w:tl2br w:val="nil"/>
              <w:tr2bl w:val="nil"/>
            </w:tcBorders>
            <w:shd w:val="clear" w:color="auto" w:fill="FFFFFF"/>
            <w:vAlign w:val="center"/>
          </w:tcPr>
          <w:p w14:paraId="009DF2F5">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预算编制科学性</w:t>
            </w:r>
          </w:p>
        </w:tc>
        <w:tc>
          <w:tcPr>
            <w:tcW w:w="768" w:type="dxa"/>
            <w:tcBorders>
              <w:tl2br w:val="nil"/>
              <w:tr2bl w:val="nil"/>
            </w:tcBorders>
            <w:shd w:val="clear" w:color="auto" w:fill="FFFFFF"/>
            <w:vAlign w:val="bottom"/>
          </w:tcPr>
          <w:p w14:paraId="6AA11447">
            <w:pPr>
              <w:keepNext w:val="0"/>
              <w:keepLines w:val="0"/>
              <w:widowControl/>
              <w:suppressLineNumbers w:val="0"/>
              <w:ind w:left="0" w:leftChars="0" w:firstLine="0" w:firstLineChars="0"/>
              <w:jc w:val="center"/>
              <w:textAlignment w:val="bottom"/>
              <w:rPr>
                <w:rFonts w:ascii="仿宋_GB2312" w:hAnsi="宋体" w:cs="宋体"/>
                <w:kern w:val="0"/>
                <w:sz w:val="24"/>
                <w:szCs w:val="24"/>
              </w:rPr>
            </w:pPr>
            <w:r>
              <w:rPr>
                <w:rFonts w:hint="default" w:ascii="仿宋_GB2312" w:hAnsi="宋体" w:eastAsia="仿宋_GB2312" w:cs="仿宋_GB2312"/>
                <w:i w:val="0"/>
                <w:iCs w:val="0"/>
                <w:color w:val="000000"/>
                <w:kern w:val="0"/>
                <w:sz w:val="24"/>
                <w:szCs w:val="24"/>
                <w:u w:val="none"/>
                <w:lang w:val="en-US" w:eastAsia="zh-CN" w:bidi="ar"/>
              </w:rPr>
              <w:t>1.5</w:t>
            </w:r>
          </w:p>
        </w:tc>
        <w:tc>
          <w:tcPr>
            <w:tcW w:w="918" w:type="dxa"/>
            <w:tcBorders>
              <w:tl2br w:val="nil"/>
              <w:tr2bl w:val="nil"/>
            </w:tcBorders>
            <w:shd w:val="clear" w:color="auto" w:fill="FFFFFF"/>
            <w:vAlign w:val="bottom"/>
          </w:tcPr>
          <w:p w14:paraId="54F39724">
            <w:pPr>
              <w:keepNext w:val="0"/>
              <w:keepLines w:val="0"/>
              <w:widowControl/>
              <w:suppressLineNumbers w:val="0"/>
              <w:ind w:left="0" w:leftChars="0" w:firstLine="0" w:firstLineChars="0"/>
              <w:jc w:val="center"/>
              <w:textAlignment w:val="bottom"/>
              <w:rPr>
                <w:rFonts w:ascii="仿宋_GB2312" w:hAnsi="宋体" w:eastAsia="仿宋_GB2312" w:cs="宋体"/>
                <w:kern w:val="0"/>
                <w:sz w:val="24"/>
                <w:szCs w:val="24"/>
                <w:lang w:val="en-US" w:eastAsia="zh-CN" w:bidi="ar-SA"/>
              </w:rPr>
            </w:pPr>
            <w:r>
              <w:rPr>
                <w:rFonts w:hint="default" w:ascii="仿宋_GB2312" w:hAnsi="宋体" w:eastAsia="仿宋_GB2312" w:cs="仿宋_GB2312"/>
                <w:i w:val="0"/>
                <w:iCs w:val="0"/>
                <w:color w:val="000000"/>
                <w:kern w:val="0"/>
                <w:sz w:val="24"/>
                <w:szCs w:val="24"/>
                <w:u w:val="none"/>
                <w:lang w:val="en-US" w:eastAsia="zh-CN" w:bidi="ar"/>
              </w:rPr>
              <w:t>1.5</w:t>
            </w:r>
          </w:p>
        </w:tc>
        <w:tc>
          <w:tcPr>
            <w:tcW w:w="1149" w:type="dxa"/>
            <w:tcBorders>
              <w:tl2br w:val="nil"/>
              <w:tr2bl w:val="nil"/>
            </w:tcBorders>
            <w:shd w:val="clear" w:color="auto" w:fill="FFFFFF"/>
            <w:vAlign w:val="center"/>
          </w:tcPr>
          <w:p w14:paraId="38ED77DA">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551975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241" w:type="dxa"/>
            <w:vMerge w:val="continue"/>
            <w:tcBorders>
              <w:tl2br w:val="nil"/>
              <w:tr2bl w:val="nil"/>
            </w:tcBorders>
            <w:shd w:val="clear" w:color="auto" w:fill="FFFFFF"/>
            <w:vAlign w:val="center"/>
          </w:tcPr>
          <w:p w14:paraId="42AD4E8F">
            <w:pPr>
              <w:widowControl/>
              <w:ind w:firstLine="0" w:firstLineChars="0"/>
              <w:jc w:val="center"/>
              <w:rPr>
                <w:rFonts w:ascii="仿宋_GB2312" w:hAnsi="宋体" w:cs="宋体"/>
                <w:kern w:val="0"/>
                <w:sz w:val="24"/>
                <w:szCs w:val="24"/>
              </w:rPr>
            </w:pPr>
          </w:p>
        </w:tc>
        <w:tc>
          <w:tcPr>
            <w:tcW w:w="1243" w:type="dxa"/>
            <w:vMerge w:val="continue"/>
            <w:tcBorders>
              <w:tl2br w:val="nil"/>
              <w:tr2bl w:val="nil"/>
            </w:tcBorders>
            <w:shd w:val="clear" w:color="auto" w:fill="FFFFFF"/>
            <w:vAlign w:val="center"/>
          </w:tcPr>
          <w:p w14:paraId="78168B73">
            <w:pPr>
              <w:widowControl/>
              <w:ind w:firstLine="0" w:firstLineChars="0"/>
              <w:jc w:val="center"/>
              <w:rPr>
                <w:rFonts w:ascii="仿宋_GB2312" w:hAnsi="宋体" w:cs="宋体"/>
                <w:kern w:val="0"/>
                <w:sz w:val="24"/>
                <w:szCs w:val="24"/>
              </w:rPr>
            </w:pPr>
          </w:p>
        </w:tc>
        <w:tc>
          <w:tcPr>
            <w:tcW w:w="3743" w:type="dxa"/>
            <w:tcBorders>
              <w:tl2br w:val="nil"/>
              <w:tr2bl w:val="nil"/>
            </w:tcBorders>
            <w:shd w:val="clear" w:color="auto" w:fill="FFFFFF"/>
            <w:vAlign w:val="center"/>
          </w:tcPr>
          <w:p w14:paraId="3E2D3789">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资金分配合理性</w:t>
            </w:r>
          </w:p>
        </w:tc>
        <w:tc>
          <w:tcPr>
            <w:tcW w:w="768" w:type="dxa"/>
            <w:tcBorders>
              <w:tl2br w:val="nil"/>
              <w:tr2bl w:val="nil"/>
            </w:tcBorders>
            <w:shd w:val="clear" w:color="auto" w:fill="FFFFFF"/>
            <w:vAlign w:val="bottom"/>
          </w:tcPr>
          <w:p w14:paraId="0B7F829C">
            <w:pPr>
              <w:keepNext w:val="0"/>
              <w:keepLines w:val="0"/>
              <w:widowControl/>
              <w:suppressLineNumbers w:val="0"/>
              <w:ind w:left="0" w:leftChars="0" w:firstLine="0" w:firstLineChars="0"/>
              <w:jc w:val="center"/>
              <w:textAlignment w:val="bottom"/>
              <w:rPr>
                <w:rFonts w:ascii="仿宋_GB2312" w:hAnsi="宋体" w:cs="宋体"/>
                <w:kern w:val="0"/>
                <w:sz w:val="24"/>
                <w:szCs w:val="24"/>
              </w:rPr>
            </w:pPr>
            <w:r>
              <w:rPr>
                <w:rFonts w:hint="default" w:ascii="仿宋_GB2312" w:hAnsi="宋体" w:eastAsia="仿宋_GB2312" w:cs="仿宋_GB2312"/>
                <w:i w:val="0"/>
                <w:iCs w:val="0"/>
                <w:color w:val="000000"/>
                <w:kern w:val="0"/>
                <w:sz w:val="24"/>
                <w:szCs w:val="24"/>
                <w:u w:val="none"/>
                <w:lang w:val="en-US" w:eastAsia="zh-CN" w:bidi="ar"/>
              </w:rPr>
              <w:t>1.5</w:t>
            </w:r>
          </w:p>
        </w:tc>
        <w:tc>
          <w:tcPr>
            <w:tcW w:w="918" w:type="dxa"/>
            <w:tcBorders>
              <w:tl2br w:val="nil"/>
              <w:tr2bl w:val="nil"/>
            </w:tcBorders>
            <w:shd w:val="clear" w:color="auto" w:fill="FFFFFF"/>
            <w:vAlign w:val="bottom"/>
          </w:tcPr>
          <w:p w14:paraId="4AD6C736">
            <w:pPr>
              <w:keepNext w:val="0"/>
              <w:keepLines w:val="0"/>
              <w:widowControl/>
              <w:suppressLineNumbers w:val="0"/>
              <w:ind w:left="0" w:leftChars="0" w:firstLine="0" w:firstLineChars="0"/>
              <w:jc w:val="center"/>
              <w:textAlignment w:val="bottom"/>
              <w:rPr>
                <w:rFonts w:ascii="仿宋_GB2312" w:hAnsi="宋体" w:eastAsia="仿宋_GB2312" w:cs="宋体"/>
                <w:kern w:val="0"/>
                <w:sz w:val="24"/>
                <w:szCs w:val="24"/>
                <w:lang w:val="en-US" w:eastAsia="zh-CN" w:bidi="ar-SA"/>
              </w:rPr>
            </w:pPr>
            <w:r>
              <w:rPr>
                <w:rFonts w:hint="default" w:ascii="仿宋_GB2312" w:hAnsi="宋体" w:eastAsia="仿宋_GB2312" w:cs="仿宋_GB2312"/>
                <w:i w:val="0"/>
                <w:iCs w:val="0"/>
                <w:color w:val="000000"/>
                <w:kern w:val="0"/>
                <w:sz w:val="24"/>
                <w:szCs w:val="24"/>
                <w:u w:val="none"/>
                <w:lang w:val="en-US" w:eastAsia="zh-CN" w:bidi="ar"/>
              </w:rPr>
              <w:t>1.5</w:t>
            </w:r>
          </w:p>
        </w:tc>
        <w:tc>
          <w:tcPr>
            <w:tcW w:w="1149" w:type="dxa"/>
            <w:tcBorders>
              <w:tl2br w:val="nil"/>
              <w:tr2bl w:val="nil"/>
            </w:tcBorders>
            <w:shd w:val="clear" w:color="auto" w:fill="FFFFFF"/>
            <w:vAlign w:val="center"/>
          </w:tcPr>
          <w:p w14:paraId="2FAEA6E6">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28998D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241" w:type="dxa"/>
            <w:vMerge w:val="restart"/>
            <w:tcBorders>
              <w:tl2br w:val="nil"/>
              <w:tr2bl w:val="nil"/>
            </w:tcBorders>
            <w:shd w:val="clear" w:color="auto" w:fill="FFFFFF"/>
            <w:vAlign w:val="center"/>
          </w:tcPr>
          <w:p w14:paraId="3025F07F">
            <w:pPr>
              <w:ind w:firstLine="0" w:firstLineChars="0"/>
              <w:jc w:val="center"/>
              <w:rPr>
                <w:rFonts w:ascii="仿宋_GB2312" w:hAnsi="宋体" w:cs="宋体"/>
                <w:kern w:val="0"/>
                <w:sz w:val="24"/>
                <w:szCs w:val="24"/>
              </w:rPr>
            </w:pPr>
            <w:r>
              <w:rPr>
                <w:rFonts w:hint="eastAsia" w:ascii="仿宋_GB2312" w:hAnsi="宋体" w:cs="宋体"/>
                <w:kern w:val="0"/>
                <w:sz w:val="24"/>
                <w:szCs w:val="24"/>
              </w:rPr>
              <w:t>过程</w:t>
            </w:r>
          </w:p>
        </w:tc>
        <w:tc>
          <w:tcPr>
            <w:tcW w:w="1243" w:type="dxa"/>
            <w:vMerge w:val="restart"/>
            <w:tcBorders>
              <w:tl2br w:val="nil"/>
              <w:tr2bl w:val="nil"/>
            </w:tcBorders>
            <w:shd w:val="clear" w:color="auto" w:fill="FFFFFF"/>
            <w:vAlign w:val="center"/>
          </w:tcPr>
          <w:p w14:paraId="36B43370">
            <w:pPr>
              <w:ind w:firstLine="0" w:firstLineChars="0"/>
              <w:jc w:val="center"/>
              <w:rPr>
                <w:rFonts w:ascii="仿宋_GB2312" w:hAnsi="宋体" w:cs="宋体"/>
                <w:kern w:val="0"/>
                <w:sz w:val="24"/>
                <w:szCs w:val="24"/>
              </w:rPr>
            </w:pPr>
            <w:r>
              <w:rPr>
                <w:rFonts w:hint="eastAsia" w:ascii="仿宋_GB2312" w:hAnsi="宋体" w:cs="宋体"/>
                <w:kern w:val="0"/>
                <w:sz w:val="24"/>
                <w:szCs w:val="24"/>
              </w:rPr>
              <w:t>资金管理</w:t>
            </w:r>
          </w:p>
        </w:tc>
        <w:tc>
          <w:tcPr>
            <w:tcW w:w="3743" w:type="dxa"/>
            <w:tcBorders>
              <w:tl2br w:val="nil"/>
              <w:tr2bl w:val="nil"/>
            </w:tcBorders>
            <w:shd w:val="clear" w:color="auto" w:fill="FFFFFF"/>
            <w:vAlign w:val="center"/>
          </w:tcPr>
          <w:p w14:paraId="6422BBB0">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资金到位率</w:t>
            </w:r>
          </w:p>
        </w:tc>
        <w:tc>
          <w:tcPr>
            <w:tcW w:w="768" w:type="dxa"/>
            <w:tcBorders>
              <w:tl2br w:val="nil"/>
              <w:tr2bl w:val="nil"/>
            </w:tcBorders>
            <w:shd w:val="clear" w:color="000000" w:fill="FFFFFF"/>
            <w:vAlign w:val="bottom"/>
          </w:tcPr>
          <w:p w14:paraId="2670124C">
            <w:pPr>
              <w:keepNext w:val="0"/>
              <w:keepLines w:val="0"/>
              <w:widowControl/>
              <w:suppressLineNumbers w:val="0"/>
              <w:ind w:left="0" w:leftChars="0" w:firstLine="0" w:firstLineChars="0"/>
              <w:jc w:val="center"/>
              <w:textAlignment w:val="bottom"/>
              <w:rPr>
                <w:rFonts w:ascii="仿宋_GB2312" w:hAnsi="宋体" w:cs="宋体"/>
                <w:kern w:val="0"/>
                <w:sz w:val="24"/>
                <w:szCs w:val="24"/>
              </w:rPr>
            </w:pPr>
            <w:r>
              <w:rPr>
                <w:rFonts w:hint="default" w:ascii="仿宋_GB2312" w:hAnsi="宋体" w:eastAsia="仿宋_GB2312" w:cs="仿宋_GB2312"/>
                <w:i w:val="0"/>
                <w:iCs w:val="0"/>
                <w:color w:val="000000"/>
                <w:kern w:val="0"/>
                <w:sz w:val="24"/>
                <w:szCs w:val="24"/>
                <w:u w:val="none"/>
                <w:lang w:val="en-US" w:eastAsia="zh-CN" w:bidi="ar"/>
              </w:rPr>
              <w:t>2.5</w:t>
            </w:r>
          </w:p>
        </w:tc>
        <w:tc>
          <w:tcPr>
            <w:tcW w:w="918" w:type="dxa"/>
            <w:tcBorders>
              <w:tl2br w:val="nil"/>
              <w:tr2bl w:val="nil"/>
            </w:tcBorders>
            <w:shd w:val="clear" w:color="000000" w:fill="FFFFFF"/>
            <w:vAlign w:val="bottom"/>
          </w:tcPr>
          <w:p w14:paraId="21D6374F">
            <w:pPr>
              <w:keepNext w:val="0"/>
              <w:keepLines w:val="0"/>
              <w:widowControl/>
              <w:suppressLineNumbers w:val="0"/>
              <w:ind w:left="0" w:leftChars="0" w:firstLine="0" w:firstLineChars="0"/>
              <w:jc w:val="center"/>
              <w:textAlignment w:val="bottom"/>
              <w:rPr>
                <w:rFonts w:ascii="仿宋_GB2312" w:hAnsi="宋体" w:eastAsia="仿宋_GB2312" w:cs="宋体"/>
                <w:kern w:val="0"/>
                <w:sz w:val="24"/>
                <w:szCs w:val="24"/>
                <w:lang w:val="en-US" w:eastAsia="zh-CN" w:bidi="ar-SA"/>
              </w:rPr>
            </w:pPr>
            <w:r>
              <w:rPr>
                <w:rFonts w:hint="default" w:ascii="仿宋_GB2312" w:hAnsi="宋体" w:eastAsia="仿宋_GB2312" w:cs="仿宋_GB2312"/>
                <w:i w:val="0"/>
                <w:iCs w:val="0"/>
                <w:color w:val="000000"/>
                <w:kern w:val="0"/>
                <w:sz w:val="24"/>
                <w:szCs w:val="24"/>
                <w:u w:val="none"/>
                <w:lang w:val="en-US" w:eastAsia="zh-CN" w:bidi="ar"/>
              </w:rPr>
              <w:t>2.5</w:t>
            </w:r>
          </w:p>
        </w:tc>
        <w:tc>
          <w:tcPr>
            <w:tcW w:w="1149" w:type="dxa"/>
            <w:tcBorders>
              <w:tl2br w:val="nil"/>
              <w:tr2bl w:val="nil"/>
            </w:tcBorders>
            <w:shd w:val="clear" w:color="000000" w:fill="FFFFFF"/>
            <w:vAlign w:val="center"/>
          </w:tcPr>
          <w:p w14:paraId="51040370">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0A6A14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241" w:type="dxa"/>
            <w:vMerge w:val="continue"/>
            <w:tcBorders>
              <w:tl2br w:val="nil"/>
              <w:tr2bl w:val="nil"/>
            </w:tcBorders>
            <w:shd w:val="clear" w:color="auto" w:fill="FFFFFF"/>
            <w:vAlign w:val="center"/>
          </w:tcPr>
          <w:p w14:paraId="16F94543">
            <w:pPr>
              <w:ind w:firstLine="480"/>
              <w:jc w:val="center"/>
              <w:rPr>
                <w:rFonts w:ascii="仿宋_GB2312" w:hAnsi="宋体" w:cs="宋体"/>
                <w:kern w:val="0"/>
                <w:sz w:val="24"/>
                <w:szCs w:val="24"/>
              </w:rPr>
            </w:pPr>
          </w:p>
        </w:tc>
        <w:tc>
          <w:tcPr>
            <w:tcW w:w="1243" w:type="dxa"/>
            <w:vMerge w:val="continue"/>
            <w:tcBorders>
              <w:tl2br w:val="nil"/>
              <w:tr2bl w:val="nil"/>
            </w:tcBorders>
            <w:shd w:val="clear" w:color="auto" w:fill="FFFFFF"/>
            <w:vAlign w:val="center"/>
          </w:tcPr>
          <w:p w14:paraId="40CFAFD1">
            <w:pPr>
              <w:ind w:firstLine="480"/>
              <w:jc w:val="center"/>
              <w:rPr>
                <w:rFonts w:ascii="仿宋_GB2312" w:hAnsi="宋体" w:cs="宋体"/>
                <w:kern w:val="0"/>
                <w:sz w:val="24"/>
                <w:szCs w:val="24"/>
              </w:rPr>
            </w:pPr>
          </w:p>
        </w:tc>
        <w:tc>
          <w:tcPr>
            <w:tcW w:w="3743" w:type="dxa"/>
            <w:tcBorders>
              <w:tl2br w:val="nil"/>
              <w:tr2bl w:val="nil"/>
            </w:tcBorders>
            <w:shd w:val="clear" w:color="auto" w:fill="FFFFFF"/>
            <w:vAlign w:val="center"/>
          </w:tcPr>
          <w:p w14:paraId="4B0FFFF8">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预算执行率</w:t>
            </w:r>
          </w:p>
        </w:tc>
        <w:tc>
          <w:tcPr>
            <w:tcW w:w="768" w:type="dxa"/>
            <w:tcBorders>
              <w:tl2br w:val="nil"/>
              <w:tr2bl w:val="nil"/>
            </w:tcBorders>
            <w:shd w:val="clear" w:color="auto" w:fill="FFFFFF"/>
            <w:vAlign w:val="bottom"/>
          </w:tcPr>
          <w:p w14:paraId="0A385C6C">
            <w:pPr>
              <w:keepNext w:val="0"/>
              <w:keepLines w:val="0"/>
              <w:widowControl/>
              <w:suppressLineNumbers w:val="0"/>
              <w:ind w:left="0" w:leftChars="0" w:firstLine="0" w:firstLineChars="0"/>
              <w:jc w:val="center"/>
              <w:textAlignment w:val="bottom"/>
              <w:rPr>
                <w:rFonts w:ascii="仿宋_GB2312" w:hAnsi="宋体" w:cs="宋体"/>
                <w:kern w:val="0"/>
                <w:sz w:val="24"/>
                <w:szCs w:val="24"/>
              </w:rPr>
            </w:pPr>
            <w:r>
              <w:rPr>
                <w:rFonts w:hint="default" w:ascii="仿宋_GB2312" w:hAnsi="宋体" w:eastAsia="仿宋_GB2312" w:cs="仿宋_GB2312"/>
                <w:i w:val="0"/>
                <w:iCs w:val="0"/>
                <w:color w:val="000000"/>
                <w:kern w:val="0"/>
                <w:sz w:val="24"/>
                <w:szCs w:val="24"/>
                <w:u w:val="none"/>
                <w:lang w:val="en-US" w:eastAsia="zh-CN" w:bidi="ar"/>
              </w:rPr>
              <w:t>2.5</w:t>
            </w:r>
          </w:p>
        </w:tc>
        <w:tc>
          <w:tcPr>
            <w:tcW w:w="918" w:type="dxa"/>
            <w:tcBorders>
              <w:tl2br w:val="nil"/>
              <w:tr2bl w:val="nil"/>
            </w:tcBorders>
            <w:shd w:val="clear" w:color="auto" w:fill="FFFFFF"/>
            <w:vAlign w:val="bottom"/>
          </w:tcPr>
          <w:p w14:paraId="27465AC7">
            <w:pPr>
              <w:keepNext w:val="0"/>
              <w:keepLines w:val="0"/>
              <w:widowControl/>
              <w:suppressLineNumbers w:val="0"/>
              <w:ind w:left="0" w:leftChars="0" w:firstLine="0" w:firstLineChars="0"/>
              <w:jc w:val="center"/>
              <w:textAlignment w:val="bottom"/>
              <w:rPr>
                <w:rFonts w:ascii="仿宋_GB2312" w:hAnsi="宋体" w:eastAsia="仿宋_GB2312" w:cs="宋体"/>
                <w:kern w:val="0"/>
                <w:sz w:val="24"/>
                <w:szCs w:val="24"/>
                <w:lang w:val="en-US" w:eastAsia="zh-CN" w:bidi="ar-SA"/>
              </w:rPr>
            </w:pPr>
            <w:r>
              <w:rPr>
                <w:rFonts w:hint="default" w:ascii="仿宋_GB2312" w:hAnsi="宋体" w:eastAsia="仿宋_GB2312" w:cs="仿宋_GB2312"/>
                <w:i w:val="0"/>
                <w:iCs w:val="0"/>
                <w:color w:val="000000"/>
                <w:kern w:val="0"/>
                <w:sz w:val="24"/>
                <w:szCs w:val="24"/>
                <w:u w:val="none"/>
                <w:lang w:val="en-US" w:eastAsia="zh-CN" w:bidi="ar"/>
              </w:rPr>
              <w:t>2.5</w:t>
            </w:r>
          </w:p>
        </w:tc>
        <w:tc>
          <w:tcPr>
            <w:tcW w:w="1149" w:type="dxa"/>
            <w:tcBorders>
              <w:tl2br w:val="nil"/>
              <w:tr2bl w:val="nil"/>
            </w:tcBorders>
            <w:shd w:val="clear" w:color="auto" w:fill="FFFFFF"/>
            <w:vAlign w:val="center"/>
          </w:tcPr>
          <w:p w14:paraId="09F7DD9C">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352A5C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241" w:type="dxa"/>
            <w:vMerge w:val="continue"/>
            <w:tcBorders>
              <w:tl2br w:val="nil"/>
              <w:tr2bl w:val="nil"/>
            </w:tcBorders>
            <w:shd w:val="clear" w:color="auto" w:fill="FFFFFF"/>
            <w:vAlign w:val="center"/>
          </w:tcPr>
          <w:p w14:paraId="0A3C9347">
            <w:pPr>
              <w:ind w:firstLine="0" w:firstLineChars="0"/>
              <w:jc w:val="center"/>
              <w:rPr>
                <w:rFonts w:ascii="仿宋_GB2312" w:hAnsi="宋体" w:cs="宋体"/>
                <w:kern w:val="0"/>
                <w:sz w:val="24"/>
                <w:szCs w:val="24"/>
              </w:rPr>
            </w:pPr>
          </w:p>
        </w:tc>
        <w:tc>
          <w:tcPr>
            <w:tcW w:w="1243" w:type="dxa"/>
            <w:vMerge w:val="continue"/>
            <w:tcBorders>
              <w:tl2br w:val="nil"/>
              <w:tr2bl w:val="nil"/>
            </w:tcBorders>
            <w:shd w:val="clear" w:color="auto" w:fill="FFFFFF"/>
            <w:vAlign w:val="center"/>
          </w:tcPr>
          <w:p w14:paraId="296CFD94">
            <w:pPr>
              <w:widowControl/>
              <w:ind w:firstLine="0" w:firstLineChars="0"/>
              <w:jc w:val="center"/>
              <w:rPr>
                <w:rFonts w:ascii="仿宋_GB2312" w:hAnsi="宋体" w:cs="宋体"/>
                <w:kern w:val="0"/>
                <w:sz w:val="24"/>
                <w:szCs w:val="24"/>
              </w:rPr>
            </w:pPr>
          </w:p>
        </w:tc>
        <w:tc>
          <w:tcPr>
            <w:tcW w:w="3743" w:type="dxa"/>
            <w:tcBorders>
              <w:tl2br w:val="nil"/>
              <w:tr2bl w:val="nil"/>
            </w:tcBorders>
            <w:shd w:val="clear" w:color="auto" w:fill="FFFFFF"/>
            <w:vAlign w:val="center"/>
          </w:tcPr>
          <w:p w14:paraId="32D9489D">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资金使用合规性</w:t>
            </w:r>
          </w:p>
        </w:tc>
        <w:tc>
          <w:tcPr>
            <w:tcW w:w="768" w:type="dxa"/>
            <w:tcBorders>
              <w:tl2br w:val="nil"/>
              <w:tr2bl w:val="nil"/>
            </w:tcBorders>
            <w:shd w:val="clear" w:color="000000" w:fill="FFFFFF"/>
            <w:vAlign w:val="bottom"/>
          </w:tcPr>
          <w:p w14:paraId="457CEA92">
            <w:pPr>
              <w:keepNext w:val="0"/>
              <w:keepLines w:val="0"/>
              <w:widowControl/>
              <w:suppressLineNumbers w:val="0"/>
              <w:ind w:left="0" w:leftChars="0" w:firstLine="0" w:firstLineChars="0"/>
              <w:jc w:val="center"/>
              <w:textAlignment w:val="bottom"/>
              <w:rPr>
                <w:rFonts w:ascii="仿宋_GB2312" w:hAnsi="宋体" w:cs="宋体"/>
                <w:kern w:val="0"/>
                <w:sz w:val="24"/>
                <w:szCs w:val="24"/>
              </w:rPr>
            </w:pPr>
            <w:r>
              <w:rPr>
                <w:rFonts w:hint="default" w:ascii="仿宋_GB2312" w:hAnsi="宋体" w:eastAsia="仿宋_GB2312" w:cs="仿宋_GB2312"/>
                <w:i w:val="0"/>
                <w:iCs w:val="0"/>
                <w:color w:val="000000"/>
                <w:kern w:val="0"/>
                <w:sz w:val="24"/>
                <w:szCs w:val="24"/>
                <w:u w:val="none"/>
                <w:lang w:val="en-US" w:eastAsia="zh-CN" w:bidi="ar"/>
              </w:rPr>
              <w:t>1.5</w:t>
            </w:r>
          </w:p>
        </w:tc>
        <w:tc>
          <w:tcPr>
            <w:tcW w:w="918" w:type="dxa"/>
            <w:tcBorders>
              <w:tl2br w:val="nil"/>
              <w:tr2bl w:val="nil"/>
            </w:tcBorders>
            <w:shd w:val="clear" w:color="000000" w:fill="FFFFFF"/>
            <w:vAlign w:val="bottom"/>
          </w:tcPr>
          <w:p w14:paraId="542CE261">
            <w:pPr>
              <w:keepNext w:val="0"/>
              <w:keepLines w:val="0"/>
              <w:widowControl/>
              <w:suppressLineNumbers w:val="0"/>
              <w:ind w:left="0" w:leftChars="0" w:firstLine="0" w:firstLineChars="0"/>
              <w:jc w:val="center"/>
              <w:textAlignment w:val="bottom"/>
              <w:rPr>
                <w:rFonts w:ascii="仿宋_GB2312" w:hAnsi="宋体" w:eastAsia="仿宋_GB2312" w:cs="宋体"/>
                <w:kern w:val="0"/>
                <w:sz w:val="24"/>
                <w:szCs w:val="24"/>
                <w:lang w:val="en-US" w:eastAsia="zh-CN" w:bidi="ar-SA"/>
              </w:rPr>
            </w:pPr>
            <w:r>
              <w:rPr>
                <w:rFonts w:hint="default" w:ascii="仿宋_GB2312" w:hAnsi="宋体" w:eastAsia="仿宋_GB2312" w:cs="仿宋_GB2312"/>
                <w:i w:val="0"/>
                <w:iCs w:val="0"/>
                <w:color w:val="000000"/>
                <w:kern w:val="0"/>
                <w:sz w:val="24"/>
                <w:szCs w:val="24"/>
                <w:u w:val="none"/>
                <w:lang w:val="en-US" w:eastAsia="zh-CN" w:bidi="ar"/>
              </w:rPr>
              <w:t>1.5</w:t>
            </w:r>
          </w:p>
        </w:tc>
        <w:tc>
          <w:tcPr>
            <w:tcW w:w="1149" w:type="dxa"/>
            <w:tcBorders>
              <w:tl2br w:val="nil"/>
              <w:tr2bl w:val="nil"/>
            </w:tcBorders>
            <w:shd w:val="clear" w:color="000000" w:fill="FFFFFF"/>
            <w:vAlign w:val="center"/>
          </w:tcPr>
          <w:p w14:paraId="2B87FA8F">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3F9BF2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241" w:type="dxa"/>
            <w:vMerge w:val="continue"/>
            <w:tcBorders>
              <w:tl2br w:val="nil"/>
              <w:tr2bl w:val="nil"/>
            </w:tcBorders>
            <w:shd w:val="clear" w:color="auto" w:fill="FFFFFF"/>
            <w:vAlign w:val="center"/>
          </w:tcPr>
          <w:p w14:paraId="0E1C02E7">
            <w:pPr>
              <w:ind w:firstLine="0" w:firstLineChars="0"/>
              <w:jc w:val="center"/>
              <w:rPr>
                <w:rFonts w:ascii="仿宋_GB2312" w:hAnsi="宋体" w:cs="宋体"/>
                <w:kern w:val="0"/>
                <w:sz w:val="24"/>
                <w:szCs w:val="24"/>
              </w:rPr>
            </w:pPr>
          </w:p>
        </w:tc>
        <w:tc>
          <w:tcPr>
            <w:tcW w:w="1243" w:type="dxa"/>
            <w:vMerge w:val="restart"/>
            <w:tcBorders>
              <w:tl2br w:val="nil"/>
              <w:tr2bl w:val="nil"/>
            </w:tcBorders>
            <w:shd w:val="clear" w:color="auto" w:fill="FFFFFF"/>
            <w:vAlign w:val="center"/>
          </w:tcPr>
          <w:p w14:paraId="2CD043ED">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组织实施</w:t>
            </w:r>
          </w:p>
        </w:tc>
        <w:tc>
          <w:tcPr>
            <w:tcW w:w="3743" w:type="dxa"/>
            <w:tcBorders>
              <w:tl2br w:val="nil"/>
              <w:tr2bl w:val="nil"/>
            </w:tcBorders>
            <w:shd w:val="clear" w:color="auto" w:fill="FFFFFF"/>
            <w:vAlign w:val="center"/>
          </w:tcPr>
          <w:p w14:paraId="7AEA2248">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管理制度健全性</w:t>
            </w:r>
          </w:p>
        </w:tc>
        <w:tc>
          <w:tcPr>
            <w:tcW w:w="768" w:type="dxa"/>
            <w:tcBorders>
              <w:tl2br w:val="nil"/>
              <w:tr2bl w:val="nil"/>
            </w:tcBorders>
            <w:shd w:val="clear" w:color="000000" w:fill="FFFFFF"/>
            <w:vAlign w:val="bottom"/>
          </w:tcPr>
          <w:p w14:paraId="35D24B88">
            <w:pPr>
              <w:keepNext w:val="0"/>
              <w:keepLines w:val="0"/>
              <w:widowControl/>
              <w:suppressLineNumbers w:val="0"/>
              <w:ind w:left="0" w:leftChars="0" w:firstLine="0" w:firstLineChars="0"/>
              <w:jc w:val="center"/>
              <w:textAlignment w:val="bottom"/>
              <w:rPr>
                <w:rFonts w:ascii="仿宋_GB2312" w:hAnsi="宋体" w:cs="宋体"/>
                <w:kern w:val="0"/>
                <w:sz w:val="24"/>
                <w:szCs w:val="24"/>
              </w:rPr>
            </w:pPr>
            <w:r>
              <w:rPr>
                <w:rFonts w:hint="default" w:ascii="仿宋_GB2312" w:hAnsi="宋体" w:eastAsia="仿宋_GB2312" w:cs="仿宋_GB2312"/>
                <w:i w:val="0"/>
                <w:iCs w:val="0"/>
                <w:color w:val="000000"/>
                <w:kern w:val="0"/>
                <w:sz w:val="24"/>
                <w:szCs w:val="24"/>
                <w:u w:val="none"/>
                <w:lang w:val="en-US" w:eastAsia="zh-CN" w:bidi="ar"/>
              </w:rPr>
              <w:t>1.5</w:t>
            </w:r>
          </w:p>
        </w:tc>
        <w:tc>
          <w:tcPr>
            <w:tcW w:w="918" w:type="dxa"/>
            <w:tcBorders>
              <w:tl2br w:val="nil"/>
              <w:tr2bl w:val="nil"/>
            </w:tcBorders>
            <w:shd w:val="clear" w:color="000000" w:fill="FFFFFF"/>
            <w:vAlign w:val="bottom"/>
          </w:tcPr>
          <w:p w14:paraId="7E8778DB">
            <w:pPr>
              <w:keepNext w:val="0"/>
              <w:keepLines w:val="0"/>
              <w:widowControl/>
              <w:suppressLineNumbers w:val="0"/>
              <w:ind w:left="0" w:leftChars="0" w:firstLine="0" w:firstLineChars="0"/>
              <w:jc w:val="center"/>
              <w:textAlignment w:val="bottom"/>
              <w:rPr>
                <w:rFonts w:ascii="仿宋_GB2312" w:hAnsi="宋体" w:eastAsia="仿宋_GB2312" w:cs="宋体"/>
                <w:kern w:val="0"/>
                <w:sz w:val="24"/>
                <w:szCs w:val="24"/>
                <w:lang w:val="en-US" w:eastAsia="zh-CN" w:bidi="ar-SA"/>
              </w:rPr>
            </w:pPr>
            <w:r>
              <w:rPr>
                <w:rFonts w:hint="default" w:ascii="仿宋_GB2312" w:hAnsi="宋体" w:eastAsia="仿宋_GB2312" w:cs="仿宋_GB2312"/>
                <w:i w:val="0"/>
                <w:iCs w:val="0"/>
                <w:color w:val="000000"/>
                <w:kern w:val="0"/>
                <w:sz w:val="24"/>
                <w:szCs w:val="24"/>
                <w:u w:val="none"/>
                <w:lang w:val="en-US" w:eastAsia="zh-CN" w:bidi="ar"/>
              </w:rPr>
              <w:t>1.5</w:t>
            </w:r>
          </w:p>
        </w:tc>
        <w:tc>
          <w:tcPr>
            <w:tcW w:w="1149" w:type="dxa"/>
            <w:tcBorders>
              <w:tl2br w:val="nil"/>
              <w:tr2bl w:val="nil"/>
            </w:tcBorders>
            <w:shd w:val="clear" w:color="000000" w:fill="FFFFFF"/>
            <w:vAlign w:val="center"/>
          </w:tcPr>
          <w:p w14:paraId="2C0A7449">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14168D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241" w:type="dxa"/>
            <w:vMerge w:val="continue"/>
            <w:tcBorders>
              <w:tl2br w:val="nil"/>
              <w:tr2bl w:val="nil"/>
            </w:tcBorders>
            <w:shd w:val="clear" w:color="auto" w:fill="FFFFFF"/>
            <w:vAlign w:val="center"/>
          </w:tcPr>
          <w:p w14:paraId="730AE04D">
            <w:pPr>
              <w:widowControl/>
              <w:ind w:firstLine="0" w:firstLineChars="0"/>
              <w:jc w:val="center"/>
              <w:rPr>
                <w:rFonts w:ascii="仿宋_GB2312" w:hAnsi="宋体" w:cs="宋体"/>
                <w:kern w:val="0"/>
                <w:sz w:val="24"/>
                <w:szCs w:val="24"/>
              </w:rPr>
            </w:pPr>
          </w:p>
        </w:tc>
        <w:tc>
          <w:tcPr>
            <w:tcW w:w="1243" w:type="dxa"/>
            <w:vMerge w:val="continue"/>
            <w:tcBorders>
              <w:tl2br w:val="nil"/>
              <w:tr2bl w:val="nil"/>
            </w:tcBorders>
            <w:shd w:val="clear" w:color="auto" w:fill="FFFFFF"/>
            <w:vAlign w:val="center"/>
          </w:tcPr>
          <w:p w14:paraId="28E7FF67">
            <w:pPr>
              <w:widowControl/>
              <w:ind w:firstLine="0" w:firstLineChars="0"/>
              <w:jc w:val="center"/>
              <w:rPr>
                <w:rFonts w:ascii="仿宋_GB2312" w:hAnsi="宋体" w:cs="宋体"/>
                <w:kern w:val="0"/>
                <w:sz w:val="24"/>
                <w:szCs w:val="24"/>
              </w:rPr>
            </w:pPr>
          </w:p>
        </w:tc>
        <w:tc>
          <w:tcPr>
            <w:tcW w:w="3743" w:type="dxa"/>
            <w:tcBorders>
              <w:tl2br w:val="nil"/>
              <w:tr2bl w:val="nil"/>
            </w:tcBorders>
            <w:shd w:val="clear" w:color="auto" w:fill="FFFFFF"/>
            <w:vAlign w:val="center"/>
          </w:tcPr>
          <w:p w14:paraId="188F69A1">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制度执行有效性</w:t>
            </w:r>
          </w:p>
        </w:tc>
        <w:tc>
          <w:tcPr>
            <w:tcW w:w="768" w:type="dxa"/>
            <w:tcBorders>
              <w:tl2br w:val="nil"/>
              <w:tr2bl w:val="nil"/>
            </w:tcBorders>
            <w:shd w:val="clear" w:color="000000" w:fill="FFFFFF"/>
            <w:vAlign w:val="bottom"/>
          </w:tcPr>
          <w:p w14:paraId="76482A06">
            <w:pPr>
              <w:keepNext w:val="0"/>
              <w:keepLines w:val="0"/>
              <w:widowControl/>
              <w:suppressLineNumbers w:val="0"/>
              <w:ind w:left="0" w:leftChars="0" w:firstLine="0" w:firstLineChars="0"/>
              <w:jc w:val="center"/>
              <w:textAlignment w:val="bottom"/>
              <w:rPr>
                <w:rFonts w:ascii="仿宋_GB2312" w:hAnsi="宋体" w:cs="宋体"/>
                <w:kern w:val="0"/>
                <w:sz w:val="24"/>
                <w:szCs w:val="24"/>
              </w:rPr>
            </w:pPr>
            <w:r>
              <w:rPr>
                <w:rFonts w:hint="default" w:ascii="仿宋_GB2312" w:hAnsi="宋体" w:eastAsia="仿宋_GB2312" w:cs="仿宋_GB2312"/>
                <w:i w:val="0"/>
                <w:iCs w:val="0"/>
                <w:color w:val="000000"/>
                <w:kern w:val="0"/>
                <w:sz w:val="24"/>
                <w:szCs w:val="24"/>
                <w:u w:val="none"/>
                <w:lang w:val="en-US" w:eastAsia="zh-CN" w:bidi="ar"/>
              </w:rPr>
              <w:t>2</w:t>
            </w:r>
          </w:p>
        </w:tc>
        <w:tc>
          <w:tcPr>
            <w:tcW w:w="918" w:type="dxa"/>
            <w:tcBorders>
              <w:tl2br w:val="nil"/>
              <w:tr2bl w:val="nil"/>
            </w:tcBorders>
            <w:shd w:val="clear" w:color="000000" w:fill="FFFFFF"/>
            <w:vAlign w:val="bottom"/>
          </w:tcPr>
          <w:p w14:paraId="24CB15F4">
            <w:pPr>
              <w:keepNext w:val="0"/>
              <w:keepLines w:val="0"/>
              <w:widowControl/>
              <w:suppressLineNumbers w:val="0"/>
              <w:ind w:left="0" w:leftChars="0" w:firstLine="0" w:firstLineChars="0"/>
              <w:jc w:val="center"/>
              <w:textAlignment w:val="bottom"/>
              <w:rPr>
                <w:rFonts w:ascii="仿宋_GB2312" w:hAnsi="宋体" w:eastAsia="仿宋_GB2312" w:cs="宋体"/>
                <w:kern w:val="0"/>
                <w:sz w:val="24"/>
                <w:szCs w:val="24"/>
                <w:lang w:val="en-US" w:eastAsia="zh-CN" w:bidi="ar-SA"/>
              </w:rPr>
            </w:pPr>
            <w:r>
              <w:rPr>
                <w:rFonts w:hint="default" w:ascii="仿宋_GB2312" w:hAnsi="宋体" w:eastAsia="仿宋_GB2312" w:cs="仿宋_GB2312"/>
                <w:i w:val="0"/>
                <w:iCs w:val="0"/>
                <w:color w:val="000000"/>
                <w:kern w:val="0"/>
                <w:sz w:val="24"/>
                <w:szCs w:val="24"/>
                <w:u w:val="none"/>
                <w:lang w:val="en-US" w:eastAsia="zh-CN" w:bidi="ar"/>
              </w:rPr>
              <w:t>2</w:t>
            </w:r>
          </w:p>
        </w:tc>
        <w:tc>
          <w:tcPr>
            <w:tcW w:w="1149" w:type="dxa"/>
            <w:tcBorders>
              <w:tl2br w:val="nil"/>
              <w:tr2bl w:val="nil"/>
            </w:tcBorders>
            <w:shd w:val="clear" w:color="000000" w:fill="FFFFFF"/>
            <w:vAlign w:val="center"/>
          </w:tcPr>
          <w:p w14:paraId="084519DB">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1200A3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241" w:type="dxa"/>
            <w:vMerge w:val="restart"/>
            <w:tcBorders>
              <w:tl2br w:val="nil"/>
              <w:tr2bl w:val="nil"/>
            </w:tcBorders>
            <w:shd w:val="clear" w:color="auto" w:fill="FFFFFF"/>
            <w:vAlign w:val="center"/>
          </w:tcPr>
          <w:p w14:paraId="472D5891">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w:t>
            </w:r>
          </w:p>
        </w:tc>
        <w:tc>
          <w:tcPr>
            <w:tcW w:w="1243" w:type="dxa"/>
            <w:vMerge w:val="restart"/>
            <w:tcBorders>
              <w:tl2br w:val="nil"/>
              <w:tr2bl w:val="nil"/>
            </w:tcBorders>
            <w:shd w:val="clear" w:color="auto" w:fill="FFFFFF"/>
            <w:vAlign w:val="center"/>
          </w:tcPr>
          <w:p w14:paraId="7C44324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highlight w:val="none"/>
              </w:rPr>
              <w:t>产出数量</w:t>
            </w:r>
          </w:p>
        </w:tc>
        <w:tc>
          <w:tcPr>
            <w:tcW w:w="3743" w:type="dxa"/>
            <w:tcBorders>
              <w:tl2br w:val="nil"/>
              <w:tr2bl w:val="nil"/>
            </w:tcBorders>
            <w:shd w:val="clear" w:color="auto" w:fill="FFFFFF"/>
            <w:vAlign w:val="top"/>
          </w:tcPr>
          <w:p w14:paraId="2BB0A65F">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lang w:val="en-US" w:eastAsia="zh-CN"/>
              </w:rPr>
              <w:t>电梯定期维保次数</w:t>
            </w:r>
          </w:p>
        </w:tc>
        <w:tc>
          <w:tcPr>
            <w:tcW w:w="768" w:type="dxa"/>
            <w:tcBorders>
              <w:tl2br w:val="nil"/>
              <w:tr2bl w:val="nil"/>
            </w:tcBorders>
            <w:shd w:val="clear" w:color="000000" w:fill="FFFFFF"/>
            <w:vAlign w:val="center"/>
          </w:tcPr>
          <w:p w14:paraId="0B357CA8">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918" w:type="dxa"/>
            <w:tcBorders>
              <w:tl2br w:val="nil"/>
              <w:tr2bl w:val="nil"/>
            </w:tcBorders>
            <w:shd w:val="clear" w:color="000000" w:fill="FFFFFF"/>
            <w:vAlign w:val="center"/>
          </w:tcPr>
          <w:p w14:paraId="17BB41C9">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149" w:type="dxa"/>
            <w:tcBorders>
              <w:tl2br w:val="nil"/>
              <w:tr2bl w:val="nil"/>
            </w:tcBorders>
            <w:shd w:val="clear" w:color="000000" w:fill="FFFFFF"/>
            <w:vAlign w:val="center"/>
          </w:tcPr>
          <w:p w14:paraId="47714FB5">
            <w:pPr>
              <w:keepNext w:val="0"/>
              <w:keepLines w:val="0"/>
              <w:widowControl/>
              <w:suppressLineNumbers w:val="0"/>
              <w:ind w:left="0" w:leftChars="0" w:firstLine="0" w:firstLineChars="0"/>
              <w:jc w:val="center"/>
              <w:textAlignment w:val="center"/>
              <w:rPr>
                <w:rFonts w:ascii="仿宋_GB2312" w:hAnsi="宋体" w:cs="宋体"/>
                <w:kern w:val="0"/>
                <w:sz w:val="24"/>
                <w:szCs w:val="24"/>
                <w:highlight w:val="yellow"/>
              </w:rPr>
            </w:pPr>
            <w:r>
              <w:rPr>
                <w:rFonts w:hint="eastAsia" w:ascii="宋体" w:hAnsi="宋体" w:eastAsia="宋体" w:cs="宋体"/>
                <w:i w:val="0"/>
                <w:iCs w:val="0"/>
                <w:color w:val="000000"/>
                <w:kern w:val="0"/>
                <w:sz w:val="22"/>
                <w:szCs w:val="22"/>
                <w:u w:val="none"/>
                <w:lang w:val="en-US" w:eastAsia="zh-CN" w:bidi="ar"/>
              </w:rPr>
              <w:t>100%</w:t>
            </w:r>
          </w:p>
        </w:tc>
      </w:tr>
      <w:tr w14:paraId="2A913C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241" w:type="dxa"/>
            <w:vMerge w:val="continue"/>
            <w:tcBorders>
              <w:tl2br w:val="nil"/>
              <w:tr2bl w:val="nil"/>
            </w:tcBorders>
            <w:shd w:val="clear" w:color="auto" w:fill="FFFFFF"/>
            <w:vAlign w:val="center"/>
          </w:tcPr>
          <w:p w14:paraId="30271C35">
            <w:pPr>
              <w:widowControl/>
              <w:ind w:firstLine="0" w:firstLineChars="0"/>
              <w:jc w:val="center"/>
            </w:pPr>
          </w:p>
        </w:tc>
        <w:tc>
          <w:tcPr>
            <w:tcW w:w="1243" w:type="dxa"/>
            <w:vMerge w:val="continue"/>
            <w:tcBorders>
              <w:tl2br w:val="nil"/>
              <w:tr2bl w:val="nil"/>
            </w:tcBorders>
            <w:shd w:val="clear" w:color="auto" w:fill="FFFFFF"/>
            <w:vAlign w:val="center"/>
          </w:tcPr>
          <w:p w14:paraId="1929FEA0">
            <w:pPr>
              <w:widowControl/>
              <w:ind w:firstLine="0" w:firstLineChars="0"/>
              <w:jc w:val="center"/>
            </w:pPr>
          </w:p>
        </w:tc>
        <w:tc>
          <w:tcPr>
            <w:tcW w:w="3743" w:type="dxa"/>
            <w:tcBorders>
              <w:tl2br w:val="nil"/>
              <w:tr2bl w:val="nil"/>
            </w:tcBorders>
            <w:shd w:val="clear" w:color="auto" w:fill="FFFFFF"/>
            <w:vAlign w:val="top"/>
          </w:tcPr>
          <w:p w14:paraId="77ADDAE6">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lang w:val="en-US" w:eastAsia="zh-CN"/>
              </w:rPr>
              <w:t>室间质评数</w:t>
            </w:r>
          </w:p>
        </w:tc>
        <w:tc>
          <w:tcPr>
            <w:tcW w:w="768" w:type="dxa"/>
            <w:tcBorders>
              <w:tl2br w:val="nil"/>
              <w:tr2bl w:val="nil"/>
            </w:tcBorders>
            <w:shd w:val="clear" w:color="000000" w:fill="FFFFFF"/>
            <w:vAlign w:val="center"/>
          </w:tcPr>
          <w:p w14:paraId="1D959A5A">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918" w:type="dxa"/>
            <w:tcBorders>
              <w:tl2br w:val="nil"/>
              <w:tr2bl w:val="nil"/>
            </w:tcBorders>
            <w:shd w:val="clear" w:color="000000" w:fill="FFFFFF"/>
            <w:vAlign w:val="center"/>
          </w:tcPr>
          <w:p w14:paraId="33525F6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149" w:type="dxa"/>
            <w:tcBorders>
              <w:tl2br w:val="nil"/>
              <w:tr2bl w:val="nil"/>
            </w:tcBorders>
            <w:shd w:val="clear" w:color="000000" w:fill="FFFFFF"/>
            <w:vAlign w:val="center"/>
          </w:tcPr>
          <w:p w14:paraId="65EA2D0A">
            <w:pPr>
              <w:keepNext w:val="0"/>
              <w:keepLines w:val="0"/>
              <w:widowControl/>
              <w:suppressLineNumbers w:val="0"/>
              <w:ind w:left="0" w:leftChars="0" w:firstLine="0" w:firstLineChars="0"/>
              <w:jc w:val="center"/>
              <w:textAlignment w:val="center"/>
              <w:rPr>
                <w:rFonts w:ascii="仿宋_GB2312" w:hAnsi="宋体" w:cs="宋体"/>
                <w:kern w:val="0"/>
                <w:sz w:val="24"/>
                <w:szCs w:val="24"/>
              </w:rPr>
            </w:pPr>
            <w:r>
              <w:rPr>
                <w:rFonts w:hint="eastAsia" w:ascii="宋体" w:hAnsi="宋体" w:eastAsia="宋体" w:cs="宋体"/>
                <w:i w:val="0"/>
                <w:iCs w:val="0"/>
                <w:color w:val="000000"/>
                <w:kern w:val="0"/>
                <w:sz w:val="22"/>
                <w:szCs w:val="22"/>
                <w:u w:val="none"/>
                <w:lang w:val="en-US" w:eastAsia="zh-CN" w:bidi="ar"/>
              </w:rPr>
              <w:t>100%</w:t>
            </w:r>
          </w:p>
        </w:tc>
      </w:tr>
      <w:tr w14:paraId="73C28D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241" w:type="dxa"/>
            <w:vMerge w:val="continue"/>
            <w:tcBorders>
              <w:tl2br w:val="nil"/>
              <w:tr2bl w:val="nil"/>
            </w:tcBorders>
            <w:shd w:val="clear" w:color="auto" w:fill="FFFFFF"/>
            <w:vAlign w:val="center"/>
          </w:tcPr>
          <w:p w14:paraId="72E1D3BD">
            <w:pPr>
              <w:widowControl/>
              <w:ind w:firstLine="0" w:firstLineChars="0"/>
              <w:jc w:val="center"/>
              <w:rPr>
                <w:rFonts w:ascii="仿宋_GB2312" w:hAnsi="宋体" w:cs="宋体"/>
                <w:kern w:val="0"/>
                <w:sz w:val="24"/>
                <w:szCs w:val="24"/>
              </w:rPr>
            </w:pPr>
          </w:p>
        </w:tc>
        <w:tc>
          <w:tcPr>
            <w:tcW w:w="1243" w:type="dxa"/>
            <w:vMerge w:val="continue"/>
            <w:tcBorders>
              <w:tl2br w:val="nil"/>
              <w:tr2bl w:val="nil"/>
            </w:tcBorders>
            <w:shd w:val="clear" w:color="auto" w:fill="FFFFFF"/>
            <w:vAlign w:val="center"/>
          </w:tcPr>
          <w:p w14:paraId="184B8C71">
            <w:pPr>
              <w:widowControl/>
              <w:ind w:firstLine="0" w:firstLineChars="0"/>
              <w:jc w:val="center"/>
              <w:rPr>
                <w:rFonts w:ascii="仿宋_GB2312" w:hAnsi="宋体" w:cs="宋体"/>
                <w:kern w:val="0"/>
                <w:sz w:val="24"/>
                <w:szCs w:val="24"/>
              </w:rPr>
            </w:pPr>
          </w:p>
        </w:tc>
        <w:tc>
          <w:tcPr>
            <w:tcW w:w="3743" w:type="dxa"/>
            <w:tcBorders>
              <w:tl2br w:val="nil"/>
              <w:tr2bl w:val="nil"/>
            </w:tcBorders>
            <w:shd w:val="clear" w:color="auto" w:fill="FFFFFF"/>
            <w:vAlign w:val="top"/>
          </w:tcPr>
          <w:p w14:paraId="52C5EDC0">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lang w:val="en-US" w:eastAsia="zh-CN"/>
              </w:rPr>
              <w:t>维修维护设备种类</w:t>
            </w:r>
          </w:p>
        </w:tc>
        <w:tc>
          <w:tcPr>
            <w:tcW w:w="768" w:type="dxa"/>
            <w:tcBorders>
              <w:tl2br w:val="nil"/>
              <w:tr2bl w:val="nil"/>
            </w:tcBorders>
            <w:shd w:val="clear" w:color="000000" w:fill="FFFFFF"/>
            <w:vAlign w:val="center"/>
          </w:tcPr>
          <w:p w14:paraId="64D522CF">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918" w:type="dxa"/>
            <w:tcBorders>
              <w:tl2br w:val="nil"/>
              <w:tr2bl w:val="nil"/>
            </w:tcBorders>
            <w:shd w:val="clear" w:color="000000" w:fill="FFFFFF"/>
            <w:vAlign w:val="center"/>
          </w:tcPr>
          <w:p w14:paraId="367FAC7D">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149" w:type="dxa"/>
            <w:tcBorders>
              <w:tl2br w:val="nil"/>
              <w:tr2bl w:val="nil"/>
            </w:tcBorders>
            <w:shd w:val="clear" w:color="000000" w:fill="FFFFFF"/>
            <w:vAlign w:val="center"/>
          </w:tcPr>
          <w:p w14:paraId="450B2BE0">
            <w:pPr>
              <w:keepNext w:val="0"/>
              <w:keepLines w:val="0"/>
              <w:widowControl/>
              <w:suppressLineNumbers w:val="0"/>
              <w:ind w:left="0" w:leftChars="0" w:firstLine="0" w:firstLineChars="0"/>
              <w:jc w:val="center"/>
              <w:textAlignment w:val="center"/>
              <w:rPr>
                <w:rFonts w:ascii="仿宋_GB2312" w:hAnsi="宋体" w:cs="宋体"/>
                <w:kern w:val="0"/>
                <w:sz w:val="24"/>
                <w:szCs w:val="24"/>
              </w:rPr>
            </w:pPr>
            <w:r>
              <w:rPr>
                <w:rFonts w:hint="eastAsia" w:ascii="宋体" w:hAnsi="宋体" w:eastAsia="宋体" w:cs="宋体"/>
                <w:i w:val="0"/>
                <w:iCs w:val="0"/>
                <w:color w:val="000000"/>
                <w:kern w:val="0"/>
                <w:sz w:val="22"/>
                <w:szCs w:val="22"/>
                <w:u w:val="none"/>
                <w:lang w:val="en-US" w:eastAsia="zh-CN" w:bidi="ar"/>
              </w:rPr>
              <w:t>100%</w:t>
            </w:r>
          </w:p>
        </w:tc>
      </w:tr>
      <w:tr w14:paraId="083008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241" w:type="dxa"/>
            <w:vMerge w:val="continue"/>
            <w:tcBorders>
              <w:tl2br w:val="nil"/>
              <w:tr2bl w:val="nil"/>
            </w:tcBorders>
            <w:shd w:val="clear" w:color="auto" w:fill="FFFFFF"/>
            <w:vAlign w:val="center"/>
          </w:tcPr>
          <w:p w14:paraId="1CCCB908">
            <w:pPr>
              <w:widowControl/>
              <w:ind w:firstLine="0" w:firstLineChars="0"/>
              <w:jc w:val="center"/>
              <w:rPr>
                <w:rFonts w:ascii="仿宋_GB2312" w:hAnsi="宋体" w:cs="宋体"/>
                <w:kern w:val="0"/>
                <w:sz w:val="24"/>
                <w:szCs w:val="24"/>
              </w:rPr>
            </w:pPr>
          </w:p>
        </w:tc>
        <w:tc>
          <w:tcPr>
            <w:tcW w:w="1243" w:type="dxa"/>
            <w:vMerge w:val="continue"/>
            <w:tcBorders>
              <w:tl2br w:val="nil"/>
              <w:tr2bl w:val="nil"/>
            </w:tcBorders>
            <w:shd w:val="clear" w:color="auto" w:fill="FFFFFF"/>
            <w:vAlign w:val="center"/>
          </w:tcPr>
          <w:p w14:paraId="5C729CF1">
            <w:pPr>
              <w:widowControl/>
              <w:ind w:firstLine="0" w:firstLineChars="0"/>
              <w:jc w:val="center"/>
              <w:rPr>
                <w:rFonts w:ascii="仿宋_GB2312" w:hAnsi="宋体" w:cs="宋体"/>
                <w:kern w:val="0"/>
                <w:sz w:val="24"/>
                <w:szCs w:val="24"/>
              </w:rPr>
            </w:pPr>
          </w:p>
        </w:tc>
        <w:tc>
          <w:tcPr>
            <w:tcW w:w="3743" w:type="dxa"/>
            <w:tcBorders>
              <w:tl2br w:val="nil"/>
              <w:tr2bl w:val="nil"/>
            </w:tcBorders>
            <w:shd w:val="clear" w:color="auto" w:fill="FFFFFF"/>
            <w:vAlign w:val="top"/>
          </w:tcPr>
          <w:p w14:paraId="1A0D7612">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lang w:val="en-US" w:eastAsia="zh-CN"/>
              </w:rPr>
              <w:t>采购试剂耗材种类</w:t>
            </w:r>
          </w:p>
        </w:tc>
        <w:tc>
          <w:tcPr>
            <w:tcW w:w="768" w:type="dxa"/>
            <w:tcBorders>
              <w:tl2br w:val="nil"/>
              <w:tr2bl w:val="nil"/>
            </w:tcBorders>
            <w:shd w:val="clear" w:color="000000" w:fill="FFFFFF"/>
            <w:vAlign w:val="center"/>
          </w:tcPr>
          <w:p w14:paraId="36CA7043">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918" w:type="dxa"/>
            <w:tcBorders>
              <w:tl2br w:val="nil"/>
              <w:tr2bl w:val="nil"/>
            </w:tcBorders>
            <w:shd w:val="clear" w:color="000000" w:fill="FFFFFF"/>
            <w:vAlign w:val="center"/>
          </w:tcPr>
          <w:p w14:paraId="049B69F8">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149" w:type="dxa"/>
            <w:tcBorders>
              <w:tl2br w:val="nil"/>
              <w:tr2bl w:val="nil"/>
            </w:tcBorders>
            <w:shd w:val="clear" w:color="000000" w:fill="FFFFFF"/>
            <w:vAlign w:val="center"/>
          </w:tcPr>
          <w:p w14:paraId="5BE3C03A">
            <w:pPr>
              <w:keepNext w:val="0"/>
              <w:keepLines w:val="0"/>
              <w:widowControl/>
              <w:suppressLineNumbers w:val="0"/>
              <w:ind w:left="0" w:leftChars="0" w:firstLine="0" w:firstLineChars="0"/>
              <w:jc w:val="center"/>
              <w:textAlignment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3365FE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241" w:type="dxa"/>
            <w:vMerge w:val="continue"/>
            <w:tcBorders>
              <w:tl2br w:val="nil"/>
              <w:tr2bl w:val="nil"/>
            </w:tcBorders>
            <w:shd w:val="clear" w:color="auto" w:fill="FFFFFF"/>
            <w:vAlign w:val="center"/>
          </w:tcPr>
          <w:p w14:paraId="50FF9AB6">
            <w:pPr>
              <w:widowControl/>
              <w:ind w:firstLine="0" w:firstLineChars="0"/>
              <w:jc w:val="center"/>
              <w:rPr>
                <w:rFonts w:ascii="仿宋_GB2312" w:hAnsi="宋体" w:cs="宋体"/>
                <w:kern w:val="0"/>
                <w:sz w:val="24"/>
                <w:szCs w:val="24"/>
              </w:rPr>
            </w:pPr>
          </w:p>
        </w:tc>
        <w:tc>
          <w:tcPr>
            <w:tcW w:w="1243" w:type="dxa"/>
            <w:vMerge w:val="continue"/>
            <w:tcBorders>
              <w:tl2br w:val="nil"/>
              <w:tr2bl w:val="nil"/>
            </w:tcBorders>
            <w:shd w:val="clear" w:color="auto" w:fill="FFFFFF"/>
            <w:vAlign w:val="center"/>
          </w:tcPr>
          <w:p w14:paraId="5EAA1161">
            <w:pPr>
              <w:widowControl/>
              <w:ind w:firstLine="0" w:firstLineChars="0"/>
              <w:jc w:val="center"/>
              <w:rPr>
                <w:rFonts w:ascii="仿宋_GB2312" w:hAnsi="宋体" w:cs="宋体"/>
                <w:kern w:val="0"/>
                <w:sz w:val="24"/>
                <w:szCs w:val="24"/>
              </w:rPr>
            </w:pPr>
          </w:p>
        </w:tc>
        <w:tc>
          <w:tcPr>
            <w:tcW w:w="3743" w:type="dxa"/>
            <w:tcBorders>
              <w:tl2br w:val="nil"/>
              <w:tr2bl w:val="nil"/>
            </w:tcBorders>
            <w:shd w:val="clear" w:color="auto" w:fill="FFFFFF"/>
            <w:vAlign w:val="top"/>
          </w:tcPr>
          <w:p w14:paraId="48EF8204">
            <w:pPr>
              <w:widowControl/>
              <w:ind w:firstLine="0" w:firstLineChars="0"/>
              <w:jc w:val="center"/>
              <w:rPr>
                <w:rFonts w:hint="eastAsia" w:ascii="仿宋_GB2312" w:hAnsi="宋体" w:cs="宋体"/>
                <w:kern w:val="0"/>
                <w:sz w:val="24"/>
                <w:szCs w:val="24"/>
                <w:lang w:val="en-US" w:eastAsia="zh-CN"/>
              </w:rPr>
            </w:pPr>
            <w:r>
              <w:rPr>
                <w:rFonts w:hint="eastAsia" w:ascii="仿宋_GB2312" w:hAnsi="宋体" w:cs="宋体"/>
                <w:kern w:val="0"/>
                <w:sz w:val="24"/>
                <w:szCs w:val="24"/>
                <w:lang w:val="en-US" w:eastAsia="zh-CN"/>
              </w:rPr>
              <w:t>红细胞和血小板类调剂量</w:t>
            </w:r>
          </w:p>
        </w:tc>
        <w:tc>
          <w:tcPr>
            <w:tcW w:w="768" w:type="dxa"/>
            <w:tcBorders>
              <w:tl2br w:val="nil"/>
              <w:tr2bl w:val="nil"/>
            </w:tcBorders>
            <w:shd w:val="clear" w:color="000000" w:fill="FFFFFF"/>
            <w:vAlign w:val="center"/>
          </w:tcPr>
          <w:p w14:paraId="71A77A94">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918" w:type="dxa"/>
            <w:tcBorders>
              <w:tl2br w:val="nil"/>
              <w:tr2bl w:val="nil"/>
            </w:tcBorders>
            <w:shd w:val="clear" w:color="000000" w:fill="FFFFFF"/>
            <w:vAlign w:val="center"/>
          </w:tcPr>
          <w:p w14:paraId="15078311">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149" w:type="dxa"/>
            <w:tcBorders>
              <w:tl2br w:val="nil"/>
              <w:tr2bl w:val="nil"/>
            </w:tcBorders>
            <w:shd w:val="clear" w:color="000000" w:fill="FFFFFF"/>
            <w:vAlign w:val="center"/>
          </w:tcPr>
          <w:p w14:paraId="57DC2FBD">
            <w:pPr>
              <w:keepNext w:val="0"/>
              <w:keepLines w:val="0"/>
              <w:widowControl/>
              <w:suppressLineNumbers w:val="0"/>
              <w:ind w:left="0" w:leftChars="0" w:firstLine="0" w:firstLineChars="0"/>
              <w:jc w:val="center"/>
              <w:textAlignment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036BC9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0" w:hRule="atLeast"/>
          <w:jc w:val="center"/>
        </w:trPr>
        <w:tc>
          <w:tcPr>
            <w:tcW w:w="1241" w:type="dxa"/>
            <w:vMerge w:val="continue"/>
            <w:tcBorders>
              <w:tl2br w:val="nil"/>
              <w:tr2bl w:val="nil"/>
            </w:tcBorders>
            <w:shd w:val="clear" w:color="auto" w:fill="FFFFFF"/>
            <w:vAlign w:val="center"/>
          </w:tcPr>
          <w:p w14:paraId="1FB7594F">
            <w:pPr>
              <w:widowControl/>
              <w:ind w:firstLine="0" w:firstLineChars="0"/>
              <w:jc w:val="center"/>
              <w:rPr>
                <w:rFonts w:ascii="仿宋_GB2312" w:hAnsi="宋体" w:cs="宋体"/>
                <w:kern w:val="0"/>
                <w:sz w:val="24"/>
                <w:szCs w:val="24"/>
              </w:rPr>
            </w:pPr>
          </w:p>
        </w:tc>
        <w:tc>
          <w:tcPr>
            <w:tcW w:w="1243" w:type="dxa"/>
            <w:vMerge w:val="continue"/>
            <w:tcBorders>
              <w:tl2br w:val="nil"/>
              <w:tr2bl w:val="nil"/>
            </w:tcBorders>
            <w:shd w:val="clear" w:color="auto" w:fill="FFFFFF"/>
            <w:vAlign w:val="center"/>
          </w:tcPr>
          <w:p w14:paraId="3F873262">
            <w:pPr>
              <w:widowControl/>
              <w:ind w:firstLine="0" w:firstLineChars="0"/>
              <w:jc w:val="center"/>
              <w:rPr>
                <w:rFonts w:ascii="仿宋_GB2312" w:hAnsi="宋体" w:cs="宋体"/>
                <w:kern w:val="0"/>
                <w:sz w:val="24"/>
                <w:szCs w:val="24"/>
              </w:rPr>
            </w:pPr>
          </w:p>
        </w:tc>
        <w:tc>
          <w:tcPr>
            <w:tcW w:w="3743" w:type="dxa"/>
            <w:tcBorders>
              <w:tl2br w:val="nil"/>
              <w:tr2bl w:val="nil"/>
            </w:tcBorders>
            <w:shd w:val="clear" w:color="auto" w:fill="FFFFFF"/>
            <w:vAlign w:val="top"/>
          </w:tcPr>
          <w:p w14:paraId="796AFA8F">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lang w:val="en-US" w:eastAsia="zh-CN"/>
              </w:rPr>
              <w:t>血浆和冷沉淀类调剂量</w:t>
            </w:r>
          </w:p>
        </w:tc>
        <w:tc>
          <w:tcPr>
            <w:tcW w:w="768" w:type="dxa"/>
            <w:tcBorders>
              <w:tl2br w:val="nil"/>
              <w:tr2bl w:val="nil"/>
            </w:tcBorders>
            <w:shd w:val="clear" w:color="000000" w:fill="FFFFFF"/>
            <w:vAlign w:val="center"/>
          </w:tcPr>
          <w:p w14:paraId="16421150">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918" w:type="dxa"/>
            <w:tcBorders>
              <w:tl2br w:val="nil"/>
              <w:tr2bl w:val="nil"/>
            </w:tcBorders>
            <w:shd w:val="clear" w:color="000000" w:fill="FFFFFF"/>
            <w:vAlign w:val="center"/>
          </w:tcPr>
          <w:p w14:paraId="2B7E8B6B">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149" w:type="dxa"/>
            <w:tcBorders>
              <w:tl2br w:val="nil"/>
              <w:tr2bl w:val="nil"/>
            </w:tcBorders>
            <w:shd w:val="clear" w:color="000000" w:fill="FFFFFF"/>
            <w:vAlign w:val="center"/>
          </w:tcPr>
          <w:p w14:paraId="639F25FD">
            <w:pPr>
              <w:keepNext w:val="0"/>
              <w:keepLines w:val="0"/>
              <w:widowControl/>
              <w:suppressLineNumbers w:val="0"/>
              <w:ind w:left="0" w:leftChars="0" w:firstLine="0" w:firstLineChars="0"/>
              <w:jc w:val="center"/>
              <w:textAlignment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4F18B4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0" w:hRule="atLeast"/>
          <w:jc w:val="center"/>
        </w:trPr>
        <w:tc>
          <w:tcPr>
            <w:tcW w:w="1241" w:type="dxa"/>
            <w:vMerge w:val="continue"/>
            <w:tcBorders>
              <w:tl2br w:val="nil"/>
              <w:tr2bl w:val="nil"/>
            </w:tcBorders>
            <w:shd w:val="clear" w:color="auto" w:fill="FFFFFF"/>
            <w:vAlign w:val="center"/>
          </w:tcPr>
          <w:p w14:paraId="6CF1CFB4">
            <w:pPr>
              <w:widowControl/>
              <w:ind w:firstLine="0" w:firstLineChars="0"/>
              <w:jc w:val="center"/>
            </w:pPr>
          </w:p>
        </w:tc>
        <w:tc>
          <w:tcPr>
            <w:tcW w:w="1243" w:type="dxa"/>
            <w:vMerge w:val="continue"/>
            <w:tcBorders>
              <w:tl2br w:val="nil"/>
              <w:tr2bl w:val="nil"/>
            </w:tcBorders>
            <w:shd w:val="clear" w:color="auto" w:fill="FFFFFF"/>
            <w:vAlign w:val="center"/>
          </w:tcPr>
          <w:p w14:paraId="04600612">
            <w:pPr>
              <w:widowControl/>
              <w:ind w:firstLine="0" w:firstLineChars="0"/>
              <w:jc w:val="center"/>
            </w:pPr>
          </w:p>
        </w:tc>
        <w:tc>
          <w:tcPr>
            <w:tcW w:w="3743" w:type="dxa"/>
            <w:tcBorders>
              <w:tl2br w:val="nil"/>
              <w:tr2bl w:val="nil"/>
            </w:tcBorders>
            <w:shd w:val="clear" w:color="auto" w:fill="FFFFFF"/>
            <w:vAlign w:val="top"/>
          </w:tcPr>
          <w:p w14:paraId="5D7765C4">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lang w:val="en-US" w:eastAsia="zh-CN"/>
              </w:rPr>
              <w:t>发放机采交通费数量</w:t>
            </w:r>
          </w:p>
        </w:tc>
        <w:tc>
          <w:tcPr>
            <w:tcW w:w="768" w:type="dxa"/>
            <w:tcBorders>
              <w:tl2br w:val="nil"/>
              <w:tr2bl w:val="nil"/>
            </w:tcBorders>
            <w:shd w:val="clear" w:color="000000" w:fill="FFFFFF"/>
            <w:vAlign w:val="center"/>
          </w:tcPr>
          <w:p w14:paraId="11B6D46F">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918" w:type="dxa"/>
            <w:tcBorders>
              <w:tl2br w:val="nil"/>
              <w:tr2bl w:val="nil"/>
            </w:tcBorders>
            <w:shd w:val="clear" w:color="000000" w:fill="FFFFFF"/>
            <w:vAlign w:val="center"/>
          </w:tcPr>
          <w:p w14:paraId="7C740F3C">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2.12</w:t>
            </w:r>
          </w:p>
        </w:tc>
        <w:tc>
          <w:tcPr>
            <w:tcW w:w="1149" w:type="dxa"/>
            <w:tcBorders>
              <w:tl2br w:val="nil"/>
              <w:tr2bl w:val="nil"/>
            </w:tcBorders>
            <w:shd w:val="clear" w:color="000000" w:fill="FFFFFF"/>
            <w:vAlign w:val="center"/>
          </w:tcPr>
          <w:p w14:paraId="60C3BBE1">
            <w:pPr>
              <w:keepNext w:val="0"/>
              <w:keepLines w:val="0"/>
              <w:widowControl/>
              <w:suppressLineNumbers w:val="0"/>
              <w:ind w:left="0" w:leftChars="0" w:firstLine="0" w:firstLineChars="0"/>
              <w:jc w:val="center"/>
              <w:textAlignment w:val="center"/>
              <w:rPr>
                <w:rFonts w:ascii="仿宋_GB2312" w:hAnsi="宋体" w:cs="宋体"/>
                <w:kern w:val="0"/>
                <w:sz w:val="24"/>
                <w:szCs w:val="24"/>
              </w:rPr>
            </w:pPr>
            <w:r>
              <w:rPr>
                <w:rFonts w:hint="eastAsia" w:ascii="仿宋_GB2312" w:hAnsi="宋体" w:cs="宋体"/>
                <w:kern w:val="0"/>
                <w:sz w:val="24"/>
                <w:szCs w:val="24"/>
                <w:lang w:val="en-US" w:eastAsia="zh-CN"/>
              </w:rPr>
              <w:t>70.63%</w:t>
            </w:r>
          </w:p>
        </w:tc>
      </w:tr>
      <w:tr w14:paraId="28F0A2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1" w:hRule="atLeast"/>
          <w:jc w:val="center"/>
        </w:trPr>
        <w:tc>
          <w:tcPr>
            <w:tcW w:w="1241" w:type="dxa"/>
            <w:vMerge w:val="continue"/>
            <w:tcBorders>
              <w:tl2br w:val="nil"/>
              <w:tr2bl w:val="nil"/>
            </w:tcBorders>
            <w:shd w:val="clear" w:color="auto" w:fill="FFFFFF"/>
            <w:vAlign w:val="center"/>
          </w:tcPr>
          <w:p w14:paraId="24A42255">
            <w:pPr>
              <w:widowControl/>
              <w:ind w:firstLine="0" w:firstLineChars="0"/>
              <w:jc w:val="center"/>
              <w:rPr>
                <w:rFonts w:ascii="仿宋_GB2312" w:hAnsi="宋体" w:cs="宋体"/>
                <w:kern w:val="0"/>
                <w:sz w:val="24"/>
                <w:szCs w:val="24"/>
              </w:rPr>
            </w:pPr>
          </w:p>
        </w:tc>
        <w:tc>
          <w:tcPr>
            <w:tcW w:w="1243" w:type="dxa"/>
            <w:vMerge w:val="continue"/>
            <w:tcBorders>
              <w:tl2br w:val="nil"/>
              <w:tr2bl w:val="nil"/>
            </w:tcBorders>
            <w:shd w:val="clear" w:color="auto" w:fill="FFFFFF"/>
            <w:vAlign w:val="center"/>
          </w:tcPr>
          <w:p w14:paraId="304737EB">
            <w:pPr>
              <w:widowControl/>
              <w:ind w:firstLine="0" w:firstLineChars="0"/>
              <w:jc w:val="center"/>
              <w:rPr>
                <w:rFonts w:ascii="仿宋_GB2312" w:hAnsi="宋体" w:cs="宋体"/>
                <w:kern w:val="0"/>
                <w:sz w:val="24"/>
                <w:szCs w:val="24"/>
              </w:rPr>
            </w:pPr>
          </w:p>
        </w:tc>
        <w:tc>
          <w:tcPr>
            <w:tcW w:w="3743" w:type="dxa"/>
            <w:tcBorders>
              <w:tl2br w:val="nil"/>
              <w:tr2bl w:val="nil"/>
            </w:tcBorders>
            <w:shd w:val="clear" w:color="auto" w:fill="FFFFFF"/>
            <w:vAlign w:val="top"/>
          </w:tcPr>
          <w:p w14:paraId="2DDA472D">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lang w:val="en-US" w:eastAsia="zh-CN"/>
              </w:rPr>
              <w:t>临聘人员数量</w:t>
            </w:r>
          </w:p>
        </w:tc>
        <w:tc>
          <w:tcPr>
            <w:tcW w:w="768" w:type="dxa"/>
            <w:tcBorders>
              <w:tl2br w:val="nil"/>
              <w:tr2bl w:val="nil"/>
            </w:tcBorders>
            <w:shd w:val="clear" w:color="000000" w:fill="FFFFFF"/>
            <w:vAlign w:val="center"/>
          </w:tcPr>
          <w:p w14:paraId="2D86252B">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918" w:type="dxa"/>
            <w:tcBorders>
              <w:tl2br w:val="nil"/>
              <w:tr2bl w:val="nil"/>
            </w:tcBorders>
            <w:shd w:val="clear" w:color="000000" w:fill="FFFFFF"/>
            <w:vAlign w:val="center"/>
          </w:tcPr>
          <w:p w14:paraId="1847E0AA">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149" w:type="dxa"/>
            <w:tcBorders>
              <w:tl2br w:val="nil"/>
              <w:tr2bl w:val="nil"/>
            </w:tcBorders>
            <w:shd w:val="clear" w:color="000000" w:fill="FFFFFF"/>
            <w:vAlign w:val="center"/>
          </w:tcPr>
          <w:p w14:paraId="6DAD36BD">
            <w:pPr>
              <w:keepNext w:val="0"/>
              <w:keepLines w:val="0"/>
              <w:widowControl/>
              <w:suppressLineNumbers w:val="0"/>
              <w:ind w:left="0" w:leftChars="0" w:firstLine="0" w:firstLineChars="0"/>
              <w:jc w:val="center"/>
              <w:textAlignment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609C28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1" w:hRule="atLeast"/>
          <w:jc w:val="center"/>
        </w:trPr>
        <w:tc>
          <w:tcPr>
            <w:tcW w:w="1241" w:type="dxa"/>
            <w:vMerge w:val="continue"/>
            <w:tcBorders>
              <w:tl2br w:val="nil"/>
              <w:tr2bl w:val="nil"/>
            </w:tcBorders>
            <w:shd w:val="clear" w:color="auto" w:fill="FFFFFF"/>
            <w:vAlign w:val="center"/>
          </w:tcPr>
          <w:p w14:paraId="3711B278">
            <w:pPr>
              <w:widowControl/>
              <w:ind w:firstLine="0" w:firstLineChars="0"/>
              <w:jc w:val="center"/>
            </w:pPr>
          </w:p>
        </w:tc>
        <w:tc>
          <w:tcPr>
            <w:tcW w:w="1243" w:type="dxa"/>
            <w:vMerge w:val="continue"/>
            <w:tcBorders>
              <w:tl2br w:val="nil"/>
              <w:tr2bl w:val="nil"/>
            </w:tcBorders>
            <w:shd w:val="clear" w:color="auto" w:fill="FFFFFF"/>
            <w:vAlign w:val="center"/>
          </w:tcPr>
          <w:p w14:paraId="56653F26">
            <w:pPr>
              <w:widowControl/>
              <w:ind w:firstLine="0" w:firstLineChars="0"/>
              <w:jc w:val="center"/>
            </w:pPr>
          </w:p>
        </w:tc>
        <w:tc>
          <w:tcPr>
            <w:tcW w:w="3743" w:type="dxa"/>
            <w:tcBorders>
              <w:tl2br w:val="nil"/>
              <w:tr2bl w:val="nil"/>
            </w:tcBorders>
            <w:shd w:val="clear" w:color="auto" w:fill="FFFFFF"/>
            <w:vAlign w:val="top"/>
          </w:tcPr>
          <w:p w14:paraId="2EE0D842">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lang w:val="en-US" w:eastAsia="zh-CN"/>
              </w:rPr>
              <w:t>支付欠款项目数量</w:t>
            </w:r>
          </w:p>
        </w:tc>
        <w:tc>
          <w:tcPr>
            <w:tcW w:w="768" w:type="dxa"/>
            <w:tcBorders>
              <w:tl2br w:val="nil"/>
              <w:tr2bl w:val="nil"/>
            </w:tcBorders>
            <w:shd w:val="clear" w:color="000000" w:fill="FFFFFF"/>
            <w:vAlign w:val="center"/>
          </w:tcPr>
          <w:p w14:paraId="06F1C401">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918" w:type="dxa"/>
            <w:tcBorders>
              <w:tl2br w:val="nil"/>
              <w:tr2bl w:val="nil"/>
            </w:tcBorders>
            <w:shd w:val="clear" w:color="000000" w:fill="FFFFFF"/>
            <w:vAlign w:val="center"/>
          </w:tcPr>
          <w:p w14:paraId="5890B4CD">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149" w:type="dxa"/>
            <w:tcBorders>
              <w:tl2br w:val="nil"/>
              <w:tr2bl w:val="nil"/>
            </w:tcBorders>
            <w:shd w:val="clear" w:color="000000" w:fill="FFFFFF"/>
            <w:vAlign w:val="center"/>
          </w:tcPr>
          <w:p w14:paraId="5E594EF0">
            <w:pPr>
              <w:keepNext w:val="0"/>
              <w:keepLines w:val="0"/>
              <w:widowControl/>
              <w:suppressLineNumbers w:val="0"/>
              <w:ind w:left="0" w:leftChars="0" w:firstLine="0" w:firstLineChars="0"/>
              <w:jc w:val="center"/>
              <w:textAlignment w:val="center"/>
              <w:rPr>
                <w:rFonts w:ascii="仿宋_GB2312" w:hAnsi="宋体" w:cs="宋体"/>
                <w:kern w:val="0"/>
                <w:sz w:val="24"/>
                <w:szCs w:val="24"/>
              </w:rPr>
            </w:pPr>
            <w:r>
              <w:rPr>
                <w:rFonts w:hint="eastAsia" w:ascii="宋体" w:hAnsi="宋体" w:eastAsia="宋体" w:cs="宋体"/>
                <w:i w:val="0"/>
                <w:iCs w:val="0"/>
                <w:color w:val="000000"/>
                <w:kern w:val="0"/>
                <w:sz w:val="22"/>
                <w:szCs w:val="22"/>
                <w:u w:val="none"/>
                <w:lang w:val="en-US" w:eastAsia="zh-CN" w:bidi="ar"/>
              </w:rPr>
              <w:t>100%</w:t>
            </w:r>
          </w:p>
        </w:tc>
      </w:tr>
      <w:tr w14:paraId="394482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1" w:hRule="atLeast"/>
          <w:jc w:val="center"/>
        </w:trPr>
        <w:tc>
          <w:tcPr>
            <w:tcW w:w="1241" w:type="dxa"/>
            <w:vMerge w:val="continue"/>
            <w:tcBorders>
              <w:tl2br w:val="nil"/>
              <w:tr2bl w:val="nil"/>
            </w:tcBorders>
            <w:shd w:val="clear" w:color="auto" w:fill="FFFFFF"/>
            <w:vAlign w:val="center"/>
          </w:tcPr>
          <w:p w14:paraId="784BB438">
            <w:pPr>
              <w:widowControl/>
              <w:ind w:firstLine="0" w:firstLineChars="0"/>
              <w:jc w:val="center"/>
              <w:rPr>
                <w:rFonts w:ascii="仿宋_GB2312" w:hAnsi="宋体" w:cs="宋体"/>
                <w:kern w:val="0"/>
                <w:sz w:val="24"/>
                <w:szCs w:val="24"/>
              </w:rPr>
            </w:pPr>
          </w:p>
        </w:tc>
        <w:tc>
          <w:tcPr>
            <w:tcW w:w="1243" w:type="dxa"/>
            <w:vMerge w:val="restart"/>
            <w:tcBorders>
              <w:tl2br w:val="nil"/>
              <w:tr2bl w:val="nil"/>
            </w:tcBorders>
            <w:shd w:val="clear" w:color="auto" w:fill="FFFFFF"/>
            <w:vAlign w:val="center"/>
          </w:tcPr>
          <w:p w14:paraId="6E8AD3E2">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产出质量</w:t>
            </w:r>
          </w:p>
        </w:tc>
        <w:tc>
          <w:tcPr>
            <w:tcW w:w="3743" w:type="dxa"/>
            <w:tcBorders>
              <w:tl2br w:val="nil"/>
              <w:tr2bl w:val="nil"/>
            </w:tcBorders>
            <w:shd w:val="clear" w:color="auto" w:fill="FFFFFF"/>
            <w:vAlign w:val="center"/>
          </w:tcPr>
          <w:p w14:paraId="34E5C7B1">
            <w:pPr>
              <w:widowControl/>
              <w:ind w:firstLine="0" w:firstLineChars="0"/>
              <w:jc w:val="center"/>
              <w:rPr>
                <w:rFonts w:hint="eastAsia" w:ascii="仿宋_GB2312" w:hAnsi="宋体" w:cs="宋体"/>
                <w:kern w:val="0"/>
                <w:sz w:val="24"/>
                <w:szCs w:val="24"/>
                <w:lang w:val="en-US" w:eastAsia="zh-CN"/>
              </w:rPr>
            </w:pPr>
            <w:r>
              <w:rPr>
                <w:rFonts w:hint="eastAsia" w:ascii="仿宋_GB2312" w:hAnsi="宋体" w:cs="宋体"/>
                <w:kern w:val="0"/>
                <w:sz w:val="24"/>
                <w:szCs w:val="24"/>
                <w:lang w:val="en-US" w:eastAsia="zh-CN"/>
              </w:rPr>
              <w:t>一次性验收合格率</w:t>
            </w:r>
          </w:p>
        </w:tc>
        <w:tc>
          <w:tcPr>
            <w:tcW w:w="768" w:type="dxa"/>
            <w:tcBorders>
              <w:tl2br w:val="nil"/>
              <w:tr2bl w:val="nil"/>
            </w:tcBorders>
            <w:shd w:val="clear" w:color="000000" w:fill="FFFFFF"/>
            <w:vAlign w:val="center"/>
          </w:tcPr>
          <w:p w14:paraId="3E40CFBB">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lang w:val="en-US" w:eastAsia="zh-CN"/>
              </w:rPr>
              <w:t>4</w:t>
            </w:r>
          </w:p>
        </w:tc>
        <w:tc>
          <w:tcPr>
            <w:tcW w:w="918" w:type="dxa"/>
            <w:tcBorders>
              <w:tl2br w:val="nil"/>
              <w:tr2bl w:val="nil"/>
            </w:tcBorders>
            <w:shd w:val="clear" w:color="000000" w:fill="FFFFFF"/>
            <w:vAlign w:val="center"/>
          </w:tcPr>
          <w:p w14:paraId="55198414">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4</w:t>
            </w:r>
          </w:p>
        </w:tc>
        <w:tc>
          <w:tcPr>
            <w:tcW w:w="1149" w:type="dxa"/>
            <w:tcBorders>
              <w:tl2br w:val="nil"/>
              <w:tr2bl w:val="nil"/>
            </w:tcBorders>
            <w:shd w:val="clear" w:color="000000" w:fill="FFFFFF"/>
            <w:vAlign w:val="center"/>
          </w:tcPr>
          <w:p w14:paraId="102EF8C2">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5FC6EA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1" w:hRule="atLeast"/>
          <w:jc w:val="center"/>
        </w:trPr>
        <w:tc>
          <w:tcPr>
            <w:tcW w:w="1241" w:type="dxa"/>
            <w:vMerge w:val="continue"/>
            <w:tcBorders>
              <w:tl2br w:val="nil"/>
              <w:tr2bl w:val="nil"/>
            </w:tcBorders>
            <w:shd w:val="clear" w:color="auto" w:fill="FFFFFF"/>
            <w:vAlign w:val="center"/>
          </w:tcPr>
          <w:p w14:paraId="3E2BDF9C">
            <w:pPr>
              <w:widowControl/>
              <w:ind w:firstLine="0" w:firstLineChars="0"/>
              <w:jc w:val="center"/>
            </w:pPr>
          </w:p>
        </w:tc>
        <w:tc>
          <w:tcPr>
            <w:tcW w:w="1243" w:type="dxa"/>
            <w:vMerge w:val="continue"/>
            <w:tcBorders>
              <w:tl2br w:val="nil"/>
              <w:tr2bl w:val="nil"/>
            </w:tcBorders>
            <w:shd w:val="clear" w:color="auto" w:fill="FFFFFF"/>
            <w:vAlign w:val="center"/>
          </w:tcPr>
          <w:p w14:paraId="3EF70EE7">
            <w:pPr>
              <w:widowControl/>
              <w:ind w:firstLine="0" w:firstLineChars="0"/>
              <w:jc w:val="center"/>
            </w:pPr>
          </w:p>
        </w:tc>
        <w:tc>
          <w:tcPr>
            <w:tcW w:w="3743" w:type="dxa"/>
            <w:tcBorders>
              <w:tl2br w:val="nil"/>
              <w:tr2bl w:val="nil"/>
            </w:tcBorders>
            <w:shd w:val="clear" w:color="auto" w:fill="FFFFFF"/>
            <w:vAlign w:val="center"/>
          </w:tcPr>
          <w:p w14:paraId="3405CF6D">
            <w:pPr>
              <w:widowControl/>
              <w:ind w:firstLine="0" w:firstLineChars="0"/>
              <w:jc w:val="center"/>
              <w:rPr>
                <w:rFonts w:hint="eastAsia" w:ascii="仿宋_GB2312" w:hAnsi="宋体" w:cs="宋体"/>
                <w:kern w:val="0"/>
                <w:sz w:val="24"/>
                <w:szCs w:val="24"/>
                <w:lang w:val="en-US" w:eastAsia="zh-CN"/>
              </w:rPr>
            </w:pPr>
            <w:r>
              <w:rPr>
                <w:rFonts w:hint="eastAsia" w:ascii="仿宋_GB2312" w:hAnsi="宋体" w:cs="宋体"/>
                <w:kern w:val="0"/>
                <w:sz w:val="24"/>
                <w:szCs w:val="24"/>
                <w:lang w:val="en-US" w:eastAsia="zh-CN"/>
              </w:rPr>
              <w:t>报销血费、返还医院奖励金合规性</w:t>
            </w:r>
          </w:p>
        </w:tc>
        <w:tc>
          <w:tcPr>
            <w:tcW w:w="768" w:type="dxa"/>
            <w:tcBorders>
              <w:tl2br w:val="nil"/>
              <w:tr2bl w:val="nil"/>
            </w:tcBorders>
            <w:shd w:val="clear" w:color="000000" w:fill="FFFFFF"/>
            <w:vAlign w:val="center"/>
          </w:tcPr>
          <w:p w14:paraId="50699370">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lang w:val="en-US" w:eastAsia="zh-CN"/>
              </w:rPr>
              <w:t>4</w:t>
            </w:r>
          </w:p>
        </w:tc>
        <w:tc>
          <w:tcPr>
            <w:tcW w:w="918" w:type="dxa"/>
            <w:tcBorders>
              <w:tl2br w:val="nil"/>
              <w:tr2bl w:val="nil"/>
            </w:tcBorders>
            <w:shd w:val="clear" w:color="000000" w:fill="FFFFFF"/>
            <w:vAlign w:val="center"/>
          </w:tcPr>
          <w:p w14:paraId="257BD625">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4</w:t>
            </w:r>
          </w:p>
        </w:tc>
        <w:tc>
          <w:tcPr>
            <w:tcW w:w="1149" w:type="dxa"/>
            <w:tcBorders>
              <w:tl2br w:val="nil"/>
              <w:tr2bl w:val="nil"/>
            </w:tcBorders>
            <w:shd w:val="clear" w:color="000000" w:fill="FFFFFF"/>
            <w:vAlign w:val="center"/>
          </w:tcPr>
          <w:p w14:paraId="4BE54368">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6C61D7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3" w:hRule="atLeast"/>
          <w:jc w:val="center"/>
        </w:trPr>
        <w:tc>
          <w:tcPr>
            <w:tcW w:w="1241" w:type="dxa"/>
            <w:vMerge w:val="continue"/>
            <w:tcBorders>
              <w:tl2br w:val="nil"/>
              <w:tr2bl w:val="nil"/>
            </w:tcBorders>
            <w:shd w:val="clear" w:color="auto" w:fill="FFFFFF"/>
            <w:vAlign w:val="center"/>
          </w:tcPr>
          <w:p w14:paraId="28AE90BC">
            <w:pPr>
              <w:ind w:firstLine="0" w:firstLineChars="0"/>
              <w:jc w:val="center"/>
              <w:rPr>
                <w:rFonts w:ascii="仿宋_GB2312" w:hAnsi="宋体" w:cs="宋体"/>
                <w:kern w:val="0"/>
                <w:sz w:val="24"/>
                <w:szCs w:val="24"/>
              </w:rPr>
            </w:pPr>
          </w:p>
        </w:tc>
        <w:tc>
          <w:tcPr>
            <w:tcW w:w="1243" w:type="dxa"/>
            <w:tcBorders>
              <w:tl2br w:val="nil"/>
              <w:tr2bl w:val="nil"/>
            </w:tcBorders>
            <w:shd w:val="clear" w:color="auto" w:fill="FFFFFF"/>
            <w:vAlign w:val="center"/>
          </w:tcPr>
          <w:p w14:paraId="3376C5BE">
            <w:pPr>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产出时效</w:t>
            </w:r>
          </w:p>
        </w:tc>
        <w:tc>
          <w:tcPr>
            <w:tcW w:w="3743" w:type="dxa"/>
            <w:tcBorders>
              <w:tl2br w:val="nil"/>
              <w:tr2bl w:val="nil"/>
            </w:tcBorders>
            <w:shd w:val="clear" w:color="auto" w:fill="FFFFFF"/>
            <w:vAlign w:val="center"/>
          </w:tcPr>
          <w:p w14:paraId="1B688A54">
            <w:pPr>
              <w:widowControl/>
              <w:ind w:firstLine="0" w:firstLineChars="0"/>
              <w:jc w:val="center"/>
              <w:rPr>
                <w:rFonts w:hint="eastAsia" w:ascii="仿宋_GB2312" w:hAnsi="宋体" w:cs="宋体"/>
                <w:kern w:val="0"/>
                <w:sz w:val="24"/>
                <w:szCs w:val="24"/>
                <w:highlight w:val="none"/>
              </w:rPr>
            </w:pPr>
            <w:r>
              <w:rPr>
                <w:rFonts w:hint="eastAsia" w:ascii="仿宋_GB2312" w:hAnsi="宋体" w:cs="宋体"/>
                <w:kern w:val="0"/>
                <w:sz w:val="24"/>
                <w:szCs w:val="24"/>
                <w:highlight w:val="none"/>
                <w:lang w:val="en-US" w:eastAsia="zh-CN"/>
              </w:rPr>
              <w:t>项目完成时间</w:t>
            </w:r>
          </w:p>
        </w:tc>
        <w:tc>
          <w:tcPr>
            <w:tcW w:w="768" w:type="dxa"/>
            <w:tcBorders>
              <w:tl2br w:val="nil"/>
              <w:tr2bl w:val="nil"/>
            </w:tcBorders>
            <w:shd w:val="clear" w:color="000000" w:fill="FFFFFF"/>
            <w:vAlign w:val="center"/>
          </w:tcPr>
          <w:p w14:paraId="718F6B84">
            <w:pPr>
              <w:widowControl/>
              <w:ind w:firstLine="0" w:firstLineChars="0"/>
              <w:jc w:val="center"/>
              <w:rPr>
                <w:rFonts w:ascii="仿宋_GB2312" w:hAnsi="宋体" w:cs="宋体"/>
                <w:kern w:val="0"/>
                <w:sz w:val="24"/>
                <w:szCs w:val="24"/>
              </w:rPr>
            </w:pPr>
            <w:r>
              <w:rPr>
                <w:rFonts w:ascii="仿宋_GB2312" w:hAnsi="宋体" w:cs="宋体"/>
                <w:kern w:val="0"/>
                <w:sz w:val="24"/>
                <w:szCs w:val="24"/>
              </w:rPr>
              <w:t>5</w:t>
            </w:r>
          </w:p>
        </w:tc>
        <w:tc>
          <w:tcPr>
            <w:tcW w:w="918" w:type="dxa"/>
            <w:tcBorders>
              <w:tl2br w:val="nil"/>
              <w:tr2bl w:val="nil"/>
            </w:tcBorders>
            <w:shd w:val="clear" w:color="000000" w:fill="FFFFFF"/>
            <w:vAlign w:val="center"/>
          </w:tcPr>
          <w:p w14:paraId="49652268">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5</w:t>
            </w:r>
          </w:p>
        </w:tc>
        <w:tc>
          <w:tcPr>
            <w:tcW w:w="1149" w:type="dxa"/>
            <w:tcBorders>
              <w:tl2br w:val="nil"/>
              <w:tr2bl w:val="nil"/>
            </w:tcBorders>
            <w:shd w:val="clear" w:color="000000" w:fill="FFFFFF"/>
            <w:vAlign w:val="center"/>
          </w:tcPr>
          <w:p w14:paraId="3C1C95CF">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100%</w:t>
            </w:r>
          </w:p>
        </w:tc>
      </w:tr>
      <w:tr w14:paraId="16B105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 w:hRule="atLeast"/>
          <w:jc w:val="center"/>
        </w:trPr>
        <w:tc>
          <w:tcPr>
            <w:tcW w:w="1241" w:type="dxa"/>
            <w:vMerge w:val="continue"/>
            <w:tcBorders>
              <w:tl2br w:val="nil"/>
              <w:tr2bl w:val="nil"/>
            </w:tcBorders>
            <w:shd w:val="clear" w:color="auto" w:fill="FFFFFF"/>
            <w:vAlign w:val="center"/>
          </w:tcPr>
          <w:p w14:paraId="1FE7CA01">
            <w:pPr>
              <w:widowControl/>
              <w:ind w:firstLine="0" w:firstLineChars="0"/>
              <w:jc w:val="center"/>
              <w:rPr>
                <w:rFonts w:ascii="仿宋_GB2312" w:hAnsi="宋体" w:cs="宋体"/>
                <w:kern w:val="0"/>
                <w:sz w:val="24"/>
                <w:szCs w:val="24"/>
              </w:rPr>
            </w:pPr>
          </w:p>
        </w:tc>
        <w:tc>
          <w:tcPr>
            <w:tcW w:w="1243" w:type="dxa"/>
            <w:vMerge w:val="restart"/>
            <w:tcBorders>
              <w:tl2br w:val="nil"/>
              <w:tr2bl w:val="nil"/>
            </w:tcBorders>
            <w:shd w:val="clear" w:color="auto" w:fill="FFFFFF"/>
            <w:vAlign w:val="center"/>
          </w:tcPr>
          <w:p w14:paraId="42A9237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产出成本</w:t>
            </w:r>
          </w:p>
        </w:tc>
        <w:tc>
          <w:tcPr>
            <w:tcW w:w="3743" w:type="dxa"/>
            <w:tcBorders>
              <w:tl2br w:val="nil"/>
              <w:tr2bl w:val="nil"/>
            </w:tcBorders>
            <w:shd w:val="clear" w:color="auto" w:fill="FFFFFF"/>
            <w:vAlign w:val="center"/>
          </w:tcPr>
          <w:p w14:paraId="1C82B96D">
            <w:pPr>
              <w:widowControl/>
              <w:ind w:firstLine="0" w:firstLineChars="0"/>
              <w:jc w:val="center"/>
              <w:rPr>
                <w:rFonts w:hint="eastAsia" w:ascii="仿宋_GB2312" w:hAnsi="宋体" w:cs="宋体"/>
                <w:kern w:val="0"/>
                <w:sz w:val="24"/>
                <w:szCs w:val="24"/>
                <w:lang w:val="en-US" w:eastAsia="zh-CN"/>
              </w:rPr>
            </w:pPr>
            <w:r>
              <w:rPr>
                <w:rFonts w:hint="eastAsia" w:ascii="仿宋_GB2312" w:hAnsi="宋体" w:cs="宋体"/>
                <w:kern w:val="0"/>
                <w:sz w:val="24"/>
                <w:szCs w:val="24"/>
                <w:lang w:val="en-US" w:eastAsia="zh-CN"/>
              </w:rPr>
              <w:t>电费</w:t>
            </w:r>
          </w:p>
        </w:tc>
        <w:tc>
          <w:tcPr>
            <w:tcW w:w="768" w:type="dxa"/>
            <w:tcBorders>
              <w:tl2br w:val="nil"/>
              <w:tr2bl w:val="nil"/>
            </w:tcBorders>
            <w:shd w:val="clear" w:color="000000" w:fill="FFFFFF"/>
            <w:vAlign w:val="center"/>
          </w:tcPr>
          <w:p w14:paraId="06064410">
            <w:pPr>
              <w:widowControl/>
              <w:ind w:firstLine="0" w:firstLineChars="0"/>
              <w:jc w:val="center"/>
              <w:rPr>
                <w:rFonts w:hint="eastAsia" w:ascii="仿宋_GB2312" w:hAnsi="宋体" w:cs="宋体"/>
                <w:kern w:val="0"/>
                <w:sz w:val="24"/>
                <w:szCs w:val="24"/>
                <w:lang w:val="en-US" w:eastAsia="zh-CN"/>
              </w:rPr>
            </w:pPr>
            <w:r>
              <w:rPr>
                <w:rFonts w:hint="eastAsia" w:ascii="仿宋_GB2312" w:hAnsi="宋体" w:cs="宋体"/>
                <w:kern w:val="0"/>
                <w:sz w:val="24"/>
                <w:szCs w:val="24"/>
                <w:lang w:val="en-US" w:eastAsia="zh-CN"/>
              </w:rPr>
              <w:t>2</w:t>
            </w:r>
          </w:p>
        </w:tc>
        <w:tc>
          <w:tcPr>
            <w:tcW w:w="918" w:type="dxa"/>
            <w:tcBorders>
              <w:tl2br w:val="nil"/>
              <w:tr2bl w:val="nil"/>
            </w:tcBorders>
            <w:shd w:val="clear" w:color="000000" w:fill="FFFFFF"/>
            <w:vAlign w:val="center"/>
          </w:tcPr>
          <w:p w14:paraId="2D727F42">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lang w:val="en-US" w:eastAsia="zh-CN"/>
              </w:rPr>
              <w:t>2</w:t>
            </w:r>
          </w:p>
        </w:tc>
        <w:tc>
          <w:tcPr>
            <w:tcW w:w="1149" w:type="dxa"/>
            <w:tcBorders>
              <w:tl2br w:val="nil"/>
              <w:tr2bl w:val="nil"/>
            </w:tcBorders>
            <w:shd w:val="clear" w:color="000000" w:fill="FFFFFF"/>
            <w:vAlign w:val="center"/>
          </w:tcPr>
          <w:p w14:paraId="44EE7E7F">
            <w:pPr>
              <w:widowControl/>
              <w:ind w:firstLine="0" w:firstLineChars="0"/>
              <w:jc w:val="center"/>
              <w:rPr>
                <w:rFonts w:hint="eastAsia" w:ascii="仿宋_GB2312" w:hAnsi="宋体" w:cs="宋体"/>
                <w:kern w:val="0"/>
                <w:sz w:val="24"/>
                <w:szCs w:val="24"/>
                <w:lang w:val="en-US" w:eastAsia="zh-CN"/>
              </w:rPr>
            </w:pPr>
            <w:r>
              <w:rPr>
                <w:rFonts w:hint="eastAsia" w:ascii="仿宋_GB2312" w:hAnsi="宋体" w:cs="宋体"/>
                <w:kern w:val="0"/>
                <w:sz w:val="24"/>
                <w:szCs w:val="24"/>
                <w:lang w:val="en-US" w:eastAsia="zh-CN"/>
              </w:rPr>
              <w:t>100%</w:t>
            </w:r>
          </w:p>
        </w:tc>
      </w:tr>
      <w:tr w14:paraId="094612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 w:hRule="atLeast"/>
          <w:jc w:val="center"/>
        </w:trPr>
        <w:tc>
          <w:tcPr>
            <w:tcW w:w="1241" w:type="dxa"/>
            <w:vMerge w:val="continue"/>
            <w:tcBorders>
              <w:tl2br w:val="nil"/>
              <w:tr2bl w:val="nil"/>
            </w:tcBorders>
            <w:shd w:val="clear" w:color="auto" w:fill="FFFFFF"/>
            <w:vAlign w:val="center"/>
          </w:tcPr>
          <w:p w14:paraId="28B910A2">
            <w:pPr>
              <w:widowControl/>
              <w:ind w:firstLine="0" w:firstLineChars="0"/>
              <w:jc w:val="center"/>
            </w:pPr>
          </w:p>
        </w:tc>
        <w:tc>
          <w:tcPr>
            <w:tcW w:w="1243" w:type="dxa"/>
            <w:vMerge w:val="continue"/>
            <w:tcBorders>
              <w:tl2br w:val="nil"/>
              <w:tr2bl w:val="nil"/>
            </w:tcBorders>
            <w:shd w:val="clear" w:color="auto" w:fill="FFFFFF"/>
            <w:vAlign w:val="center"/>
          </w:tcPr>
          <w:p w14:paraId="4ADE2BAE">
            <w:pPr>
              <w:widowControl/>
              <w:ind w:firstLine="0" w:firstLineChars="0"/>
              <w:jc w:val="center"/>
            </w:pPr>
          </w:p>
        </w:tc>
        <w:tc>
          <w:tcPr>
            <w:tcW w:w="3743" w:type="dxa"/>
            <w:tcBorders>
              <w:tl2br w:val="nil"/>
              <w:tr2bl w:val="nil"/>
            </w:tcBorders>
            <w:shd w:val="clear" w:color="auto" w:fill="FFFFFF"/>
            <w:vAlign w:val="center"/>
          </w:tcPr>
          <w:p w14:paraId="30BCBA72">
            <w:pPr>
              <w:widowControl/>
              <w:ind w:firstLine="0" w:firstLineChars="0"/>
              <w:jc w:val="center"/>
              <w:rPr>
                <w:rFonts w:hint="eastAsia" w:ascii="仿宋_GB2312" w:hAnsi="宋体" w:cs="宋体"/>
                <w:kern w:val="0"/>
                <w:sz w:val="24"/>
                <w:szCs w:val="24"/>
                <w:lang w:val="en-US" w:eastAsia="zh-CN"/>
              </w:rPr>
            </w:pPr>
            <w:r>
              <w:rPr>
                <w:rFonts w:hint="eastAsia" w:ascii="仿宋_GB2312" w:hAnsi="宋体" w:cs="宋体"/>
                <w:kern w:val="0"/>
                <w:sz w:val="24"/>
                <w:szCs w:val="24"/>
                <w:lang w:val="en-US" w:eastAsia="zh-CN"/>
              </w:rPr>
              <w:t>设备、电梯维修维保等费用</w:t>
            </w:r>
          </w:p>
        </w:tc>
        <w:tc>
          <w:tcPr>
            <w:tcW w:w="768" w:type="dxa"/>
            <w:tcBorders>
              <w:tl2br w:val="nil"/>
              <w:tr2bl w:val="nil"/>
            </w:tcBorders>
            <w:shd w:val="clear" w:color="000000" w:fill="FFFFFF"/>
            <w:vAlign w:val="center"/>
          </w:tcPr>
          <w:p w14:paraId="16364CE2">
            <w:pPr>
              <w:widowControl/>
              <w:ind w:firstLine="0" w:firstLineChars="0"/>
              <w:jc w:val="center"/>
              <w:rPr>
                <w:rFonts w:hint="eastAsia" w:ascii="仿宋_GB2312" w:hAnsi="宋体" w:cs="宋体"/>
                <w:kern w:val="0"/>
                <w:sz w:val="24"/>
                <w:szCs w:val="24"/>
                <w:lang w:val="en-US" w:eastAsia="zh-CN"/>
              </w:rPr>
            </w:pPr>
            <w:r>
              <w:rPr>
                <w:rFonts w:hint="eastAsia" w:ascii="仿宋_GB2312" w:hAnsi="宋体" w:cs="宋体"/>
                <w:kern w:val="0"/>
                <w:sz w:val="24"/>
                <w:szCs w:val="24"/>
                <w:lang w:val="en-US" w:eastAsia="zh-CN"/>
              </w:rPr>
              <w:t>3</w:t>
            </w:r>
          </w:p>
        </w:tc>
        <w:tc>
          <w:tcPr>
            <w:tcW w:w="918" w:type="dxa"/>
            <w:tcBorders>
              <w:tl2br w:val="nil"/>
              <w:tr2bl w:val="nil"/>
            </w:tcBorders>
            <w:shd w:val="clear" w:color="000000" w:fill="FFFFFF"/>
            <w:vAlign w:val="center"/>
          </w:tcPr>
          <w:p w14:paraId="6E8DCC8C">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lang w:val="en-US" w:eastAsia="zh-CN"/>
              </w:rPr>
              <w:t>3</w:t>
            </w:r>
          </w:p>
        </w:tc>
        <w:tc>
          <w:tcPr>
            <w:tcW w:w="1149" w:type="dxa"/>
            <w:tcBorders>
              <w:tl2br w:val="nil"/>
              <w:tr2bl w:val="nil"/>
            </w:tcBorders>
            <w:shd w:val="clear" w:color="000000" w:fill="FFFFFF"/>
            <w:vAlign w:val="center"/>
          </w:tcPr>
          <w:p w14:paraId="1BF11696">
            <w:pPr>
              <w:widowControl/>
              <w:ind w:firstLine="0" w:firstLineChars="0"/>
              <w:jc w:val="center"/>
              <w:rPr>
                <w:rFonts w:hint="eastAsia" w:ascii="仿宋_GB2312" w:hAnsi="宋体" w:cs="宋体"/>
                <w:kern w:val="0"/>
                <w:sz w:val="24"/>
                <w:szCs w:val="24"/>
                <w:lang w:val="en-US" w:eastAsia="zh-CN"/>
              </w:rPr>
            </w:pPr>
            <w:r>
              <w:rPr>
                <w:rFonts w:hint="eastAsia" w:ascii="仿宋_GB2312" w:hAnsi="宋体" w:cs="宋体"/>
                <w:kern w:val="0"/>
                <w:sz w:val="24"/>
                <w:szCs w:val="24"/>
                <w:lang w:val="en-US" w:eastAsia="zh-CN"/>
              </w:rPr>
              <w:t>100%</w:t>
            </w:r>
          </w:p>
        </w:tc>
      </w:tr>
      <w:tr w14:paraId="6A9A9A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 w:hRule="atLeast"/>
          <w:jc w:val="center"/>
        </w:trPr>
        <w:tc>
          <w:tcPr>
            <w:tcW w:w="1241" w:type="dxa"/>
            <w:vMerge w:val="continue"/>
            <w:tcBorders>
              <w:tl2br w:val="nil"/>
              <w:tr2bl w:val="nil"/>
            </w:tcBorders>
            <w:shd w:val="clear" w:color="auto" w:fill="FFFFFF"/>
            <w:vAlign w:val="center"/>
          </w:tcPr>
          <w:p w14:paraId="26C4C65E">
            <w:pPr>
              <w:widowControl/>
              <w:ind w:firstLine="0" w:firstLineChars="0"/>
              <w:jc w:val="center"/>
              <w:rPr>
                <w:rFonts w:ascii="仿宋_GB2312" w:hAnsi="宋体" w:cs="宋体"/>
                <w:kern w:val="0"/>
                <w:sz w:val="24"/>
                <w:szCs w:val="24"/>
              </w:rPr>
            </w:pPr>
          </w:p>
        </w:tc>
        <w:tc>
          <w:tcPr>
            <w:tcW w:w="1243" w:type="dxa"/>
            <w:vMerge w:val="continue"/>
            <w:tcBorders>
              <w:tl2br w:val="nil"/>
              <w:tr2bl w:val="nil"/>
            </w:tcBorders>
            <w:shd w:val="clear" w:color="auto" w:fill="FFFFFF"/>
            <w:vAlign w:val="center"/>
          </w:tcPr>
          <w:p w14:paraId="7E5B5A52">
            <w:pPr>
              <w:widowControl/>
              <w:ind w:firstLine="0" w:firstLineChars="0"/>
              <w:jc w:val="center"/>
              <w:rPr>
                <w:rFonts w:ascii="仿宋_GB2312" w:hAnsi="宋体" w:cs="宋体"/>
                <w:kern w:val="0"/>
                <w:sz w:val="24"/>
                <w:szCs w:val="24"/>
              </w:rPr>
            </w:pPr>
          </w:p>
        </w:tc>
        <w:tc>
          <w:tcPr>
            <w:tcW w:w="3743" w:type="dxa"/>
            <w:tcBorders>
              <w:tl2br w:val="nil"/>
              <w:tr2bl w:val="nil"/>
            </w:tcBorders>
            <w:shd w:val="clear" w:color="auto" w:fill="FFFFFF"/>
            <w:vAlign w:val="center"/>
          </w:tcPr>
          <w:p w14:paraId="15DF7FC5">
            <w:pPr>
              <w:widowControl/>
              <w:ind w:firstLine="0" w:firstLineChars="0"/>
              <w:jc w:val="center"/>
              <w:rPr>
                <w:rFonts w:hint="eastAsia" w:ascii="仿宋_GB2312" w:hAnsi="宋体" w:cs="宋体"/>
                <w:kern w:val="0"/>
                <w:sz w:val="24"/>
                <w:szCs w:val="24"/>
                <w:lang w:val="en-US" w:eastAsia="zh-CN"/>
              </w:rPr>
            </w:pPr>
            <w:r>
              <w:rPr>
                <w:rFonts w:hint="eastAsia" w:ascii="仿宋_GB2312" w:hAnsi="宋体" w:cs="宋体"/>
                <w:kern w:val="0"/>
                <w:sz w:val="24"/>
                <w:szCs w:val="24"/>
                <w:lang w:val="en-US" w:eastAsia="zh-CN"/>
              </w:rPr>
              <w:t>试剂、耗材、外调血费用</w:t>
            </w:r>
          </w:p>
        </w:tc>
        <w:tc>
          <w:tcPr>
            <w:tcW w:w="768" w:type="dxa"/>
            <w:tcBorders>
              <w:tl2br w:val="nil"/>
              <w:tr2bl w:val="nil"/>
            </w:tcBorders>
            <w:shd w:val="clear" w:color="000000" w:fill="FFFFFF"/>
            <w:vAlign w:val="center"/>
          </w:tcPr>
          <w:p w14:paraId="062240D8">
            <w:pPr>
              <w:widowControl/>
              <w:ind w:firstLine="0" w:firstLineChars="0"/>
              <w:jc w:val="center"/>
              <w:rPr>
                <w:rFonts w:hint="eastAsia" w:ascii="仿宋_GB2312" w:hAnsi="宋体" w:cs="宋体"/>
                <w:kern w:val="0"/>
                <w:sz w:val="24"/>
                <w:szCs w:val="24"/>
                <w:lang w:val="en-US" w:eastAsia="zh-CN"/>
              </w:rPr>
            </w:pPr>
            <w:r>
              <w:rPr>
                <w:rFonts w:hint="eastAsia" w:ascii="仿宋_GB2312" w:hAnsi="宋体" w:cs="宋体"/>
                <w:kern w:val="0"/>
                <w:sz w:val="24"/>
                <w:szCs w:val="24"/>
                <w:lang w:val="en-US" w:eastAsia="zh-CN"/>
              </w:rPr>
              <w:t>3</w:t>
            </w:r>
          </w:p>
        </w:tc>
        <w:tc>
          <w:tcPr>
            <w:tcW w:w="918" w:type="dxa"/>
            <w:tcBorders>
              <w:tl2br w:val="nil"/>
              <w:tr2bl w:val="nil"/>
            </w:tcBorders>
            <w:shd w:val="clear" w:color="000000" w:fill="FFFFFF"/>
            <w:vAlign w:val="center"/>
          </w:tcPr>
          <w:p w14:paraId="3395BE33">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lang w:val="en-US" w:eastAsia="zh-CN"/>
              </w:rPr>
              <w:t>2.99</w:t>
            </w:r>
          </w:p>
        </w:tc>
        <w:tc>
          <w:tcPr>
            <w:tcW w:w="1149" w:type="dxa"/>
            <w:tcBorders>
              <w:tl2br w:val="nil"/>
              <w:tr2bl w:val="nil"/>
            </w:tcBorders>
            <w:shd w:val="clear" w:color="000000" w:fill="FFFFFF"/>
            <w:vAlign w:val="center"/>
          </w:tcPr>
          <w:p w14:paraId="62DE9B36">
            <w:pPr>
              <w:widowControl/>
              <w:ind w:firstLine="0" w:firstLineChars="0"/>
              <w:jc w:val="center"/>
              <w:rPr>
                <w:rFonts w:hint="eastAsia" w:ascii="仿宋_GB2312" w:hAnsi="宋体" w:cs="宋体"/>
                <w:kern w:val="0"/>
                <w:sz w:val="24"/>
                <w:szCs w:val="24"/>
                <w:lang w:val="en-US" w:eastAsia="zh-CN"/>
              </w:rPr>
            </w:pPr>
            <w:r>
              <w:rPr>
                <w:rFonts w:hint="eastAsia" w:ascii="仿宋_GB2312" w:hAnsi="宋体" w:cs="宋体"/>
                <w:kern w:val="0"/>
                <w:sz w:val="24"/>
                <w:szCs w:val="24"/>
                <w:lang w:val="en-US" w:eastAsia="zh-CN"/>
              </w:rPr>
              <w:t>99.81%</w:t>
            </w:r>
          </w:p>
        </w:tc>
      </w:tr>
      <w:tr w14:paraId="7D7883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 w:hRule="atLeast"/>
          <w:jc w:val="center"/>
        </w:trPr>
        <w:tc>
          <w:tcPr>
            <w:tcW w:w="1241" w:type="dxa"/>
            <w:vMerge w:val="continue"/>
            <w:tcBorders>
              <w:tl2br w:val="nil"/>
              <w:tr2bl w:val="nil"/>
            </w:tcBorders>
            <w:shd w:val="clear" w:color="auto" w:fill="FFFFFF"/>
            <w:vAlign w:val="center"/>
          </w:tcPr>
          <w:p w14:paraId="37F5DF6E">
            <w:pPr>
              <w:widowControl/>
              <w:ind w:firstLine="0" w:firstLineChars="0"/>
              <w:jc w:val="center"/>
              <w:rPr>
                <w:rFonts w:ascii="仿宋_GB2312" w:hAnsi="宋体" w:cs="宋体"/>
                <w:kern w:val="0"/>
                <w:sz w:val="24"/>
                <w:szCs w:val="24"/>
              </w:rPr>
            </w:pPr>
          </w:p>
        </w:tc>
        <w:tc>
          <w:tcPr>
            <w:tcW w:w="1243" w:type="dxa"/>
            <w:vMerge w:val="continue"/>
            <w:tcBorders>
              <w:tl2br w:val="nil"/>
              <w:tr2bl w:val="nil"/>
            </w:tcBorders>
            <w:shd w:val="clear" w:color="auto" w:fill="FFFFFF"/>
            <w:vAlign w:val="center"/>
          </w:tcPr>
          <w:p w14:paraId="5E7F1836">
            <w:pPr>
              <w:widowControl/>
              <w:ind w:firstLine="0" w:firstLineChars="0"/>
              <w:jc w:val="center"/>
              <w:rPr>
                <w:rFonts w:ascii="仿宋_GB2312" w:hAnsi="宋体" w:cs="宋体"/>
                <w:kern w:val="0"/>
                <w:sz w:val="24"/>
                <w:szCs w:val="24"/>
              </w:rPr>
            </w:pPr>
          </w:p>
        </w:tc>
        <w:tc>
          <w:tcPr>
            <w:tcW w:w="3743" w:type="dxa"/>
            <w:tcBorders>
              <w:tl2br w:val="nil"/>
              <w:tr2bl w:val="nil"/>
            </w:tcBorders>
            <w:shd w:val="clear" w:color="auto" w:fill="FFFFFF"/>
            <w:vAlign w:val="center"/>
          </w:tcPr>
          <w:p w14:paraId="311C314C">
            <w:pPr>
              <w:widowControl/>
              <w:ind w:firstLine="0" w:firstLineChars="0"/>
              <w:jc w:val="center"/>
              <w:rPr>
                <w:rFonts w:hint="eastAsia" w:ascii="仿宋_GB2312" w:hAnsi="宋体" w:cs="宋体"/>
                <w:kern w:val="0"/>
                <w:sz w:val="24"/>
                <w:szCs w:val="24"/>
                <w:lang w:val="en-US" w:eastAsia="zh-CN"/>
              </w:rPr>
            </w:pPr>
            <w:r>
              <w:rPr>
                <w:rFonts w:hint="eastAsia" w:ascii="仿宋_GB2312" w:hAnsi="宋体" w:cs="宋体"/>
                <w:kern w:val="0"/>
                <w:sz w:val="24"/>
                <w:szCs w:val="24"/>
                <w:lang w:val="en-US" w:eastAsia="zh-CN"/>
              </w:rPr>
              <w:t>献血员交通费、血费报销等费用</w:t>
            </w:r>
          </w:p>
        </w:tc>
        <w:tc>
          <w:tcPr>
            <w:tcW w:w="768" w:type="dxa"/>
            <w:tcBorders>
              <w:tl2br w:val="nil"/>
              <w:tr2bl w:val="nil"/>
            </w:tcBorders>
            <w:shd w:val="clear" w:color="000000" w:fill="FFFFFF"/>
            <w:vAlign w:val="center"/>
          </w:tcPr>
          <w:p w14:paraId="331C6937">
            <w:pPr>
              <w:widowControl/>
              <w:ind w:firstLine="0" w:firstLineChars="0"/>
              <w:jc w:val="center"/>
              <w:rPr>
                <w:rFonts w:hint="eastAsia" w:ascii="仿宋_GB2312" w:hAnsi="宋体" w:cs="宋体"/>
                <w:kern w:val="0"/>
                <w:sz w:val="24"/>
                <w:szCs w:val="24"/>
                <w:lang w:val="en-US" w:eastAsia="zh-CN"/>
              </w:rPr>
            </w:pPr>
            <w:r>
              <w:rPr>
                <w:rFonts w:hint="eastAsia" w:ascii="仿宋_GB2312" w:hAnsi="宋体" w:cs="宋体"/>
                <w:kern w:val="0"/>
                <w:sz w:val="24"/>
                <w:szCs w:val="24"/>
                <w:lang w:val="en-US" w:eastAsia="zh-CN"/>
              </w:rPr>
              <w:t>3</w:t>
            </w:r>
          </w:p>
        </w:tc>
        <w:tc>
          <w:tcPr>
            <w:tcW w:w="918" w:type="dxa"/>
            <w:tcBorders>
              <w:tl2br w:val="nil"/>
              <w:tr2bl w:val="nil"/>
            </w:tcBorders>
            <w:shd w:val="clear" w:color="000000" w:fill="FFFFFF"/>
            <w:vAlign w:val="center"/>
          </w:tcPr>
          <w:p w14:paraId="53EECF2A">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lang w:val="en-US" w:eastAsia="zh-CN"/>
              </w:rPr>
              <w:t>2.91</w:t>
            </w:r>
          </w:p>
        </w:tc>
        <w:tc>
          <w:tcPr>
            <w:tcW w:w="1149" w:type="dxa"/>
            <w:tcBorders>
              <w:tl2br w:val="nil"/>
              <w:tr2bl w:val="nil"/>
            </w:tcBorders>
            <w:shd w:val="clear" w:color="000000" w:fill="FFFFFF"/>
            <w:vAlign w:val="center"/>
          </w:tcPr>
          <w:p w14:paraId="440CD8EB">
            <w:pPr>
              <w:widowControl/>
              <w:ind w:firstLine="0" w:firstLineChars="0"/>
              <w:jc w:val="center"/>
              <w:rPr>
                <w:rFonts w:hint="eastAsia" w:ascii="仿宋_GB2312" w:hAnsi="宋体" w:cs="宋体"/>
                <w:kern w:val="0"/>
                <w:sz w:val="24"/>
                <w:szCs w:val="24"/>
                <w:lang w:val="en-US" w:eastAsia="zh-CN"/>
              </w:rPr>
            </w:pPr>
            <w:r>
              <w:rPr>
                <w:rFonts w:hint="eastAsia" w:ascii="仿宋_GB2312" w:hAnsi="宋体" w:cs="宋体"/>
                <w:kern w:val="0"/>
                <w:sz w:val="24"/>
                <w:szCs w:val="24"/>
                <w:lang w:val="en-US" w:eastAsia="zh-CN"/>
              </w:rPr>
              <w:t>97.03%</w:t>
            </w:r>
          </w:p>
        </w:tc>
      </w:tr>
      <w:tr w14:paraId="264572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 w:hRule="atLeast"/>
          <w:jc w:val="center"/>
        </w:trPr>
        <w:tc>
          <w:tcPr>
            <w:tcW w:w="1241" w:type="dxa"/>
            <w:vMerge w:val="continue"/>
            <w:tcBorders>
              <w:tl2br w:val="nil"/>
              <w:tr2bl w:val="nil"/>
            </w:tcBorders>
            <w:shd w:val="clear" w:color="auto" w:fill="FFFFFF"/>
            <w:vAlign w:val="center"/>
          </w:tcPr>
          <w:p w14:paraId="56740D36">
            <w:pPr>
              <w:widowControl/>
              <w:ind w:firstLine="0" w:firstLineChars="0"/>
              <w:jc w:val="center"/>
              <w:rPr>
                <w:rFonts w:ascii="仿宋_GB2312" w:hAnsi="宋体" w:cs="宋体"/>
                <w:kern w:val="0"/>
                <w:sz w:val="24"/>
                <w:szCs w:val="24"/>
              </w:rPr>
            </w:pPr>
          </w:p>
        </w:tc>
        <w:tc>
          <w:tcPr>
            <w:tcW w:w="1243" w:type="dxa"/>
            <w:vMerge w:val="continue"/>
            <w:tcBorders>
              <w:tl2br w:val="nil"/>
              <w:tr2bl w:val="nil"/>
            </w:tcBorders>
            <w:shd w:val="clear" w:color="auto" w:fill="FFFFFF"/>
            <w:vAlign w:val="center"/>
          </w:tcPr>
          <w:p w14:paraId="64A33EC4">
            <w:pPr>
              <w:widowControl/>
              <w:ind w:firstLine="0" w:firstLineChars="0"/>
              <w:jc w:val="center"/>
              <w:rPr>
                <w:rFonts w:ascii="仿宋_GB2312" w:hAnsi="宋体" w:cs="宋体"/>
                <w:kern w:val="0"/>
                <w:sz w:val="24"/>
                <w:szCs w:val="24"/>
              </w:rPr>
            </w:pPr>
          </w:p>
        </w:tc>
        <w:tc>
          <w:tcPr>
            <w:tcW w:w="3743" w:type="dxa"/>
            <w:tcBorders>
              <w:tl2br w:val="nil"/>
              <w:tr2bl w:val="nil"/>
            </w:tcBorders>
            <w:shd w:val="clear" w:color="auto" w:fill="FFFFFF"/>
            <w:vAlign w:val="center"/>
          </w:tcPr>
          <w:p w14:paraId="384D630D">
            <w:pPr>
              <w:widowControl/>
              <w:ind w:firstLine="0" w:firstLineChars="0"/>
              <w:jc w:val="center"/>
              <w:rPr>
                <w:rFonts w:hint="eastAsia" w:ascii="仿宋_GB2312" w:hAnsi="宋体" w:cs="宋体"/>
                <w:kern w:val="0"/>
                <w:sz w:val="24"/>
                <w:szCs w:val="24"/>
                <w:lang w:val="en-US" w:eastAsia="zh-CN"/>
              </w:rPr>
            </w:pPr>
            <w:r>
              <w:rPr>
                <w:rFonts w:hint="eastAsia" w:ascii="仿宋_GB2312" w:hAnsi="宋体" w:cs="宋体"/>
                <w:kern w:val="0"/>
                <w:sz w:val="24"/>
                <w:szCs w:val="24"/>
                <w:lang w:val="en-US" w:eastAsia="zh-CN"/>
              </w:rPr>
              <w:t>临聘人员劳务费</w:t>
            </w:r>
          </w:p>
        </w:tc>
        <w:tc>
          <w:tcPr>
            <w:tcW w:w="768" w:type="dxa"/>
            <w:tcBorders>
              <w:tl2br w:val="nil"/>
              <w:tr2bl w:val="nil"/>
            </w:tcBorders>
            <w:shd w:val="clear" w:color="000000" w:fill="FFFFFF"/>
            <w:vAlign w:val="center"/>
          </w:tcPr>
          <w:p w14:paraId="3A47A34E">
            <w:pPr>
              <w:widowControl/>
              <w:ind w:firstLine="0" w:firstLineChars="0"/>
              <w:jc w:val="center"/>
              <w:rPr>
                <w:rFonts w:hint="eastAsia" w:ascii="仿宋_GB2312" w:hAnsi="宋体" w:cs="宋体"/>
                <w:kern w:val="0"/>
                <w:sz w:val="24"/>
                <w:szCs w:val="24"/>
                <w:lang w:val="en-US" w:eastAsia="zh-CN"/>
              </w:rPr>
            </w:pPr>
            <w:r>
              <w:rPr>
                <w:rFonts w:hint="eastAsia" w:ascii="仿宋_GB2312" w:hAnsi="宋体" w:cs="宋体"/>
                <w:kern w:val="0"/>
                <w:sz w:val="24"/>
                <w:szCs w:val="24"/>
                <w:lang w:val="en-US" w:eastAsia="zh-CN"/>
              </w:rPr>
              <w:t>2</w:t>
            </w:r>
          </w:p>
        </w:tc>
        <w:tc>
          <w:tcPr>
            <w:tcW w:w="918" w:type="dxa"/>
            <w:tcBorders>
              <w:tl2br w:val="nil"/>
              <w:tr2bl w:val="nil"/>
            </w:tcBorders>
            <w:shd w:val="clear" w:color="000000" w:fill="FFFFFF"/>
            <w:vAlign w:val="center"/>
          </w:tcPr>
          <w:p w14:paraId="0AD3D8DF">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lang w:val="en-US" w:eastAsia="zh-CN"/>
              </w:rPr>
              <w:t>2</w:t>
            </w:r>
          </w:p>
        </w:tc>
        <w:tc>
          <w:tcPr>
            <w:tcW w:w="1149" w:type="dxa"/>
            <w:tcBorders>
              <w:tl2br w:val="nil"/>
              <w:tr2bl w:val="nil"/>
            </w:tcBorders>
            <w:shd w:val="clear" w:color="000000" w:fill="FFFFFF"/>
            <w:vAlign w:val="center"/>
          </w:tcPr>
          <w:p w14:paraId="6915CEDD">
            <w:pPr>
              <w:widowControl/>
              <w:ind w:firstLine="0" w:firstLineChars="0"/>
              <w:jc w:val="center"/>
              <w:rPr>
                <w:rFonts w:hint="eastAsia" w:ascii="仿宋_GB2312" w:hAnsi="宋体" w:cs="宋体"/>
                <w:kern w:val="0"/>
                <w:sz w:val="24"/>
                <w:szCs w:val="24"/>
                <w:lang w:val="en-US" w:eastAsia="zh-CN"/>
              </w:rPr>
            </w:pPr>
            <w:r>
              <w:rPr>
                <w:rFonts w:hint="eastAsia" w:ascii="仿宋_GB2312" w:hAnsi="宋体" w:cs="宋体"/>
                <w:kern w:val="0"/>
                <w:sz w:val="24"/>
                <w:szCs w:val="24"/>
                <w:lang w:val="en-US" w:eastAsia="zh-CN"/>
              </w:rPr>
              <w:t>100%</w:t>
            </w:r>
          </w:p>
        </w:tc>
      </w:tr>
      <w:tr w14:paraId="2C429C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 w:hRule="atLeast"/>
          <w:jc w:val="center"/>
        </w:trPr>
        <w:tc>
          <w:tcPr>
            <w:tcW w:w="1241" w:type="dxa"/>
            <w:vMerge w:val="continue"/>
            <w:tcBorders>
              <w:tl2br w:val="nil"/>
              <w:tr2bl w:val="nil"/>
            </w:tcBorders>
            <w:shd w:val="clear" w:color="auto" w:fill="FFFFFF"/>
            <w:vAlign w:val="center"/>
          </w:tcPr>
          <w:p w14:paraId="29C3116B">
            <w:pPr>
              <w:widowControl/>
              <w:ind w:firstLine="0" w:firstLineChars="0"/>
              <w:jc w:val="center"/>
              <w:rPr>
                <w:rFonts w:ascii="仿宋_GB2312" w:hAnsi="宋体" w:cs="宋体"/>
                <w:kern w:val="0"/>
                <w:sz w:val="24"/>
                <w:szCs w:val="24"/>
              </w:rPr>
            </w:pPr>
          </w:p>
        </w:tc>
        <w:tc>
          <w:tcPr>
            <w:tcW w:w="1243" w:type="dxa"/>
            <w:vMerge w:val="continue"/>
            <w:tcBorders>
              <w:tl2br w:val="nil"/>
              <w:tr2bl w:val="nil"/>
            </w:tcBorders>
            <w:shd w:val="clear" w:color="auto" w:fill="FFFFFF"/>
            <w:vAlign w:val="center"/>
          </w:tcPr>
          <w:p w14:paraId="2A66091C">
            <w:pPr>
              <w:widowControl/>
              <w:ind w:firstLine="0" w:firstLineChars="0"/>
              <w:jc w:val="center"/>
              <w:rPr>
                <w:rFonts w:ascii="仿宋_GB2312" w:hAnsi="宋体" w:cs="宋体"/>
                <w:kern w:val="0"/>
                <w:sz w:val="24"/>
                <w:szCs w:val="24"/>
              </w:rPr>
            </w:pPr>
          </w:p>
        </w:tc>
        <w:tc>
          <w:tcPr>
            <w:tcW w:w="3743" w:type="dxa"/>
            <w:tcBorders>
              <w:tl2br w:val="nil"/>
              <w:tr2bl w:val="nil"/>
            </w:tcBorders>
            <w:shd w:val="clear" w:color="auto" w:fill="FFFFFF"/>
            <w:vAlign w:val="center"/>
          </w:tcPr>
          <w:p w14:paraId="05F7ED1F">
            <w:pPr>
              <w:widowControl/>
              <w:ind w:firstLine="0" w:firstLineChars="0"/>
              <w:jc w:val="center"/>
              <w:rPr>
                <w:rFonts w:hint="eastAsia" w:ascii="仿宋_GB2312" w:hAnsi="宋体" w:cs="宋体"/>
                <w:kern w:val="0"/>
                <w:sz w:val="24"/>
                <w:szCs w:val="24"/>
                <w:lang w:val="en-US" w:eastAsia="zh-CN"/>
              </w:rPr>
            </w:pPr>
            <w:r>
              <w:rPr>
                <w:rFonts w:hint="eastAsia" w:ascii="仿宋_GB2312" w:hAnsi="宋体" w:cs="宋体"/>
                <w:kern w:val="0"/>
                <w:sz w:val="24"/>
                <w:szCs w:val="24"/>
                <w:lang w:val="en-US" w:eastAsia="zh-CN"/>
              </w:rPr>
              <w:t>项目工程等欠款</w:t>
            </w:r>
          </w:p>
        </w:tc>
        <w:tc>
          <w:tcPr>
            <w:tcW w:w="768" w:type="dxa"/>
            <w:tcBorders>
              <w:tl2br w:val="nil"/>
              <w:tr2bl w:val="nil"/>
            </w:tcBorders>
            <w:shd w:val="clear" w:color="000000" w:fill="FFFFFF"/>
            <w:vAlign w:val="center"/>
          </w:tcPr>
          <w:p w14:paraId="450A90C5">
            <w:pPr>
              <w:widowControl/>
              <w:ind w:firstLine="0" w:firstLineChars="0"/>
              <w:jc w:val="center"/>
              <w:rPr>
                <w:rFonts w:hint="eastAsia" w:ascii="仿宋_GB2312" w:hAnsi="宋体" w:cs="宋体"/>
                <w:kern w:val="0"/>
                <w:sz w:val="24"/>
                <w:szCs w:val="24"/>
                <w:lang w:val="en-US" w:eastAsia="zh-CN"/>
              </w:rPr>
            </w:pPr>
            <w:r>
              <w:rPr>
                <w:rFonts w:hint="eastAsia" w:ascii="仿宋_GB2312" w:hAnsi="宋体" w:cs="宋体"/>
                <w:kern w:val="0"/>
                <w:sz w:val="24"/>
                <w:szCs w:val="24"/>
                <w:lang w:val="en-US" w:eastAsia="zh-CN"/>
              </w:rPr>
              <w:t>3</w:t>
            </w:r>
          </w:p>
        </w:tc>
        <w:tc>
          <w:tcPr>
            <w:tcW w:w="918" w:type="dxa"/>
            <w:tcBorders>
              <w:tl2br w:val="nil"/>
              <w:tr2bl w:val="nil"/>
            </w:tcBorders>
            <w:shd w:val="clear" w:color="000000" w:fill="FFFFFF"/>
            <w:vAlign w:val="center"/>
          </w:tcPr>
          <w:p w14:paraId="674B5747">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lang w:val="en-US" w:eastAsia="zh-CN"/>
              </w:rPr>
              <w:t>3</w:t>
            </w:r>
          </w:p>
        </w:tc>
        <w:tc>
          <w:tcPr>
            <w:tcW w:w="1149" w:type="dxa"/>
            <w:tcBorders>
              <w:tl2br w:val="nil"/>
              <w:tr2bl w:val="nil"/>
            </w:tcBorders>
            <w:shd w:val="clear" w:color="000000" w:fill="FFFFFF"/>
            <w:vAlign w:val="center"/>
          </w:tcPr>
          <w:p w14:paraId="0E6284B8">
            <w:pPr>
              <w:widowControl/>
              <w:ind w:firstLine="0" w:firstLineChars="0"/>
              <w:jc w:val="center"/>
              <w:rPr>
                <w:rFonts w:hint="eastAsia" w:ascii="仿宋_GB2312" w:hAnsi="宋体" w:cs="宋体"/>
                <w:kern w:val="0"/>
                <w:sz w:val="24"/>
                <w:szCs w:val="24"/>
                <w:lang w:val="en-US" w:eastAsia="zh-CN"/>
              </w:rPr>
            </w:pPr>
            <w:r>
              <w:rPr>
                <w:rFonts w:hint="eastAsia" w:ascii="仿宋_GB2312" w:hAnsi="宋体" w:cs="宋体"/>
                <w:kern w:val="0"/>
                <w:sz w:val="24"/>
                <w:szCs w:val="24"/>
                <w:lang w:val="en-US" w:eastAsia="zh-CN"/>
              </w:rPr>
              <w:t>100%</w:t>
            </w:r>
          </w:p>
        </w:tc>
      </w:tr>
      <w:tr w14:paraId="499F5F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 w:hRule="atLeast"/>
          <w:jc w:val="center"/>
        </w:trPr>
        <w:tc>
          <w:tcPr>
            <w:tcW w:w="1241" w:type="dxa"/>
            <w:vMerge w:val="continue"/>
            <w:tcBorders>
              <w:tl2br w:val="nil"/>
              <w:tr2bl w:val="nil"/>
            </w:tcBorders>
            <w:shd w:val="clear" w:color="auto" w:fill="FFFFFF"/>
            <w:vAlign w:val="center"/>
          </w:tcPr>
          <w:p w14:paraId="020EC637">
            <w:pPr>
              <w:widowControl/>
              <w:ind w:firstLine="0" w:firstLineChars="0"/>
              <w:jc w:val="center"/>
              <w:rPr>
                <w:rFonts w:ascii="仿宋_GB2312" w:hAnsi="宋体" w:cs="宋体"/>
                <w:kern w:val="0"/>
                <w:sz w:val="24"/>
                <w:szCs w:val="24"/>
              </w:rPr>
            </w:pPr>
          </w:p>
        </w:tc>
        <w:tc>
          <w:tcPr>
            <w:tcW w:w="1243" w:type="dxa"/>
            <w:vMerge w:val="continue"/>
            <w:tcBorders>
              <w:tl2br w:val="nil"/>
              <w:tr2bl w:val="nil"/>
            </w:tcBorders>
            <w:shd w:val="clear" w:color="auto" w:fill="FFFFFF"/>
            <w:vAlign w:val="center"/>
          </w:tcPr>
          <w:p w14:paraId="5E883B0D">
            <w:pPr>
              <w:widowControl/>
              <w:ind w:firstLine="0" w:firstLineChars="0"/>
              <w:jc w:val="center"/>
              <w:rPr>
                <w:rFonts w:ascii="仿宋_GB2312" w:hAnsi="宋体" w:cs="宋体"/>
                <w:kern w:val="0"/>
                <w:sz w:val="24"/>
                <w:szCs w:val="24"/>
              </w:rPr>
            </w:pPr>
          </w:p>
        </w:tc>
        <w:tc>
          <w:tcPr>
            <w:tcW w:w="3743" w:type="dxa"/>
            <w:tcBorders>
              <w:tl2br w:val="nil"/>
              <w:tr2bl w:val="nil"/>
            </w:tcBorders>
            <w:shd w:val="clear" w:color="auto" w:fill="FFFFFF"/>
            <w:vAlign w:val="center"/>
          </w:tcPr>
          <w:p w14:paraId="76BDB252">
            <w:pPr>
              <w:widowControl/>
              <w:ind w:firstLine="0" w:firstLineChars="0"/>
              <w:jc w:val="center"/>
              <w:rPr>
                <w:rFonts w:hint="eastAsia" w:ascii="仿宋_GB2312" w:hAnsi="宋体" w:cs="宋体"/>
                <w:kern w:val="0"/>
                <w:sz w:val="24"/>
                <w:szCs w:val="24"/>
                <w:lang w:val="en-US" w:eastAsia="zh-CN"/>
              </w:rPr>
            </w:pPr>
            <w:r>
              <w:rPr>
                <w:rFonts w:hint="eastAsia" w:ascii="仿宋_GB2312" w:hAnsi="宋体" w:cs="宋体"/>
                <w:kern w:val="0"/>
                <w:sz w:val="24"/>
                <w:szCs w:val="24"/>
                <w:lang w:val="en-US" w:eastAsia="zh-CN"/>
              </w:rPr>
              <w:t>基因测序费、血液运输费等</w:t>
            </w:r>
          </w:p>
        </w:tc>
        <w:tc>
          <w:tcPr>
            <w:tcW w:w="768" w:type="dxa"/>
            <w:tcBorders>
              <w:tl2br w:val="nil"/>
              <w:tr2bl w:val="nil"/>
            </w:tcBorders>
            <w:shd w:val="clear" w:color="000000" w:fill="FFFFFF"/>
            <w:vAlign w:val="center"/>
          </w:tcPr>
          <w:p w14:paraId="7E6AC64D">
            <w:pPr>
              <w:widowControl/>
              <w:ind w:firstLine="0" w:firstLineChars="0"/>
              <w:jc w:val="center"/>
              <w:rPr>
                <w:rFonts w:hint="eastAsia" w:ascii="仿宋_GB2312" w:hAnsi="宋体" w:cs="宋体"/>
                <w:kern w:val="0"/>
                <w:sz w:val="24"/>
                <w:szCs w:val="24"/>
                <w:lang w:val="en-US" w:eastAsia="zh-CN"/>
              </w:rPr>
            </w:pPr>
            <w:r>
              <w:rPr>
                <w:rFonts w:hint="eastAsia" w:ascii="仿宋_GB2312" w:hAnsi="宋体" w:cs="宋体"/>
                <w:kern w:val="0"/>
                <w:sz w:val="24"/>
                <w:szCs w:val="24"/>
                <w:lang w:val="en-US" w:eastAsia="zh-CN"/>
              </w:rPr>
              <w:t>2</w:t>
            </w:r>
          </w:p>
        </w:tc>
        <w:tc>
          <w:tcPr>
            <w:tcW w:w="918" w:type="dxa"/>
            <w:tcBorders>
              <w:tl2br w:val="nil"/>
              <w:tr2bl w:val="nil"/>
            </w:tcBorders>
            <w:shd w:val="clear" w:color="000000" w:fill="FFFFFF"/>
            <w:vAlign w:val="center"/>
          </w:tcPr>
          <w:p w14:paraId="4178A4CC">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lang w:val="en-US" w:eastAsia="zh-CN"/>
              </w:rPr>
              <w:t>0.45</w:t>
            </w:r>
          </w:p>
        </w:tc>
        <w:tc>
          <w:tcPr>
            <w:tcW w:w="1149" w:type="dxa"/>
            <w:tcBorders>
              <w:tl2br w:val="nil"/>
              <w:tr2bl w:val="nil"/>
            </w:tcBorders>
            <w:shd w:val="clear" w:color="000000" w:fill="FFFFFF"/>
            <w:vAlign w:val="center"/>
          </w:tcPr>
          <w:p w14:paraId="1CE96D03">
            <w:pPr>
              <w:widowControl/>
              <w:ind w:firstLine="0" w:firstLineChars="0"/>
              <w:jc w:val="center"/>
              <w:rPr>
                <w:rFonts w:hint="eastAsia" w:ascii="仿宋_GB2312" w:hAnsi="宋体" w:cs="宋体"/>
                <w:kern w:val="0"/>
                <w:sz w:val="24"/>
                <w:szCs w:val="24"/>
                <w:lang w:val="en-US" w:eastAsia="zh-CN"/>
              </w:rPr>
            </w:pPr>
            <w:r>
              <w:rPr>
                <w:rFonts w:hint="eastAsia" w:ascii="仿宋_GB2312" w:hAnsi="宋体" w:cs="宋体"/>
                <w:kern w:val="0"/>
                <w:sz w:val="24"/>
                <w:szCs w:val="24"/>
                <w:lang w:val="en-US" w:eastAsia="zh-CN"/>
              </w:rPr>
              <w:t>22.37%</w:t>
            </w:r>
          </w:p>
        </w:tc>
      </w:tr>
      <w:tr w14:paraId="788FD7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 w:hRule="atLeast"/>
          <w:jc w:val="center"/>
        </w:trPr>
        <w:tc>
          <w:tcPr>
            <w:tcW w:w="1241" w:type="dxa"/>
            <w:vMerge w:val="continue"/>
            <w:tcBorders>
              <w:tl2br w:val="nil"/>
              <w:tr2bl w:val="nil"/>
            </w:tcBorders>
            <w:shd w:val="clear" w:color="auto" w:fill="FFFFFF"/>
            <w:vAlign w:val="center"/>
          </w:tcPr>
          <w:p w14:paraId="40F05FDF">
            <w:pPr>
              <w:widowControl/>
              <w:ind w:firstLine="0" w:firstLineChars="0"/>
              <w:jc w:val="center"/>
              <w:rPr>
                <w:rFonts w:ascii="仿宋_GB2312" w:hAnsi="宋体" w:cs="宋体"/>
                <w:kern w:val="0"/>
                <w:sz w:val="24"/>
                <w:szCs w:val="24"/>
              </w:rPr>
            </w:pPr>
          </w:p>
        </w:tc>
        <w:tc>
          <w:tcPr>
            <w:tcW w:w="1243" w:type="dxa"/>
            <w:vMerge w:val="continue"/>
            <w:tcBorders>
              <w:tl2br w:val="nil"/>
              <w:tr2bl w:val="nil"/>
            </w:tcBorders>
            <w:shd w:val="clear" w:color="auto" w:fill="FFFFFF"/>
            <w:vAlign w:val="center"/>
          </w:tcPr>
          <w:p w14:paraId="7FE31214">
            <w:pPr>
              <w:widowControl/>
              <w:ind w:firstLine="0" w:firstLineChars="0"/>
              <w:jc w:val="center"/>
              <w:rPr>
                <w:rFonts w:ascii="仿宋_GB2312" w:hAnsi="宋体" w:cs="宋体"/>
                <w:kern w:val="0"/>
                <w:sz w:val="24"/>
                <w:szCs w:val="24"/>
              </w:rPr>
            </w:pPr>
          </w:p>
        </w:tc>
        <w:tc>
          <w:tcPr>
            <w:tcW w:w="3743" w:type="dxa"/>
            <w:tcBorders>
              <w:tl2br w:val="nil"/>
              <w:tr2bl w:val="nil"/>
            </w:tcBorders>
            <w:shd w:val="clear" w:color="auto" w:fill="FFFFFF"/>
            <w:vAlign w:val="center"/>
          </w:tcPr>
          <w:p w14:paraId="73F5BEFB">
            <w:pPr>
              <w:widowControl/>
              <w:ind w:firstLine="0" w:firstLineChars="0"/>
              <w:jc w:val="center"/>
              <w:rPr>
                <w:rFonts w:hint="eastAsia" w:ascii="仿宋_GB2312" w:hAnsi="宋体" w:cs="宋体"/>
                <w:kern w:val="0"/>
                <w:sz w:val="24"/>
                <w:szCs w:val="24"/>
                <w:lang w:val="en-US" w:eastAsia="zh-CN"/>
              </w:rPr>
            </w:pPr>
            <w:r>
              <w:rPr>
                <w:rFonts w:hint="eastAsia" w:ascii="仿宋_GB2312" w:hAnsi="宋体" w:cs="宋体"/>
                <w:kern w:val="0"/>
                <w:sz w:val="24"/>
                <w:szCs w:val="24"/>
                <w:lang w:val="en-US" w:eastAsia="zh-CN"/>
              </w:rPr>
              <w:t>南大门道闸</w:t>
            </w:r>
          </w:p>
        </w:tc>
        <w:tc>
          <w:tcPr>
            <w:tcW w:w="768" w:type="dxa"/>
            <w:tcBorders>
              <w:tl2br w:val="nil"/>
              <w:tr2bl w:val="nil"/>
            </w:tcBorders>
            <w:shd w:val="clear" w:color="000000" w:fill="FFFFFF"/>
            <w:vAlign w:val="center"/>
          </w:tcPr>
          <w:p w14:paraId="3846BD91">
            <w:pPr>
              <w:widowControl/>
              <w:ind w:firstLine="0" w:firstLineChars="0"/>
              <w:jc w:val="center"/>
              <w:rPr>
                <w:rFonts w:hint="eastAsia" w:ascii="仿宋_GB2312" w:hAnsi="宋体" w:cs="宋体"/>
                <w:kern w:val="0"/>
                <w:sz w:val="24"/>
                <w:szCs w:val="24"/>
                <w:lang w:val="en-US" w:eastAsia="zh-CN"/>
              </w:rPr>
            </w:pPr>
            <w:r>
              <w:rPr>
                <w:rFonts w:hint="eastAsia" w:ascii="仿宋_GB2312" w:hAnsi="宋体" w:cs="宋体"/>
                <w:kern w:val="0"/>
                <w:sz w:val="24"/>
                <w:szCs w:val="24"/>
                <w:lang w:val="en-US" w:eastAsia="zh-CN"/>
              </w:rPr>
              <w:t>2</w:t>
            </w:r>
          </w:p>
        </w:tc>
        <w:tc>
          <w:tcPr>
            <w:tcW w:w="918" w:type="dxa"/>
            <w:tcBorders>
              <w:tl2br w:val="nil"/>
              <w:tr2bl w:val="nil"/>
            </w:tcBorders>
            <w:shd w:val="clear" w:color="000000" w:fill="FFFFFF"/>
            <w:vAlign w:val="center"/>
          </w:tcPr>
          <w:p w14:paraId="45C8AC37">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lang w:val="en-US" w:eastAsia="zh-CN"/>
              </w:rPr>
              <w:t>1.53</w:t>
            </w:r>
          </w:p>
        </w:tc>
        <w:tc>
          <w:tcPr>
            <w:tcW w:w="1149" w:type="dxa"/>
            <w:tcBorders>
              <w:tl2br w:val="nil"/>
              <w:tr2bl w:val="nil"/>
            </w:tcBorders>
            <w:shd w:val="clear" w:color="000000" w:fill="FFFFFF"/>
            <w:vAlign w:val="center"/>
          </w:tcPr>
          <w:p w14:paraId="05DEF621">
            <w:pPr>
              <w:widowControl/>
              <w:ind w:firstLine="0" w:firstLineChars="0"/>
              <w:jc w:val="center"/>
              <w:rPr>
                <w:rFonts w:hint="eastAsia" w:ascii="仿宋_GB2312" w:hAnsi="宋体" w:cs="宋体"/>
                <w:kern w:val="0"/>
                <w:sz w:val="24"/>
                <w:szCs w:val="24"/>
                <w:lang w:val="en-US" w:eastAsia="zh-CN"/>
              </w:rPr>
            </w:pPr>
            <w:r>
              <w:rPr>
                <w:rFonts w:hint="eastAsia" w:ascii="仿宋_GB2312" w:hAnsi="宋体" w:cs="宋体"/>
                <w:kern w:val="0"/>
                <w:sz w:val="24"/>
                <w:szCs w:val="24"/>
                <w:lang w:val="en-US" w:eastAsia="zh-CN"/>
              </w:rPr>
              <w:t>76.33%</w:t>
            </w:r>
          </w:p>
        </w:tc>
      </w:tr>
      <w:tr w14:paraId="25E3E2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241" w:type="dxa"/>
            <w:tcBorders>
              <w:tl2br w:val="nil"/>
              <w:tr2bl w:val="nil"/>
            </w:tcBorders>
            <w:shd w:val="clear" w:color="auto" w:fill="FFFFFF"/>
            <w:vAlign w:val="center"/>
          </w:tcPr>
          <w:p w14:paraId="0B5DC14F">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效益</w:t>
            </w:r>
          </w:p>
        </w:tc>
        <w:tc>
          <w:tcPr>
            <w:tcW w:w="1243" w:type="dxa"/>
            <w:tcBorders>
              <w:tl2br w:val="nil"/>
              <w:tr2bl w:val="nil"/>
            </w:tcBorders>
            <w:shd w:val="clear" w:color="auto" w:fill="FFFFFF"/>
            <w:vAlign w:val="center"/>
          </w:tcPr>
          <w:p w14:paraId="26D36FED">
            <w:pPr>
              <w:widowControl/>
              <w:ind w:firstLine="0" w:firstLineChars="0"/>
              <w:jc w:val="center"/>
              <w:rPr>
                <w:rFonts w:hint="default"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社会效益</w:t>
            </w:r>
          </w:p>
        </w:tc>
        <w:tc>
          <w:tcPr>
            <w:tcW w:w="3743" w:type="dxa"/>
            <w:tcBorders>
              <w:tl2br w:val="nil"/>
              <w:tr2bl w:val="nil"/>
            </w:tcBorders>
            <w:shd w:val="clear" w:color="auto" w:fill="FFFFFF"/>
            <w:vAlign w:val="center"/>
          </w:tcPr>
          <w:p w14:paraId="4929EC82">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lang w:val="en-US" w:eastAsia="zh-CN"/>
              </w:rPr>
              <w:t>保障临床用血需求</w:t>
            </w:r>
          </w:p>
        </w:tc>
        <w:tc>
          <w:tcPr>
            <w:tcW w:w="768" w:type="dxa"/>
            <w:tcBorders>
              <w:tl2br w:val="nil"/>
              <w:tr2bl w:val="nil"/>
            </w:tcBorders>
            <w:shd w:val="clear" w:color="auto" w:fill="FFFFFF"/>
            <w:vAlign w:val="center"/>
          </w:tcPr>
          <w:p w14:paraId="65D45733">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w:t>
            </w:r>
            <w:r>
              <w:rPr>
                <w:rFonts w:ascii="仿宋_GB2312" w:hAnsi="宋体" w:cs="宋体"/>
                <w:kern w:val="0"/>
                <w:sz w:val="24"/>
                <w:szCs w:val="24"/>
              </w:rPr>
              <w:t>0</w:t>
            </w:r>
          </w:p>
        </w:tc>
        <w:tc>
          <w:tcPr>
            <w:tcW w:w="918" w:type="dxa"/>
            <w:tcBorders>
              <w:tl2br w:val="nil"/>
              <w:tr2bl w:val="nil"/>
            </w:tcBorders>
            <w:shd w:val="clear" w:color="auto" w:fill="FFFFFF"/>
            <w:vAlign w:val="center"/>
          </w:tcPr>
          <w:p w14:paraId="62EB71E5">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10</w:t>
            </w:r>
          </w:p>
        </w:tc>
        <w:tc>
          <w:tcPr>
            <w:tcW w:w="1149" w:type="dxa"/>
            <w:tcBorders>
              <w:tl2br w:val="nil"/>
              <w:tr2bl w:val="nil"/>
            </w:tcBorders>
            <w:shd w:val="clear" w:color="auto" w:fill="FFFFFF"/>
            <w:vAlign w:val="center"/>
          </w:tcPr>
          <w:p w14:paraId="6C2A519F">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100%</w:t>
            </w:r>
          </w:p>
        </w:tc>
      </w:tr>
      <w:tr w14:paraId="74ABC2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241" w:type="dxa"/>
            <w:tcBorders>
              <w:tl2br w:val="nil"/>
              <w:tr2bl w:val="nil"/>
            </w:tcBorders>
            <w:shd w:val="clear" w:color="auto" w:fill="FFFFFF"/>
            <w:vAlign w:val="center"/>
          </w:tcPr>
          <w:p w14:paraId="31043EB1">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满意度指标完成情况分析</w:t>
            </w:r>
          </w:p>
        </w:tc>
        <w:tc>
          <w:tcPr>
            <w:tcW w:w="1243" w:type="dxa"/>
            <w:tcBorders>
              <w:tl2br w:val="nil"/>
              <w:tr2bl w:val="nil"/>
            </w:tcBorders>
            <w:shd w:val="clear" w:color="auto" w:fill="FFFFFF"/>
            <w:vAlign w:val="center"/>
          </w:tcPr>
          <w:p w14:paraId="6F630A0F">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满意度指标</w:t>
            </w:r>
          </w:p>
        </w:tc>
        <w:tc>
          <w:tcPr>
            <w:tcW w:w="3743" w:type="dxa"/>
            <w:tcBorders>
              <w:tl2br w:val="nil"/>
              <w:tr2bl w:val="nil"/>
            </w:tcBorders>
            <w:shd w:val="clear" w:color="auto" w:fill="FFFFFF"/>
            <w:vAlign w:val="center"/>
          </w:tcPr>
          <w:p w14:paraId="3916ABDF">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献血者满意度</w:t>
            </w:r>
          </w:p>
        </w:tc>
        <w:tc>
          <w:tcPr>
            <w:tcW w:w="768" w:type="dxa"/>
            <w:tcBorders>
              <w:tl2br w:val="nil"/>
              <w:tr2bl w:val="nil"/>
            </w:tcBorders>
            <w:shd w:val="clear" w:color="000000" w:fill="FFFFFF"/>
            <w:vAlign w:val="center"/>
          </w:tcPr>
          <w:p w14:paraId="1719C47B">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10</w:t>
            </w:r>
          </w:p>
        </w:tc>
        <w:tc>
          <w:tcPr>
            <w:tcW w:w="918" w:type="dxa"/>
            <w:tcBorders>
              <w:tl2br w:val="nil"/>
              <w:tr2bl w:val="nil"/>
            </w:tcBorders>
            <w:shd w:val="clear" w:color="000000" w:fill="FFFFFF"/>
            <w:vAlign w:val="center"/>
          </w:tcPr>
          <w:p w14:paraId="77255967">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10</w:t>
            </w:r>
          </w:p>
        </w:tc>
        <w:tc>
          <w:tcPr>
            <w:tcW w:w="1149" w:type="dxa"/>
            <w:tcBorders>
              <w:tl2br w:val="nil"/>
              <w:tr2bl w:val="nil"/>
            </w:tcBorders>
            <w:shd w:val="clear" w:color="000000" w:fill="FFFFFF"/>
            <w:vAlign w:val="center"/>
          </w:tcPr>
          <w:p w14:paraId="4DB6779A">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100%</w:t>
            </w:r>
          </w:p>
        </w:tc>
      </w:tr>
    </w:tbl>
    <w:p w14:paraId="621B2CDF">
      <w:pPr>
        <w:pStyle w:val="3"/>
        <w:ind w:firstLine="643"/>
        <w:rPr>
          <w:rFonts w:ascii="仿宋" w:hAnsi="仿宋" w:eastAsia="仿宋"/>
          <w:lang w:bidi="en-US"/>
        </w:rPr>
      </w:pPr>
      <w:bookmarkStart w:id="31" w:name="_Toc165277239"/>
      <w:bookmarkStart w:id="32" w:name="_Toc67911610"/>
      <w:r>
        <w:rPr>
          <w:rFonts w:hint="eastAsia" w:ascii="仿宋" w:hAnsi="仿宋" w:eastAsia="仿宋"/>
          <w:lang w:bidi="en-US"/>
        </w:rPr>
        <w:t>（二）主要绩效</w:t>
      </w:r>
      <w:bookmarkEnd w:id="31"/>
      <w:bookmarkEnd w:id="32"/>
    </w:p>
    <w:p w14:paraId="06DC7870">
      <w:pPr>
        <w:spacing w:line="360" w:lineRule="auto"/>
        <w:ind w:firstLine="548" w:firstLineChars="196"/>
        <w:rPr>
          <w:rFonts w:hint="eastAsia" w:ascii="仿宋_GB2312"/>
          <w:bCs/>
          <w:szCs w:val="28"/>
          <w:highlight w:val="none"/>
          <w:lang w:eastAsia="zh-CN"/>
        </w:rPr>
      </w:pPr>
      <w:r>
        <w:rPr>
          <w:rFonts w:hint="eastAsia" w:ascii="仿宋_GB2312"/>
          <w:bCs/>
          <w:szCs w:val="28"/>
        </w:rPr>
        <w:t>该项目资金区财政及时拨付，单</w:t>
      </w:r>
      <w:r>
        <w:rPr>
          <w:rFonts w:hint="eastAsia" w:ascii="仿宋_GB2312"/>
          <w:bCs/>
          <w:szCs w:val="28"/>
          <w:highlight w:val="none"/>
        </w:rPr>
        <w:t>位在此次评价期间内，有序完成设定目标的部分工作任务</w:t>
      </w:r>
      <w:r>
        <w:rPr>
          <w:rFonts w:hint="eastAsia" w:ascii="仿宋_GB2312"/>
          <w:bCs/>
          <w:szCs w:val="28"/>
          <w:highlight w:val="none"/>
          <w:lang w:eastAsia="zh-CN"/>
        </w:rPr>
        <w:t>，完成电梯定期维保次数24次、完成室间质评数3项、完成维修维护设备种类6类、完成采购试剂耗材种类176种、完成红细胞和血小板类调剂量6949单位、完成血浆和冷沉淀类调剂量14720.5单位、完成发放机采交通费数量10170单位、完成支付欠款项目数量2个</w:t>
      </w:r>
      <w:r>
        <w:rPr>
          <w:rFonts w:hint="eastAsia" w:ascii="仿宋_GB2312"/>
          <w:bCs/>
          <w:szCs w:val="28"/>
          <w:highlight w:val="none"/>
          <w:lang w:val="en-US" w:eastAsia="zh-CN"/>
        </w:rPr>
        <w:t>。</w:t>
      </w:r>
      <w:r>
        <w:rPr>
          <w:rFonts w:hint="eastAsia" w:ascii="仿宋_GB2312"/>
          <w:bCs/>
          <w:szCs w:val="28"/>
          <w:highlight w:val="none"/>
          <w:lang w:eastAsia="zh-CN"/>
        </w:rPr>
        <w:t>支付电费70万元、支付设备</w:t>
      </w:r>
      <w:r>
        <w:rPr>
          <w:rFonts w:hint="eastAsia" w:ascii="仿宋_GB2312"/>
          <w:bCs/>
          <w:szCs w:val="28"/>
          <w:highlight w:val="none"/>
          <w:lang w:val="en-US" w:eastAsia="zh-CN"/>
        </w:rPr>
        <w:t>及</w:t>
      </w:r>
      <w:r>
        <w:rPr>
          <w:rFonts w:hint="eastAsia" w:ascii="仿宋_GB2312"/>
          <w:bCs/>
          <w:szCs w:val="28"/>
          <w:highlight w:val="none"/>
          <w:lang w:eastAsia="zh-CN"/>
        </w:rPr>
        <w:t>电梯维修维保等费用113.7万元、支付试剂耗材</w:t>
      </w:r>
      <w:r>
        <w:rPr>
          <w:rFonts w:hint="eastAsia" w:ascii="仿宋_GB2312"/>
          <w:bCs/>
          <w:szCs w:val="28"/>
          <w:highlight w:val="none"/>
          <w:lang w:val="en-US" w:eastAsia="zh-CN"/>
        </w:rPr>
        <w:t>和</w:t>
      </w:r>
      <w:r>
        <w:rPr>
          <w:rFonts w:hint="eastAsia" w:ascii="仿宋_GB2312"/>
          <w:bCs/>
          <w:szCs w:val="28"/>
          <w:highlight w:val="none"/>
          <w:lang w:eastAsia="zh-CN"/>
        </w:rPr>
        <w:t>外调血费用332.36万元、支付献血员交通费</w:t>
      </w:r>
      <w:r>
        <w:rPr>
          <w:rFonts w:hint="eastAsia" w:ascii="仿宋_GB2312"/>
          <w:bCs/>
          <w:szCs w:val="28"/>
          <w:highlight w:val="none"/>
          <w:lang w:val="en-US" w:eastAsia="zh-CN"/>
        </w:rPr>
        <w:t>和</w:t>
      </w:r>
      <w:r>
        <w:rPr>
          <w:rFonts w:hint="eastAsia" w:ascii="仿宋_GB2312"/>
          <w:bCs/>
          <w:szCs w:val="28"/>
          <w:highlight w:val="none"/>
          <w:lang w:eastAsia="zh-CN"/>
        </w:rPr>
        <w:t>血费报销等费用114.21万元、支付临聘人员劳务费90万元、支付项目工程等欠款236.13万元、支付基因测序费血液运输费等2万元、支付南大门道闸2.29万元。</w:t>
      </w:r>
      <w:r>
        <w:rPr>
          <w:rFonts w:hint="eastAsia" w:ascii="仿宋_GB2312"/>
          <w:bCs/>
          <w:szCs w:val="28"/>
          <w:highlight w:val="none"/>
          <w:lang w:val="en-US" w:eastAsia="zh-CN"/>
        </w:rPr>
        <w:t>为满足临床用血需求，合理安排项目预算，完成了本年度采购及支付任务。</w:t>
      </w:r>
      <w:r>
        <w:rPr>
          <w:rFonts w:hint="eastAsia" w:ascii="仿宋_GB2312"/>
          <w:bCs/>
          <w:szCs w:val="28"/>
          <w:highlight w:val="none"/>
          <w:lang w:eastAsia="zh-CN"/>
        </w:rPr>
        <w:t>项目实施后，保障了采供血业务的正常运行，保障了采供血工作中采集、检验、存储、办公、照明正常运行，满足了正常工作的需求。确保了我区血液质量安全。满足了临床用血的需求，确保了患者血液治疗的及时性和有效性。进一步做好献血者的关爱、献血者服务，扩大了献血者队伍，为临床提供了安全有效的血液。完成了2023年血液调剂及支付工作制备各类血液成分，满足了临床所需；提高了血液安全性，避免了血液污染，避免了经血传播疾病。满足了正常采供血工作的需求。</w:t>
      </w:r>
    </w:p>
    <w:p w14:paraId="5D0E10F4">
      <w:pPr>
        <w:pStyle w:val="2"/>
        <w:ind w:firstLine="0" w:firstLineChars="0"/>
        <w:jc w:val="left"/>
        <w:rPr>
          <w:rFonts w:ascii="仿宋" w:hAnsi="仿宋" w:eastAsia="仿宋"/>
          <w:sz w:val="36"/>
          <w:szCs w:val="36"/>
          <w:lang w:bidi="en-US"/>
        </w:rPr>
      </w:pPr>
      <w:bookmarkStart w:id="33" w:name="_Toc67911611"/>
      <w:bookmarkStart w:id="34" w:name="_Toc165277240"/>
      <w:r>
        <w:rPr>
          <w:rFonts w:hint="eastAsia" w:ascii="仿宋" w:hAnsi="仿宋" w:eastAsia="仿宋"/>
          <w:sz w:val="36"/>
          <w:szCs w:val="36"/>
          <w:lang w:bidi="en-US"/>
        </w:rPr>
        <w:t>四、绩效评价指标分析</w:t>
      </w:r>
      <w:bookmarkEnd w:id="33"/>
      <w:bookmarkEnd w:id="34"/>
    </w:p>
    <w:p w14:paraId="149B710B">
      <w:pPr>
        <w:pStyle w:val="3"/>
        <w:ind w:firstLine="643"/>
        <w:rPr>
          <w:rFonts w:ascii="仿宋" w:hAnsi="仿宋" w:eastAsia="仿宋"/>
          <w:lang w:bidi="en-US"/>
        </w:rPr>
      </w:pPr>
      <w:bookmarkStart w:id="35" w:name="_Toc165277241"/>
      <w:bookmarkStart w:id="36" w:name="_Toc67911612"/>
      <w:r>
        <w:rPr>
          <w:rFonts w:hint="eastAsia" w:ascii="仿宋" w:hAnsi="仿宋" w:eastAsia="仿宋"/>
          <w:lang w:bidi="en-US"/>
        </w:rPr>
        <w:t>（一）项目决策情况</w:t>
      </w:r>
      <w:bookmarkEnd w:id="35"/>
      <w:bookmarkEnd w:id="36"/>
    </w:p>
    <w:p w14:paraId="7716FDB9">
      <w:pPr>
        <w:spacing w:line="360" w:lineRule="auto"/>
        <w:ind w:firstLine="560"/>
        <w:rPr>
          <w:rFonts w:ascii="仿宋_GB2312"/>
          <w:szCs w:val="28"/>
        </w:rPr>
      </w:pPr>
      <w:r>
        <w:rPr>
          <w:rFonts w:hint="eastAsia" w:ascii="仿宋_GB2312"/>
          <w:szCs w:val="28"/>
        </w:rPr>
        <w:t>项目决算指标由</w:t>
      </w:r>
      <w:r>
        <w:rPr>
          <w:rFonts w:hint="eastAsia" w:ascii="仿宋_GB2312"/>
          <w:szCs w:val="28"/>
          <w:lang w:val="en-US" w:eastAsia="zh-CN"/>
        </w:rPr>
        <w:t>3</w:t>
      </w:r>
      <w:r>
        <w:rPr>
          <w:rFonts w:hint="eastAsia" w:ascii="仿宋_GB2312"/>
          <w:szCs w:val="28"/>
        </w:rPr>
        <w:t>个二级指标和</w:t>
      </w:r>
      <w:r>
        <w:rPr>
          <w:rFonts w:hint="eastAsia" w:ascii="仿宋_GB2312"/>
          <w:szCs w:val="28"/>
          <w:lang w:val="en-US" w:eastAsia="zh-CN"/>
        </w:rPr>
        <w:t>6</w:t>
      </w:r>
      <w:r>
        <w:rPr>
          <w:rFonts w:hint="eastAsia" w:ascii="仿宋_GB2312"/>
          <w:szCs w:val="28"/>
        </w:rPr>
        <w:t>个三级指标构成，权重</w:t>
      </w:r>
      <w:r>
        <w:rPr>
          <w:rFonts w:hint="eastAsia" w:ascii="仿宋_GB2312"/>
          <w:szCs w:val="28"/>
          <w:highlight w:val="none"/>
        </w:rPr>
        <w:t>为</w:t>
      </w:r>
      <w:r>
        <w:rPr>
          <w:rFonts w:hint="eastAsia" w:ascii="仿宋_GB2312"/>
          <w:szCs w:val="28"/>
          <w:highlight w:val="none"/>
          <w:lang w:val="en-US" w:eastAsia="zh-CN"/>
        </w:rPr>
        <w:t>10</w:t>
      </w:r>
      <w:r>
        <w:rPr>
          <w:rFonts w:hint="eastAsia" w:ascii="仿宋_GB2312"/>
          <w:szCs w:val="28"/>
        </w:rPr>
        <w:t>分，实际得分</w:t>
      </w:r>
      <w:r>
        <w:rPr>
          <w:rFonts w:hint="eastAsia" w:ascii="仿宋_GB2312"/>
          <w:szCs w:val="28"/>
          <w:lang w:val="en-US" w:eastAsia="zh-CN"/>
        </w:rPr>
        <w:t>10</w:t>
      </w:r>
      <w:r>
        <w:rPr>
          <w:rFonts w:hint="eastAsia" w:ascii="仿宋_GB2312"/>
          <w:szCs w:val="28"/>
        </w:rPr>
        <w:t>分。</w:t>
      </w:r>
    </w:p>
    <w:p w14:paraId="755A2C4D">
      <w:pPr>
        <w:pStyle w:val="4"/>
        <w:ind w:firstLine="643"/>
      </w:pPr>
      <w:bookmarkStart w:id="37" w:name="_Toc165277242"/>
      <w:r>
        <w:t>1.</w:t>
      </w:r>
      <w:r>
        <w:rPr>
          <w:rFonts w:hint="eastAsia"/>
        </w:rPr>
        <w:t>项目立项</w:t>
      </w:r>
      <w:bookmarkEnd w:id="37"/>
    </w:p>
    <w:p w14:paraId="4C93975F">
      <w:pPr>
        <w:spacing w:line="360" w:lineRule="auto"/>
        <w:ind w:firstLine="562"/>
        <w:rPr>
          <w:rFonts w:ascii="仿宋_GB2312"/>
          <w:szCs w:val="28"/>
        </w:rPr>
      </w:pPr>
      <w:r>
        <w:rPr>
          <w:rFonts w:hint="eastAsia" w:ascii="仿宋_GB2312"/>
          <w:b/>
          <w:bCs/>
          <w:szCs w:val="28"/>
        </w:rPr>
        <w:t>立项依据充分性：</w:t>
      </w:r>
      <w:r>
        <w:rPr>
          <w:rFonts w:hint="eastAsia" w:ascii="仿宋_GB2312"/>
          <w:szCs w:val="28"/>
        </w:rPr>
        <w:t>项目立项</w:t>
      </w:r>
      <w:r>
        <w:rPr>
          <w:rFonts w:hint="eastAsia" w:ascii="仿宋_GB2312"/>
          <w:szCs w:val="28"/>
          <w:lang w:val="en-US" w:eastAsia="zh-CN"/>
        </w:rPr>
        <w:t>根据《中华人民共和国献血法》《血站管理办法》《血站质量管理规范》《血站实验室质量管理规范》《血站实验室质量管理规范》等法律法规；根据《中华人民共和国献血法》《自治区实施&lt;中华人民共和国献血法&gt;若干规定》，让无偿献血者享受到无偿献血的报销政策，让更多的人加入到无偿献血的队伍当中。为保证无偿献血工作的可持续发展，保障广大献血者的利益，调动医疗机构做好用血互助金的收取工作。按照《血站技术操作规程》的要求，制备的血液成分，经质量管理部门定期抽检，符合GB18469-2012《全血及成分血质量要求》的规定，以保证血液质量与血液安全。根据自治区卫健委关于自治区无偿献血经验交流会会议纪要要求建立全疆血液联动机制支援乌鲁木齐血液供应等相关法律法规政策要求。</w:t>
      </w:r>
      <w:r>
        <w:rPr>
          <w:rFonts w:hint="eastAsia" w:ascii="仿宋_GB2312"/>
          <w:szCs w:val="28"/>
        </w:rPr>
        <w:t>同时，项目与</w:t>
      </w:r>
      <w:r>
        <w:rPr>
          <w:rFonts w:hint="eastAsia" w:ascii="仿宋_GB2312"/>
          <w:szCs w:val="28"/>
          <w:lang w:val="en-US" w:eastAsia="zh-CN"/>
        </w:rPr>
        <w:t>我单位职责</w:t>
      </w:r>
      <w:r>
        <w:rPr>
          <w:rFonts w:hint="eastAsia" w:ascii="仿宋_GB2312"/>
          <w:szCs w:val="28"/>
        </w:rPr>
        <w:t>范围相符，属于部门履职所需。此外，本项目属于公共财政支持范围，符合中央、地方事权支出责任划分原则。因此，立项依据充分，得</w:t>
      </w:r>
      <w:r>
        <w:rPr>
          <w:rFonts w:hint="eastAsia" w:ascii="仿宋_GB2312"/>
          <w:szCs w:val="28"/>
          <w:lang w:val="en-US" w:eastAsia="zh-CN"/>
        </w:rPr>
        <w:t>2</w:t>
      </w:r>
      <w:r>
        <w:rPr>
          <w:rFonts w:hint="eastAsia" w:ascii="仿宋_GB2312"/>
          <w:szCs w:val="28"/>
        </w:rPr>
        <w:t>分。</w:t>
      </w:r>
    </w:p>
    <w:p w14:paraId="1DDBEFE8">
      <w:pPr>
        <w:spacing w:line="360" w:lineRule="auto"/>
        <w:ind w:firstLine="562"/>
        <w:rPr>
          <w:rFonts w:ascii="仿宋_GB2312"/>
          <w:szCs w:val="28"/>
          <w:highlight w:val="none"/>
        </w:rPr>
      </w:pPr>
      <w:r>
        <w:rPr>
          <w:rFonts w:hint="eastAsia" w:ascii="仿宋_GB2312"/>
          <w:b/>
          <w:bCs/>
          <w:szCs w:val="28"/>
          <w:highlight w:val="none"/>
        </w:rPr>
        <w:t>立项程序规范性</w:t>
      </w:r>
      <w:r>
        <w:rPr>
          <w:rFonts w:ascii="仿宋_GB2312"/>
          <w:b/>
          <w:bCs/>
          <w:szCs w:val="28"/>
          <w:highlight w:val="none"/>
        </w:rPr>
        <w:t>:</w:t>
      </w:r>
      <w:r>
        <w:rPr>
          <w:rFonts w:hint="eastAsia" w:ascii="仿宋_GB2312"/>
          <w:szCs w:val="28"/>
          <w:highlight w:val="none"/>
        </w:rPr>
        <w:t>项目按照规定的程序申请设立，经乌财社〔2023〕2号</w:t>
      </w:r>
      <w:r>
        <w:rPr>
          <w:rFonts w:hint="eastAsia" w:ascii="仿宋_GB2312"/>
          <w:szCs w:val="28"/>
          <w:highlight w:val="none"/>
          <w:lang w:val="en-US" w:eastAsia="zh-CN"/>
        </w:rPr>
        <w:t>文件</w:t>
      </w:r>
      <w:r>
        <w:rPr>
          <w:rFonts w:hint="eastAsia" w:ascii="仿宋_GB2312"/>
          <w:szCs w:val="28"/>
          <w:highlight w:val="none"/>
        </w:rPr>
        <w:t>批准成立，审批文件、材料符合相关要求，故立项程序规范，得</w:t>
      </w:r>
      <w:r>
        <w:rPr>
          <w:rFonts w:hint="eastAsia" w:ascii="仿宋_GB2312"/>
          <w:szCs w:val="28"/>
          <w:highlight w:val="none"/>
          <w:lang w:val="en-US" w:eastAsia="zh-CN"/>
        </w:rPr>
        <w:t>2</w:t>
      </w:r>
      <w:r>
        <w:rPr>
          <w:rFonts w:hint="eastAsia" w:ascii="仿宋_GB2312"/>
          <w:szCs w:val="28"/>
          <w:highlight w:val="none"/>
        </w:rPr>
        <w:t>分。</w:t>
      </w:r>
    </w:p>
    <w:p w14:paraId="3E6B2F73">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8</w:t>
      </w:r>
      <w:r>
        <w:rPr>
          <w:rFonts w:hint="eastAsia" w:ascii="仿宋_GB2312" w:hAnsi="仿宋" w:cs="宋体"/>
          <w:b/>
          <w:kern w:val="0"/>
          <w:szCs w:val="28"/>
        </w:rPr>
        <w:t>分，得分</w:t>
      </w:r>
      <w:r>
        <w:rPr>
          <w:rFonts w:hint="eastAsia" w:ascii="仿宋_GB2312" w:hAnsi="仿宋" w:cs="宋体"/>
          <w:b/>
          <w:kern w:val="0"/>
          <w:szCs w:val="28"/>
          <w:lang w:val="en-US" w:eastAsia="zh-CN"/>
        </w:rPr>
        <w:t>8</w:t>
      </w:r>
      <w:r>
        <w:rPr>
          <w:rFonts w:hint="eastAsia" w:ascii="仿宋_GB2312" w:hAnsi="仿宋" w:cs="宋体"/>
          <w:b/>
          <w:kern w:val="0"/>
          <w:szCs w:val="28"/>
        </w:rPr>
        <w:t>分。</w:t>
      </w:r>
    </w:p>
    <w:p w14:paraId="1B85FA3A">
      <w:pPr>
        <w:pStyle w:val="4"/>
        <w:ind w:firstLine="643"/>
      </w:pPr>
      <w:bookmarkStart w:id="38" w:name="_Toc165277243"/>
      <w:r>
        <w:rPr>
          <w:rFonts w:hint="eastAsia"/>
        </w:rPr>
        <w:t>2</w:t>
      </w:r>
      <w:r>
        <w:t>.</w:t>
      </w:r>
      <w:r>
        <w:rPr>
          <w:rFonts w:hint="eastAsia"/>
        </w:rPr>
        <w:t>绩效目标</w:t>
      </w:r>
      <w:bookmarkEnd w:id="38"/>
    </w:p>
    <w:p w14:paraId="20457CB2">
      <w:pPr>
        <w:spacing w:line="360" w:lineRule="auto"/>
        <w:ind w:firstLine="562"/>
        <w:rPr>
          <w:rFonts w:ascii="仿宋_GB2312"/>
          <w:szCs w:val="28"/>
        </w:rPr>
      </w:pPr>
      <w:r>
        <w:rPr>
          <w:rFonts w:hint="eastAsia" w:ascii="仿宋_GB2312"/>
          <w:b/>
          <w:bCs/>
          <w:szCs w:val="28"/>
        </w:rPr>
        <w:t>绩效目标合理性：</w:t>
      </w:r>
      <w:r>
        <w:rPr>
          <w:rFonts w:hint="eastAsia" w:ascii="仿宋_GB2312"/>
          <w:szCs w:val="28"/>
        </w:rPr>
        <w:t>本项目的绩效目标按照产出、效益和满意度构建绩效评价指标，且具有明确性、可衡量性、可实现性、相关性和时限性等特点，能较为全面地反映本项目的产出和效益，故绩效目标合理性指标得分</w:t>
      </w:r>
      <w:r>
        <w:rPr>
          <w:rFonts w:hint="eastAsia" w:ascii="仿宋_GB2312"/>
          <w:szCs w:val="28"/>
          <w:lang w:val="en-US" w:eastAsia="zh-CN"/>
        </w:rPr>
        <w:t>1.5</w:t>
      </w:r>
      <w:r>
        <w:rPr>
          <w:rFonts w:hint="eastAsia" w:ascii="仿宋_GB2312"/>
          <w:szCs w:val="28"/>
        </w:rPr>
        <w:t>分。</w:t>
      </w:r>
    </w:p>
    <w:p w14:paraId="6DFD8554">
      <w:pPr>
        <w:autoSpaceDE w:val="0"/>
        <w:spacing w:line="600" w:lineRule="exact"/>
        <w:ind w:firstLine="562"/>
        <w:rPr>
          <w:rFonts w:hint="default" w:ascii="仿宋_GB2312" w:hAnsi="仿宋" w:eastAsia="仿宋_GB2312" w:cs="宋体"/>
          <w:b/>
          <w:bCs/>
          <w:kern w:val="0"/>
          <w:szCs w:val="28"/>
          <w:lang w:val="en-US" w:eastAsia="zh-CN"/>
        </w:rPr>
      </w:pPr>
      <w:r>
        <w:rPr>
          <w:rFonts w:hint="eastAsia" w:ascii="仿宋_GB2312" w:hAnsi="仿宋" w:cs="宋体"/>
          <w:b/>
          <w:kern w:val="0"/>
          <w:szCs w:val="28"/>
        </w:rPr>
        <w:t>绩效目标明确性：</w:t>
      </w:r>
      <w:r>
        <w:rPr>
          <w:rFonts w:hint="eastAsia" w:ascii="仿宋_GB2312" w:hAnsi="仿宋" w:cs="宋体"/>
          <w:kern w:val="0"/>
          <w:szCs w:val="28"/>
        </w:rPr>
        <w:t>该项目主要任务</w:t>
      </w:r>
      <w:r>
        <w:rPr>
          <w:rFonts w:hint="eastAsia" w:ascii="仿宋_GB2312" w:hAnsi="仿宋" w:cs="宋体"/>
          <w:kern w:val="0"/>
          <w:szCs w:val="28"/>
          <w:lang w:val="en-US" w:eastAsia="zh-CN"/>
        </w:rPr>
        <w:t>是为了我单位</w:t>
      </w:r>
      <w:r>
        <w:rPr>
          <w:rFonts w:hint="eastAsia" w:ascii="仿宋_GB2312" w:hAnsi="仿宋" w:cs="宋体"/>
          <w:kern w:val="0"/>
          <w:szCs w:val="28"/>
        </w:rPr>
        <w:t>保障采供血工作中采集、检验、存储、办公、照明正常运行。确保我区血液质量安全。满足临床用血的需求。进一步做好献血者的关爱、献血者服务。完成202</w:t>
      </w:r>
      <w:r>
        <w:rPr>
          <w:rFonts w:hint="eastAsia" w:ascii="仿宋_GB2312" w:hAnsi="仿宋" w:cs="宋体"/>
          <w:kern w:val="0"/>
          <w:szCs w:val="28"/>
          <w:lang w:val="en-US" w:eastAsia="zh-CN"/>
        </w:rPr>
        <w:t>3</w:t>
      </w:r>
      <w:r>
        <w:rPr>
          <w:rFonts w:hint="eastAsia" w:ascii="仿宋_GB2312" w:hAnsi="仿宋" w:cs="宋体"/>
          <w:kern w:val="0"/>
          <w:szCs w:val="28"/>
        </w:rPr>
        <w:t>年血液调剂及支付工作制备各类血液成分，满足临床所需</w:t>
      </w:r>
      <w:r>
        <w:rPr>
          <w:rFonts w:hint="eastAsia" w:ascii="仿宋_GB2312" w:hAnsi="仿宋" w:cs="宋体"/>
          <w:kern w:val="0"/>
          <w:szCs w:val="28"/>
          <w:lang w:eastAsia="zh-CN"/>
        </w:rPr>
        <w:t>。</w:t>
      </w:r>
      <w:r>
        <w:rPr>
          <w:rFonts w:hint="eastAsia" w:ascii="仿宋_GB2312" w:hAnsi="仿宋" w:cs="宋体"/>
          <w:kern w:val="0"/>
          <w:szCs w:val="28"/>
        </w:rPr>
        <w:t>目标已细化为具体的绩效指标</w:t>
      </w:r>
      <w:r>
        <w:rPr>
          <w:rFonts w:hint="eastAsia" w:ascii="仿宋_GB2312" w:hAnsi="仿宋" w:cs="宋体"/>
          <w:kern w:val="0"/>
          <w:szCs w:val="28"/>
          <w:lang w:eastAsia="zh-CN"/>
        </w:rPr>
        <w:t>，</w:t>
      </w:r>
      <w:r>
        <w:rPr>
          <w:rFonts w:hint="eastAsia" w:ascii="仿宋_GB2312" w:hAnsi="仿宋" w:cs="宋体"/>
          <w:kern w:val="0"/>
          <w:szCs w:val="28"/>
        </w:rPr>
        <w:t>可通过数量指标、质量指标、时效指标和成本指标予以量化</w:t>
      </w:r>
      <w:r>
        <w:rPr>
          <w:rFonts w:hint="eastAsia" w:ascii="仿宋_GB2312" w:hAnsi="仿宋" w:cs="宋体"/>
          <w:kern w:val="0"/>
          <w:szCs w:val="28"/>
          <w:lang w:eastAsia="zh-CN"/>
        </w:rPr>
        <w:t>。</w:t>
      </w:r>
      <w:r>
        <w:rPr>
          <w:rFonts w:hint="eastAsia" w:ascii="仿宋_GB2312" w:hAnsi="仿宋" w:cs="宋体"/>
          <w:kern w:val="0"/>
          <w:szCs w:val="28"/>
        </w:rPr>
        <w:t>并具有确切的评价标准，且指标设定均与目标相关。</w:t>
      </w:r>
      <w:r>
        <w:rPr>
          <w:rFonts w:hint="eastAsia" w:ascii="仿宋_GB2312" w:hAnsi="仿宋" w:cs="宋体"/>
          <w:kern w:val="0"/>
          <w:szCs w:val="28"/>
          <w:lang w:val="en-US" w:eastAsia="zh-CN"/>
        </w:rPr>
        <w:t>各项指标均能在现实条件下收到相关数据进行佐证。如：相关科室可以提供数量指标、质量指标的完成情况进行佐证，成本指标由财务科提供原始凭证佐证。</w:t>
      </w:r>
      <w:r>
        <w:rPr>
          <w:rFonts w:hint="eastAsia" w:ascii="仿宋_GB2312" w:hAnsi="仿宋" w:cs="宋体"/>
          <w:kern w:val="0"/>
          <w:szCs w:val="28"/>
        </w:rPr>
        <w:t>并与当年项目年度计划相对应，故绩效目标明确性指标得分</w:t>
      </w:r>
      <w:r>
        <w:rPr>
          <w:rFonts w:hint="eastAsia" w:ascii="仿宋_GB2312" w:hAnsi="仿宋" w:cs="宋体"/>
          <w:kern w:val="0"/>
          <w:szCs w:val="28"/>
          <w:lang w:val="en-US" w:eastAsia="zh-CN"/>
        </w:rPr>
        <w:t>1.5</w:t>
      </w:r>
      <w:r>
        <w:rPr>
          <w:rFonts w:hint="eastAsia" w:ascii="仿宋_GB2312" w:hAnsi="仿宋" w:cs="宋体"/>
          <w:kern w:val="0"/>
          <w:szCs w:val="28"/>
        </w:rPr>
        <w:t>分。</w:t>
      </w:r>
    </w:p>
    <w:p w14:paraId="68840FF9">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hint="eastAsia" w:ascii="仿宋_GB2312" w:hAnsi="仿宋" w:cs="宋体"/>
          <w:b/>
          <w:kern w:val="0"/>
          <w:szCs w:val="28"/>
          <w:lang w:val="en-US" w:eastAsia="zh-CN"/>
        </w:rPr>
        <w:t>3</w:t>
      </w:r>
      <w:r>
        <w:rPr>
          <w:rFonts w:hint="eastAsia" w:ascii="仿宋_GB2312" w:hAnsi="仿宋" w:cs="宋体"/>
          <w:b/>
          <w:kern w:val="0"/>
          <w:szCs w:val="28"/>
        </w:rPr>
        <w:t>分，得分</w:t>
      </w:r>
      <w:r>
        <w:rPr>
          <w:rFonts w:hint="eastAsia" w:ascii="仿宋_GB2312" w:hAnsi="仿宋" w:cs="宋体"/>
          <w:b/>
          <w:kern w:val="0"/>
          <w:szCs w:val="28"/>
          <w:lang w:val="en-US" w:eastAsia="zh-CN"/>
        </w:rPr>
        <w:t>3</w:t>
      </w:r>
      <w:r>
        <w:rPr>
          <w:rFonts w:hint="eastAsia" w:ascii="仿宋_GB2312" w:hAnsi="仿宋" w:cs="宋体"/>
          <w:b/>
          <w:kern w:val="0"/>
          <w:szCs w:val="28"/>
        </w:rPr>
        <w:t>分。</w:t>
      </w:r>
    </w:p>
    <w:p w14:paraId="67C0F3D3">
      <w:pPr>
        <w:pStyle w:val="4"/>
        <w:ind w:firstLine="643"/>
      </w:pPr>
      <w:bookmarkStart w:id="39" w:name="_Toc165277244"/>
      <w:r>
        <w:rPr>
          <w:rFonts w:hint="eastAsia"/>
        </w:rPr>
        <w:t>3.资金投入</w:t>
      </w:r>
      <w:bookmarkEnd w:id="39"/>
    </w:p>
    <w:p w14:paraId="0620178B">
      <w:pPr>
        <w:autoSpaceDE w:val="0"/>
        <w:spacing w:line="600" w:lineRule="exact"/>
        <w:ind w:firstLine="562"/>
        <w:rPr>
          <w:rFonts w:ascii="仿宋_GB2312" w:hAnsi="仿宋" w:cs="宋体"/>
          <w:bCs/>
          <w:kern w:val="0"/>
          <w:szCs w:val="28"/>
        </w:rPr>
      </w:pPr>
      <w:r>
        <w:rPr>
          <w:rFonts w:hint="eastAsia" w:ascii="仿宋_GB2312" w:hAnsi="仿宋" w:cs="宋体"/>
          <w:b/>
          <w:kern w:val="0"/>
          <w:szCs w:val="28"/>
        </w:rPr>
        <w:t>预算编制科学性：</w:t>
      </w:r>
      <w:r>
        <w:rPr>
          <w:rFonts w:hint="eastAsia" w:ascii="仿宋_GB2312" w:hAnsi="仿宋" w:cs="宋体"/>
          <w:kern w:val="0"/>
          <w:szCs w:val="28"/>
        </w:rPr>
        <w:t>根据</w:t>
      </w:r>
      <w:r>
        <w:rPr>
          <w:rFonts w:hint="eastAsia" w:ascii="仿宋_GB2312" w:hAnsi="仿宋" w:cs="宋体"/>
          <w:kern w:val="0"/>
          <w:szCs w:val="28"/>
          <w:lang w:val="en-US" w:eastAsia="zh-CN"/>
        </w:rPr>
        <w:t>乌鲁木齐市</w:t>
      </w:r>
      <w:r>
        <w:rPr>
          <w:rFonts w:hint="eastAsia" w:ascii="仿宋_GB2312" w:hAnsi="仿宋" w:cs="宋体"/>
          <w:kern w:val="0"/>
          <w:szCs w:val="28"/>
        </w:rPr>
        <w:t>财政局下达的项目预算控制数，在不超过控制数的前提下，由</w:t>
      </w:r>
      <w:r>
        <w:rPr>
          <w:rFonts w:hint="eastAsia" w:ascii="仿宋_GB2312" w:hAnsi="仿宋" w:cs="宋体"/>
          <w:kern w:val="0"/>
          <w:szCs w:val="28"/>
          <w:lang w:val="en-US" w:eastAsia="zh-CN"/>
        </w:rPr>
        <w:t>我单位相关</w:t>
      </w:r>
      <w:r>
        <w:rPr>
          <w:rFonts w:hint="eastAsia" w:ascii="仿宋_GB2312" w:hAnsi="仿宋" w:cs="宋体"/>
          <w:kern w:val="0"/>
          <w:szCs w:val="28"/>
        </w:rPr>
        <w:t>业务科室根据往年的实际工作情况</w:t>
      </w:r>
      <w:r>
        <w:rPr>
          <w:rFonts w:hint="eastAsia" w:ascii="仿宋_GB2312" w:hAnsi="仿宋" w:cs="宋体"/>
          <w:kern w:val="0"/>
          <w:szCs w:val="28"/>
          <w:lang w:val="en-US" w:eastAsia="zh-CN"/>
        </w:rPr>
        <w:t>与当年的工作计划</w:t>
      </w:r>
      <w:r>
        <w:rPr>
          <w:rFonts w:hint="eastAsia" w:ascii="仿宋_GB2312" w:hAnsi="仿宋" w:cs="宋体"/>
          <w:kern w:val="0"/>
          <w:szCs w:val="28"/>
        </w:rPr>
        <w:t>，</w:t>
      </w:r>
      <w:r>
        <w:rPr>
          <w:rFonts w:hint="eastAsia" w:ascii="仿宋_GB2312" w:hAnsi="仿宋" w:cs="宋体"/>
          <w:kern w:val="0"/>
          <w:szCs w:val="28"/>
          <w:lang w:val="en-US" w:eastAsia="zh-CN"/>
        </w:rPr>
        <w:t>合理确定本年的需求，</w:t>
      </w:r>
      <w:r>
        <w:rPr>
          <w:rFonts w:hint="eastAsia" w:ascii="仿宋_GB2312" w:hAnsi="仿宋" w:cs="宋体"/>
          <w:kern w:val="0"/>
          <w:szCs w:val="28"/>
        </w:rPr>
        <w:t>由此编制项目所需的总金额</w:t>
      </w:r>
      <w:r>
        <w:rPr>
          <w:rFonts w:hint="eastAsia" w:ascii="仿宋_GB2312" w:hAnsi="仿宋" w:cs="宋体"/>
          <w:kern w:val="0"/>
          <w:szCs w:val="28"/>
          <w:lang w:val="en-US" w:eastAsia="zh-CN"/>
        </w:rPr>
        <w:t>以及需要达成的绩效目标</w:t>
      </w:r>
      <w:r>
        <w:rPr>
          <w:rFonts w:hint="eastAsia" w:ascii="仿宋_GB2312" w:hAnsi="仿宋" w:cs="宋体"/>
          <w:b/>
          <w:kern w:val="0"/>
          <w:szCs w:val="28"/>
        </w:rPr>
        <w:t>。</w:t>
      </w:r>
      <w:r>
        <w:rPr>
          <w:rFonts w:hint="eastAsia" w:ascii="仿宋_GB2312" w:hAnsi="仿宋" w:cs="宋体"/>
          <w:kern w:val="0"/>
          <w:szCs w:val="28"/>
        </w:rPr>
        <w:t>故预算编制科学性指标得分</w:t>
      </w:r>
      <w:r>
        <w:rPr>
          <w:rFonts w:hint="eastAsia" w:ascii="仿宋_GB2312" w:hAnsi="仿宋" w:cs="宋体"/>
          <w:kern w:val="0"/>
          <w:szCs w:val="28"/>
          <w:lang w:val="en-US" w:eastAsia="zh-CN"/>
        </w:rPr>
        <w:t>1.5</w:t>
      </w:r>
      <w:r>
        <w:rPr>
          <w:rFonts w:hint="eastAsia" w:ascii="仿宋_GB2312" w:hAnsi="仿宋" w:cs="宋体"/>
          <w:kern w:val="0"/>
          <w:szCs w:val="28"/>
        </w:rPr>
        <w:t>分。</w:t>
      </w:r>
    </w:p>
    <w:p w14:paraId="0266B6D0">
      <w:pPr>
        <w:spacing w:line="360" w:lineRule="auto"/>
        <w:ind w:firstLine="562"/>
        <w:rPr>
          <w:rFonts w:hint="eastAsia" w:ascii="仿宋_GB2312" w:hAnsi="仿宋" w:cs="宋体"/>
          <w:kern w:val="0"/>
          <w:szCs w:val="28"/>
          <w:lang w:val="en-US" w:eastAsia="zh-CN"/>
        </w:rPr>
      </w:pPr>
      <w:r>
        <w:rPr>
          <w:rFonts w:hint="eastAsia"/>
          <w:b/>
          <w:bCs/>
        </w:rPr>
        <w:t>资金分配合理性</w:t>
      </w:r>
      <w:r>
        <w:rPr>
          <w:rFonts w:hint="eastAsia"/>
        </w:rPr>
        <w:t>：</w:t>
      </w:r>
      <w:r>
        <w:rPr>
          <w:rFonts w:hint="eastAsia" w:ascii="仿宋_GB2312" w:hAnsi="仿宋" w:cs="宋体"/>
          <w:kern w:val="0"/>
          <w:szCs w:val="28"/>
          <w:lang w:val="en-US" w:eastAsia="zh-CN"/>
        </w:rPr>
        <w:t>根据我单位的单位职能，该资金用于保障我单位的正常工作，保障全区的采供血业务和临床用血需求，其中70万元用于支付电费、113.7万元用于支付设备电梯的维修维护费、333万元用于购买试剂耗材及支付外调血费用、117.70万元用于支付献血员交通费和血费报销等费用、90万元用于支付临聘人员劳务费、236.13万元用于支付项目工程欠款、8.94万元用于支付基因测序费和血液运输费、3万元用于支付南大门道闸费用。故资金分配合理性指标得分1.5分。</w:t>
      </w:r>
    </w:p>
    <w:p w14:paraId="63C47461">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hint="eastAsia" w:ascii="仿宋_GB2312" w:hAnsi="仿宋" w:cs="宋体"/>
          <w:b/>
          <w:kern w:val="0"/>
          <w:szCs w:val="28"/>
          <w:lang w:val="en-US" w:eastAsia="zh-CN"/>
        </w:rPr>
        <w:t>3</w:t>
      </w:r>
      <w:r>
        <w:rPr>
          <w:rFonts w:hint="eastAsia" w:ascii="仿宋_GB2312" w:hAnsi="仿宋" w:cs="宋体"/>
          <w:b/>
          <w:kern w:val="0"/>
          <w:szCs w:val="28"/>
        </w:rPr>
        <w:t>分，得分</w:t>
      </w:r>
      <w:r>
        <w:rPr>
          <w:rFonts w:hint="eastAsia" w:ascii="仿宋_GB2312" w:hAnsi="仿宋" w:cs="宋体"/>
          <w:b/>
          <w:kern w:val="0"/>
          <w:szCs w:val="28"/>
          <w:lang w:val="en-US" w:eastAsia="zh-CN"/>
        </w:rPr>
        <w:t>3</w:t>
      </w:r>
      <w:r>
        <w:rPr>
          <w:rFonts w:hint="eastAsia" w:ascii="仿宋_GB2312" w:hAnsi="仿宋" w:cs="宋体"/>
          <w:b/>
          <w:kern w:val="0"/>
          <w:szCs w:val="28"/>
        </w:rPr>
        <w:t>分。</w:t>
      </w:r>
    </w:p>
    <w:p w14:paraId="3C88D641">
      <w:pPr>
        <w:pStyle w:val="3"/>
        <w:ind w:firstLine="643"/>
        <w:rPr>
          <w:rFonts w:ascii="仿宋" w:hAnsi="仿宋" w:eastAsia="仿宋"/>
          <w:lang w:bidi="en-US"/>
        </w:rPr>
      </w:pPr>
      <w:bookmarkStart w:id="40" w:name="_Toc165277245"/>
      <w:bookmarkStart w:id="41" w:name="_Toc67911613"/>
      <w:r>
        <w:rPr>
          <w:rFonts w:hint="eastAsia" w:ascii="仿宋" w:hAnsi="仿宋" w:eastAsia="仿宋"/>
          <w:lang w:bidi="en-US"/>
        </w:rPr>
        <w:t>（二）项目过程情况</w:t>
      </w:r>
      <w:bookmarkEnd w:id="40"/>
      <w:bookmarkEnd w:id="41"/>
    </w:p>
    <w:p w14:paraId="5EC65B40">
      <w:pPr>
        <w:spacing w:line="360" w:lineRule="auto"/>
        <w:ind w:firstLine="560"/>
        <w:rPr>
          <w:rFonts w:ascii="仿宋_GB2312"/>
          <w:szCs w:val="28"/>
        </w:rPr>
      </w:pPr>
      <w:r>
        <w:rPr>
          <w:rFonts w:hint="eastAsia" w:ascii="仿宋_GB2312"/>
          <w:szCs w:val="28"/>
        </w:rPr>
        <w:t>项目过程指标由2个二级指标和</w:t>
      </w:r>
      <w:r>
        <w:rPr>
          <w:rFonts w:ascii="仿宋_GB2312"/>
          <w:szCs w:val="28"/>
        </w:rPr>
        <w:t>5</w:t>
      </w:r>
      <w:r>
        <w:rPr>
          <w:rFonts w:hint="eastAsia" w:ascii="仿宋_GB2312"/>
          <w:szCs w:val="28"/>
        </w:rPr>
        <w:t>个三级指标构成，权重为</w:t>
      </w:r>
      <w:r>
        <w:rPr>
          <w:rFonts w:hint="eastAsia" w:ascii="仿宋_GB2312"/>
          <w:szCs w:val="28"/>
          <w:lang w:val="en-US" w:eastAsia="zh-CN"/>
        </w:rPr>
        <w:t>1</w:t>
      </w:r>
      <w:r>
        <w:rPr>
          <w:rFonts w:ascii="仿宋_GB2312"/>
          <w:szCs w:val="28"/>
        </w:rPr>
        <w:t>0</w:t>
      </w:r>
      <w:r>
        <w:rPr>
          <w:rFonts w:hint="eastAsia" w:ascii="仿宋_GB2312"/>
          <w:szCs w:val="28"/>
        </w:rPr>
        <w:t>分，实际得分</w:t>
      </w:r>
      <w:r>
        <w:rPr>
          <w:rFonts w:hint="eastAsia" w:ascii="仿宋_GB2312"/>
          <w:szCs w:val="28"/>
          <w:lang w:val="en-US" w:eastAsia="zh-CN"/>
        </w:rPr>
        <w:t>10</w:t>
      </w:r>
      <w:r>
        <w:rPr>
          <w:rFonts w:hint="eastAsia" w:ascii="仿宋_GB2312"/>
          <w:szCs w:val="28"/>
        </w:rPr>
        <w:t>分。</w:t>
      </w:r>
    </w:p>
    <w:p w14:paraId="71A60238">
      <w:pPr>
        <w:pStyle w:val="4"/>
        <w:ind w:firstLine="643"/>
      </w:pPr>
      <w:bookmarkStart w:id="42" w:name="_Toc165277246"/>
      <w:r>
        <w:t>1.</w:t>
      </w:r>
      <w:r>
        <w:rPr>
          <w:rFonts w:hint="eastAsia"/>
        </w:rPr>
        <w:t>资金管理</w:t>
      </w:r>
      <w:bookmarkEnd w:id="42"/>
    </w:p>
    <w:p w14:paraId="1F28FFAC">
      <w:pPr>
        <w:spacing w:line="360" w:lineRule="auto"/>
        <w:ind w:left="280" w:leftChars="100" w:firstLine="281" w:firstLineChars="100"/>
        <w:rPr>
          <w:rFonts w:ascii="仿宋_GB2312"/>
          <w:szCs w:val="28"/>
          <w:highlight w:val="none"/>
        </w:rPr>
      </w:pPr>
      <w:r>
        <w:rPr>
          <w:rFonts w:hint="eastAsia" w:ascii="仿宋_GB2312"/>
          <w:b/>
          <w:bCs/>
          <w:szCs w:val="28"/>
          <w:highlight w:val="none"/>
        </w:rPr>
        <w:t>资金到位率：</w:t>
      </w:r>
      <w:r>
        <w:rPr>
          <w:rFonts w:hint="eastAsia" w:ascii="仿宋_GB2312"/>
          <w:szCs w:val="28"/>
          <w:highlight w:val="none"/>
        </w:rPr>
        <w:t>该项目资金由财政拨付</w:t>
      </w:r>
      <w:r>
        <w:rPr>
          <w:rFonts w:hint="eastAsia" w:ascii="仿宋_GB2312"/>
          <w:szCs w:val="28"/>
          <w:highlight w:val="none"/>
          <w:lang w:eastAsia="zh-CN"/>
        </w:rPr>
        <w:t>，</w:t>
      </w:r>
      <w:r>
        <w:rPr>
          <w:rFonts w:hint="eastAsia" w:ascii="仿宋_GB2312" w:hAnsi="仿宋" w:cs="宋体"/>
          <w:kern w:val="0"/>
          <w:szCs w:val="28"/>
          <w:highlight w:val="none"/>
          <w:lang w:val="en-US" w:eastAsia="zh-CN"/>
        </w:rPr>
        <w:t>年初预算数972.47</w:t>
      </w:r>
      <w:r>
        <w:rPr>
          <w:rFonts w:hint="eastAsia"/>
          <w:highlight w:val="none"/>
          <w:lang w:val="en-US" w:eastAsia="zh-CN"/>
        </w:rPr>
        <w:t>万元，</w:t>
      </w:r>
      <w:r>
        <w:rPr>
          <w:rFonts w:hint="eastAsia" w:ascii="仿宋_GB2312"/>
          <w:szCs w:val="28"/>
          <w:highlight w:val="none"/>
          <w:lang w:val="en-US" w:eastAsia="zh-CN"/>
        </w:rPr>
        <w:t>在2023年1月26日到位，实际到位资金960.68万元</w:t>
      </w:r>
      <w:r>
        <w:rPr>
          <w:rFonts w:hint="eastAsia" w:ascii="仿宋_GB2312" w:hAnsi="仿宋" w:cs="宋体"/>
          <w:b/>
          <w:kern w:val="0"/>
          <w:szCs w:val="28"/>
          <w:highlight w:val="none"/>
        </w:rPr>
        <w:t>。</w:t>
      </w:r>
      <w:r>
        <w:rPr>
          <w:rFonts w:hint="eastAsia" w:ascii="仿宋_GB2312" w:hAnsi="仿宋" w:cs="宋体"/>
          <w:kern w:val="0"/>
          <w:szCs w:val="28"/>
          <w:highlight w:val="none"/>
        </w:rPr>
        <w:t>故资金到位率指标得分</w:t>
      </w:r>
      <w:r>
        <w:rPr>
          <w:rFonts w:hint="eastAsia" w:ascii="仿宋_GB2312" w:hAnsi="仿宋" w:cs="宋体"/>
          <w:kern w:val="0"/>
          <w:szCs w:val="28"/>
          <w:highlight w:val="none"/>
          <w:lang w:val="en-US" w:eastAsia="zh-CN"/>
        </w:rPr>
        <w:t>2.5</w:t>
      </w:r>
      <w:r>
        <w:rPr>
          <w:rFonts w:hint="eastAsia" w:ascii="仿宋_GB2312" w:hAnsi="仿宋" w:cs="宋体"/>
          <w:kern w:val="0"/>
          <w:szCs w:val="28"/>
          <w:highlight w:val="none"/>
        </w:rPr>
        <w:t>分。</w:t>
      </w:r>
    </w:p>
    <w:p w14:paraId="21B10713">
      <w:pPr>
        <w:spacing w:line="360" w:lineRule="auto"/>
        <w:ind w:firstLine="562"/>
        <w:rPr>
          <w:rFonts w:hint="eastAsia" w:ascii="仿宋_GB2312" w:hAnsi="仿宋_GB2312"/>
          <w:sz w:val="28"/>
          <w:highlight w:val="none"/>
          <w:lang w:val="en-US" w:eastAsia="zh-CN"/>
        </w:rPr>
      </w:pPr>
      <w:r>
        <w:rPr>
          <w:rFonts w:hint="eastAsia" w:ascii="仿宋_GB2312"/>
          <w:b/>
          <w:bCs/>
          <w:szCs w:val="28"/>
          <w:highlight w:val="none"/>
        </w:rPr>
        <w:t>预算执行率：</w:t>
      </w:r>
      <w:r>
        <w:rPr>
          <w:rFonts w:hint="eastAsia" w:ascii="仿宋_GB2312" w:hAnsi="仿宋_GB2312"/>
          <w:sz w:val="28"/>
          <w:highlight w:val="none"/>
          <w:lang w:val="en-US" w:eastAsia="zh-CN"/>
        </w:rPr>
        <w:t>该项目实际到位资金960.68万元，实际共支付960.68万元，预算执行率100%。其中：</w:t>
      </w:r>
    </w:p>
    <w:p w14:paraId="087EB32A">
      <w:pPr>
        <w:spacing w:line="360" w:lineRule="auto"/>
        <w:ind w:firstLine="562"/>
        <w:rPr>
          <w:rFonts w:hint="eastAsia" w:ascii="仿宋_GB2312" w:hAnsi="仿宋_GB2312"/>
          <w:sz w:val="28"/>
          <w:highlight w:val="none"/>
          <w:lang w:val="en-US" w:eastAsia="zh-CN"/>
        </w:rPr>
      </w:pPr>
      <w:r>
        <w:rPr>
          <w:rFonts w:hint="eastAsia" w:ascii="仿宋_GB2312" w:hAnsi="仿宋_GB2312" w:cs="宋体"/>
          <w:kern w:val="0"/>
          <w:sz w:val="28"/>
          <w:szCs w:val="28"/>
          <w:lang w:val="en-US" w:eastAsia="zh-CN"/>
        </w:rPr>
        <w:t>70</w:t>
      </w:r>
      <w:r>
        <w:rPr>
          <w:rFonts w:hint="eastAsia" w:ascii="仿宋_GB2312" w:hAnsi="仿宋_GB2312"/>
          <w:sz w:val="28"/>
          <w:highlight w:val="none"/>
          <w:lang w:val="en-US" w:eastAsia="zh-CN"/>
        </w:rPr>
        <w:t>万元用于支付国网新疆电力有限公司电费，其中：2月22日支付30067.4元、3月7日支付144932.6元、6月20日支付53468.78元、6月26日支付80000元、7月11日支付10000元、7月11日支付6503.02元、7月14日支付100000元、8月04日支付130000元、10月20日支付140000元、12月26日支付4994.02元。</w:t>
      </w:r>
    </w:p>
    <w:p w14:paraId="2954DE10">
      <w:pPr>
        <w:spacing w:line="360" w:lineRule="auto"/>
        <w:ind w:firstLine="562"/>
        <w:rPr>
          <w:rFonts w:hint="default" w:ascii="仿宋_GB2312" w:hAnsi="仿宋_GB2312"/>
          <w:sz w:val="28"/>
          <w:highlight w:val="none"/>
          <w:lang w:val="en-US" w:eastAsia="zh-CN"/>
        </w:rPr>
      </w:pPr>
      <w:r>
        <w:rPr>
          <w:rFonts w:hint="eastAsia" w:ascii="仿宋_GB2312" w:hAnsi="仿宋_GB2312"/>
          <w:sz w:val="28"/>
          <w:highlight w:val="none"/>
          <w:lang w:val="en-US" w:eastAsia="zh-CN"/>
        </w:rPr>
        <w:t>113.7万元用于支付设备电梯的维修维护费，其中：2月支付9446.63元、4月支付39060元、5月支付97030元、6月支付30940元、7月支付184622.36元、8月支付89338.5元、9月支付32920元、10月支付64685元、11月支付5842元、12月支付583115.51元。</w:t>
      </w:r>
    </w:p>
    <w:p w14:paraId="2803C020">
      <w:pPr>
        <w:spacing w:line="360" w:lineRule="auto"/>
        <w:ind w:firstLine="562"/>
        <w:rPr>
          <w:rFonts w:hint="default" w:ascii="仿宋_GB2312" w:hAnsi="仿宋_GB2312"/>
          <w:sz w:val="28"/>
          <w:highlight w:val="none"/>
          <w:lang w:val="en-US" w:eastAsia="zh-CN"/>
        </w:rPr>
      </w:pPr>
      <w:r>
        <w:rPr>
          <w:rFonts w:hint="eastAsia" w:ascii="仿宋_GB2312" w:hAnsi="仿宋_GB2312"/>
          <w:sz w:val="28"/>
          <w:highlight w:val="none"/>
          <w:lang w:val="en-US" w:eastAsia="zh-CN"/>
        </w:rPr>
        <w:t>332.36万元用于购买试剂耗材及支付外调血费用，其中：4月18日支付博州血站、巴州血站、诸暨市血站血费183540元、支付国药集团新疆新特药业有限公司37480元；4月19日支付阿克苏血站74750元；6月15日支付国药集团新疆新特药业有限公司77778.2元；7月10日支付河南广创医疗器械商贸有限公司90800元、江西宝朋医疗器械有限公司79670元、深圳市爱康生物科技股份有限公司5800元、新疆和利嘉业电子科技有限公司18661元、乌鲁木齐浩天中佳生物科技有限公司107900元、乌鲁木齐义缘利业商贸有限公司21951元、水磨沟区南湖北路金诚佳信办公用品经销部22600元、新疆三徕曼商贸有限公司10267.5元、北京康彻思坦生物技术有限公司22500元、北京荣泰科贸有限公司18240元、新疆浩通医疗器械有限公司8082元；8月1日支付兵团血站20611元、伊犁血站109135元；8月14日支付新疆博卡嘉业生物科技有限公司341468.64元、河南春春医疗器械贸易有限公司62260元；9月4日支付哈密血站306107元；11月支付昌吉血站、和田血站、石河子血站、巴州血站、博州血站、克拉玛依血站、喀什血站、阿克苏血站、塔城血站、哈密血站、伊犁血站共计1535035元；12月1日支付博州血站14490元；12月26日支付水磨沟区南湖北路金诚佳信办公用品经销部5520元、支付新疆和利嘉业电子科技有限公司7668元、支付北京荣泰科贸有限公司6300元、支付新疆博卡嘉业生物科技有限公司45419元、支付河南广创医疗器械商贸销售有限公司50560元、支付江西宝朋医疗器械有限公司31362元、支付乌鲁木齐浩天中佳生物科技有限公司7600元。</w:t>
      </w:r>
    </w:p>
    <w:p w14:paraId="1CD286DC">
      <w:pPr>
        <w:spacing w:line="360" w:lineRule="auto"/>
        <w:ind w:firstLine="562"/>
        <w:rPr>
          <w:rFonts w:hint="eastAsia" w:ascii="仿宋_GB2312" w:hAnsi="仿宋_GB2312"/>
          <w:sz w:val="28"/>
          <w:highlight w:val="none"/>
          <w:lang w:val="en-US" w:eastAsia="zh-CN"/>
        </w:rPr>
      </w:pPr>
      <w:r>
        <w:rPr>
          <w:rFonts w:hint="eastAsia" w:ascii="仿宋_GB2312" w:hAnsi="仿宋_GB2312"/>
          <w:sz w:val="28"/>
          <w:highlight w:val="none"/>
          <w:lang w:val="en-US" w:eastAsia="zh-CN"/>
        </w:rPr>
        <w:t>114.21万元用于每日支付献血员交通费和血费报销等费用。</w:t>
      </w:r>
    </w:p>
    <w:p w14:paraId="2A89EB05">
      <w:pPr>
        <w:spacing w:line="360" w:lineRule="auto"/>
        <w:ind w:firstLine="562"/>
        <w:rPr>
          <w:rFonts w:hint="default" w:ascii="仿宋_GB2312" w:hAnsi="仿宋_GB2312"/>
          <w:sz w:val="28"/>
          <w:highlight w:val="none"/>
          <w:lang w:val="en-US" w:eastAsia="zh-CN"/>
        </w:rPr>
      </w:pPr>
      <w:r>
        <w:rPr>
          <w:rFonts w:hint="eastAsia" w:ascii="仿宋_GB2312" w:hAnsi="仿宋_GB2312"/>
          <w:sz w:val="28"/>
          <w:highlight w:val="none"/>
          <w:lang w:val="en-US" w:eastAsia="zh-CN"/>
        </w:rPr>
        <w:t>90万元用于每月支付临聘人员劳务费。</w:t>
      </w:r>
    </w:p>
    <w:p w14:paraId="2941E951">
      <w:pPr>
        <w:spacing w:line="360" w:lineRule="auto"/>
        <w:ind w:firstLine="562"/>
        <w:rPr>
          <w:rFonts w:hint="default" w:ascii="仿宋_GB2312" w:hAnsi="仿宋_GB2312"/>
          <w:sz w:val="28"/>
          <w:highlight w:val="none"/>
          <w:lang w:val="en-US" w:eastAsia="zh-CN"/>
        </w:rPr>
      </w:pPr>
      <w:r>
        <w:rPr>
          <w:rFonts w:hint="eastAsia" w:ascii="仿宋_GB2312" w:hAnsi="仿宋_GB2312"/>
          <w:sz w:val="28"/>
          <w:highlight w:val="none"/>
          <w:lang w:val="en-US" w:eastAsia="zh-CN"/>
        </w:rPr>
        <w:t>236.13万元用于支付项目工程欠款，其中：4月支付新疆天一建工投资集团有限责任公司2348803.02元、11月新疆昆仑工程咨询管理集团有限公司12492.8元。</w:t>
      </w:r>
    </w:p>
    <w:p w14:paraId="01380EC0">
      <w:pPr>
        <w:spacing w:line="360" w:lineRule="auto"/>
        <w:ind w:firstLine="562"/>
        <w:rPr>
          <w:rFonts w:hint="eastAsia" w:ascii="仿宋_GB2312" w:hAnsi="仿宋_GB2312"/>
          <w:b w:val="0"/>
          <w:bCs w:val="0"/>
          <w:sz w:val="28"/>
          <w:highlight w:val="none"/>
          <w:lang w:val="en-US" w:eastAsia="zh-CN"/>
        </w:rPr>
      </w:pPr>
      <w:r>
        <w:rPr>
          <w:rFonts w:hint="eastAsia" w:ascii="仿宋_GB2312" w:hAnsi="仿宋_GB2312"/>
          <w:sz w:val="28"/>
          <w:highlight w:val="none"/>
          <w:lang w:val="en-US" w:eastAsia="zh-CN"/>
        </w:rPr>
        <w:t>2万元用于支付基</w:t>
      </w:r>
      <w:r>
        <w:rPr>
          <w:rFonts w:hint="eastAsia" w:ascii="仿宋_GB2312" w:hAnsi="仿宋_GB2312"/>
          <w:b w:val="0"/>
          <w:bCs w:val="0"/>
          <w:sz w:val="28"/>
          <w:highlight w:val="none"/>
          <w:lang w:val="en-US" w:eastAsia="zh-CN"/>
        </w:rPr>
        <w:t>因测序费和血液运输费。</w:t>
      </w:r>
      <w:r>
        <w:rPr>
          <w:rFonts w:hint="eastAsia" w:ascii="仿宋_GB2312" w:hAnsi="仿宋_GB2312"/>
          <w:b w:val="0"/>
          <w:bCs w:val="0"/>
          <w:sz w:val="28"/>
          <w:szCs w:val="28"/>
          <w:highlight w:val="none"/>
          <w:lang w:val="en-US" w:eastAsia="zh-CN"/>
        </w:rPr>
        <w:t>4月23日支付</w:t>
      </w:r>
      <w:r>
        <w:rPr>
          <w:rFonts w:hint="eastAsia" w:ascii="仿宋_GB2312" w:hAnsi="仿宋_GB2312"/>
          <w:b w:val="0"/>
          <w:bCs w:val="0"/>
          <w:sz w:val="28"/>
          <w:szCs w:val="28"/>
          <w:highlight w:val="none"/>
        </w:rPr>
        <w:t>乌鲁木齐市百沁丙商贸有限公司999</w:t>
      </w:r>
      <w:r>
        <w:rPr>
          <w:rFonts w:hint="eastAsia" w:ascii="仿宋_GB2312" w:hAnsi="仿宋_GB2312"/>
          <w:b w:val="0"/>
          <w:bCs w:val="0"/>
          <w:sz w:val="28"/>
          <w:szCs w:val="28"/>
          <w:highlight w:val="none"/>
          <w:lang w:val="en-US" w:eastAsia="zh-CN"/>
        </w:rPr>
        <w:t>0元、11月16日支付</w:t>
      </w:r>
      <w:r>
        <w:rPr>
          <w:rFonts w:hint="eastAsia" w:ascii="仿宋_GB2312" w:hAnsi="仿宋_GB2312"/>
          <w:b w:val="0"/>
          <w:bCs w:val="0"/>
          <w:sz w:val="28"/>
          <w:szCs w:val="28"/>
          <w:highlight w:val="none"/>
        </w:rPr>
        <w:t>新疆绿洲城建筑装饰工程有限公司10000</w:t>
      </w:r>
      <w:r>
        <w:rPr>
          <w:rFonts w:hint="eastAsia" w:ascii="仿宋_GB2312" w:hAnsi="仿宋_GB2312"/>
          <w:b w:val="0"/>
          <w:bCs w:val="0"/>
          <w:sz w:val="28"/>
          <w:szCs w:val="28"/>
          <w:highlight w:val="none"/>
          <w:lang w:val="en-US" w:eastAsia="zh-CN"/>
        </w:rPr>
        <w:t>元。</w:t>
      </w:r>
    </w:p>
    <w:p w14:paraId="0BE346F9">
      <w:pPr>
        <w:spacing w:line="360" w:lineRule="auto"/>
        <w:ind w:firstLine="562"/>
        <w:rPr>
          <w:rFonts w:hint="eastAsia" w:ascii="仿宋_GB2312" w:hAnsi="仿宋_GB2312"/>
          <w:b w:val="0"/>
          <w:bCs w:val="0"/>
          <w:sz w:val="28"/>
          <w:szCs w:val="28"/>
          <w:highlight w:val="none"/>
          <w:lang w:val="en-US" w:eastAsia="zh-CN"/>
        </w:rPr>
      </w:pPr>
      <w:r>
        <w:rPr>
          <w:rFonts w:hint="eastAsia" w:ascii="仿宋_GB2312" w:hAnsi="仿宋_GB2312"/>
          <w:b w:val="0"/>
          <w:bCs w:val="0"/>
          <w:sz w:val="28"/>
          <w:highlight w:val="none"/>
          <w:lang w:val="en-US" w:eastAsia="zh-CN"/>
        </w:rPr>
        <w:t>2.29万元用于支付南大门道闸费用，9月6日支付沙依巴克区新北园春市场锋茂诚信百货商行22880元</w:t>
      </w:r>
      <w:r>
        <w:rPr>
          <w:rFonts w:hint="eastAsia" w:ascii="仿宋_GB2312" w:hAnsi="仿宋_GB2312"/>
          <w:b w:val="0"/>
          <w:bCs w:val="0"/>
          <w:sz w:val="28"/>
          <w:szCs w:val="28"/>
          <w:highlight w:val="none"/>
        </w:rPr>
        <w:t>。</w:t>
      </w:r>
    </w:p>
    <w:p w14:paraId="4D0FD167">
      <w:pPr>
        <w:spacing w:line="360" w:lineRule="auto"/>
        <w:ind w:firstLine="562"/>
        <w:rPr>
          <w:rFonts w:ascii="仿宋_GB2312" w:hAnsi="仿宋_GB2312"/>
          <w:b/>
          <w:bCs/>
          <w:sz w:val="28"/>
          <w:szCs w:val="28"/>
          <w:highlight w:val="none"/>
        </w:rPr>
      </w:pPr>
      <w:r>
        <w:rPr>
          <w:rFonts w:hint="eastAsia" w:ascii="仿宋_GB2312" w:hAnsi="仿宋_GB2312"/>
          <w:sz w:val="28"/>
          <w:szCs w:val="28"/>
          <w:highlight w:val="none"/>
        </w:rPr>
        <w:t>故预算执行率得分为</w:t>
      </w:r>
      <w:r>
        <w:rPr>
          <w:rFonts w:hint="eastAsia" w:ascii="仿宋_GB2312" w:hAnsi="仿宋_GB2312"/>
          <w:sz w:val="28"/>
          <w:szCs w:val="28"/>
          <w:highlight w:val="none"/>
          <w:lang w:val="en-US" w:eastAsia="zh-CN"/>
        </w:rPr>
        <w:t>2.5</w:t>
      </w:r>
      <w:r>
        <w:rPr>
          <w:rFonts w:hint="eastAsia" w:ascii="仿宋_GB2312" w:hAnsi="仿宋_GB2312"/>
          <w:sz w:val="28"/>
          <w:szCs w:val="28"/>
          <w:highlight w:val="none"/>
        </w:rPr>
        <w:t>分。</w:t>
      </w:r>
    </w:p>
    <w:p w14:paraId="676BE4C1">
      <w:pPr>
        <w:spacing w:line="360" w:lineRule="auto"/>
        <w:ind w:firstLine="562"/>
        <w:rPr>
          <w:rFonts w:hint="eastAsia" w:ascii="仿宋_GB2312"/>
          <w:szCs w:val="28"/>
          <w:highlight w:val="none"/>
        </w:rPr>
      </w:pPr>
      <w:r>
        <w:rPr>
          <w:rFonts w:hint="eastAsia" w:ascii="仿宋_GB2312"/>
          <w:b/>
          <w:bCs/>
          <w:szCs w:val="28"/>
          <w:highlight w:val="none"/>
        </w:rPr>
        <w:t>资金使用合规性：</w:t>
      </w:r>
      <w:r>
        <w:rPr>
          <w:rFonts w:hint="eastAsia" w:ascii="仿宋_GB2312"/>
          <w:szCs w:val="28"/>
          <w:highlight w:val="none"/>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w:t>
      </w:r>
      <w:r>
        <w:rPr>
          <w:rFonts w:hint="eastAsia" w:ascii="仿宋_GB2312"/>
          <w:szCs w:val="28"/>
          <w:highlight w:val="none"/>
          <w:lang w:val="en-US" w:eastAsia="zh-CN"/>
        </w:rPr>
        <w:t>1.5</w:t>
      </w:r>
      <w:r>
        <w:rPr>
          <w:rFonts w:hint="eastAsia" w:ascii="仿宋_GB2312"/>
          <w:szCs w:val="28"/>
          <w:highlight w:val="none"/>
        </w:rPr>
        <w:t>分。</w:t>
      </w:r>
    </w:p>
    <w:p w14:paraId="0B0EAFDB">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hint="eastAsia" w:ascii="仿宋_GB2312" w:hAnsi="仿宋" w:cs="宋体"/>
          <w:b/>
          <w:kern w:val="0"/>
          <w:szCs w:val="28"/>
          <w:lang w:val="en-US" w:eastAsia="zh-CN"/>
        </w:rPr>
        <w:t>6.5</w:t>
      </w:r>
      <w:r>
        <w:rPr>
          <w:rFonts w:hint="eastAsia" w:ascii="仿宋_GB2312" w:hAnsi="仿宋" w:cs="宋体"/>
          <w:b/>
          <w:kern w:val="0"/>
          <w:szCs w:val="28"/>
        </w:rPr>
        <w:t>分，得分</w:t>
      </w:r>
      <w:r>
        <w:rPr>
          <w:rFonts w:hint="eastAsia" w:ascii="仿宋_GB2312" w:hAnsi="仿宋" w:cs="宋体"/>
          <w:b/>
          <w:kern w:val="0"/>
          <w:szCs w:val="28"/>
          <w:lang w:val="en-US" w:eastAsia="zh-CN"/>
        </w:rPr>
        <w:t>6.5</w:t>
      </w:r>
      <w:r>
        <w:rPr>
          <w:rFonts w:hint="eastAsia" w:ascii="仿宋_GB2312" w:hAnsi="仿宋" w:cs="宋体"/>
          <w:b/>
          <w:kern w:val="0"/>
          <w:szCs w:val="28"/>
        </w:rPr>
        <w:t>分。</w:t>
      </w:r>
    </w:p>
    <w:p w14:paraId="0A4A7E8B">
      <w:pPr>
        <w:pStyle w:val="4"/>
        <w:ind w:firstLine="643"/>
      </w:pPr>
      <w:bookmarkStart w:id="43" w:name="_Toc165277247"/>
      <w:r>
        <w:t>2.</w:t>
      </w:r>
      <w:r>
        <w:rPr>
          <w:rFonts w:hint="eastAsia"/>
        </w:rPr>
        <w:t>组织实施</w:t>
      </w:r>
      <w:bookmarkEnd w:id="43"/>
    </w:p>
    <w:p w14:paraId="4289EAFD">
      <w:pPr>
        <w:spacing w:line="360" w:lineRule="auto"/>
        <w:ind w:firstLine="562"/>
        <w:rPr>
          <w:rFonts w:hint="eastAsia" w:ascii="仿宋_GB2312"/>
          <w:szCs w:val="28"/>
        </w:rPr>
      </w:pPr>
      <w:r>
        <w:rPr>
          <w:rFonts w:hint="eastAsia" w:ascii="仿宋_GB2312"/>
          <w:b/>
          <w:bCs/>
          <w:szCs w:val="28"/>
        </w:rPr>
        <w:t>管理制度健全性</w:t>
      </w:r>
      <w:r>
        <w:rPr>
          <w:rFonts w:hint="eastAsia" w:ascii="仿宋_GB2312"/>
          <w:szCs w:val="28"/>
        </w:rPr>
        <w:t>：乌鲁木齐市血液中心已制定相应的财务和业务管理制度，如</w:t>
      </w:r>
      <w:r>
        <w:rPr>
          <w:rFonts w:hint="eastAsia" w:ascii="仿宋_GB2312"/>
          <w:szCs w:val="28"/>
          <w:lang w:eastAsia="zh-CN"/>
        </w:rPr>
        <w:t>《</w:t>
      </w:r>
      <w:r>
        <w:rPr>
          <w:rFonts w:hint="eastAsia" w:ascii="仿宋_GB2312"/>
          <w:szCs w:val="28"/>
        </w:rPr>
        <w:t>血站质量管理规范</w:t>
      </w:r>
      <w:r>
        <w:rPr>
          <w:rFonts w:hint="eastAsia" w:ascii="仿宋_GB2312"/>
          <w:szCs w:val="28"/>
          <w:lang w:eastAsia="zh-CN"/>
        </w:rPr>
        <w:t>》《</w:t>
      </w:r>
      <w:r>
        <w:rPr>
          <w:rFonts w:hint="eastAsia" w:ascii="仿宋_GB2312"/>
          <w:szCs w:val="28"/>
        </w:rPr>
        <w:t>血站实验室质量管理规范</w:t>
      </w:r>
      <w:r>
        <w:rPr>
          <w:rFonts w:hint="eastAsia" w:ascii="仿宋_GB2312"/>
          <w:szCs w:val="28"/>
          <w:lang w:eastAsia="zh-CN"/>
        </w:rPr>
        <w:t>》《</w:t>
      </w:r>
      <w:r>
        <w:rPr>
          <w:rFonts w:hint="eastAsia" w:ascii="仿宋_GB2312"/>
          <w:szCs w:val="28"/>
        </w:rPr>
        <w:t>市血液中心落实</w:t>
      </w:r>
      <w:r>
        <w:rPr>
          <w:rFonts w:hint="eastAsia" w:ascii="仿宋_GB2312"/>
          <w:szCs w:val="28"/>
          <w:lang w:eastAsia="zh-CN"/>
        </w:rPr>
        <w:t>“</w:t>
      </w:r>
      <w:r>
        <w:rPr>
          <w:rFonts w:hint="eastAsia" w:ascii="仿宋_GB2312"/>
          <w:szCs w:val="28"/>
        </w:rPr>
        <w:t>三重一大</w:t>
      </w:r>
      <w:r>
        <w:rPr>
          <w:rFonts w:hint="eastAsia" w:ascii="仿宋_GB2312"/>
          <w:szCs w:val="28"/>
          <w:lang w:eastAsia="zh-CN"/>
        </w:rPr>
        <w:t>”</w:t>
      </w:r>
      <w:r>
        <w:rPr>
          <w:rFonts w:hint="eastAsia" w:ascii="仿宋_GB2312"/>
          <w:szCs w:val="28"/>
        </w:rPr>
        <w:t>制度实施细则</w:t>
      </w:r>
      <w:r>
        <w:rPr>
          <w:rFonts w:hint="eastAsia" w:ascii="仿宋_GB2312"/>
          <w:szCs w:val="28"/>
          <w:lang w:eastAsia="zh-CN"/>
        </w:rPr>
        <w:t>》《</w:t>
      </w:r>
      <w:r>
        <w:rPr>
          <w:rFonts w:hint="eastAsia" w:ascii="仿宋_GB2312"/>
          <w:szCs w:val="28"/>
        </w:rPr>
        <w:t>突发公共卫生事件应急条例</w:t>
      </w:r>
      <w:r>
        <w:rPr>
          <w:rFonts w:hint="eastAsia" w:ascii="仿宋_GB2312"/>
          <w:szCs w:val="28"/>
          <w:lang w:eastAsia="zh-CN"/>
        </w:rPr>
        <w:t>》《</w:t>
      </w:r>
      <w:r>
        <w:rPr>
          <w:rFonts w:hint="eastAsia" w:ascii="仿宋_GB2312"/>
          <w:szCs w:val="28"/>
        </w:rPr>
        <w:t>血站技术操作规程（2019版）</w:t>
      </w:r>
      <w:r>
        <w:rPr>
          <w:rFonts w:hint="eastAsia" w:ascii="仿宋_GB2312"/>
          <w:szCs w:val="28"/>
          <w:lang w:eastAsia="zh-CN"/>
        </w:rPr>
        <w:t>》《</w:t>
      </w:r>
      <w:r>
        <w:rPr>
          <w:rFonts w:hint="eastAsia" w:ascii="仿宋_GB2312"/>
          <w:szCs w:val="28"/>
        </w:rPr>
        <w:t>血站基本标准</w:t>
      </w:r>
      <w:r>
        <w:rPr>
          <w:rFonts w:hint="eastAsia" w:ascii="仿宋_GB2312"/>
          <w:szCs w:val="28"/>
          <w:lang w:eastAsia="zh-CN"/>
        </w:rPr>
        <w:t>》</w:t>
      </w:r>
      <w:r>
        <w:rPr>
          <w:rFonts w:hint="eastAsia" w:ascii="仿宋_GB2312"/>
          <w:szCs w:val="28"/>
        </w:rPr>
        <w:t>等制度，且制度合法、合规、完整，为项目顺利实施提供重要保障。故管理制度健全性得分为</w:t>
      </w:r>
      <w:r>
        <w:rPr>
          <w:rFonts w:hint="eastAsia" w:ascii="仿宋_GB2312"/>
          <w:szCs w:val="28"/>
          <w:lang w:val="en-US" w:eastAsia="zh-CN"/>
        </w:rPr>
        <w:t>1.5</w:t>
      </w:r>
      <w:r>
        <w:rPr>
          <w:rFonts w:hint="eastAsia" w:ascii="仿宋_GB2312"/>
          <w:szCs w:val="28"/>
        </w:rPr>
        <w:t>分。</w:t>
      </w:r>
    </w:p>
    <w:p w14:paraId="0BEFDD36">
      <w:pPr>
        <w:spacing w:line="360" w:lineRule="auto"/>
        <w:ind w:firstLine="562"/>
        <w:rPr>
          <w:rFonts w:ascii="仿宋_GB2312"/>
          <w:szCs w:val="28"/>
        </w:rPr>
      </w:pPr>
      <w:r>
        <w:rPr>
          <w:rFonts w:hint="eastAsia" w:ascii="仿宋_GB2312"/>
          <w:b/>
          <w:bCs/>
          <w:szCs w:val="28"/>
        </w:rPr>
        <w:t>制度执行有效性：</w:t>
      </w:r>
      <w:r>
        <w:rPr>
          <w:rFonts w:hint="eastAsia" w:ascii="仿宋_GB2312"/>
          <w:szCs w:val="28"/>
        </w:rPr>
        <w:t>根据评价小组核查情况，</w:t>
      </w:r>
      <w:r>
        <w:rPr>
          <w:rFonts w:hint="eastAsia" w:ascii="仿宋_GB2312"/>
          <w:szCs w:val="28"/>
          <w:lang w:val="en-US" w:eastAsia="zh-CN"/>
        </w:rPr>
        <w:t>乌鲁木齐市血液中心</w:t>
      </w:r>
      <w:r>
        <w:rPr>
          <w:rFonts w:hint="eastAsia" w:ascii="仿宋_GB2312"/>
          <w:szCs w:val="28"/>
        </w:rPr>
        <w:t>严格遵守相关法律法规和相关管理规定，项目调整及支出调整手续完备，整体管理合理有序，项目完成后，及时将会计凭证、采购</w:t>
      </w:r>
      <w:r>
        <w:rPr>
          <w:rFonts w:hint="eastAsia" w:ascii="仿宋_GB2312"/>
          <w:szCs w:val="28"/>
          <w:lang w:val="en-US" w:eastAsia="zh-CN"/>
        </w:rPr>
        <w:t>合同</w:t>
      </w:r>
      <w:r>
        <w:rPr>
          <w:rFonts w:hint="eastAsia" w:ascii="仿宋_GB2312"/>
          <w:szCs w:val="28"/>
        </w:rPr>
        <w:t>等相关资料分类归档，制度执行有效。故制度执行有效性指标得分</w:t>
      </w:r>
      <w:r>
        <w:rPr>
          <w:rFonts w:hint="eastAsia" w:ascii="仿宋_GB2312"/>
          <w:szCs w:val="28"/>
          <w:lang w:val="en-US" w:eastAsia="zh-CN"/>
        </w:rPr>
        <w:t>2</w:t>
      </w:r>
      <w:r>
        <w:rPr>
          <w:rFonts w:hint="eastAsia" w:ascii="仿宋_GB2312"/>
          <w:szCs w:val="28"/>
        </w:rPr>
        <w:t>分。</w:t>
      </w:r>
    </w:p>
    <w:p w14:paraId="636AD9DE">
      <w:pPr>
        <w:autoSpaceDE w:val="0"/>
        <w:spacing w:line="600" w:lineRule="exact"/>
        <w:ind w:firstLine="562"/>
        <w:rPr>
          <w:rFonts w:ascii="仿宋_GB2312" w:hAnsi="仿宋" w:cs="宋体"/>
          <w:b/>
          <w:kern w:val="0"/>
          <w:szCs w:val="28"/>
        </w:rPr>
      </w:pPr>
      <w:bookmarkStart w:id="44" w:name="_Hlk67670213"/>
      <w:r>
        <w:rPr>
          <w:rFonts w:hint="eastAsia" w:ascii="仿宋_GB2312" w:hAnsi="仿宋" w:cs="宋体"/>
          <w:b/>
          <w:kern w:val="0"/>
          <w:szCs w:val="28"/>
        </w:rPr>
        <w:t>综上，该指标满分</w:t>
      </w:r>
      <w:r>
        <w:rPr>
          <w:rFonts w:hint="eastAsia" w:ascii="仿宋_GB2312" w:hAnsi="仿宋" w:cs="宋体"/>
          <w:b/>
          <w:kern w:val="0"/>
          <w:szCs w:val="28"/>
          <w:lang w:val="en-US" w:eastAsia="zh-CN"/>
        </w:rPr>
        <w:t>3.5</w:t>
      </w:r>
      <w:r>
        <w:rPr>
          <w:rFonts w:hint="eastAsia" w:ascii="仿宋_GB2312" w:hAnsi="仿宋" w:cs="宋体"/>
          <w:b/>
          <w:kern w:val="0"/>
          <w:szCs w:val="28"/>
        </w:rPr>
        <w:t>分，得分</w:t>
      </w:r>
      <w:r>
        <w:rPr>
          <w:rFonts w:hint="eastAsia" w:ascii="仿宋_GB2312" w:hAnsi="仿宋" w:cs="宋体"/>
          <w:b/>
          <w:kern w:val="0"/>
          <w:szCs w:val="28"/>
          <w:lang w:val="en-US" w:eastAsia="zh-CN"/>
        </w:rPr>
        <w:t>3.5</w:t>
      </w:r>
      <w:r>
        <w:rPr>
          <w:rFonts w:hint="eastAsia" w:ascii="仿宋_GB2312" w:hAnsi="仿宋" w:cs="宋体"/>
          <w:b/>
          <w:kern w:val="0"/>
          <w:szCs w:val="28"/>
        </w:rPr>
        <w:t>分。</w:t>
      </w:r>
    </w:p>
    <w:bookmarkEnd w:id="44"/>
    <w:p w14:paraId="29260AE9">
      <w:pPr>
        <w:pStyle w:val="3"/>
        <w:ind w:firstLine="643"/>
        <w:rPr>
          <w:rFonts w:ascii="仿宋" w:hAnsi="仿宋" w:eastAsia="仿宋"/>
          <w:lang w:bidi="en-US"/>
        </w:rPr>
      </w:pPr>
      <w:bookmarkStart w:id="45" w:name="_Toc67911614"/>
      <w:bookmarkStart w:id="46" w:name="_Toc165277248"/>
      <w:r>
        <w:rPr>
          <w:rFonts w:hint="eastAsia" w:ascii="仿宋" w:hAnsi="仿宋" w:eastAsia="仿宋"/>
          <w:lang w:bidi="en-US"/>
        </w:rPr>
        <w:t>（三）项目产出情况</w:t>
      </w:r>
      <w:bookmarkEnd w:id="45"/>
      <w:bookmarkEnd w:id="46"/>
    </w:p>
    <w:p w14:paraId="151F14B5">
      <w:pPr>
        <w:spacing w:line="360" w:lineRule="auto"/>
        <w:ind w:firstLine="560"/>
        <w:rPr>
          <w:rFonts w:ascii="仿宋_GB2312"/>
          <w:szCs w:val="28"/>
        </w:rPr>
      </w:pPr>
      <w:r>
        <w:rPr>
          <w:rFonts w:hint="eastAsia" w:ascii="仿宋_GB2312"/>
          <w:szCs w:val="28"/>
        </w:rPr>
        <w:t>项目产出指标由</w:t>
      </w:r>
      <w:r>
        <w:rPr>
          <w:rFonts w:ascii="仿宋_GB2312"/>
          <w:szCs w:val="28"/>
        </w:rPr>
        <w:t>4</w:t>
      </w:r>
      <w:r>
        <w:rPr>
          <w:rFonts w:hint="eastAsia" w:ascii="仿宋_GB2312"/>
          <w:szCs w:val="28"/>
        </w:rPr>
        <w:t>个二级指标和</w:t>
      </w:r>
      <w:r>
        <w:rPr>
          <w:rFonts w:hint="eastAsia" w:ascii="仿宋_GB2312"/>
          <w:szCs w:val="28"/>
          <w:lang w:val="en-US" w:eastAsia="zh-CN"/>
        </w:rPr>
        <w:t>20</w:t>
      </w:r>
      <w:r>
        <w:rPr>
          <w:rFonts w:hint="eastAsia" w:ascii="仿宋_GB2312"/>
          <w:szCs w:val="28"/>
        </w:rPr>
        <w:t>个三级指标构成，权重为</w:t>
      </w:r>
      <w:r>
        <w:rPr>
          <w:rFonts w:hint="eastAsia" w:ascii="仿宋_GB2312"/>
          <w:szCs w:val="28"/>
          <w:lang w:val="en-US" w:eastAsia="zh-CN"/>
        </w:rPr>
        <w:t>60</w:t>
      </w:r>
      <w:r>
        <w:rPr>
          <w:rFonts w:hint="eastAsia" w:ascii="仿宋_GB2312"/>
          <w:szCs w:val="28"/>
        </w:rPr>
        <w:t>分，实际得分</w:t>
      </w:r>
      <w:r>
        <w:rPr>
          <w:rFonts w:hint="eastAsia" w:ascii="仿宋_GB2312"/>
          <w:szCs w:val="28"/>
          <w:lang w:val="en-US" w:eastAsia="zh-CN"/>
        </w:rPr>
        <w:t>57</w:t>
      </w:r>
      <w:r>
        <w:rPr>
          <w:rFonts w:hint="eastAsia" w:ascii="仿宋_GB2312"/>
          <w:szCs w:val="28"/>
        </w:rPr>
        <w:t>分。</w:t>
      </w:r>
    </w:p>
    <w:p w14:paraId="53C6AE08">
      <w:pPr>
        <w:pStyle w:val="4"/>
        <w:ind w:firstLine="643"/>
      </w:pPr>
      <w:bookmarkStart w:id="47" w:name="_Toc165277249"/>
      <w:r>
        <w:rPr>
          <w:rFonts w:hint="eastAsia"/>
        </w:rPr>
        <w:t>1</w:t>
      </w:r>
      <w:r>
        <w:t>.</w:t>
      </w:r>
      <w:r>
        <w:rPr>
          <w:rFonts w:hint="eastAsia"/>
        </w:rPr>
        <w:t>产出数量</w:t>
      </w:r>
      <w:bookmarkEnd w:id="47"/>
    </w:p>
    <w:p w14:paraId="10A0FDF9">
      <w:pPr>
        <w:spacing w:line="360" w:lineRule="auto"/>
        <w:ind w:firstLine="560"/>
        <w:rPr>
          <w:rFonts w:hint="eastAsia" w:ascii="仿宋_GB2312" w:eastAsia="仿宋_GB2312"/>
          <w:bCs/>
          <w:szCs w:val="28"/>
          <w:lang w:eastAsia="zh-CN"/>
        </w:rPr>
      </w:pPr>
      <w:r>
        <w:rPr>
          <w:rFonts w:hint="eastAsia" w:ascii="仿宋_GB2312"/>
          <w:bCs/>
          <w:szCs w:val="28"/>
        </w:rPr>
        <w:t>数量指标“电梯定期维保次数”的目标值是</w:t>
      </w:r>
      <w:r>
        <w:rPr>
          <w:rFonts w:hint="eastAsia" w:ascii="仿宋_GB2312"/>
          <w:bCs/>
          <w:szCs w:val="28"/>
          <w:lang w:val="en-US" w:eastAsia="zh-CN"/>
        </w:rPr>
        <w:t>≥24次</w:t>
      </w:r>
      <w:r>
        <w:rPr>
          <w:rFonts w:hint="eastAsia" w:ascii="仿宋_GB2312"/>
          <w:bCs/>
          <w:szCs w:val="28"/>
        </w:rPr>
        <w:t>，2023</w:t>
      </w:r>
      <w:r>
        <w:rPr>
          <w:rFonts w:ascii="仿宋_GB2312"/>
          <w:bCs/>
          <w:szCs w:val="28"/>
        </w:rPr>
        <w:t>年度我单位实际完成</w:t>
      </w:r>
      <w:r>
        <w:rPr>
          <w:rFonts w:hint="eastAsia" w:ascii="仿宋_GB2312"/>
          <w:bCs/>
          <w:szCs w:val="28"/>
          <w:lang w:val="en-US" w:eastAsia="zh-CN"/>
        </w:rPr>
        <w:t>24次</w:t>
      </w:r>
      <w:r>
        <w:rPr>
          <w:rFonts w:hint="eastAsia" w:ascii="仿宋_GB2312"/>
          <w:bCs/>
          <w:szCs w:val="28"/>
          <w:lang w:eastAsia="zh-CN"/>
        </w:rPr>
        <w:t>。</w:t>
      </w:r>
    </w:p>
    <w:p w14:paraId="406DE3D5">
      <w:pPr>
        <w:spacing w:line="360" w:lineRule="auto"/>
        <w:ind w:firstLine="560"/>
        <w:rPr>
          <w:rFonts w:hint="eastAsia" w:ascii="仿宋_GB2312" w:eastAsia="仿宋_GB2312"/>
          <w:bCs/>
          <w:szCs w:val="28"/>
          <w:lang w:eastAsia="zh-CN"/>
        </w:rPr>
      </w:pPr>
      <w:r>
        <w:rPr>
          <w:rFonts w:hint="eastAsia" w:ascii="仿宋_GB2312"/>
          <w:bCs/>
          <w:szCs w:val="28"/>
        </w:rPr>
        <w:t>数量指标“室间质评数”的目标值是</w:t>
      </w:r>
      <w:r>
        <w:rPr>
          <w:rFonts w:hint="eastAsia" w:ascii="仿宋_GB2312"/>
          <w:bCs/>
          <w:szCs w:val="28"/>
          <w:lang w:eastAsia="zh-CN"/>
        </w:rPr>
        <w:t>≥</w:t>
      </w:r>
      <w:r>
        <w:rPr>
          <w:rFonts w:hint="eastAsia" w:ascii="仿宋_GB2312"/>
          <w:bCs/>
          <w:szCs w:val="28"/>
        </w:rPr>
        <w:t>3项，</w:t>
      </w:r>
      <w:r>
        <w:rPr>
          <w:rFonts w:ascii="仿宋_GB2312"/>
          <w:bCs/>
          <w:szCs w:val="28"/>
        </w:rPr>
        <w:t>2023年度我单位实际完成</w:t>
      </w:r>
      <w:r>
        <w:rPr>
          <w:rFonts w:hint="eastAsia" w:ascii="仿宋_GB2312"/>
          <w:bCs/>
          <w:szCs w:val="28"/>
        </w:rPr>
        <w:t>3项</w:t>
      </w:r>
      <w:r>
        <w:rPr>
          <w:rFonts w:hint="eastAsia" w:ascii="仿宋_GB2312"/>
          <w:bCs/>
          <w:szCs w:val="28"/>
          <w:lang w:eastAsia="zh-CN"/>
        </w:rPr>
        <w:t>。</w:t>
      </w:r>
    </w:p>
    <w:p w14:paraId="4E8AB168">
      <w:pPr>
        <w:spacing w:line="360" w:lineRule="auto"/>
        <w:ind w:firstLine="560"/>
        <w:rPr>
          <w:rFonts w:hint="eastAsia" w:ascii="仿宋_GB2312"/>
          <w:bCs/>
          <w:szCs w:val="28"/>
          <w:lang w:eastAsia="zh-CN"/>
        </w:rPr>
      </w:pPr>
      <w:r>
        <w:rPr>
          <w:rFonts w:hint="eastAsia" w:ascii="仿宋_GB2312"/>
          <w:bCs/>
          <w:szCs w:val="28"/>
        </w:rPr>
        <w:t>数量指标“维修维护设备种类”的目标值是</w:t>
      </w:r>
      <w:r>
        <w:rPr>
          <w:rFonts w:hint="eastAsia" w:ascii="仿宋_GB2312"/>
          <w:bCs/>
          <w:szCs w:val="28"/>
          <w:lang w:eastAsia="zh-CN"/>
        </w:rPr>
        <w:t>≥</w:t>
      </w:r>
      <w:r>
        <w:rPr>
          <w:rFonts w:hint="eastAsia" w:ascii="仿宋_GB2312"/>
          <w:bCs/>
          <w:szCs w:val="28"/>
        </w:rPr>
        <w:t>6类，</w:t>
      </w:r>
      <w:r>
        <w:rPr>
          <w:rFonts w:ascii="仿宋_GB2312"/>
          <w:bCs/>
          <w:szCs w:val="28"/>
        </w:rPr>
        <w:t>2023年度我单位实际完成</w:t>
      </w:r>
      <w:r>
        <w:rPr>
          <w:rFonts w:hint="eastAsia" w:ascii="仿宋_GB2312"/>
          <w:bCs/>
          <w:szCs w:val="28"/>
        </w:rPr>
        <w:t>6类</w:t>
      </w:r>
      <w:r>
        <w:rPr>
          <w:rFonts w:hint="eastAsia" w:ascii="仿宋_GB2312"/>
          <w:bCs/>
          <w:szCs w:val="28"/>
          <w:lang w:eastAsia="zh-CN"/>
        </w:rPr>
        <w:t>。</w:t>
      </w:r>
    </w:p>
    <w:p w14:paraId="034FD15C">
      <w:pPr>
        <w:spacing w:line="360" w:lineRule="auto"/>
        <w:ind w:firstLine="560"/>
        <w:rPr>
          <w:rFonts w:hint="default" w:ascii="仿宋_GB2312" w:eastAsia="仿宋_GB2312"/>
          <w:bCs/>
          <w:szCs w:val="28"/>
          <w:lang w:val="en-US" w:eastAsia="zh-CN"/>
        </w:rPr>
      </w:pPr>
      <w:r>
        <w:rPr>
          <w:rFonts w:hint="eastAsia" w:ascii="仿宋_GB2312"/>
          <w:bCs/>
          <w:szCs w:val="28"/>
        </w:rPr>
        <w:t>数量指标“采购试剂耗材种类”的目标值是</w:t>
      </w:r>
      <w:r>
        <w:rPr>
          <w:rFonts w:hint="eastAsia" w:ascii="仿宋_GB2312"/>
          <w:bCs/>
          <w:szCs w:val="28"/>
          <w:lang w:eastAsia="zh-CN"/>
        </w:rPr>
        <w:t>≥</w:t>
      </w:r>
      <w:r>
        <w:rPr>
          <w:rFonts w:hint="eastAsia" w:ascii="仿宋_GB2312"/>
          <w:bCs/>
          <w:szCs w:val="28"/>
        </w:rPr>
        <w:t>170种，</w:t>
      </w:r>
      <w:r>
        <w:rPr>
          <w:rFonts w:ascii="仿宋_GB2312"/>
          <w:bCs/>
          <w:szCs w:val="28"/>
        </w:rPr>
        <w:t>2023年度我单位实际完成</w:t>
      </w:r>
      <w:r>
        <w:rPr>
          <w:rFonts w:hint="eastAsia" w:ascii="仿宋_GB2312"/>
          <w:bCs/>
          <w:szCs w:val="28"/>
        </w:rPr>
        <w:t>176种</w:t>
      </w:r>
      <w:r>
        <w:rPr>
          <w:rFonts w:hint="eastAsia" w:ascii="仿宋_GB2312"/>
          <w:bCs/>
          <w:szCs w:val="28"/>
          <w:lang w:eastAsia="zh-CN"/>
        </w:rPr>
        <w:t>。试剂耗材年初预计采购170种，2023年根据实际需求采购，共采购176种。</w:t>
      </w:r>
    </w:p>
    <w:p w14:paraId="043FF6D9">
      <w:pPr>
        <w:spacing w:line="360" w:lineRule="auto"/>
        <w:ind w:firstLine="560"/>
        <w:rPr>
          <w:rFonts w:hint="eastAsia" w:ascii="仿宋_GB2312" w:eastAsia="仿宋_GB2312"/>
          <w:bCs/>
          <w:szCs w:val="28"/>
          <w:lang w:eastAsia="zh-CN"/>
        </w:rPr>
      </w:pPr>
      <w:r>
        <w:rPr>
          <w:rFonts w:hint="eastAsia" w:ascii="仿宋_GB2312"/>
          <w:bCs/>
          <w:szCs w:val="28"/>
        </w:rPr>
        <w:t>数量指标“红细胞和血小板类调剂量”的目标值是</w:t>
      </w:r>
      <w:r>
        <w:rPr>
          <w:rFonts w:hint="eastAsia" w:ascii="仿宋_GB2312"/>
          <w:bCs/>
          <w:szCs w:val="28"/>
          <w:lang w:eastAsia="zh-CN"/>
        </w:rPr>
        <w:t>≥</w:t>
      </w:r>
      <w:r>
        <w:rPr>
          <w:rFonts w:hint="eastAsia" w:ascii="仿宋_GB2312"/>
          <w:bCs/>
          <w:szCs w:val="28"/>
        </w:rPr>
        <w:t>6000单位，</w:t>
      </w:r>
      <w:r>
        <w:rPr>
          <w:rFonts w:ascii="仿宋_GB2312"/>
          <w:bCs/>
          <w:szCs w:val="28"/>
        </w:rPr>
        <w:t>2023年度我单位实际完成</w:t>
      </w:r>
      <w:r>
        <w:rPr>
          <w:rFonts w:hint="eastAsia" w:ascii="仿宋_GB2312"/>
          <w:bCs/>
          <w:szCs w:val="28"/>
        </w:rPr>
        <w:t>6949单位</w:t>
      </w:r>
      <w:r>
        <w:rPr>
          <w:rFonts w:hint="eastAsia" w:ascii="仿宋_GB2312"/>
          <w:bCs/>
          <w:szCs w:val="28"/>
          <w:lang w:eastAsia="zh-CN"/>
        </w:rPr>
        <w:t>。2023年临床需求增长较快，全年供应量较2022年增长25.7%，2024年将进一步做好血液调剂计划。</w:t>
      </w:r>
    </w:p>
    <w:p w14:paraId="04B055EE">
      <w:pPr>
        <w:spacing w:line="360" w:lineRule="auto"/>
        <w:ind w:firstLine="560"/>
        <w:rPr>
          <w:rFonts w:hint="eastAsia" w:ascii="仿宋_GB2312" w:eastAsia="仿宋_GB2312"/>
          <w:bCs/>
          <w:szCs w:val="28"/>
          <w:lang w:eastAsia="zh-CN"/>
        </w:rPr>
      </w:pPr>
      <w:r>
        <w:rPr>
          <w:rFonts w:hint="eastAsia" w:ascii="仿宋_GB2312"/>
          <w:bCs/>
          <w:szCs w:val="28"/>
        </w:rPr>
        <w:t>数量指标“血浆和冷沉淀类调剂量”的目标值是</w:t>
      </w:r>
      <w:r>
        <w:rPr>
          <w:rFonts w:hint="eastAsia" w:ascii="仿宋_GB2312"/>
          <w:bCs/>
          <w:szCs w:val="28"/>
          <w:lang w:eastAsia="zh-CN"/>
        </w:rPr>
        <w:t>≥</w:t>
      </w:r>
      <w:r>
        <w:rPr>
          <w:rFonts w:hint="eastAsia" w:ascii="仿宋_GB2312"/>
          <w:bCs/>
          <w:szCs w:val="28"/>
        </w:rPr>
        <w:t>10875单位，</w:t>
      </w:r>
      <w:r>
        <w:rPr>
          <w:rFonts w:ascii="仿宋_GB2312"/>
          <w:bCs/>
          <w:szCs w:val="28"/>
        </w:rPr>
        <w:t>2023年度我单位实际完成</w:t>
      </w:r>
      <w:r>
        <w:rPr>
          <w:rFonts w:hint="eastAsia" w:ascii="仿宋_GB2312"/>
          <w:bCs/>
          <w:szCs w:val="28"/>
        </w:rPr>
        <w:t>14720.5单位</w:t>
      </w:r>
      <w:r>
        <w:rPr>
          <w:rFonts w:hint="eastAsia" w:ascii="仿宋_GB2312"/>
          <w:bCs/>
          <w:szCs w:val="28"/>
          <w:lang w:eastAsia="zh-CN"/>
        </w:rPr>
        <w:t>。2023年临床需求增长较快，全年供应量较2022年增长25.7%，2024年将进一步做好血液调剂计划。</w:t>
      </w:r>
    </w:p>
    <w:p w14:paraId="16304121">
      <w:pPr>
        <w:spacing w:line="360" w:lineRule="auto"/>
        <w:ind w:firstLine="560"/>
        <w:rPr>
          <w:rFonts w:hint="eastAsia" w:ascii="仿宋_GB2312" w:eastAsia="仿宋_GB2312"/>
          <w:bCs/>
          <w:szCs w:val="28"/>
          <w:lang w:eastAsia="zh-CN"/>
        </w:rPr>
      </w:pPr>
      <w:r>
        <w:rPr>
          <w:rFonts w:hint="eastAsia" w:ascii="仿宋_GB2312"/>
          <w:bCs/>
          <w:szCs w:val="28"/>
        </w:rPr>
        <w:t>数量指标“发放机采交通费数量”的目标值是</w:t>
      </w:r>
      <w:r>
        <w:rPr>
          <w:rFonts w:hint="eastAsia" w:ascii="仿宋_GB2312"/>
          <w:bCs/>
          <w:szCs w:val="28"/>
          <w:lang w:eastAsia="zh-CN"/>
        </w:rPr>
        <w:t>≥</w:t>
      </w:r>
      <w:r>
        <w:rPr>
          <w:rFonts w:hint="eastAsia" w:ascii="仿宋_GB2312"/>
          <w:bCs/>
          <w:szCs w:val="28"/>
        </w:rPr>
        <w:t>14400单位，</w:t>
      </w:r>
      <w:r>
        <w:rPr>
          <w:rFonts w:ascii="仿宋_GB2312"/>
          <w:bCs/>
          <w:szCs w:val="28"/>
        </w:rPr>
        <w:t>2023年度我单位实际完成</w:t>
      </w:r>
      <w:r>
        <w:rPr>
          <w:rFonts w:hint="eastAsia" w:ascii="仿宋_GB2312"/>
          <w:bCs/>
          <w:szCs w:val="28"/>
        </w:rPr>
        <w:t>10170单位</w:t>
      </w:r>
      <w:r>
        <w:rPr>
          <w:rFonts w:hint="eastAsia" w:ascii="仿宋_GB2312"/>
          <w:bCs/>
          <w:szCs w:val="28"/>
          <w:lang w:eastAsia="zh-CN"/>
        </w:rPr>
        <w:t>。年初预计发放交通费14400单位，根据2023年实际采集情况，及献血者提交信息情况发放，共发放10170单位。</w:t>
      </w:r>
    </w:p>
    <w:p w14:paraId="492DC708">
      <w:pPr>
        <w:spacing w:line="360" w:lineRule="auto"/>
        <w:ind w:firstLine="560"/>
        <w:rPr>
          <w:rFonts w:hint="eastAsia" w:ascii="仿宋_GB2312" w:eastAsia="仿宋_GB2312"/>
          <w:bCs/>
          <w:szCs w:val="28"/>
          <w:lang w:eastAsia="zh-CN"/>
        </w:rPr>
      </w:pPr>
      <w:r>
        <w:rPr>
          <w:rFonts w:hint="eastAsia" w:ascii="仿宋_GB2312"/>
          <w:bCs/>
          <w:szCs w:val="28"/>
        </w:rPr>
        <w:t>数量指标“临聘人员数量”的目标值是</w:t>
      </w:r>
      <w:r>
        <w:rPr>
          <w:rFonts w:hint="eastAsia" w:ascii="仿宋_GB2312"/>
          <w:bCs/>
          <w:szCs w:val="28"/>
          <w:lang w:eastAsia="zh-CN"/>
        </w:rPr>
        <w:t>≥</w:t>
      </w:r>
      <w:r>
        <w:rPr>
          <w:rFonts w:hint="eastAsia" w:ascii="仿宋_GB2312"/>
          <w:bCs/>
          <w:szCs w:val="28"/>
        </w:rPr>
        <w:t>37人，</w:t>
      </w:r>
      <w:r>
        <w:rPr>
          <w:rFonts w:ascii="仿宋_GB2312"/>
          <w:bCs/>
          <w:szCs w:val="28"/>
        </w:rPr>
        <w:t>2023年度我单位实际完成</w:t>
      </w:r>
      <w:r>
        <w:rPr>
          <w:rFonts w:hint="eastAsia" w:ascii="仿宋_GB2312"/>
          <w:bCs/>
          <w:szCs w:val="28"/>
        </w:rPr>
        <w:t>41</w:t>
      </w:r>
      <w:r>
        <w:rPr>
          <w:rFonts w:hint="eastAsia" w:ascii="仿宋_GB2312"/>
          <w:bCs/>
          <w:szCs w:val="28"/>
          <w:lang w:val="en-US" w:eastAsia="zh-CN"/>
        </w:rPr>
        <w:t>人</w:t>
      </w:r>
      <w:r>
        <w:rPr>
          <w:rFonts w:hint="eastAsia" w:ascii="仿宋_GB2312"/>
          <w:bCs/>
          <w:szCs w:val="28"/>
          <w:lang w:eastAsia="zh-CN"/>
        </w:rPr>
        <w:t>。2023年我单位新增献血点位，以提高采血量，我单位根据业务需求，招聘临聘人员至41人。</w:t>
      </w:r>
    </w:p>
    <w:p w14:paraId="20FD3784">
      <w:pPr>
        <w:spacing w:line="360" w:lineRule="auto"/>
        <w:ind w:firstLine="560"/>
        <w:rPr>
          <w:rFonts w:ascii="仿宋_GB2312"/>
          <w:bCs/>
          <w:szCs w:val="28"/>
        </w:rPr>
      </w:pPr>
      <w:r>
        <w:rPr>
          <w:rFonts w:hint="eastAsia" w:ascii="仿宋_GB2312"/>
          <w:bCs/>
          <w:szCs w:val="28"/>
        </w:rPr>
        <w:t>数量指标“支付欠款项目数量”的目标值是</w:t>
      </w:r>
      <w:r>
        <w:rPr>
          <w:rFonts w:hint="eastAsia" w:ascii="仿宋_GB2312"/>
          <w:bCs/>
          <w:szCs w:val="28"/>
          <w:lang w:eastAsia="zh-CN"/>
        </w:rPr>
        <w:t>≥</w:t>
      </w:r>
      <w:r>
        <w:rPr>
          <w:rFonts w:hint="eastAsia" w:ascii="仿宋_GB2312"/>
          <w:bCs/>
          <w:szCs w:val="28"/>
        </w:rPr>
        <w:t>2个，</w:t>
      </w:r>
      <w:r>
        <w:rPr>
          <w:rFonts w:ascii="仿宋_GB2312"/>
          <w:bCs/>
          <w:szCs w:val="28"/>
        </w:rPr>
        <w:t>2023年度我单位实际完成</w:t>
      </w:r>
      <w:r>
        <w:rPr>
          <w:rFonts w:hint="eastAsia" w:ascii="仿宋_GB2312"/>
          <w:bCs/>
          <w:szCs w:val="28"/>
        </w:rPr>
        <w:t>2个</w:t>
      </w:r>
      <w:r>
        <w:rPr>
          <w:rFonts w:hint="eastAsia" w:ascii="仿宋_GB2312"/>
          <w:bCs/>
          <w:szCs w:val="28"/>
          <w:lang w:eastAsia="zh-CN"/>
        </w:rPr>
        <w:t>。</w:t>
      </w:r>
    </w:p>
    <w:p w14:paraId="7E198DE4">
      <w:pPr>
        <w:spacing w:line="360" w:lineRule="auto"/>
        <w:ind w:firstLine="562"/>
        <w:rPr>
          <w:rFonts w:ascii="仿宋_GB2312"/>
          <w:szCs w:val="28"/>
        </w:rPr>
      </w:pPr>
      <w:r>
        <w:rPr>
          <w:rFonts w:hint="eastAsia" w:ascii="仿宋_GB2312"/>
          <w:b/>
          <w:bCs/>
          <w:szCs w:val="28"/>
          <w:highlight w:val="none"/>
        </w:rPr>
        <w:t>实际完成率：</w:t>
      </w:r>
      <w:r>
        <w:rPr>
          <w:rFonts w:hint="eastAsia" w:ascii="仿宋_GB2312"/>
          <w:b/>
          <w:bCs/>
          <w:szCs w:val="28"/>
          <w:highlight w:val="none"/>
          <w:lang w:val="en-US" w:eastAsia="zh-CN"/>
        </w:rPr>
        <w:t>96.74</w:t>
      </w:r>
      <w:r>
        <w:rPr>
          <w:rFonts w:hint="eastAsia" w:ascii="仿宋_GB2312"/>
          <w:szCs w:val="28"/>
          <w:highlight w:val="none"/>
          <w:lang w:val="en-US" w:eastAsia="zh-CN"/>
        </w:rPr>
        <w:t>%</w:t>
      </w:r>
      <w:r>
        <w:rPr>
          <w:rFonts w:hint="eastAsia" w:ascii="仿宋_GB2312"/>
          <w:szCs w:val="28"/>
          <w:highlight w:val="none"/>
        </w:rPr>
        <w:t>，</w:t>
      </w:r>
      <w:r>
        <w:rPr>
          <w:rFonts w:hint="eastAsia" w:ascii="仿宋_GB2312"/>
          <w:szCs w:val="28"/>
        </w:rPr>
        <w:t>故实际完成率得分为</w:t>
      </w:r>
      <w:r>
        <w:rPr>
          <w:rFonts w:hint="eastAsia" w:ascii="仿宋_GB2312"/>
          <w:szCs w:val="28"/>
          <w:lang w:val="en-US" w:eastAsia="zh-CN"/>
        </w:rPr>
        <w:t>26.12</w:t>
      </w:r>
      <w:r>
        <w:rPr>
          <w:rFonts w:hint="eastAsia" w:ascii="仿宋_GB2312"/>
          <w:szCs w:val="28"/>
        </w:rPr>
        <w:t>分。</w:t>
      </w:r>
    </w:p>
    <w:p w14:paraId="4D518011">
      <w:pPr>
        <w:pStyle w:val="4"/>
        <w:ind w:firstLine="643"/>
      </w:pPr>
      <w:bookmarkStart w:id="48" w:name="_Toc165277250"/>
      <w:r>
        <w:rPr>
          <w:rFonts w:hint="eastAsia"/>
        </w:rPr>
        <w:t>2</w:t>
      </w:r>
      <w:r>
        <w:t>.</w:t>
      </w:r>
      <w:r>
        <w:rPr>
          <w:rFonts w:hint="eastAsia"/>
        </w:rPr>
        <w:t>产出质量</w:t>
      </w:r>
      <w:bookmarkEnd w:id="48"/>
    </w:p>
    <w:p w14:paraId="1F036D1F">
      <w:pPr>
        <w:spacing w:line="360" w:lineRule="auto"/>
        <w:ind w:firstLine="562"/>
        <w:rPr>
          <w:rFonts w:hint="eastAsia" w:ascii="仿宋_GB2312"/>
          <w:bCs/>
          <w:szCs w:val="28"/>
          <w:lang w:val="en-US" w:eastAsia="zh-CN"/>
        </w:rPr>
      </w:pPr>
      <w:r>
        <w:rPr>
          <w:rFonts w:hint="eastAsia" w:ascii="仿宋_GB2312"/>
          <w:bCs/>
          <w:szCs w:val="28"/>
          <w:lang w:val="en-US" w:eastAsia="zh-CN"/>
        </w:rPr>
        <w:t>质量</w:t>
      </w:r>
      <w:r>
        <w:rPr>
          <w:rFonts w:hint="eastAsia" w:ascii="仿宋_GB2312"/>
          <w:bCs/>
          <w:szCs w:val="28"/>
        </w:rPr>
        <w:t>指标</w:t>
      </w:r>
      <w:r>
        <w:rPr>
          <w:rFonts w:hint="eastAsia" w:ascii="仿宋_GB2312"/>
          <w:bCs/>
          <w:szCs w:val="28"/>
          <w:lang w:eastAsia="zh-CN"/>
        </w:rPr>
        <w:t>“</w:t>
      </w:r>
      <w:r>
        <w:rPr>
          <w:rFonts w:hint="eastAsia" w:ascii="仿宋_GB2312"/>
          <w:bCs/>
          <w:szCs w:val="28"/>
        </w:rPr>
        <w:t>一次性验收合格率</w:t>
      </w:r>
      <w:r>
        <w:rPr>
          <w:rFonts w:hint="eastAsia" w:ascii="仿宋_GB2312"/>
          <w:bCs/>
          <w:szCs w:val="28"/>
          <w:lang w:eastAsia="zh-CN"/>
        </w:rPr>
        <w:t>”</w:t>
      </w:r>
      <w:r>
        <w:rPr>
          <w:rFonts w:hint="eastAsia" w:ascii="仿宋_GB2312"/>
          <w:bCs/>
          <w:szCs w:val="28"/>
        </w:rPr>
        <w:t>目标值是</w:t>
      </w:r>
      <w:r>
        <w:rPr>
          <w:rFonts w:hint="eastAsia" w:ascii="仿宋_GB2312"/>
          <w:bCs/>
          <w:szCs w:val="28"/>
          <w:lang w:val="en-US" w:eastAsia="zh-CN"/>
        </w:rPr>
        <w:t>100%，</w:t>
      </w:r>
      <w:r>
        <w:rPr>
          <w:rFonts w:ascii="仿宋_GB2312"/>
          <w:bCs/>
          <w:szCs w:val="28"/>
        </w:rPr>
        <w:t>2023年度我单位实际完成</w:t>
      </w:r>
      <w:r>
        <w:rPr>
          <w:rFonts w:hint="eastAsia" w:ascii="仿宋_GB2312"/>
          <w:bCs/>
          <w:szCs w:val="28"/>
          <w:lang w:val="en-US" w:eastAsia="zh-CN"/>
        </w:rPr>
        <w:t>100%。</w:t>
      </w:r>
    </w:p>
    <w:p w14:paraId="38C1EF50">
      <w:pPr>
        <w:spacing w:line="360" w:lineRule="auto"/>
        <w:ind w:firstLine="562"/>
        <w:rPr>
          <w:rFonts w:hint="eastAsia" w:ascii="仿宋_GB2312"/>
          <w:bCs/>
          <w:szCs w:val="28"/>
          <w:lang w:val="en-US" w:eastAsia="zh-CN"/>
        </w:rPr>
      </w:pPr>
      <w:r>
        <w:rPr>
          <w:rFonts w:hint="eastAsia" w:ascii="仿宋_GB2312"/>
          <w:bCs/>
          <w:szCs w:val="28"/>
          <w:lang w:val="en-US" w:eastAsia="zh-CN"/>
        </w:rPr>
        <w:t>质量</w:t>
      </w:r>
      <w:r>
        <w:rPr>
          <w:rFonts w:hint="eastAsia" w:ascii="仿宋_GB2312"/>
          <w:bCs/>
          <w:szCs w:val="28"/>
        </w:rPr>
        <w:t>指标</w:t>
      </w:r>
      <w:r>
        <w:rPr>
          <w:rFonts w:hint="eastAsia" w:ascii="仿宋_GB2312"/>
          <w:bCs/>
          <w:szCs w:val="28"/>
          <w:lang w:eastAsia="zh-CN"/>
        </w:rPr>
        <w:t>“</w:t>
      </w:r>
      <w:r>
        <w:rPr>
          <w:rFonts w:hint="eastAsia" w:ascii="仿宋_GB2312"/>
          <w:bCs/>
          <w:szCs w:val="28"/>
        </w:rPr>
        <w:t>报销血费、返还医院奖励金合规性</w:t>
      </w:r>
      <w:r>
        <w:rPr>
          <w:rFonts w:hint="eastAsia" w:ascii="仿宋_GB2312"/>
          <w:bCs/>
          <w:szCs w:val="28"/>
          <w:lang w:eastAsia="zh-CN"/>
        </w:rPr>
        <w:t>”</w:t>
      </w:r>
      <w:r>
        <w:rPr>
          <w:rFonts w:hint="eastAsia" w:ascii="仿宋_GB2312"/>
          <w:bCs/>
          <w:szCs w:val="28"/>
        </w:rPr>
        <w:t>目标值是</w:t>
      </w:r>
      <w:r>
        <w:rPr>
          <w:rFonts w:hint="eastAsia" w:ascii="仿宋_GB2312"/>
          <w:bCs/>
          <w:szCs w:val="28"/>
          <w:lang w:val="en-US" w:eastAsia="zh-CN"/>
        </w:rPr>
        <w:t>100%，</w:t>
      </w:r>
      <w:r>
        <w:rPr>
          <w:rFonts w:ascii="仿宋_GB2312"/>
          <w:bCs/>
          <w:szCs w:val="28"/>
        </w:rPr>
        <w:t>2023年度我单位实际完成</w:t>
      </w:r>
      <w:r>
        <w:rPr>
          <w:rFonts w:hint="eastAsia" w:ascii="仿宋_GB2312"/>
          <w:bCs/>
          <w:szCs w:val="28"/>
          <w:lang w:val="en-US" w:eastAsia="zh-CN"/>
        </w:rPr>
        <w:t>100%。</w:t>
      </w:r>
    </w:p>
    <w:p w14:paraId="1B981C33">
      <w:pPr>
        <w:spacing w:line="360" w:lineRule="auto"/>
        <w:ind w:firstLine="562"/>
        <w:rPr>
          <w:rFonts w:hint="default" w:ascii="仿宋_GB2312"/>
          <w:bCs/>
          <w:szCs w:val="28"/>
          <w:lang w:val="en-US" w:eastAsia="zh-CN"/>
        </w:rPr>
      </w:pPr>
      <w:r>
        <w:rPr>
          <w:rFonts w:hint="eastAsia" w:ascii="仿宋_GB2312"/>
          <w:b/>
          <w:bCs/>
          <w:szCs w:val="28"/>
        </w:rPr>
        <w:t>实际完成率：</w:t>
      </w:r>
      <w:r>
        <w:rPr>
          <w:rFonts w:hint="eastAsia" w:ascii="仿宋_GB2312"/>
          <w:szCs w:val="28"/>
          <w:lang w:val="en-US" w:eastAsia="zh-CN"/>
        </w:rPr>
        <w:t>100%</w:t>
      </w:r>
      <w:r>
        <w:rPr>
          <w:rFonts w:hint="eastAsia" w:ascii="仿宋_GB2312"/>
          <w:szCs w:val="28"/>
        </w:rPr>
        <w:t>，故实际完成率得分为</w:t>
      </w:r>
      <w:r>
        <w:rPr>
          <w:rFonts w:hint="eastAsia" w:ascii="仿宋_GB2312"/>
          <w:szCs w:val="28"/>
          <w:lang w:val="en-US" w:eastAsia="zh-CN"/>
        </w:rPr>
        <w:t>8</w:t>
      </w:r>
      <w:r>
        <w:rPr>
          <w:rFonts w:hint="eastAsia" w:ascii="仿宋_GB2312"/>
          <w:szCs w:val="28"/>
        </w:rPr>
        <w:t>分。</w:t>
      </w:r>
    </w:p>
    <w:p w14:paraId="126F4B45">
      <w:pPr>
        <w:pStyle w:val="4"/>
        <w:ind w:firstLine="643"/>
      </w:pPr>
      <w:bookmarkStart w:id="49" w:name="_Toc165277251"/>
      <w:r>
        <w:rPr>
          <w:rFonts w:hint="eastAsia"/>
        </w:rPr>
        <w:t>3</w:t>
      </w:r>
      <w:r>
        <w:t>.</w:t>
      </w:r>
      <w:r>
        <w:rPr>
          <w:rFonts w:hint="eastAsia"/>
        </w:rPr>
        <w:t>产出时效</w:t>
      </w:r>
      <w:bookmarkEnd w:id="49"/>
    </w:p>
    <w:p w14:paraId="4D77455A">
      <w:pPr>
        <w:spacing w:line="360" w:lineRule="auto"/>
        <w:ind w:firstLine="562"/>
        <w:rPr>
          <w:rFonts w:hint="default" w:ascii="仿宋_GB2312"/>
          <w:bCs/>
          <w:szCs w:val="28"/>
          <w:lang w:val="en-US" w:eastAsia="zh-CN"/>
        </w:rPr>
      </w:pPr>
      <w:r>
        <w:rPr>
          <w:rFonts w:hint="eastAsia" w:ascii="仿宋_GB2312"/>
          <w:bCs/>
          <w:szCs w:val="28"/>
          <w:lang w:val="en-US" w:eastAsia="zh-CN"/>
        </w:rPr>
        <w:t>时效</w:t>
      </w:r>
      <w:r>
        <w:rPr>
          <w:rFonts w:hint="eastAsia" w:ascii="仿宋_GB2312"/>
          <w:bCs/>
          <w:szCs w:val="28"/>
        </w:rPr>
        <w:t>指标</w:t>
      </w:r>
      <w:r>
        <w:rPr>
          <w:rFonts w:hint="eastAsia" w:ascii="仿宋_GB2312"/>
          <w:bCs/>
          <w:szCs w:val="28"/>
          <w:lang w:eastAsia="zh-CN"/>
        </w:rPr>
        <w:t>“</w:t>
      </w:r>
      <w:r>
        <w:rPr>
          <w:rFonts w:hint="eastAsia" w:ascii="仿宋_GB2312"/>
          <w:bCs/>
          <w:szCs w:val="28"/>
        </w:rPr>
        <w:t>项目完成时间</w:t>
      </w:r>
      <w:r>
        <w:rPr>
          <w:rFonts w:hint="eastAsia" w:ascii="仿宋_GB2312"/>
          <w:bCs/>
          <w:szCs w:val="28"/>
          <w:lang w:eastAsia="zh-CN"/>
        </w:rPr>
        <w:t>”</w:t>
      </w:r>
      <w:r>
        <w:rPr>
          <w:rFonts w:hint="eastAsia" w:ascii="仿宋_GB2312"/>
          <w:bCs/>
          <w:szCs w:val="28"/>
        </w:rPr>
        <w:t>目标值是</w:t>
      </w:r>
      <w:r>
        <w:rPr>
          <w:rFonts w:hint="eastAsia" w:ascii="仿宋_GB2312"/>
          <w:bCs/>
          <w:szCs w:val="28"/>
          <w:lang w:eastAsia="zh-CN"/>
        </w:rPr>
        <w:t>≤</w:t>
      </w:r>
      <w:r>
        <w:rPr>
          <w:rFonts w:hint="eastAsia" w:ascii="仿宋_GB2312"/>
          <w:bCs/>
          <w:szCs w:val="28"/>
        </w:rPr>
        <w:t>12月底</w:t>
      </w:r>
      <w:r>
        <w:rPr>
          <w:rFonts w:hint="eastAsia" w:ascii="仿宋_GB2312"/>
          <w:bCs/>
          <w:szCs w:val="28"/>
          <w:lang w:val="en-US" w:eastAsia="zh-CN"/>
        </w:rPr>
        <w:t>，</w:t>
      </w:r>
      <w:r>
        <w:rPr>
          <w:rFonts w:ascii="仿宋_GB2312"/>
          <w:bCs/>
          <w:szCs w:val="28"/>
        </w:rPr>
        <w:t>2023年度我单位实际完成</w:t>
      </w:r>
      <w:r>
        <w:rPr>
          <w:rFonts w:hint="eastAsia" w:ascii="仿宋_GB2312"/>
          <w:bCs/>
          <w:szCs w:val="28"/>
          <w:lang w:val="en-US" w:eastAsia="zh-CN"/>
        </w:rPr>
        <w:t>为=12月底，</w:t>
      </w:r>
      <w:r>
        <w:rPr>
          <w:rFonts w:ascii="仿宋_GB2312"/>
          <w:bCs/>
          <w:szCs w:val="28"/>
        </w:rPr>
        <w:t>2023年度我单位实际完成</w:t>
      </w:r>
      <w:r>
        <w:rPr>
          <w:rFonts w:hint="eastAsia" w:ascii="仿宋_GB2312"/>
          <w:bCs/>
          <w:szCs w:val="28"/>
          <w:lang w:val="en-US" w:eastAsia="zh-CN"/>
        </w:rPr>
        <w:t>100%。</w:t>
      </w:r>
      <w:r>
        <w:rPr>
          <w:rFonts w:hint="eastAsia" w:ascii="仿宋_GB2312"/>
          <w:bCs/>
          <w:szCs w:val="28"/>
          <w:lang w:val="en-US" w:eastAsia="zh-CN"/>
        </w:rPr>
        <w:tab/>
      </w:r>
    </w:p>
    <w:p w14:paraId="694FA59C">
      <w:pPr>
        <w:spacing w:line="360" w:lineRule="auto"/>
        <w:ind w:firstLine="562"/>
        <w:rPr>
          <w:rFonts w:hint="default" w:ascii="仿宋_GB2312"/>
          <w:bCs/>
          <w:szCs w:val="28"/>
          <w:lang w:val="en-US" w:eastAsia="zh-CN"/>
        </w:rPr>
      </w:pPr>
      <w:bookmarkStart w:id="50" w:name="_Toc165277252"/>
      <w:r>
        <w:rPr>
          <w:rFonts w:hint="eastAsia" w:ascii="仿宋_GB2312"/>
          <w:b/>
          <w:bCs/>
          <w:szCs w:val="28"/>
        </w:rPr>
        <w:t>实际完成率：</w:t>
      </w:r>
      <w:r>
        <w:rPr>
          <w:rFonts w:hint="eastAsia" w:ascii="仿宋_GB2312"/>
          <w:szCs w:val="28"/>
          <w:lang w:val="en-US" w:eastAsia="zh-CN"/>
        </w:rPr>
        <w:t>100%</w:t>
      </w:r>
      <w:r>
        <w:rPr>
          <w:rFonts w:hint="eastAsia" w:ascii="仿宋_GB2312"/>
          <w:szCs w:val="28"/>
        </w:rPr>
        <w:t>，故实际完成率得分为</w:t>
      </w:r>
      <w:r>
        <w:rPr>
          <w:rFonts w:hint="eastAsia" w:ascii="仿宋_GB2312"/>
          <w:szCs w:val="28"/>
          <w:lang w:val="en-US" w:eastAsia="zh-CN"/>
        </w:rPr>
        <w:t>5</w:t>
      </w:r>
      <w:r>
        <w:rPr>
          <w:rFonts w:hint="eastAsia" w:ascii="仿宋_GB2312"/>
          <w:szCs w:val="28"/>
        </w:rPr>
        <w:t>分。</w:t>
      </w:r>
    </w:p>
    <w:p w14:paraId="6FC4ECF0">
      <w:pPr>
        <w:pStyle w:val="4"/>
        <w:ind w:firstLine="643"/>
      </w:pPr>
      <w:r>
        <w:rPr>
          <w:rFonts w:hint="eastAsia"/>
        </w:rPr>
        <w:t>4</w:t>
      </w:r>
      <w:r>
        <w:t>.</w:t>
      </w:r>
      <w:r>
        <w:rPr>
          <w:rFonts w:hint="eastAsia"/>
        </w:rPr>
        <w:t>产出成本</w:t>
      </w:r>
      <w:bookmarkEnd w:id="50"/>
    </w:p>
    <w:p w14:paraId="7E2D088C">
      <w:pPr>
        <w:spacing w:line="360" w:lineRule="auto"/>
        <w:ind w:firstLine="562"/>
        <w:rPr>
          <w:rFonts w:hint="eastAsia" w:ascii="仿宋_GB2312" w:eastAsia="仿宋_GB2312"/>
          <w:bCs/>
          <w:szCs w:val="28"/>
          <w:lang w:eastAsia="zh-CN"/>
        </w:rPr>
      </w:pPr>
      <w:r>
        <w:rPr>
          <w:rFonts w:hint="eastAsia" w:ascii="仿宋_GB2312"/>
          <w:bCs/>
          <w:szCs w:val="28"/>
        </w:rPr>
        <w:t>电费目标值是</w:t>
      </w:r>
      <w:r>
        <w:rPr>
          <w:rFonts w:hint="eastAsia" w:ascii="仿宋_GB2312"/>
          <w:bCs/>
          <w:szCs w:val="28"/>
          <w:lang w:eastAsia="zh-CN"/>
        </w:rPr>
        <w:t>≤</w:t>
      </w:r>
      <w:r>
        <w:rPr>
          <w:rFonts w:hint="eastAsia" w:ascii="仿宋_GB2312"/>
          <w:bCs/>
          <w:szCs w:val="28"/>
        </w:rPr>
        <w:t>70万元</w:t>
      </w:r>
      <w:r>
        <w:rPr>
          <w:rFonts w:hint="eastAsia" w:ascii="仿宋_GB2312"/>
          <w:bCs/>
          <w:szCs w:val="28"/>
          <w:lang w:eastAsia="zh-CN"/>
        </w:rPr>
        <w:t>，</w:t>
      </w:r>
      <w:r>
        <w:rPr>
          <w:rFonts w:hint="eastAsia" w:ascii="仿宋_GB2312"/>
          <w:bCs/>
          <w:szCs w:val="28"/>
        </w:rPr>
        <w:t>实际支出70万元,无超支情况,得分为2分</w:t>
      </w:r>
      <w:r>
        <w:rPr>
          <w:rFonts w:hint="eastAsia" w:ascii="仿宋_GB2312"/>
          <w:bCs/>
          <w:szCs w:val="28"/>
          <w:lang w:eastAsia="zh-CN"/>
        </w:rPr>
        <w:t>。</w:t>
      </w:r>
    </w:p>
    <w:p w14:paraId="45D39CDD">
      <w:pPr>
        <w:spacing w:line="360" w:lineRule="auto"/>
        <w:ind w:firstLine="562"/>
        <w:rPr>
          <w:rFonts w:hint="eastAsia" w:ascii="仿宋_GB2312" w:eastAsia="仿宋_GB2312"/>
          <w:bCs/>
          <w:szCs w:val="28"/>
          <w:lang w:eastAsia="zh-CN"/>
        </w:rPr>
      </w:pPr>
      <w:r>
        <w:rPr>
          <w:rFonts w:hint="eastAsia" w:ascii="仿宋_GB2312"/>
          <w:bCs/>
          <w:szCs w:val="28"/>
        </w:rPr>
        <w:t>设备、电梯维修维保等费用目标值是</w:t>
      </w:r>
      <w:r>
        <w:rPr>
          <w:rFonts w:hint="eastAsia" w:ascii="仿宋_GB2312"/>
          <w:bCs/>
          <w:szCs w:val="28"/>
          <w:lang w:eastAsia="zh-CN"/>
        </w:rPr>
        <w:t>≤</w:t>
      </w:r>
      <w:r>
        <w:rPr>
          <w:rFonts w:hint="eastAsia" w:ascii="仿宋_GB2312"/>
          <w:bCs/>
          <w:szCs w:val="28"/>
        </w:rPr>
        <w:t>113.70万元</w:t>
      </w:r>
      <w:r>
        <w:rPr>
          <w:rFonts w:hint="eastAsia" w:ascii="仿宋_GB2312"/>
          <w:bCs/>
          <w:szCs w:val="28"/>
          <w:lang w:eastAsia="zh-CN"/>
        </w:rPr>
        <w:t>，</w:t>
      </w:r>
      <w:r>
        <w:rPr>
          <w:rFonts w:hint="eastAsia" w:ascii="仿宋_GB2312"/>
          <w:bCs/>
          <w:szCs w:val="28"/>
        </w:rPr>
        <w:t>实际支出113.7万元,无超支情况,得分为3分</w:t>
      </w:r>
      <w:r>
        <w:rPr>
          <w:rFonts w:hint="eastAsia" w:ascii="仿宋_GB2312"/>
          <w:bCs/>
          <w:szCs w:val="28"/>
          <w:lang w:eastAsia="zh-CN"/>
        </w:rPr>
        <w:t>。</w:t>
      </w:r>
    </w:p>
    <w:p w14:paraId="469B9BC3">
      <w:pPr>
        <w:spacing w:line="360" w:lineRule="auto"/>
        <w:ind w:firstLine="562"/>
        <w:rPr>
          <w:rFonts w:hint="eastAsia" w:ascii="仿宋_GB2312" w:eastAsia="仿宋_GB2312"/>
          <w:bCs/>
          <w:szCs w:val="28"/>
          <w:lang w:eastAsia="zh-CN"/>
        </w:rPr>
      </w:pPr>
      <w:r>
        <w:rPr>
          <w:rFonts w:hint="eastAsia" w:ascii="仿宋_GB2312"/>
          <w:bCs/>
          <w:szCs w:val="28"/>
        </w:rPr>
        <w:t>试剂、耗材、外调血费用目标值是</w:t>
      </w:r>
      <w:r>
        <w:rPr>
          <w:rFonts w:hint="eastAsia" w:ascii="仿宋_GB2312"/>
          <w:bCs/>
          <w:szCs w:val="28"/>
          <w:lang w:eastAsia="zh-CN"/>
        </w:rPr>
        <w:t>≤</w:t>
      </w:r>
      <w:r>
        <w:rPr>
          <w:rFonts w:hint="eastAsia" w:ascii="仿宋_GB2312"/>
          <w:bCs/>
          <w:szCs w:val="28"/>
        </w:rPr>
        <w:t>333万元</w:t>
      </w:r>
      <w:r>
        <w:rPr>
          <w:rFonts w:hint="eastAsia" w:ascii="仿宋_GB2312"/>
          <w:bCs/>
          <w:szCs w:val="28"/>
          <w:lang w:eastAsia="zh-CN"/>
        </w:rPr>
        <w:t>，</w:t>
      </w:r>
      <w:r>
        <w:rPr>
          <w:rFonts w:hint="eastAsia" w:ascii="仿宋_GB2312"/>
          <w:bCs/>
          <w:szCs w:val="28"/>
        </w:rPr>
        <w:t>实际支出332.36万元,无超支情况,得分为2.99分</w:t>
      </w:r>
      <w:r>
        <w:rPr>
          <w:rFonts w:hint="eastAsia" w:ascii="仿宋_GB2312"/>
          <w:bCs/>
          <w:szCs w:val="28"/>
          <w:lang w:eastAsia="zh-CN"/>
        </w:rPr>
        <w:t>。</w:t>
      </w:r>
    </w:p>
    <w:p w14:paraId="4D0D19E3">
      <w:pPr>
        <w:spacing w:line="360" w:lineRule="auto"/>
        <w:ind w:firstLine="562"/>
        <w:rPr>
          <w:rFonts w:hint="eastAsia" w:ascii="仿宋_GB2312" w:eastAsia="仿宋_GB2312"/>
          <w:bCs/>
          <w:szCs w:val="28"/>
          <w:lang w:eastAsia="zh-CN"/>
        </w:rPr>
      </w:pPr>
      <w:r>
        <w:rPr>
          <w:rFonts w:hint="eastAsia" w:ascii="仿宋_GB2312"/>
          <w:bCs/>
          <w:szCs w:val="28"/>
        </w:rPr>
        <w:t>献血员交通费、血费报销等费用目标值是</w:t>
      </w:r>
      <w:r>
        <w:rPr>
          <w:rFonts w:hint="eastAsia" w:ascii="仿宋_GB2312"/>
          <w:bCs/>
          <w:szCs w:val="28"/>
          <w:lang w:eastAsia="zh-CN"/>
        </w:rPr>
        <w:t>≤</w:t>
      </w:r>
      <w:r>
        <w:rPr>
          <w:rFonts w:hint="eastAsia" w:ascii="仿宋_GB2312"/>
          <w:bCs/>
          <w:szCs w:val="28"/>
        </w:rPr>
        <w:t>117.70万元</w:t>
      </w:r>
      <w:r>
        <w:rPr>
          <w:rFonts w:hint="eastAsia" w:ascii="仿宋_GB2312"/>
          <w:bCs/>
          <w:szCs w:val="28"/>
          <w:lang w:eastAsia="zh-CN"/>
        </w:rPr>
        <w:t>，</w:t>
      </w:r>
      <w:r>
        <w:rPr>
          <w:rFonts w:hint="eastAsia" w:ascii="仿宋_GB2312"/>
          <w:bCs/>
          <w:szCs w:val="28"/>
        </w:rPr>
        <w:t>实际支出114.21万元,无超支情况,得分为2.91分</w:t>
      </w:r>
      <w:r>
        <w:rPr>
          <w:rFonts w:hint="eastAsia" w:ascii="仿宋_GB2312"/>
          <w:bCs/>
          <w:szCs w:val="28"/>
          <w:lang w:eastAsia="zh-CN"/>
        </w:rPr>
        <w:t>。</w:t>
      </w:r>
    </w:p>
    <w:p w14:paraId="460CFC17">
      <w:pPr>
        <w:spacing w:line="360" w:lineRule="auto"/>
        <w:ind w:firstLine="562"/>
        <w:rPr>
          <w:rFonts w:hint="eastAsia" w:ascii="仿宋_GB2312" w:eastAsia="仿宋_GB2312"/>
          <w:bCs/>
          <w:szCs w:val="28"/>
          <w:lang w:eastAsia="zh-CN"/>
        </w:rPr>
      </w:pPr>
      <w:r>
        <w:rPr>
          <w:rFonts w:hint="eastAsia" w:ascii="仿宋_GB2312"/>
          <w:bCs/>
          <w:szCs w:val="28"/>
        </w:rPr>
        <w:t>临聘人员劳务费目标值是</w:t>
      </w:r>
      <w:r>
        <w:rPr>
          <w:rFonts w:hint="eastAsia" w:ascii="仿宋_GB2312"/>
          <w:bCs/>
          <w:szCs w:val="28"/>
          <w:lang w:eastAsia="zh-CN"/>
        </w:rPr>
        <w:t>≤</w:t>
      </w:r>
      <w:r>
        <w:rPr>
          <w:rFonts w:hint="eastAsia" w:ascii="仿宋_GB2312"/>
          <w:bCs/>
          <w:szCs w:val="28"/>
        </w:rPr>
        <w:t>90万元</w:t>
      </w:r>
      <w:r>
        <w:rPr>
          <w:rFonts w:hint="eastAsia" w:ascii="仿宋_GB2312"/>
          <w:bCs/>
          <w:szCs w:val="28"/>
          <w:lang w:eastAsia="zh-CN"/>
        </w:rPr>
        <w:t>，</w:t>
      </w:r>
      <w:r>
        <w:rPr>
          <w:rFonts w:hint="eastAsia" w:ascii="仿宋_GB2312"/>
          <w:bCs/>
          <w:szCs w:val="28"/>
        </w:rPr>
        <w:t>实际支出90万元,无超支情况,得分为2分</w:t>
      </w:r>
      <w:r>
        <w:rPr>
          <w:rFonts w:hint="eastAsia" w:ascii="仿宋_GB2312"/>
          <w:bCs/>
          <w:szCs w:val="28"/>
          <w:lang w:eastAsia="zh-CN"/>
        </w:rPr>
        <w:t>。</w:t>
      </w:r>
    </w:p>
    <w:p w14:paraId="00A8289D">
      <w:pPr>
        <w:spacing w:line="360" w:lineRule="auto"/>
        <w:ind w:firstLine="562"/>
        <w:rPr>
          <w:rFonts w:hint="eastAsia" w:ascii="仿宋_GB2312" w:eastAsia="仿宋_GB2312"/>
          <w:bCs/>
          <w:szCs w:val="28"/>
          <w:lang w:eastAsia="zh-CN"/>
        </w:rPr>
      </w:pPr>
      <w:r>
        <w:rPr>
          <w:rFonts w:hint="eastAsia" w:ascii="仿宋_GB2312"/>
          <w:bCs/>
          <w:szCs w:val="28"/>
        </w:rPr>
        <w:t>项目工程等欠款目标值是</w:t>
      </w:r>
      <w:r>
        <w:rPr>
          <w:rFonts w:hint="eastAsia" w:ascii="仿宋_GB2312"/>
          <w:bCs/>
          <w:szCs w:val="28"/>
          <w:lang w:eastAsia="zh-CN"/>
        </w:rPr>
        <w:t>≤</w:t>
      </w:r>
      <w:r>
        <w:rPr>
          <w:rFonts w:hint="eastAsia" w:ascii="仿宋_GB2312"/>
          <w:bCs/>
          <w:szCs w:val="28"/>
        </w:rPr>
        <w:t>236.13万元</w:t>
      </w:r>
      <w:r>
        <w:rPr>
          <w:rFonts w:hint="eastAsia" w:ascii="仿宋_GB2312"/>
          <w:bCs/>
          <w:szCs w:val="28"/>
          <w:lang w:eastAsia="zh-CN"/>
        </w:rPr>
        <w:t>，</w:t>
      </w:r>
      <w:r>
        <w:rPr>
          <w:rFonts w:hint="eastAsia" w:ascii="仿宋_GB2312"/>
          <w:bCs/>
          <w:szCs w:val="28"/>
        </w:rPr>
        <w:t>实际支出236.13万元,无超支情况,得分为3分</w:t>
      </w:r>
      <w:r>
        <w:rPr>
          <w:rFonts w:hint="eastAsia" w:ascii="仿宋_GB2312"/>
          <w:bCs/>
          <w:szCs w:val="28"/>
          <w:lang w:eastAsia="zh-CN"/>
        </w:rPr>
        <w:t>。</w:t>
      </w:r>
    </w:p>
    <w:p w14:paraId="53A74BF1">
      <w:pPr>
        <w:spacing w:line="360" w:lineRule="auto"/>
        <w:ind w:firstLine="562"/>
        <w:rPr>
          <w:rFonts w:hint="eastAsia" w:ascii="仿宋_GB2312" w:eastAsia="仿宋_GB2312"/>
          <w:bCs/>
          <w:szCs w:val="28"/>
          <w:lang w:eastAsia="zh-CN"/>
        </w:rPr>
      </w:pPr>
      <w:r>
        <w:rPr>
          <w:rFonts w:hint="eastAsia" w:ascii="仿宋_GB2312"/>
          <w:bCs/>
          <w:szCs w:val="28"/>
        </w:rPr>
        <w:t>基因测序费、血液运输费等目标值是</w:t>
      </w:r>
      <w:r>
        <w:rPr>
          <w:rFonts w:hint="eastAsia" w:ascii="仿宋_GB2312"/>
          <w:bCs/>
          <w:szCs w:val="28"/>
          <w:lang w:eastAsia="zh-CN"/>
        </w:rPr>
        <w:t>≤</w:t>
      </w:r>
      <w:r>
        <w:rPr>
          <w:rFonts w:hint="eastAsia" w:ascii="仿宋_GB2312"/>
          <w:bCs/>
          <w:szCs w:val="28"/>
        </w:rPr>
        <w:t>8.94万元</w:t>
      </w:r>
      <w:r>
        <w:rPr>
          <w:rFonts w:hint="eastAsia" w:ascii="仿宋_GB2312"/>
          <w:bCs/>
          <w:szCs w:val="28"/>
          <w:lang w:eastAsia="zh-CN"/>
        </w:rPr>
        <w:t>，</w:t>
      </w:r>
      <w:r>
        <w:rPr>
          <w:rFonts w:hint="eastAsia" w:ascii="仿宋_GB2312"/>
          <w:bCs/>
          <w:szCs w:val="28"/>
        </w:rPr>
        <w:t>实际支出2万元,无超支情况,得分为0.45分</w:t>
      </w:r>
      <w:r>
        <w:rPr>
          <w:rFonts w:hint="eastAsia" w:ascii="仿宋_GB2312"/>
          <w:bCs/>
          <w:szCs w:val="28"/>
          <w:lang w:eastAsia="zh-CN"/>
        </w:rPr>
        <w:t>。</w:t>
      </w:r>
    </w:p>
    <w:p w14:paraId="7C4F98C7">
      <w:pPr>
        <w:spacing w:line="360" w:lineRule="auto"/>
        <w:ind w:firstLine="562"/>
        <w:rPr>
          <w:rFonts w:hint="eastAsia" w:ascii="仿宋_GB2312" w:eastAsia="仿宋_GB2312"/>
          <w:bCs/>
          <w:szCs w:val="28"/>
          <w:lang w:eastAsia="zh-CN"/>
        </w:rPr>
      </w:pPr>
      <w:r>
        <w:rPr>
          <w:rFonts w:hint="eastAsia" w:ascii="仿宋_GB2312"/>
          <w:bCs/>
          <w:szCs w:val="28"/>
        </w:rPr>
        <w:t>南大门道闸目标值是</w:t>
      </w:r>
      <w:r>
        <w:rPr>
          <w:rFonts w:hint="eastAsia" w:ascii="仿宋_GB2312"/>
          <w:bCs/>
          <w:szCs w:val="28"/>
          <w:lang w:eastAsia="zh-CN"/>
        </w:rPr>
        <w:t>≤</w:t>
      </w:r>
      <w:r>
        <w:rPr>
          <w:rFonts w:hint="eastAsia" w:ascii="仿宋_GB2312"/>
          <w:bCs/>
          <w:szCs w:val="28"/>
        </w:rPr>
        <w:t>3万元</w:t>
      </w:r>
      <w:r>
        <w:rPr>
          <w:rFonts w:hint="eastAsia" w:ascii="仿宋_GB2312"/>
          <w:bCs/>
          <w:szCs w:val="28"/>
          <w:lang w:eastAsia="zh-CN"/>
        </w:rPr>
        <w:t>，</w:t>
      </w:r>
      <w:r>
        <w:rPr>
          <w:rFonts w:hint="eastAsia" w:ascii="仿宋_GB2312"/>
          <w:bCs/>
          <w:szCs w:val="28"/>
        </w:rPr>
        <w:t>实际支出2.29万元,无超支情况,得分为1.53分</w:t>
      </w:r>
      <w:r>
        <w:rPr>
          <w:rFonts w:hint="eastAsia" w:ascii="仿宋_GB2312"/>
          <w:bCs/>
          <w:szCs w:val="28"/>
          <w:lang w:eastAsia="zh-CN"/>
        </w:rPr>
        <w:t>。</w:t>
      </w:r>
    </w:p>
    <w:p w14:paraId="1003B908">
      <w:pPr>
        <w:autoSpaceDE w:val="0"/>
        <w:spacing w:line="600" w:lineRule="exact"/>
        <w:ind w:firstLine="562"/>
        <w:rPr>
          <w:rFonts w:hint="eastAsia" w:ascii="仿宋_GB2312" w:hAnsi="仿宋" w:cs="宋体"/>
          <w:b/>
          <w:kern w:val="0"/>
          <w:szCs w:val="28"/>
          <w:lang w:val="en-US" w:eastAsia="zh-CN"/>
        </w:rPr>
      </w:pPr>
      <w:r>
        <w:rPr>
          <w:rFonts w:hint="eastAsia" w:ascii="仿宋_GB2312" w:hAnsi="仿宋" w:cs="宋体"/>
          <w:b/>
          <w:kern w:val="0"/>
          <w:szCs w:val="28"/>
        </w:rPr>
        <w:t>综上，该部分指标满分</w:t>
      </w:r>
      <w:r>
        <w:rPr>
          <w:rFonts w:hint="eastAsia" w:ascii="仿宋_GB2312" w:hAnsi="仿宋" w:cs="宋体"/>
          <w:b/>
          <w:kern w:val="0"/>
          <w:szCs w:val="28"/>
          <w:lang w:val="en-US" w:eastAsia="zh-CN"/>
        </w:rPr>
        <w:t>20</w:t>
      </w:r>
      <w:r>
        <w:rPr>
          <w:rFonts w:hint="eastAsia" w:ascii="仿宋_GB2312" w:hAnsi="仿宋" w:cs="宋体"/>
          <w:b/>
          <w:kern w:val="0"/>
          <w:szCs w:val="28"/>
        </w:rPr>
        <w:t>分，</w:t>
      </w:r>
      <w:r>
        <w:rPr>
          <w:rFonts w:hint="eastAsia" w:ascii="仿宋_GB2312" w:hAnsi="仿宋" w:cs="宋体"/>
          <w:b/>
          <w:kern w:val="0"/>
          <w:szCs w:val="28"/>
          <w:lang w:val="en-US" w:eastAsia="zh-CN"/>
        </w:rPr>
        <w:t>得分17.88分。</w:t>
      </w:r>
    </w:p>
    <w:p w14:paraId="7EA43CD4">
      <w:pPr>
        <w:pStyle w:val="3"/>
        <w:ind w:firstLine="643"/>
        <w:rPr>
          <w:rFonts w:hint="eastAsia" w:ascii="仿宋" w:hAnsi="仿宋" w:eastAsia="仿宋"/>
          <w:lang w:val="en-US" w:eastAsia="zh-CN" w:bidi="en-US"/>
        </w:rPr>
      </w:pPr>
      <w:bookmarkStart w:id="51" w:name="_Toc165277253"/>
      <w:bookmarkStart w:id="52" w:name="_Toc67911615"/>
      <w:r>
        <w:rPr>
          <w:rFonts w:hint="eastAsia" w:ascii="仿宋" w:hAnsi="仿宋" w:eastAsia="仿宋"/>
          <w:lang w:bidi="en-US"/>
        </w:rPr>
        <w:t>（四）项目效益情况</w:t>
      </w:r>
      <w:bookmarkEnd w:id="51"/>
      <w:bookmarkEnd w:id="52"/>
      <w:r>
        <w:rPr>
          <w:rFonts w:hint="eastAsia" w:ascii="仿宋" w:hAnsi="仿宋" w:eastAsia="仿宋"/>
          <w:lang w:val="en-US" w:eastAsia="zh-CN" w:bidi="en-US"/>
        </w:rPr>
        <w:tab/>
      </w:r>
    </w:p>
    <w:p w14:paraId="14B64CE0">
      <w:pPr>
        <w:spacing w:line="360" w:lineRule="auto"/>
        <w:ind w:firstLine="560"/>
        <w:rPr>
          <w:rFonts w:ascii="仿宋_GB2312"/>
          <w:szCs w:val="28"/>
        </w:rPr>
      </w:pPr>
      <w:r>
        <w:rPr>
          <w:rFonts w:hint="eastAsia" w:ascii="仿宋_GB2312"/>
          <w:szCs w:val="28"/>
        </w:rPr>
        <w:t>项目效益指标由</w:t>
      </w:r>
      <w:r>
        <w:rPr>
          <w:rFonts w:hint="eastAsia" w:ascii="仿宋_GB2312"/>
          <w:szCs w:val="28"/>
          <w:lang w:val="en-US" w:eastAsia="zh-CN"/>
        </w:rPr>
        <w:t>2</w:t>
      </w:r>
      <w:r>
        <w:rPr>
          <w:rFonts w:hint="eastAsia" w:ascii="仿宋_GB2312"/>
          <w:szCs w:val="28"/>
        </w:rPr>
        <w:t>个二级指标和</w:t>
      </w:r>
      <w:r>
        <w:rPr>
          <w:rFonts w:hint="eastAsia" w:ascii="仿宋_GB2312"/>
          <w:szCs w:val="28"/>
          <w:lang w:val="en-US" w:eastAsia="zh-CN"/>
        </w:rPr>
        <w:t>2</w:t>
      </w:r>
      <w:r>
        <w:rPr>
          <w:rFonts w:hint="eastAsia" w:ascii="仿宋_GB2312"/>
          <w:szCs w:val="28"/>
        </w:rPr>
        <w:t>个三级指标构成，权重为</w:t>
      </w:r>
      <w:r>
        <w:rPr>
          <w:rFonts w:hint="eastAsia" w:ascii="仿宋_GB2312"/>
          <w:szCs w:val="28"/>
          <w:lang w:val="en-US" w:eastAsia="zh-CN"/>
        </w:rPr>
        <w:t>20</w:t>
      </w:r>
      <w:r>
        <w:rPr>
          <w:rFonts w:hint="eastAsia" w:ascii="仿宋_GB2312"/>
          <w:szCs w:val="28"/>
        </w:rPr>
        <w:t>分，实际得分</w:t>
      </w:r>
      <w:r>
        <w:rPr>
          <w:rFonts w:hint="eastAsia" w:ascii="仿宋_GB2312"/>
          <w:szCs w:val="28"/>
          <w:lang w:val="en-US" w:eastAsia="zh-CN"/>
        </w:rPr>
        <w:t>20</w:t>
      </w:r>
      <w:r>
        <w:rPr>
          <w:rFonts w:hint="eastAsia" w:ascii="仿宋_GB2312"/>
          <w:szCs w:val="28"/>
        </w:rPr>
        <w:t>分。</w:t>
      </w:r>
      <w:r>
        <w:rPr>
          <w:rFonts w:ascii="仿宋_GB2312"/>
          <w:szCs w:val="28"/>
        </w:rPr>
        <w:t xml:space="preserve"> </w:t>
      </w:r>
    </w:p>
    <w:p w14:paraId="1992A7C5">
      <w:pPr>
        <w:pStyle w:val="4"/>
        <w:ind w:firstLine="643"/>
      </w:pPr>
      <w:bookmarkStart w:id="53" w:name="_Toc165277254"/>
      <w:r>
        <w:rPr>
          <w:rFonts w:hint="eastAsia"/>
        </w:rPr>
        <w:t>1</w:t>
      </w:r>
      <w:r>
        <w:t>.</w:t>
      </w:r>
      <w:r>
        <w:rPr>
          <w:rFonts w:hint="eastAsia"/>
        </w:rPr>
        <w:t>项目效益</w:t>
      </w:r>
      <w:bookmarkEnd w:id="53"/>
    </w:p>
    <w:p w14:paraId="62F5B2D2">
      <w:pPr>
        <w:spacing w:line="360" w:lineRule="auto"/>
        <w:ind w:firstLine="562"/>
        <w:rPr>
          <w:rFonts w:ascii="仿宋_GB2312"/>
          <w:b/>
          <w:bCs/>
          <w:szCs w:val="28"/>
        </w:rPr>
      </w:pPr>
      <w:r>
        <w:rPr>
          <w:rFonts w:hint="eastAsia" w:ascii="仿宋_GB2312"/>
          <w:b/>
          <w:bCs/>
          <w:szCs w:val="28"/>
        </w:rPr>
        <w:t>（1）实施效益</w:t>
      </w:r>
    </w:p>
    <w:p w14:paraId="78EB8B83">
      <w:pPr>
        <w:spacing w:line="360" w:lineRule="auto"/>
        <w:ind w:firstLine="562"/>
        <w:rPr>
          <w:rFonts w:ascii="仿宋_GB2312"/>
          <w:szCs w:val="28"/>
        </w:rPr>
      </w:pPr>
      <w:r>
        <w:rPr>
          <w:rFonts w:hint="eastAsia" w:ascii="仿宋_GB2312"/>
          <w:b/>
          <w:bCs/>
          <w:szCs w:val="28"/>
        </w:rPr>
        <w:t>经济效益指标：</w:t>
      </w:r>
      <w:r>
        <w:rPr>
          <w:rFonts w:hint="eastAsia" w:ascii="仿宋_GB2312"/>
          <w:szCs w:val="28"/>
        </w:rPr>
        <w:t>不适用。</w:t>
      </w:r>
      <w:r>
        <w:rPr>
          <w:rFonts w:ascii="仿宋_GB2312"/>
          <w:szCs w:val="28"/>
        </w:rPr>
        <w:t xml:space="preserve"> </w:t>
      </w:r>
    </w:p>
    <w:p w14:paraId="1FA8E968">
      <w:pPr>
        <w:spacing w:line="360" w:lineRule="auto"/>
        <w:ind w:firstLine="562"/>
        <w:rPr>
          <w:rFonts w:hint="eastAsia" w:ascii="仿宋_GB2312"/>
          <w:szCs w:val="28"/>
        </w:rPr>
      </w:pPr>
      <w:r>
        <w:rPr>
          <w:rFonts w:hint="eastAsia" w:ascii="仿宋_GB2312"/>
          <w:b/>
          <w:bCs/>
          <w:szCs w:val="28"/>
        </w:rPr>
        <w:t>社会效益指标</w:t>
      </w:r>
      <w:r>
        <w:rPr>
          <w:rFonts w:hint="eastAsia" w:ascii="仿宋_GB2312"/>
          <w:szCs w:val="28"/>
        </w:rPr>
        <w:t>：评价指标“保障临床用血需求”，指标值：有效保障，实际完成值：有效保障</w:t>
      </w:r>
      <w:r>
        <w:rPr>
          <w:rFonts w:hint="eastAsia" w:ascii="仿宋_GB2312"/>
          <w:szCs w:val="28"/>
          <w:lang w:eastAsia="zh-CN"/>
        </w:rPr>
        <w:t>，</w:t>
      </w:r>
      <w:r>
        <w:rPr>
          <w:rFonts w:hint="eastAsia" w:ascii="仿宋_GB2312"/>
          <w:szCs w:val="28"/>
        </w:rPr>
        <w:t>达成年度指标。本项目的实施</w:t>
      </w:r>
      <w:r>
        <w:rPr>
          <w:rFonts w:hint="eastAsia" w:ascii="仿宋_GB2312"/>
          <w:szCs w:val="28"/>
          <w:lang w:val="en-US" w:eastAsia="zh-CN"/>
        </w:rPr>
        <w:t>有效</w:t>
      </w:r>
      <w:r>
        <w:rPr>
          <w:rFonts w:hint="eastAsia" w:ascii="仿宋_GB2312"/>
          <w:szCs w:val="28"/>
        </w:rPr>
        <w:t>保障了采供血业务的正常运行，保障了采供血工作中采集、检验、存储、办公、照明正常运行，满足了正常工作的需求。确保了我区血液质量安全。满足了临床用血的需求，确保了患者血液治疗的及时性和有效性。进一步做好献血者的关爱、献血者服务，扩大了献血者队伍，为临床提供了安全有效的血液。完成了2023年血液调剂及支付工作制备各类血液成分，满足了临床所需；提高了血液安全性，避免了血液污染，避免了经血传播疾病。满足了正常采供血工作的需求。</w:t>
      </w:r>
    </w:p>
    <w:p w14:paraId="2DE8BC73">
      <w:pPr>
        <w:spacing w:line="360" w:lineRule="auto"/>
        <w:ind w:firstLine="562"/>
        <w:rPr>
          <w:rFonts w:ascii="仿宋_GB2312"/>
          <w:szCs w:val="28"/>
        </w:rPr>
      </w:pPr>
      <w:r>
        <w:rPr>
          <w:rFonts w:hint="eastAsia" w:ascii="仿宋_GB2312"/>
          <w:b/>
          <w:bCs/>
          <w:szCs w:val="28"/>
        </w:rPr>
        <w:t>生态效益指标</w:t>
      </w:r>
      <w:r>
        <w:rPr>
          <w:rFonts w:hint="eastAsia" w:ascii="仿宋_GB2312"/>
          <w:szCs w:val="28"/>
        </w:rPr>
        <w:t>：不适用。</w:t>
      </w:r>
    </w:p>
    <w:p w14:paraId="79371549">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hint="eastAsia" w:ascii="仿宋_GB2312" w:hAnsi="仿宋" w:cs="宋体"/>
          <w:b/>
          <w:kern w:val="0"/>
          <w:szCs w:val="28"/>
          <w:lang w:val="en-US" w:eastAsia="zh-CN"/>
        </w:rPr>
        <w:t>10</w:t>
      </w:r>
      <w:r>
        <w:rPr>
          <w:rFonts w:hint="eastAsia" w:ascii="仿宋_GB2312" w:hAnsi="仿宋" w:cs="宋体"/>
          <w:b/>
          <w:kern w:val="0"/>
          <w:szCs w:val="28"/>
        </w:rPr>
        <w:t>分，得分</w:t>
      </w:r>
      <w:r>
        <w:rPr>
          <w:rFonts w:hint="eastAsia" w:ascii="仿宋_GB2312" w:hAnsi="仿宋" w:cs="宋体"/>
          <w:b/>
          <w:kern w:val="0"/>
          <w:szCs w:val="28"/>
          <w:lang w:val="en-US" w:eastAsia="zh-CN"/>
        </w:rPr>
        <w:t>10</w:t>
      </w:r>
      <w:r>
        <w:rPr>
          <w:rFonts w:hint="eastAsia" w:ascii="仿宋_GB2312" w:hAnsi="仿宋" w:cs="宋体"/>
          <w:b/>
          <w:kern w:val="0"/>
          <w:szCs w:val="28"/>
        </w:rPr>
        <w:t>分。</w:t>
      </w:r>
    </w:p>
    <w:p w14:paraId="3B15AAE4">
      <w:pPr>
        <w:pStyle w:val="4"/>
        <w:ind w:firstLine="643"/>
      </w:pPr>
      <w:bookmarkStart w:id="54" w:name="_Toc165277255"/>
      <w:r>
        <w:t>2. 满意度指标完成情况分析</w:t>
      </w:r>
      <w:bookmarkEnd w:id="54"/>
    </w:p>
    <w:p w14:paraId="23491C4D">
      <w:pPr>
        <w:spacing w:line="360" w:lineRule="auto"/>
        <w:ind w:firstLine="562"/>
        <w:rPr>
          <w:rFonts w:ascii="仿宋_GB2312"/>
          <w:b/>
          <w:bCs/>
          <w:szCs w:val="28"/>
        </w:rPr>
      </w:pPr>
      <w:r>
        <w:rPr>
          <w:rFonts w:hint="eastAsia" w:ascii="仿宋_GB2312"/>
          <w:b/>
          <w:bCs/>
          <w:szCs w:val="28"/>
        </w:rPr>
        <w:t>（</w:t>
      </w:r>
      <w:r>
        <w:rPr>
          <w:rFonts w:ascii="仿宋_GB2312"/>
          <w:b/>
          <w:bCs/>
          <w:szCs w:val="28"/>
        </w:rPr>
        <w:t>1</w:t>
      </w:r>
      <w:r>
        <w:rPr>
          <w:rFonts w:hint="eastAsia" w:ascii="仿宋_GB2312"/>
          <w:b/>
          <w:bCs/>
          <w:szCs w:val="28"/>
        </w:rPr>
        <w:t>）满意度指标</w:t>
      </w:r>
    </w:p>
    <w:p w14:paraId="75282720">
      <w:pPr>
        <w:spacing w:line="360" w:lineRule="auto"/>
        <w:ind w:firstLine="562"/>
        <w:rPr>
          <w:rFonts w:ascii="仿宋_GB2312"/>
          <w:szCs w:val="28"/>
        </w:rPr>
      </w:pPr>
      <w:r>
        <w:rPr>
          <w:rFonts w:hint="eastAsia" w:ascii="仿宋_GB2312"/>
          <w:b/>
          <w:bCs/>
          <w:szCs w:val="28"/>
        </w:rPr>
        <w:t>群众满意度：</w:t>
      </w:r>
      <w:r>
        <w:rPr>
          <w:rFonts w:hint="eastAsia" w:ascii="仿宋_GB2312"/>
          <w:szCs w:val="28"/>
        </w:rPr>
        <w:t>评价指标“献血者满意度”，指标值：</w:t>
      </w:r>
      <w:r>
        <w:rPr>
          <w:rFonts w:hint="eastAsia" w:ascii="华文宋体" w:hAnsi="华文宋体" w:eastAsia="华文宋体"/>
          <w:szCs w:val="28"/>
        </w:rPr>
        <w:t>≥</w:t>
      </w:r>
      <w:r>
        <w:rPr>
          <w:rFonts w:hint="eastAsia" w:ascii="仿宋_GB2312" w:eastAsia="华文宋体"/>
          <w:szCs w:val="28"/>
          <w:lang w:val="en-US" w:eastAsia="zh-CN"/>
        </w:rPr>
        <w:t>95</w:t>
      </w:r>
      <w:r>
        <w:rPr>
          <w:rFonts w:hint="eastAsia" w:ascii="仿宋_GB2312"/>
          <w:szCs w:val="28"/>
        </w:rPr>
        <w:t>%，实际完成值：</w:t>
      </w:r>
      <w:r>
        <w:rPr>
          <w:rFonts w:hint="eastAsia" w:ascii="华文宋体" w:hAnsi="华文宋体" w:eastAsia="华文宋体"/>
          <w:szCs w:val="28"/>
          <w:lang w:val="en-US" w:eastAsia="zh-CN"/>
        </w:rPr>
        <w:t>=</w:t>
      </w:r>
      <w:r>
        <w:rPr>
          <w:rFonts w:hint="eastAsia" w:ascii="仿宋_GB2312" w:eastAsia="华文宋体"/>
          <w:szCs w:val="28"/>
          <w:lang w:val="en-US" w:eastAsia="zh-CN"/>
        </w:rPr>
        <w:t>97</w:t>
      </w:r>
      <w:r>
        <w:rPr>
          <w:rFonts w:hint="eastAsia" w:ascii="仿宋_GB2312"/>
          <w:szCs w:val="28"/>
        </w:rPr>
        <w:t>%。通过设置问卷调查的方式进行考评评价，因202</w:t>
      </w:r>
      <w:r>
        <w:rPr>
          <w:rFonts w:hint="eastAsia" w:ascii="仿宋_GB2312"/>
          <w:szCs w:val="28"/>
          <w:lang w:val="en-US" w:eastAsia="zh-CN"/>
        </w:rPr>
        <w:t>3</w:t>
      </w:r>
      <w:r>
        <w:rPr>
          <w:rFonts w:hint="eastAsia" w:ascii="仿宋_GB2312"/>
          <w:szCs w:val="28"/>
        </w:rPr>
        <w:t>年在国家满意度平台上进行测评，只能看到测评人次，无法看到测评结果，我单位又单独进行了问卷调查工作，采取抽样调查的方式，通过设置问卷调查的方式进行考评评价，共计调查样本总量为</w:t>
      </w:r>
      <w:r>
        <w:rPr>
          <w:rFonts w:hint="eastAsia" w:ascii="仿宋_GB2312"/>
          <w:szCs w:val="28"/>
          <w:lang w:val="en-US" w:eastAsia="zh-CN"/>
        </w:rPr>
        <w:t>20</w:t>
      </w:r>
      <w:r>
        <w:rPr>
          <w:rFonts w:hint="eastAsia" w:ascii="仿宋_GB2312"/>
          <w:szCs w:val="28"/>
        </w:rPr>
        <w:t>个样本，有效调查问卷</w:t>
      </w:r>
      <w:r>
        <w:rPr>
          <w:rFonts w:hint="eastAsia" w:ascii="仿宋_GB2312"/>
          <w:szCs w:val="28"/>
          <w:lang w:val="en-US" w:eastAsia="zh-CN"/>
        </w:rPr>
        <w:t>20</w:t>
      </w:r>
      <w:r>
        <w:rPr>
          <w:rFonts w:hint="eastAsia" w:ascii="仿宋_GB2312"/>
          <w:szCs w:val="28"/>
        </w:rPr>
        <w:t>份。其中，统计“献血者满意度”的平均值为</w:t>
      </w:r>
      <w:r>
        <w:rPr>
          <w:rFonts w:hint="eastAsia" w:ascii="仿宋_GB2312"/>
          <w:szCs w:val="28"/>
          <w:lang w:val="en-US" w:eastAsia="zh-CN"/>
        </w:rPr>
        <w:t>97</w:t>
      </w:r>
      <w:r>
        <w:rPr>
          <w:rFonts w:hint="eastAsia" w:ascii="仿宋_GB2312"/>
          <w:szCs w:val="28"/>
        </w:rPr>
        <w:t>%。故满意度指标得分为</w:t>
      </w:r>
      <w:r>
        <w:rPr>
          <w:rFonts w:hint="eastAsia" w:ascii="仿宋_GB2312"/>
          <w:szCs w:val="28"/>
          <w:lang w:val="en-US" w:eastAsia="zh-CN"/>
        </w:rPr>
        <w:t>10</w:t>
      </w:r>
      <w:r>
        <w:rPr>
          <w:rFonts w:hint="eastAsia" w:ascii="仿宋_GB2312"/>
          <w:szCs w:val="28"/>
        </w:rPr>
        <w:t>分。</w:t>
      </w:r>
    </w:p>
    <w:p w14:paraId="3AD6C575">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10</w:t>
      </w:r>
      <w:r>
        <w:rPr>
          <w:rFonts w:hint="eastAsia" w:ascii="仿宋_GB2312" w:hAnsi="仿宋" w:cs="宋体"/>
          <w:b/>
          <w:kern w:val="0"/>
          <w:szCs w:val="28"/>
        </w:rPr>
        <w:t>分，得分</w:t>
      </w:r>
      <w:r>
        <w:rPr>
          <w:rFonts w:hint="eastAsia" w:ascii="仿宋_GB2312" w:hAnsi="仿宋" w:cs="宋体"/>
          <w:b/>
          <w:kern w:val="0"/>
          <w:szCs w:val="28"/>
          <w:lang w:val="en-US" w:eastAsia="zh-CN"/>
        </w:rPr>
        <w:t>10</w:t>
      </w:r>
      <w:r>
        <w:rPr>
          <w:rFonts w:hint="eastAsia" w:ascii="仿宋_GB2312" w:hAnsi="仿宋" w:cs="宋体"/>
          <w:b/>
          <w:kern w:val="0"/>
          <w:szCs w:val="28"/>
        </w:rPr>
        <w:t>分。</w:t>
      </w:r>
    </w:p>
    <w:p w14:paraId="49305A9E">
      <w:pPr>
        <w:pStyle w:val="2"/>
        <w:ind w:firstLine="0" w:firstLineChars="0"/>
        <w:jc w:val="left"/>
        <w:rPr>
          <w:rFonts w:ascii="仿宋" w:hAnsi="仿宋" w:eastAsia="仿宋"/>
          <w:sz w:val="36"/>
          <w:szCs w:val="36"/>
          <w:lang w:bidi="en-US"/>
        </w:rPr>
      </w:pPr>
      <w:bookmarkStart w:id="55" w:name="_Toc67911617"/>
      <w:bookmarkStart w:id="56" w:name="_Toc165277256"/>
      <w:r>
        <w:rPr>
          <w:rFonts w:hint="eastAsia" w:ascii="仿宋" w:hAnsi="仿宋" w:eastAsia="仿宋"/>
          <w:sz w:val="36"/>
          <w:szCs w:val="36"/>
          <w:lang w:bidi="en-US"/>
        </w:rPr>
        <w:t>五、主要经验及做法、存在的问题及原因分析</w:t>
      </w:r>
      <w:bookmarkEnd w:id="55"/>
      <w:bookmarkEnd w:id="56"/>
    </w:p>
    <w:p w14:paraId="00895834">
      <w:pPr>
        <w:pStyle w:val="3"/>
        <w:ind w:firstLine="643"/>
        <w:rPr>
          <w:rFonts w:ascii="仿宋" w:hAnsi="仿宋" w:eastAsia="仿宋"/>
          <w:lang w:bidi="en-US"/>
        </w:rPr>
      </w:pPr>
      <w:bookmarkStart w:id="57" w:name="_Toc67911618"/>
      <w:bookmarkStart w:id="58" w:name="_Toc165277257"/>
      <w:r>
        <w:rPr>
          <w:rFonts w:hint="eastAsia" w:ascii="仿宋" w:hAnsi="仿宋" w:eastAsia="仿宋"/>
          <w:lang w:bidi="en-US"/>
        </w:rPr>
        <w:t>（一）主要经验及做法</w:t>
      </w:r>
      <w:bookmarkEnd w:id="57"/>
      <w:bookmarkEnd w:id="58"/>
    </w:p>
    <w:p w14:paraId="076EB0CB">
      <w:pPr>
        <w:spacing w:line="540" w:lineRule="exact"/>
        <w:ind w:firstLine="567"/>
        <w:rPr>
          <w:rFonts w:hint="eastAsia" w:ascii="仿宋_GB2312"/>
          <w:szCs w:val="28"/>
        </w:rPr>
      </w:pPr>
      <w:bookmarkStart w:id="59" w:name="_Toc165277258"/>
      <w:r>
        <w:rPr>
          <w:rFonts w:hint="eastAsia" w:ascii="仿宋_GB2312" w:hAnsi="仿宋" w:cs="宋体"/>
          <w:b/>
          <w:kern w:val="0"/>
          <w:szCs w:val="28"/>
        </w:rPr>
        <w:t>1.</w:t>
      </w:r>
      <w:r>
        <w:rPr>
          <w:rFonts w:hint="eastAsia" w:ascii="仿宋_GB2312"/>
          <w:szCs w:val="28"/>
        </w:rPr>
        <w:t>项目立项符合法律法规、相关政策、发展规划以及部门职责，立项程序要规范，预算额度测算依据要充分，资金分配额度要合理，严格按照文件规定的支出功能分类科目，支出经济分类科目执行资金，做到专款专用，同时加快项目执行进度。做好绩效全过程监督，保证项目顺利完成。</w:t>
      </w:r>
    </w:p>
    <w:p w14:paraId="2877F483">
      <w:pPr>
        <w:spacing w:line="540" w:lineRule="exact"/>
        <w:ind w:firstLine="567"/>
        <w:rPr>
          <w:rFonts w:hint="eastAsia" w:ascii="仿宋_GB2312"/>
          <w:szCs w:val="28"/>
        </w:rPr>
      </w:pPr>
      <w:r>
        <w:rPr>
          <w:rStyle w:val="18"/>
          <w:rFonts w:hint="eastAsia" w:ascii="Times New Roman" w:hAnsi="Times New Roman" w:eastAsia="楷体"/>
          <w:b w:val="0"/>
          <w:bCs w:val="0"/>
          <w:spacing w:val="-4"/>
          <w:sz w:val="32"/>
          <w:szCs w:val="32"/>
        </w:rPr>
        <w:t>2.</w:t>
      </w:r>
      <w:r>
        <w:rPr>
          <w:rFonts w:hint="eastAsia" w:ascii="仿宋_GB2312"/>
          <w:szCs w:val="28"/>
        </w:rPr>
        <w:t>加强领导，落实责任，明确各部门的工作职责。确保项目建设中存在的问题得到及时解决。</w:t>
      </w:r>
    </w:p>
    <w:p w14:paraId="038BA9FC">
      <w:pPr>
        <w:spacing w:line="540" w:lineRule="exact"/>
        <w:ind w:firstLine="567"/>
        <w:rPr>
          <w:rFonts w:hint="eastAsia" w:ascii="仿宋_GB2312"/>
          <w:szCs w:val="28"/>
          <w:lang w:val="en-US" w:eastAsia="zh-CN"/>
        </w:rPr>
      </w:pPr>
      <w:r>
        <w:rPr>
          <w:rStyle w:val="18"/>
          <w:rFonts w:hint="eastAsia" w:ascii="Times New Roman" w:hAnsi="Times New Roman" w:eastAsia="楷体"/>
          <w:b w:val="0"/>
          <w:bCs w:val="0"/>
          <w:spacing w:val="-4"/>
          <w:sz w:val="32"/>
          <w:szCs w:val="32"/>
        </w:rPr>
        <w:t>3.</w:t>
      </w:r>
      <w:r>
        <w:rPr>
          <w:rFonts w:hint="eastAsia" w:ascii="仿宋_GB2312"/>
          <w:szCs w:val="28"/>
        </w:rPr>
        <w:t>落实资金问题，严格程序，确保资金效益。项目建设坚持层层审批原则，做到操作程序规范，严格按照上级审批项目建设规模等相关要求开展工作，并严格按照资金使用的相关管理要求执行，严格资金使用范围，保证项目资金专款专用。杜绝截留、挪用、滞留、浪费资金等现象的发生，确保资金使用安全和最大效益的发挥。</w:t>
      </w:r>
    </w:p>
    <w:p w14:paraId="779DAA48">
      <w:pPr>
        <w:pStyle w:val="3"/>
        <w:ind w:firstLine="643"/>
        <w:rPr>
          <w:rFonts w:ascii="仿宋" w:hAnsi="仿宋" w:eastAsia="仿宋"/>
          <w:lang w:bidi="en-US"/>
        </w:rPr>
      </w:pPr>
      <w:r>
        <w:rPr>
          <w:rFonts w:hint="eastAsia" w:ascii="仿宋" w:hAnsi="仿宋" w:eastAsia="仿宋"/>
          <w:lang w:bidi="en-US"/>
        </w:rPr>
        <w:t>（二）存在的问题及原因分析</w:t>
      </w:r>
      <w:bookmarkEnd w:id="59"/>
    </w:p>
    <w:p w14:paraId="557A9635">
      <w:pPr>
        <w:spacing w:line="360" w:lineRule="auto"/>
        <w:ind w:firstLine="840" w:firstLineChars="300"/>
        <w:rPr>
          <w:rFonts w:hint="eastAsia" w:ascii="仿宋_GB2312" w:hAnsi="仿宋" w:eastAsia="仿宋_GB2312" w:cs="宋体"/>
          <w:kern w:val="0"/>
          <w:szCs w:val="28"/>
          <w:lang w:eastAsia="zh-CN"/>
        </w:rPr>
      </w:pPr>
      <w:r>
        <w:rPr>
          <w:rFonts w:hint="eastAsia" w:ascii="仿宋_GB2312" w:hAnsi="仿宋" w:cs="宋体"/>
          <w:kern w:val="0"/>
          <w:szCs w:val="28"/>
        </w:rPr>
        <w:t>项目绩效评价，财务仅了解资金到位及支付情况，具体项目实施及进展不太了解，需消耗很长时间了解项目整体情况，所以填报评价报告时有一定难度，需与业务科室详细沟通后才能填写评价报告。</w:t>
      </w:r>
    </w:p>
    <w:p w14:paraId="414777D4">
      <w:pPr>
        <w:pStyle w:val="2"/>
        <w:numPr>
          <w:ilvl w:val="0"/>
          <w:numId w:val="1"/>
        </w:numPr>
        <w:ind w:firstLine="0" w:firstLineChars="0"/>
        <w:jc w:val="left"/>
        <w:rPr>
          <w:rFonts w:ascii="仿宋" w:hAnsi="仿宋" w:eastAsia="仿宋"/>
          <w:sz w:val="36"/>
          <w:szCs w:val="36"/>
          <w:lang w:bidi="en-US"/>
        </w:rPr>
      </w:pPr>
      <w:bookmarkStart w:id="60" w:name="_Toc67911620"/>
      <w:bookmarkStart w:id="61" w:name="_Toc165277259"/>
      <w:bookmarkStart w:id="62" w:name="_Toc67911619"/>
      <w:r>
        <w:rPr>
          <w:rFonts w:hint="eastAsia" w:ascii="仿宋" w:hAnsi="仿宋" w:eastAsia="仿宋"/>
          <w:sz w:val="36"/>
          <w:szCs w:val="36"/>
          <w:lang w:bidi="en-US"/>
        </w:rPr>
        <w:t>有关建议</w:t>
      </w:r>
      <w:bookmarkEnd w:id="60"/>
    </w:p>
    <w:bookmarkEnd w:id="61"/>
    <w:p w14:paraId="02582F21">
      <w:pPr>
        <w:spacing w:line="540" w:lineRule="exact"/>
        <w:ind w:firstLine="567"/>
        <w:rPr>
          <w:rFonts w:ascii="仿宋" w:hAnsi="仿宋" w:eastAsia="仿宋"/>
          <w:sz w:val="36"/>
          <w:szCs w:val="36"/>
          <w:lang w:bidi="en-US"/>
        </w:rPr>
      </w:pPr>
      <w:r>
        <w:rPr>
          <w:rFonts w:hint="eastAsia" w:ascii="仿宋_GB2312" w:hAnsi="仿宋" w:cs="宋体"/>
          <w:kern w:val="0"/>
          <w:szCs w:val="28"/>
        </w:rP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14:paraId="44E598EA">
      <w:pPr>
        <w:pStyle w:val="2"/>
        <w:ind w:firstLine="0" w:firstLineChars="0"/>
        <w:jc w:val="left"/>
        <w:rPr>
          <w:rFonts w:ascii="仿宋" w:hAnsi="仿宋" w:eastAsia="仿宋"/>
          <w:sz w:val="36"/>
          <w:szCs w:val="36"/>
          <w:lang w:bidi="en-US"/>
        </w:rPr>
      </w:pPr>
      <w:bookmarkStart w:id="63" w:name="_Toc165277260"/>
      <w:r>
        <w:rPr>
          <w:rFonts w:hint="eastAsia" w:ascii="仿宋" w:hAnsi="仿宋" w:eastAsia="仿宋"/>
          <w:sz w:val="36"/>
          <w:szCs w:val="36"/>
          <w:lang w:bidi="en-US"/>
        </w:rPr>
        <w:t>七、其他需要说明的问题</w:t>
      </w:r>
      <w:bookmarkEnd w:id="62"/>
      <w:bookmarkEnd w:id="63"/>
    </w:p>
    <w:p w14:paraId="207D1E54">
      <w:pPr>
        <w:spacing w:line="360" w:lineRule="auto"/>
        <w:ind w:firstLine="560"/>
        <w:rPr>
          <w:rFonts w:ascii="仿宋_GB2312"/>
          <w:szCs w:val="28"/>
        </w:rPr>
      </w:pPr>
      <w:r>
        <w:rPr>
          <w:rFonts w:hint="eastAsia" w:ascii="仿宋_GB2312"/>
          <w:szCs w:val="28"/>
        </w:rPr>
        <w:t>1</w:t>
      </w:r>
      <w:r>
        <w:rPr>
          <w:rFonts w:ascii="仿宋_GB2312"/>
          <w:szCs w:val="28"/>
        </w:rPr>
        <w:t>.</w:t>
      </w:r>
      <w:r>
        <w:rPr>
          <w:rFonts w:hint="eastAsia" w:ascii="仿宋_GB2312"/>
          <w:szCs w:val="28"/>
        </w:rPr>
        <w:t>项目支出政策和路径设计科学，符合实际需要；</w:t>
      </w:r>
    </w:p>
    <w:p w14:paraId="59F093A2">
      <w:pPr>
        <w:spacing w:line="360" w:lineRule="auto"/>
        <w:ind w:firstLine="560"/>
        <w:rPr>
          <w:rFonts w:ascii="仿宋_GB2312"/>
          <w:szCs w:val="28"/>
        </w:rPr>
      </w:pPr>
      <w:r>
        <w:rPr>
          <w:rFonts w:ascii="仿宋_GB2312"/>
          <w:szCs w:val="28"/>
        </w:rPr>
        <w:t>2.</w:t>
      </w:r>
      <w:r>
        <w:rPr>
          <w:rFonts w:hint="eastAsia" w:ascii="仿宋_GB2312"/>
          <w:szCs w:val="28"/>
        </w:rPr>
        <w:t>项目安排准确，未发现背离项目立项初衷的情况；</w:t>
      </w:r>
    </w:p>
    <w:p w14:paraId="05EE444F">
      <w:pPr>
        <w:spacing w:line="360" w:lineRule="auto"/>
        <w:ind w:firstLine="560"/>
        <w:rPr>
          <w:rFonts w:ascii="仿宋_GB2312"/>
          <w:szCs w:val="28"/>
        </w:rPr>
      </w:pPr>
      <w:r>
        <w:rPr>
          <w:rFonts w:ascii="仿宋_GB2312"/>
          <w:szCs w:val="28"/>
        </w:rPr>
        <w:t>3.</w:t>
      </w:r>
      <w:r>
        <w:rPr>
          <w:rFonts w:hint="eastAsia" w:ascii="仿宋_GB2312"/>
          <w:szCs w:val="28"/>
        </w:rPr>
        <w:t>项目的申报、审核机制完善；</w:t>
      </w:r>
    </w:p>
    <w:p w14:paraId="6E9B17E5">
      <w:pPr>
        <w:spacing w:line="360" w:lineRule="auto"/>
        <w:ind w:firstLine="560"/>
        <w:rPr>
          <w:rFonts w:ascii="仿宋_GB2312"/>
          <w:szCs w:val="28"/>
        </w:rPr>
      </w:pPr>
      <w:r>
        <w:rPr>
          <w:rFonts w:ascii="仿宋_GB2312"/>
          <w:szCs w:val="28"/>
        </w:rPr>
        <w:t>4.</w:t>
      </w:r>
      <w:r>
        <w:rPr>
          <w:rFonts w:hint="eastAsia" w:ascii="仿宋_GB2312"/>
          <w:szCs w:val="28"/>
        </w:rPr>
        <w:t>未发现虚假行为和骗取财政资金的问题。</w:t>
      </w:r>
    </w:p>
    <w:p w14:paraId="0C1D392E">
      <w:pPr>
        <w:spacing w:line="360" w:lineRule="auto"/>
        <w:ind w:firstLine="560"/>
        <w:rPr>
          <w:rFonts w:ascii="仿宋_GB2312"/>
          <w:szCs w:val="28"/>
        </w:rPr>
      </w:pPr>
    </w:p>
    <w:sectPr>
      <w:headerReference r:id="rId13" w:type="default"/>
      <w:footerReference r:id="rId14"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Gungsuh">
    <w:altName w:val="Malgun Gothic"/>
    <w:panose1 w:val="02030600000101010101"/>
    <w:charset w:val="81"/>
    <w:family w:val="roman"/>
    <w:pitch w:val="default"/>
    <w:sig w:usb0="00000000" w:usb1="00000000" w:usb2="00000030" w:usb3="00000000" w:csb0="4008009F" w:csb1="DFD70000"/>
  </w:font>
  <w:font w:name="华文宋体">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C0C256">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BD50A2">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3F68B9">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docPartObj>
        <w:docPartGallery w:val="autotext"/>
      </w:docPartObj>
    </w:sdtPr>
    <w:sdtEndPr>
      <w:rPr>
        <w:rFonts w:hint="eastAsia" w:ascii="仿宋_GB2312" w:eastAsia="仿宋_GB2312"/>
        <w:sz w:val="21"/>
        <w:szCs w:val="21"/>
      </w:rPr>
    </w:sdtEndPr>
    <w:sdtContent>
      <w:p w14:paraId="3650E0C3">
        <w:pPr>
          <w:pStyle w:val="9"/>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w:t>
        </w:r>
        <w:r>
          <w:rPr>
            <w:rFonts w:hint="eastAsia" w:ascii="仿宋_GB2312" w:eastAsia="仿宋_GB2312"/>
            <w:sz w:val="21"/>
            <w:szCs w:val="21"/>
          </w:rPr>
          <w:fldChar w:fldCharType="end"/>
        </w:r>
      </w:p>
    </w:sdtContent>
  </w:sdt>
  <w:p w14:paraId="041B78C2">
    <w:pPr>
      <w:pStyle w:val="9"/>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docPartObj>
        <w:docPartGallery w:val="autotext"/>
      </w:docPartObj>
    </w:sdtPr>
    <w:sdtEndPr>
      <w:rPr>
        <w:rFonts w:hint="eastAsia" w:ascii="仿宋_GB2312" w:eastAsia="仿宋_GB2312"/>
        <w:sz w:val="21"/>
        <w:szCs w:val="21"/>
      </w:rPr>
    </w:sdtEndPr>
    <w:sdtContent>
      <w:p w14:paraId="31D2C233">
        <w:pPr>
          <w:pStyle w:val="9"/>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16</w:t>
        </w:r>
        <w:r>
          <w:rPr>
            <w:rFonts w:hint="eastAsia" w:ascii="仿宋_GB2312" w:eastAsia="仿宋_GB2312"/>
            <w:sz w:val="21"/>
            <w:szCs w:val="21"/>
          </w:rPr>
          <w:fldChar w:fldCharType="end"/>
        </w:r>
      </w:p>
    </w:sdtContent>
  </w:sdt>
  <w:p w14:paraId="00B372D8">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14:paraId="0BF12B43">
      <w:pPr>
        <w:pStyle w:val="12"/>
        <w:ind w:firstLine="0" w:firstLineChars="0"/>
        <w:jc w:val="both"/>
        <w:rPr>
          <w:rFonts w:ascii="仿宋_GB2312"/>
        </w:rPr>
      </w:pPr>
      <w:r>
        <w:rPr>
          <w:rStyle w:val="21"/>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14:paraId="51C33F32">
      <w:pPr>
        <w:pStyle w:val="12"/>
        <w:ind w:firstLine="0" w:firstLineChars="0"/>
        <w:jc w:val="both"/>
        <w:rPr>
          <w:rFonts w:ascii="仿宋_GB2312"/>
        </w:rPr>
      </w:pPr>
      <w:r>
        <w:rPr>
          <w:rFonts w:hint="eastAsia" w:ascii="仿宋_GB2312"/>
        </w:rPr>
        <w:t>本次绩效评价结果实施百分制和四级分类，其中90（含）-100分为优、80（含）-90分为良、</w:t>
      </w:r>
      <w:r>
        <w:rPr>
          <w:rFonts w:ascii="仿宋_GB2312"/>
        </w:rPr>
        <w:t>7</w:t>
      </w:r>
      <w:r>
        <w:rPr>
          <w:rFonts w:hint="eastAsia" w:ascii="仿宋_GB2312"/>
        </w:rPr>
        <w:t>0（含）-80分为中、</w:t>
      </w:r>
      <w:r>
        <w:rPr>
          <w:rFonts w:ascii="仿宋_GB2312"/>
        </w:rPr>
        <w:t>7</w:t>
      </w:r>
      <w:r>
        <w:rPr>
          <w:rFonts w:hint="eastAsia" w:ascii="仿宋_GB2312"/>
        </w:rPr>
        <w:t>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5B3B4D">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76E828">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DAEF96">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6CF0DF">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70A9F3">
    <w:pPr>
      <w:pStyle w:val="10"/>
      <w:ind w:firstLine="560"/>
      <w:jc w:val="right"/>
      <w:rPr>
        <w:rFonts w:ascii="仿宋_GB2312" w:eastAsia="仿宋_GB2312"/>
        <w:sz w:val="21"/>
        <w:szCs w:val="21"/>
      </w:rPr>
    </w:pPr>
    <w:r>
      <w:rPr>
        <w:rFonts w:hint="eastAsia" w:ascii="仿宋_GB2312" w:eastAsia="仿宋_GB2312"/>
        <w:sz w:val="21"/>
        <w:szCs w:val="21"/>
      </w:rPr>
      <w:t>部门项目报告模板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7CC93D"/>
    <w:multiLevelType w:val="singleLevel"/>
    <w:tmpl w:val="997CC93D"/>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doNotDisplayPageBoundaries w:val="1"/>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hZWFiYWQ4ODczNDIyY2E1NmRkOTljMDE2ZDBhZTgifQ=="/>
  </w:docVars>
  <w:rsids>
    <w:rsidRoot w:val="00A43A0A"/>
    <w:rsid w:val="00031A7F"/>
    <w:rsid w:val="00042151"/>
    <w:rsid w:val="000438A0"/>
    <w:rsid w:val="0007002C"/>
    <w:rsid w:val="00071C0F"/>
    <w:rsid w:val="00086724"/>
    <w:rsid w:val="000A2B58"/>
    <w:rsid w:val="000A43E8"/>
    <w:rsid w:val="000B520E"/>
    <w:rsid w:val="000B6FA0"/>
    <w:rsid w:val="000C22A1"/>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2817"/>
    <w:rsid w:val="00213964"/>
    <w:rsid w:val="00220DC6"/>
    <w:rsid w:val="0022245F"/>
    <w:rsid w:val="0022294C"/>
    <w:rsid w:val="00225A82"/>
    <w:rsid w:val="00247354"/>
    <w:rsid w:val="00250131"/>
    <w:rsid w:val="00261F2F"/>
    <w:rsid w:val="00262533"/>
    <w:rsid w:val="00262B75"/>
    <w:rsid w:val="002767C9"/>
    <w:rsid w:val="002810AA"/>
    <w:rsid w:val="002A6E59"/>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611E"/>
    <w:rsid w:val="003D74DE"/>
    <w:rsid w:val="00404C10"/>
    <w:rsid w:val="004249EE"/>
    <w:rsid w:val="00425C1F"/>
    <w:rsid w:val="00437C39"/>
    <w:rsid w:val="00453D4B"/>
    <w:rsid w:val="004925F6"/>
    <w:rsid w:val="004957B3"/>
    <w:rsid w:val="004B12BE"/>
    <w:rsid w:val="004B5A40"/>
    <w:rsid w:val="004D4759"/>
    <w:rsid w:val="004E0DF3"/>
    <w:rsid w:val="004F17C9"/>
    <w:rsid w:val="004F66E9"/>
    <w:rsid w:val="00502EC2"/>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A76A5"/>
    <w:rsid w:val="005B7A28"/>
    <w:rsid w:val="005D02D3"/>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063A"/>
    <w:rsid w:val="00783118"/>
    <w:rsid w:val="00794639"/>
    <w:rsid w:val="007A772C"/>
    <w:rsid w:val="007C3F63"/>
    <w:rsid w:val="007F185A"/>
    <w:rsid w:val="007F6051"/>
    <w:rsid w:val="007F6745"/>
    <w:rsid w:val="007F77F3"/>
    <w:rsid w:val="008123C5"/>
    <w:rsid w:val="00831695"/>
    <w:rsid w:val="008327EB"/>
    <w:rsid w:val="00835535"/>
    <w:rsid w:val="00845BE2"/>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1224"/>
    <w:rsid w:val="009F55B0"/>
    <w:rsid w:val="00A00443"/>
    <w:rsid w:val="00A106CE"/>
    <w:rsid w:val="00A2064E"/>
    <w:rsid w:val="00A22963"/>
    <w:rsid w:val="00A425B1"/>
    <w:rsid w:val="00A43A0A"/>
    <w:rsid w:val="00A52E6C"/>
    <w:rsid w:val="00A52E72"/>
    <w:rsid w:val="00A675F9"/>
    <w:rsid w:val="00A92F9F"/>
    <w:rsid w:val="00AB7184"/>
    <w:rsid w:val="00AC779A"/>
    <w:rsid w:val="00AD5430"/>
    <w:rsid w:val="00AE1DCD"/>
    <w:rsid w:val="00AE6C31"/>
    <w:rsid w:val="00B22F6F"/>
    <w:rsid w:val="00B4167E"/>
    <w:rsid w:val="00B56B1B"/>
    <w:rsid w:val="00B72218"/>
    <w:rsid w:val="00B90BA4"/>
    <w:rsid w:val="00B928FF"/>
    <w:rsid w:val="00B962E0"/>
    <w:rsid w:val="00BA0A35"/>
    <w:rsid w:val="00BA10B1"/>
    <w:rsid w:val="00BA13B7"/>
    <w:rsid w:val="00BA65B8"/>
    <w:rsid w:val="00BA76B5"/>
    <w:rsid w:val="00BC5C63"/>
    <w:rsid w:val="00BD263E"/>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35A3"/>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E20A2"/>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36B7C33"/>
    <w:rsid w:val="072916E2"/>
    <w:rsid w:val="07EB677C"/>
    <w:rsid w:val="0B222C6F"/>
    <w:rsid w:val="0B5709EA"/>
    <w:rsid w:val="0CB25E33"/>
    <w:rsid w:val="0D3B1B72"/>
    <w:rsid w:val="0F50379D"/>
    <w:rsid w:val="0F81546D"/>
    <w:rsid w:val="0FC82D1D"/>
    <w:rsid w:val="112867FE"/>
    <w:rsid w:val="118A115F"/>
    <w:rsid w:val="11E91273"/>
    <w:rsid w:val="18D11FFE"/>
    <w:rsid w:val="19E14AFC"/>
    <w:rsid w:val="19ED6A48"/>
    <w:rsid w:val="1C161B3B"/>
    <w:rsid w:val="1F625AEA"/>
    <w:rsid w:val="207D23F9"/>
    <w:rsid w:val="20D81D57"/>
    <w:rsid w:val="20DA0C08"/>
    <w:rsid w:val="217C52FC"/>
    <w:rsid w:val="25C104B9"/>
    <w:rsid w:val="2CA43435"/>
    <w:rsid w:val="2CF37E31"/>
    <w:rsid w:val="2EAB0DAA"/>
    <w:rsid w:val="33A65CE5"/>
    <w:rsid w:val="35A87AF3"/>
    <w:rsid w:val="37660B99"/>
    <w:rsid w:val="39D20F0C"/>
    <w:rsid w:val="3A674B62"/>
    <w:rsid w:val="3B140EF0"/>
    <w:rsid w:val="3B2E1F26"/>
    <w:rsid w:val="3B5E11C3"/>
    <w:rsid w:val="3DA74B34"/>
    <w:rsid w:val="3FEE6A4A"/>
    <w:rsid w:val="435C016E"/>
    <w:rsid w:val="43FB1735"/>
    <w:rsid w:val="44902CD8"/>
    <w:rsid w:val="4A233794"/>
    <w:rsid w:val="4B9837E5"/>
    <w:rsid w:val="4F5B3B95"/>
    <w:rsid w:val="51801F17"/>
    <w:rsid w:val="52B0705E"/>
    <w:rsid w:val="56C50977"/>
    <w:rsid w:val="5A32213F"/>
    <w:rsid w:val="5B6358A3"/>
    <w:rsid w:val="5B6A7475"/>
    <w:rsid w:val="5F5F6223"/>
    <w:rsid w:val="5F677232"/>
    <w:rsid w:val="616306FE"/>
    <w:rsid w:val="66FA75FB"/>
    <w:rsid w:val="6BA047ED"/>
    <w:rsid w:val="6E8E13D4"/>
    <w:rsid w:val="70B9638D"/>
    <w:rsid w:val="720974D8"/>
    <w:rsid w:val="75172005"/>
    <w:rsid w:val="7657019E"/>
    <w:rsid w:val="79D33FDF"/>
    <w:rsid w:val="7AD7044B"/>
    <w:rsid w:val="7B8E484D"/>
    <w:rsid w:val="7C050476"/>
    <w:rsid w:val="7F372A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unhideWhenUsed/>
    <w:qFormat/>
    <w:uiPriority w:val="9"/>
    <w:pPr>
      <w:keepNext/>
      <w:keepLines/>
      <w:spacing w:before="260" w:after="260" w:line="416" w:lineRule="auto"/>
      <w:outlineLvl w:val="2"/>
    </w:pPr>
    <w:rPr>
      <w:b/>
      <w:bCs/>
      <w:sz w:val="32"/>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1"/>
    <w:unhideWhenUsed/>
    <w:qFormat/>
    <w:uiPriority w:val="99"/>
    <w:pPr>
      <w:jc w:val="left"/>
    </w:pPr>
  </w:style>
  <w:style w:type="paragraph" w:styleId="6">
    <w:name w:val="toc 3"/>
    <w:basedOn w:val="1"/>
    <w:next w:val="1"/>
    <w:unhideWhenUsed/>
    <w:qFormat/>
    <w:uiPriority w:val="39"/>
    <w:pPr>
      <w:ind w:left="840" w:leftChars="400"/>
    </w:pPr>
  </w:style>
  <w:style w:type="paragraph" w:styleId="7">
    <w:name w:val="Date"/>
    <w:basedOn w:val="1"/>
    <w:next w:val="1"/>
    <w:link w:val="24"/>
    <w:semiHidden/>
    <w:unhideWhenUsed/>
    <w:qFormat/>
    <w:uiPriority w:val="99"/>
    <w:pPr>
      <w:ind w:left="100" w:leftChars="2500"/>
    </w:pPr>
  </w:style>
  <w:style w:type="paragraph" w:styleId="8">
    <w:name w:val="Balloon Text"/>
    <w:basedOn w:val="1"/>
    <w:link w:val="33"/>
    <w:semiHidden/>
    <w:unhideWhenUsed/>
    <w:qFormat/>
    <w:uiPriority w:val="99"/>
    <w:rPr>
      <w:sz w:val="18"/>
      <w:szCs w:val="18"/>
    </w:rPr>
  </w:style>
  <w:style w:type="paragraph" w:styleId="9">
    <w:name w:val="footer"/>
    <w:basedOn w:val="1"/>
    <w:link w:val="23"/>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2"/>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style>
  <w:style w:type="paragraph" w:styleId="12">
    <w:name w:val="footnote text"/>
    <w:basedOn w:val="1"/>
    <w:link w:val="26"/>
    <w:semiHidden/>
    <w:unhideWhenUsed/>
    <w:qFormat/>
    <w:uiPriority w:val="99"/>
    <w:pPr>
      <w:snapToGrid w:val="0"/>
      <w:jc w:val="left"/>
    </w:pPr>
    <w:rPr>
      <w:sz w:val="18"/>
      <w:szCs w:val="18"/>
    </w:rPr>
  </w:style>
  <w:style w:type="paragraph" w:styleId="13">
    <w:name w:val="toc 2"/>
    <w:basedOn w:val="1"/>
    <w:next w:val="1"/>
    <w:unhideWhenUsed/>
    <w:qFormat/>
    <w:uiPriority w:val="39"/>
    <w:pPr>
      <w:ind w:left="420" w:leftChars="200"/>
    </w:pPr>
  </w:style>
  <w:style w:type="paragraph" w:styleId="14">
    <w:name w:val="annotation subject"/>
    <w:basedOn w:val="5"/>
    <w:next w:val="5"/>
    <w:link w:val="32"/>
    <w:semiHidden/>
    <w:unhideWhenUsed/>
    <w:qFormat/>
    <w:uiPriority w:val="99"/>
    <w:rPr>
      <w:b/>
      <w:bCs/>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Strong"/>
    <w:basedOn w:val="17"/>
    <w:qFormat/>
    <w:uiPriority w:val="0"/>
    <w:rPr>
      <w:b/>
      <w:bCs/>
    </w:rPr>
  </w:style>
  <w:style w:type="character" w:styleId="19">
    <w:name w:val="Hyperlink"/>
    <w:basedOn w:val="17"/>
    <w:unhideWhenUsed/>
    <w:qFormat/>
    <w:uiPriority w:val="99"/>
    <w:rPr>
      <w:color w:val="0563C1" w:themeColor="hyperlink"/>
      <w:u w:val="single"/>
      <w14:textFill>
        <w14:solidFill>
          <w14:schemeClr w14:val="hlink"/>
        </w14:solidFill>
      </w14:textFill>
    </w:rPr>
  </w:style>
  <w:style w:type="character" w:styleId="20">
    <w:name w:val="annotation reference"/>
    <w:basedOn w:val="17"/>
    <w:semiHidden/>
    <w:unhideWhenUsed/>
    <w:qFormat/>
    <w:uiPriority w:val="99"/>
    <w:rPr>
      <w:sz w:val="21"/>
      <w:szCs w:val="21"/>
    </w:rPr>
  </w:style>
  <w:style w:type="character" w:styleId="21">
    <w:name w:val="footnote reference"/>
    <w:basedOn w:val="17"/>
    <w:semiHidden/>
    <w:unhideWhenUsed/>
    <w:qFormat/>
    <w:uiPriority w:val="99"/>
    <w:rPr>
      <w:vertAlign w:val="superscript"/>
    </w:rPr>
  </w:style>
  <w:style w:type="character" w:customStyle="1" w:styleId="22">
    <w:name w:val="页眉 Char"/>
    <w:basedOn w:val="17"/>
    <w:link w:val="10"/>
    <w:qFormat/>
    <w:uiPriority w:val="99"/>
    <w:rPr>
      <w:sz w:val="18"/>
      <w:szCs w:val="18"/>
    </w:rPr>
  </w:style>
  <w:style w:type="character" w:customStyle="1" w:styleId="23">
    <w:name w:val="页脚 Char"/>
    <w:basedOn w:val="17"/>
    <w:link w:val="9"/>
    <w:qFormat/>
    <w:uiPriority w:val="99"/>
    <w:rPr>
      <w:sz w:val="18"/>
      <w:szCs w:val="18"/>
    </w:rPr>
  </w:style>
  <w:style w:type="character" w:customStyle="1" w:styleId="24">
    <w:name w:val="日期 Char"/>
    <w:basedOn w:val="17"/>
    <w:link w:val="7"/>
    <w:semiHidden/>
    <w:qFormat/>
    <w:uiPriority w:val="99"/>
    <w:rPr>
      <w:rFonts w:ascii="Calibri" w:hAnsi="Calibri" w:eastAsia="仿宋_GB2312" w:cs="黑体"/>
      <w:sz w:val="28"/>
    </w:rPr>
  </w:style>
  <w:style w:type="character" w:customStyle="1" w:styleId="25">
    <w:name w:val="标题 2 Char"/>
    <w:basedOn w:val="17"/>
    <w:link w:val="3"/>
    <w:qFormat/>
    <w:uiPriority w:val="9"/>
    <w:rPr>
      <w:rFonts w:asciiTheme="majorHAnsi" w:hAnsiTheme="majorHAnsi" w:eastAsiaTheme="majorEastAsia" w:cstheme="majorBidi"/>
      <w:b/>
      <w:bCs/>
      <w:sz w:val="32"/>
      <w:szCs w:val="32"/>
    </w:rPr>
  </w:style>
  <w:style w:type="character" w:customStyle="1" w:styleId="26">
    <w:name w:val="脚注文本 Char"/>
    <w:basedOn w:val="17"/>
    <w:link w:val="12"/>
    <w:semiHidden/>
    <w:qFormat/>
    <w:uiPriority w:val="99"/>
    <w:rPr>
      <w:rFonts w:ascii="Calibri" w:hAnsi="Calibri" w:eastAsia="仿宋_GB2312" w:cs="黑体"/>
      <w:sz w:val="18"/>
      <w:szCs w:val="18"/>
    </w:rPr>
  </w:style>
  <w:style w:type="paragraph" w:styleId="27">
    <w:name w:val="List Paragraph"/>
    <w:basedOn w:val="1"/>
    <w:qFormat/>
    <w:uiPriority w:val="34"/>
    <w:pPr>
      <w:ind w:firstLine="420"/>
    </w:pPr>
  </w:style>
  <w:style w:type="table" w:customStyle="1" w:styleId="28">
    <w:name w:val="网格型1"/>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9">
    <w:name w:val="标题 1 Char"/>
    <w:basedOn w:val="17"/>
    <w:link w:val="2"/>
    <w:qFormat/>
    <w:uiPriority w:val="9"/>
    <w:rPr>
      <w:rFonts w:ascii="Calibri" w:hAnsi="Calibri" w:eastAsia="仿宋_GB2312" w:cs="黑体"/>
      <w:b/>
      <w:bCs/>
      <w:kern w:val="44"/>
      <w:sz w:val="44"/>
      <w:szCs w:val="44"/>
    </w:rPr>
  </w:style>
  <w:style w:type="paragraph" w:customStyle="1" w:styleId="30">
    <w:name w:val="TOC Heading"/>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1">
    <w:name w:val="批注文字 Char"/>
    <w:basedOn w:val="17"/>
    <w:link w:val="5"/>
    <w:qFormat/>
    <w:uiPriority w:val="99"/>
    <w:rPr>
      <w:rFonts w:ascii="Calibri" w:hAnsi="Calibri" w:eastAsia="仿宋_GB2312" w:cs="黑体"/>
      <w:sz w:val="28"/>
    </w:rPr>
  </w:style>
  <w:style w:type="character" w:customStyle="1" w:styleId="32">
    <w:name w:val="批注主题 Char"/>
    <w:basedOn w:val="31"/>
    <w:link w:val="14"/>
    <w:semiHidden/>
    <w:qFormat/>
    <w:uiPriority w:val="99"/>
    <w:rPr>
      <w:rFonts w:ascii="Calibri" w:hAnsi="Calibri" w:eastAsia="仿宋_GB2312" w:cs="黑体"/>
      <w:b/>
      <w:bCs/>
      <w:sz w:val="28"/>
    </w:rPr>
  </w:style>
  <w:style w:type="character" w:customStyle="1" w:styleId="33">
    <w:name w:val="批注框文本 Char"/>
    <w:basedOn w:val="17"/>
    <w:link w:val="8"/>
    <w:semiHidden/>
    <w:qFormat/>
    <w:uiPriority w:val="99"/>
    <w:rPr>
      <w:rFonts w:ascii="Calibri" w:hAnsi="Calibri" w:eastAsia="仿宋_GB2312" w:cs="黑体"/>
      <w:sz w:val="18"/>
      <w:szCs w:val="18"/>
    </w:rPr>
  </w:style>
  <w:style w:type="character" w:customStyle="1" w:styleId="34">
    <w:name w:val="标题 3 Char"/>
    <w:basedOn w:val="17"/>
    <w:link w:val="4"/>
    <w:qFormat/>
    <w:uiPriority w:val="9"/>
    <w:rPr>
      <w:rFonts w:ascii="Calibri" w:hAnsi="Calibri" w:eastAsia="仿宋_GB2312" w:cs="黑体"/>
      <w:b/>
      <w:bCs/>
      <w:sz w:val="32"/>
      <w:szCs w:val="32"/>
    </w:rPr>
  </w:style>
  <w:style w:type="character" w:customStyle="1" w:styleId="35">
    <w:name w:val="font31"/>
    <w:basedOn w:val="17"/>
    <w:qFormat/>
    <w:uiPriority w:val="0"/>
    <w:rPr>
      <w:rFonts w:hint="default" w:ascii="Arial" w:hAnsi="Arial" w:cs="Arial"/>
      <w:color w:val="333333"/>
      <w:sz w:val="19"/>
      <w:szCs w:val="19"/>
      <w:u w:val="none"/>
    </w:rPr>
  </w:style>
  <w:style w:type="character" w:customStyle="1" w:styleId="36">
    <w:name w:val="font01"/>
    <w:basedOn w:val="17"/>
    <w:qFormat/>
    <w:uiPriority w:val="0"/>
    <w:rPr>
      <w:rFonts w:hint="default" w:ascii="Arial" w:hAnsi="Arial" w:cs="Arial"/>
      <w:color w:val="777620"/>
      <w:sz w:val="19"/>
      <w:szCs w:val="19"/>
      <w:u w:val="none"/>
    </w:rPr>
  </w:style>
  <w:style w:type="character" w:customStyle="1" w:styleId="37">
    <w:name w:val="font11"/>
    <w:basedOn w:val="17"/>
    <w:qFormat/>
    <w:uiPriority w:val="0"/>
    <w:rPr>
      <w:rFonts w:hint="eastAsia" w:ascii="宋体" w:hAnsi="宋体" w:eastAsia="宋体" w:cs="宋体"/>
      <w:color w:val="333333"/>
      <w:sz w:val="22"/>
      <w:szCs w:val="22"/>
      <w:u w:val="none"/>
    </w:rPr>
  </w:style>
  <w:style w:type="character" w:customStyle="1" w:styleId="38">
    <w:name w:val="font21"/>
    <w:basedOn w:val="17"/>
    <w:qFormat/>
    <w:uiPriority w:val="0"/>
    <w:rPr>
      <w:rFonts w:hint="eastAsia" w:ascii="宋体" w:hAnsi="宋体" w:eastAsia="宋体" w:cs="宋体"/>
      <w:color w:val="333333"/>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35</Pages>
  <Words>11852</Words>
  <Characters>12769</Characters>
  <Lines>82</Lines>
  <Paragraphs>23</Paragraphs>
  <TotalTime>45</TotalTime>
  <ScaleCrop>false</ScaleCrop>
  <LinksUpToDate>false</LinksUpToDate>
  <CharactersWithSpaces>12902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2024-04-12T07:46:00Z</dcterms:created>
  <dc:creator>张 宇</dc:creator>
  <cp:lastModifiedBy>A  刘文武贝</cp:lastModifiedBy>
  <cp:lastPrinted>2023-04-11T02:57:00Z</cp:lastPrinted>
  <dcterms:modified xsi:type="dcterms:W3CDTF">2024-12-19T02:33:46Z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D900386F53494FA39C168D7C66B330F2_13</vt:lpwstr>
  </property>
  <property fmtid="{D5CDD505-2E9C-101B-9397-08002B2CF9AE}" pid="4" name="KSOTemplateDocerSaveRecord">
    <vt:lpwstr>eyJoZGlkIjoiMzYxMjlhNDBmMDQ5M2Q1ZDgyNjFmMGIwZjk4MDk2MzgiLCJ1c2VySWQiOiIzNzI2MDMzNTYifQ==</vt:lpwstr>
  </property>
</Properties>
</file>