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A3366">
      <w:pPr>
        <w:spacing w:line="480" w:lineRule="auto"/>
        <w:ind w:firstLine="0" w:firstLineChars="0"/>
        <w:rPr>
          <w:rFonts w:ascii="Times New Roman" w:hAnsi="Times New Roman" w:eastAsia="黑体" w:cs="Times New Roman"/>
          <w:b/>
          <w:kern w:val="0"/>
          <w:sz w:val="50"/>
          <w:szCs w:val="50"/>
          <w:lang w:bidi="en-US"/>
        </w:rPr>
      </w:pPr>
    </w:p>
    <w:p w14:paraId="7569FBB6">
      <w:pPr>
        <w:spacing w:line="480" w:lineRule="auto"/>
        <w:ind w:firstLine="0" w:firstLineChars="0"/>
        <w:rPr>
          <w:rFonts w:ascii="Times New Roman" w:hAnsi="Times New Roman" w:eastAsia="黑体" w:cs="Times New Roman"/>
          <w:b/>
          <w:kern w:val="0"/>
          <w:sz w:val="50"/>
          <w:szCs w:val="50"/>
          <w:lang w:bidi="en-US"/>
        </w:rPr>
      </w:pPr>
    </w:p>
    <w:p w14:paraId="456B7E71">
      <w:pPr>
        <w:spacing w:line="480" w:lineRule="auto"/>
        <w:ind w:firstLine="0" w:firstLineChars="0"/>
        <w:jc w:val="center"/>
        <w:rPr>
          <w:rFonts w:ascii="Times New Roman" w:hAnsi="Times New Roman" w:eastAsia="黑体" w:cs="Times New Roman"/>
          <w:b/>
          <w:kern w:val="0"/>
          <w:sz w:val="50"/>
          <w:szCs w:val="50"/>
          <w:lang w:bidi="en-US"/>
        </w:rPr>
      </w:pPr>
    </w:p>
    <w:p w14:paraId="1B2A7FEF">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财政项目支出绩效评价报告</w:t>
      </w:r>
    </w:p>
    <w:p w14:paraId="1F089DCE">
      <w:pPr>
        <w:spacing w:line="480" w:lineRule="auto"/>
        <w:ind w:firstLine="0" w:firstLineChars="0"/>
        <w:jc w:val="center"/>
        <w:rPr>
          <w:rFonts w:ascii="Times New Roman" w:hAnsi="Times New Roman" w:eastAsia="黑体" w:cs="Times New Roman"/>
          <w:b/>
          <w:kern w:val="0"/>
          <w:sz w:val="50"/>
          <w:szCs w:val="50"/>
          <w:lang w:bidi="en-US"/>
        </w:rPr>
      </w:pPr>
    </w:p>
    <w:p w14:paraId="3EE32338">
      <w:pPr>
        <w:spacing w:line="480" w:lineRule="auto"/>
        <w:ind w:firstLine="0" w:firstLineChars="0"/>
        <w:jc w:val="center"/>
        <w:rPr>
          <w:rFonts w:ascii="Times New Roman" w:hAnsi="Times New Roman" w:eastAsia="黑体" w:cs="Times New Roman"/>
          <w:b/>
          <w:kern w:val="0"/>
          <w:sz w:val="50"/>
          <w:szCs w:val="50"/>
          <w:lang w:bidi="en-US"/>
        </w:rPr>
      </w:pPr>
    </w:p>
    <w:p w14:paraId="606D918D">
      <w:pPr>
        <w:spacing w:line="480" w:lineRule="auto"/>
        <w:ind w:firstLine="0" w:firstLineChars="0"/>
        <w:jc w:val="center"/>
        <w:rPr>
          <w:rFonts w:ascii="Times New Roman" w:hAnsi="Times New Roman" w:eastAsia="黑体" w:cs="Times New Roman"/>
          <w:b/>
          <w:kern w:val="0"/>
          <w:sz w:val="50"/>
          <w:szCs w:val="50"/>
          <w:lang w:bidi="en-US"/>
        </w:rPr>
      </w:pPr>
    </w:p>
    <w:p w14:paraId="0515E0B8">
      <w:pPr>
        <w:spacing w:line="480" w:lineRule="auto"/>
        <w:ind w:firstLine="0" w:firstLineChars="0"/>
        <w:jc w:val="center"/>
        <w:rPr>
          <w:rFonts w:ascii="Times New Roman" w:hAnsi="Times New Roman" w:eastAsia="黑体" w:cs="Times New Roman"/>
          <w:b/>
          <w:kern w:val="0"/>
          <w:sz w:val="50"/>
          <w:szCs w:val="50"/>
          <w:lang w:bidi="en-US"/>
        </w:rPr>
      </w:pPr>
    </w:p>
    <w:p w14:paraId="425048F4">
      <w:pPr>
        <w:spacing w:line="480" w:lineRule="auto"/>
        <w:ind w:firstLine="0" w:firstLineChars="0"/>
        <w:jc w:val="center"/>
        <w:rPr>
          <w:rFonts w:ascii="Times New Roman" w:hAnsi="Times New Roman" w:eastAsia="黑体" w:cs="Times New Roman"/>
          <w:b/>
          <w:kern w:val="0"/>
          <w:sz w:val="50"/>
          <w:szCs w:val="50"/>
          <w:lang w:bidi="en-US"/>
        </w:rPr>
      </w:pPr>
    </w:p>
    <w:p w14:paraId="082219E7">
      <w:pPr>
        <w:spacing w:line="480" w:lineRule="auto"/>
        <w:ind w:firstLine="0" w:firstLineChars="0"/>
        <w:jc w:val="center"/>
        <w:rPr>
          <w:rFonts w:ascii="仿宋_GB2312" w:hAnsi="Times New Roman" w:cs="Times New Roman"/>
          <w:kern w:val="0"/>
          <w:sz w:val="30"/>
          <w:szCs w:val="30"/>
          <w:lang w:bidi="en-US"/>
        </w:rPr>
      </w:pPr>
    </w:p>
    <w:p w14:paraId="1CE5528E">
      <w:pPr>
        <w:spacing w:line="480" w:lineRule="auto"/>
        <w:ind w:firstLine="640"/>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项目名称：医疗设备、总务后勤保障及信息化建设项目</w:t>
      </w:r>
    </w:p>
    <w:p w14:paraId="117489B3">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项目单位：乌鲁木齐市妇幼保健院</w:t>
      </w:r>
    </w:p>
    <w:p w14:paraId="626BA823">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主管部门：乌鲁木齐市卫生健康委员会</w:t>
      </w:r>
    </w:p>
    <w:p w14:paraId="4FF58320">
      <w:pPr>
        <w:spacing w:line="480" w:lineRule="auto"/>
        <w:ind w:firstLine="1411" w:firstLineChars="441"/>
        <w:jc w:val="left"/>
        <w:rPr>
          <w:rFonts w:ascii="仿宋_GB2312" w:hAnsi="Times New Roman" w:cs="Times New Roman"/>
          <w:kern w:val="0"/>
          <w:sz w:val="32"/>
          <w:szCs w:val="32"/>
          <w:lang w:bidi="en-US"/>
        </w:rPr>
      </w:pPr>
    </w:p>
    <w:p w14:paraId="0F0B4716">
      <w:pPr>
        <w:spacing w:line="480" w:lineRule="auto"/>
        <w:ind w:firstLine="0" w:firstLineChars="0"/>
        <w:rPr>
          <w:rFonts w:ascii="黑体" w:hAnsi="Times New Roman" w:eastAsia="黑体" w:cs="Times New Roman"/>
          <w:b/>
          <w:kern w:val="0"/>
          <w:sz w:val="32"/>
          <w:szCs w:val="32"/>
          <w:lang w:bidi="en-US"/>
        </w:rPr>
      </w:pPr>
    </w:p>
    <w:p w14:paraId="66298373">
      <w:pPr>
        <w:spacing w:line="480" w:lineRule="auto"/>
        <w:ind w:firstLine="0" w:firstLineChars="0"/>
        <w:rPr>
          <w:rFonts w:ascii="黑体" w:hAnsi="Times New Roman" w:eastAsia="黑体" w:cs="Times New Roman"/>
          <w:b/>
          <w:kern w:val="0"/>
          <w:sz w:val="32"/>
          <w:szCs w:val="32"/>
          <w:lang w:bidi="en-US"/>
        </w:rPr>
      </w:pPr>
    </w:p>
    <w:p w14:paraId="2A693594">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2023年0</w:t>
      </w:r>
      <w:r>
        <w:rPr>
          <w:rFonts w:ascii="仿宋_GB2312" w:hAnsi="Times New Roman" w:cs="Times New Roman"/>
          <w:kern w:val="0"/>
          <w:sz w:val="32"/>
          <w:szCs w:val="32"/>
          <w:lang w:bidi="en-US"/>
        </w:rPr>
        <w:t>4</w:t>
      </w:r>
      <w:r>
        <w:rPr>
          <w:rFonts w:hint="eastAsia" w:ascii="仿宋_GB2312" w:hAnsi="Times New Roman" w:cs="Times New Roman"/>
          <w:kern w:val="0"/>
          <w:sz w:val="32"/>
          <w:szCs w:val="32"/>
          <w:lang w:bidi="en-US"/>
        </w:rPr>
        <w:t>月</w:t>
      </w:r>
    </w:p>
    <w:p w14:paraId="25C554D1">
      <w:pPr>
        <w:spacing w:line="480" w:lineRule="auto"/>
        <w:ind w:firstLine="0" w:firstLineChars="0"/>
        <w:jc w:val="center"/>
        <w:rPr>
          <w:rFonts w:ascii="仿宋_GB2312" w:hAnsi="Times New Roman" w:cs="Times New Roman"/>
          <w:kern w:val="0"/>
          <w:sz w:val="32"/>
          <w:szCs w:val="32"/>
          <w:lang w:bidi="en-US"/>
        </w:rPr>
      </w:pPr>
    </w:p>
    <w:p w14:paraId="140D55ED">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14:paraId="65FAD171">
      <w:pPr>
        <w:ind w:firstLine="640"/>
        <w:rPr>
          <w:rFonts w:ascii="仿宋_GB2312" w:hAnsi="Times New Roman" w:cs="Times New Roman"/>
          <w:kern w:val="0"/>
          <w:sz w:val="32"/>
          <w:szCs w:val="32"/>
          <w:lang w:bidi="en-US"/>
        </w:rPr>
      </w:pPr>
    </w:p>
    <w:sdt>
      <w:sdtPr>
        <w:rPr>
          <w:rFonts w:ascii="Calibri" w:hAnsi="Calibri" w:eastAsia="仿宋_GB2312" w:cs="黑体"/>
          <w:color w:val="auto"/>
          <w:kern w:val="2"/>
          <w:sz w:val="28"/>
          <w:szCs w:val="22"/>
          <w:lang w:val="zh-CN"/>
        </w:rPr>
        <w:id w:val="-1822651860"/>
        <w:docPartObj>
          <w:docPartGallery w:val="Table of Contents"/>
          <w:docPartUnique/>
        </w:docPartObj>
      </w:sdtPr>
      <w:sdtEndPr>
        <w:rPr>
          <w:rFonts w:ascii="Calibri" w:hAnsi="Calibri" w:eastAsia="仿宋_GB2312" w:cs="黑体"/>
          <w:b/>
          <w:bCs/>
          <w:color w:val="auto"/>
          <w:kern w:val="2"/>
          <w:sz w:val="28"/>
          <w:szCs w:val="22"/>
          <w:lang w:val="zh-CN"/>
        </w:rPr>
      </w:sdtEndPr>
      <w:sdtContent>
        <w:p w14:paraId="7476A89A">
          <w:pPr>
            <w:pStyle w:val="30"/>
            <w:ind w:firstLine="560"/>
            <w:jc w:val="center"/>
          </w:pPr>
          <w:r>
            <w:rPr>
              <w:lang w:val="zh-CN"/>
            </w:rPr>
            <w:t>目录</w:t>
          </w:r>
        </w:p>
        <w:p w14:paraId="7AD4FE0F">
          <w:pPr>
            <w:pStyle w:val="12"/>
            <w:tabs>
              <w:tab w:val="right" w:leader="dot" w:pos="8296"/>
            </w:tabs>
            <w:ind w:firstLine="560"/>
            <w:rPr>
              <w:rFonts w:asciiTheme="minorHAnsi" w:hAnsiTheme="minorHAnsi" w:eastAsiaTheme="minorEastAsia" w:cstheme="minorBidi"/>
              <w:sz w:val="21"/>
            </w:rPr>
          </w:pPr>
          <w:r>
            <w:fldChar w:fldCharType="begin"/>
          </w:r>
          <w:r>
            <w:instrText xml:space="preserve"> TOC \o "1-3" \h \z \u </w:instrText>
          </w:r>
          <w:r>
            <w:fldChar w:fldCharType="separate"/>
          </w:r>
          <w:r>
            <w:fldChar w:fldCharType="begin"/>
          </w:r>
          <w:r>
            <w:instrText xml:space="preserve"> HYPERLINK \l "_Toc165277220" </w:instrText>
          </w:r>
          <w:r>
            <w:fldChar w:fldCharType="separate"/>
          </w:r>
          <w:r>
            <w:rPr>
              <w:rStyle w:val="19"/>
              <w:rFonts w:hint="eastAsia" w:ascii="仿宋" w:hAnsi="仿宋" w:eastAsia="仿宋"/>
              <w:lang w:bidi="en-US"/>
            </w:rPr>
            <w:t>一、基本情况</w:t>
          </w:r>
          <w:r>
            <w:tab/>
          </w:r>
          <w:r>
            <w:fldChar w:fldCharType="begin"/>
          </w:r>
          <w:r>
            <w:instrText xml:space="preserve"> PAGEREF _Toc165277220 \h </w:instrText>
          </w:r>
          <w:r>
            <w:fldChar w:fldCharType="separate"/>
          </w:r>
          <w:r>
            <w:t>1</w:t>
          </w:r>
          <w:r>
            <w:fldChar w:fldCharType="end"/>
          </w:r>
          <w:r>
            <w:fldChar w:fldCharType="end"/>
          </w:r>
        </w:p>
        <w:p w14:paraId="44FD54C6">
          <w:pPr>
            <w:pStyle w:val="14"/>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"_Toc165277221" </w:instrText>
          </w:r>
          <w:r>
            <w:fldChar w:fldCharType="separate"/>
          </w:r>
          <w:r>
            <w:rPr>
              <w:rStyle w:val="19"/>
              <w:rFonts w:hint="eastAsia" w:ascii="仿宋" w:hAnsi="仿宋" w:eastAsia="仿宋"/>
              <w:lang w:bidi="en-US"/>
            </w:rPr>
            <w:t>（一）项目概况：</w:t>
          </w:r>
          <w:r>
            <w:tab/>
          </w:r>
          <w:r>
            <w:fldChar w:fldCharType="begin"/>
          </w:r>
          <w:r>
            <w:instrText xml:space="preserve"> PAGEREF _Toc165277221 \h </w:instrText>
          </w:r>
          <w:r>
            <w:fldChar w:fldCharType="separate"/>
          </w:r>
          <w:r>
            <w:t>1</w:t>
          </w:r>
          <w:r>
            <w:fldChar w:fldCharType="end"/>
          </w:r>
          <w:r>
            <w:fldChar w:fldCharType="end"/>
          </w:r>
        </w:p>
        <w:p w14:paraId="37EE7C4C">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"_Toc165277222" </w:instrText>
          </w:r>
          <w:r>
            <w:fldChar w:fldCharType="separate"/>
          </w:r>
          <w:r>
            <w:rPr>
              <w:rStyle w:val="19"/>
            </w:rPr>
            <w:t>1</w:t>
          </w:r>
          <w:r>
            <w:rPr>
              <w:rStyle w:val="19"/>
              <w:rFonts w:hint="eastAsia"/>
            </w:rPr>
            <w:t>．项目背景、主要内容及实施情况</w:t>
          </w:r>
          <w:r>
            <w:tab/>
          </w:r>
          <w:r>
            <w:fldChar w:fldCharType="begin"/>
          </w:r>
          <w:r>
            <w:instrText xml:space="preserve"> PAGEREF _Toc165277222 \h </w:instrText>
          </w:r>
          <w:r>
            <w:fldChar w:fldCharType="separate"/>
          </w:r>
          <w:r>
            <w:t>1</w:t>
          </w:r>
          <w:r>
            <w:fldChar w:fldCharType="end"/>
          </w:r>
          <w:r>
            <w:fldChar w:fldCharType="end"/>
          </w:r>
        </w:p>
        <w:p w14:paraId="4DA3102B">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"_Toc165277223" </w:instrText>
          </w:r>
          <w:r>
            <w:fldChar w:fldCharType="separate"/>
          </w:r>
          <w:r>
            <w:rPr>
              <w:rStyle w:val="19"/>
            </w:rPr>
            <w:t>2.</w:t>
          </w:r>
          <w:r>
            <w:rPr>
              <w:rStyle w:val="19"/>
              <w:rFonts w:hint="eastAsia"/>
            </w:rPr>
            <w:t>资金投入和使用情况</w:t>
          </w:r>
          <w:r>
            <w:tab/>
          </w:r>
          <w:r>
            <w:fldChar w:fldCharType="begin"/>
          </w:r>
          <w:r>
            <w:instrText xml:space="preserve"> PAGEREF _Toc165277223 \h </w:instrText>
          </w:r>
          <w:r>
            <w:fldChar w:fldCharType="separate"/>
          </w:r>
          <w:r>
            <w:t>3</w:t>
          </w:r>
          <w:r>
            <w:fldChar w:fldCharType="end"/>
          </w:r>
          <w:r>
            <w:fldChar w:fldCharType="end"/>
          </w:r>
        </w:p>
        <w:p w14:paraId="1C6B26F2">
          <w:pPr>
            <w:pStyle w:val="14"/>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"_Toc165277224" </w:instrText>
          </w:r>
          <w:r>
            <w:fldChar w:fldCharType="separate"/>
          </w:r>
          <w:r>
            <w:rPr>
              <w:rStyle w:val="19"/>
              <w:rFonts w:hint="eastAsia" w:ascii="仿宋" w:hAnsi="仿宋" w:eastAsia="仿宋"/>
              <w:lang w:bidi="en-US"/>
            </w:rPr>
            <w:t>（二）项目绩效目标：</w:t>
          </w:r>
          <w:r>
            <w:tab/>
          </w:r>
          <w:r>
            <w:fldChar w:fldCharType="begin"/>
          </w:r>
          <w:r>
            <w:instrText xml:space="preserve"> PAGEREF _Toc165277224 \h </w:instrText>
          </w:r>
          <w:r>
            <w:fldChar w:fldCharType="separate"/>
          </w:r>
          <w:r>
            <w:t>4</w:t>
          </w:r>
          <w:r>
            <w:fldChar w:fldCharType="end"/>
          </w:r>
          <w:r>
            <w:fldChar w:fldCharType="end"/>
          </w:r>
        </w:p>
        <w:p w14:paraId="153D0991">
          <w:pPr>
            <w:pStyle w:val="12"/>
            <w:tabs>
              <w:tab w:val="right" w:leader="dot" w:pos="8296"/>
            </w:tabs>
            <w:ind w:firstLine="560"/>
            <w:rPr>
              <w:rFonts w:asciiTheme="minorHAnsi" w:hAnsiTheme="minorHAnsi" w:eastAsiaTheme="minorEastAsia" w:cstheme="minorBidi"/>
              <w:sz w:val="21"/>
            </w:rPr>
          </w:pPr>
          <w:r>
            <w:fldChar w:fldCharType="begin"/>
          </w:r>
          <w:r>
            <w:instrText xml:space="preserve"> HYPERLINK \l "_Toc165277225" </w:instrText>
          </w:r>
          <w:r>
            <w:fldChar w:fldCharType="separate"/>
          </w:r>
          <w:r>
            <w:rPr>
              <w:rStyle w:val="19"/>
              <w:rFonts w:hint="eastAsia" w:ascii="仿宋" w:hAnsi="仿宋" w:eastAsia="仿宋"/>
              <w:lang w:bidi="en-US"/>
            </w:rPr>
            <w:t>二、绩效评价工作开展情况</w:t>
          </w:r>
          <w:r>
            <w:tab/>
          </w:r>
          <w:r>
            <w:fldChar w:fldCharType="begin"/>
          </w:r>
          <w:r>
            <w:instrText xml:space="preserve"> PAGEREF _Toc165277225 \h </w:instrText>
          </w:r>
          <w:r>
            <w:fldChar w:fldCharType="separate"/>
          </w:r>
          <w:r>
            <w:t>5</w:t>
          </w:r>
          <w:r>
            <w:fldChar w:fldCharType="end"/>
          </w:r>
          <w:r>
            <w:fldChar w:fldCharType="end"/>
          </w:r>
        </w:p>
        <w:p w14:paraId="05E4461A">
          <w:pPr>
            <w:pStyle w:val="14"/>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"_Toc165277226" </w:instrText>
          </w:r>
          <w:r>
            <w:fldChar w:fldCharType="separate"/>
          </w:r>
          <w:r>
            <w:rPr>
              <w:rStyle w:val="19"/>
              <w:rFonts w:hint="eastAsia" w:ascii="仿宋" w:hAnsi="仿宋" w:eastAsia="仿宋"/>
              <w:lang w:bidi="en-US"/>
            </w:rPr>
            <w:t>（一）绩效评价目的、对象和范围</w:t>
          </w:r>
          <w:r>
            <w:tab/>
          </w:r>
          <w:r>
            <w:fldChar w:fldCharType="begin"/>
          </w:r>
          <w:r>
            <w:instrText xml:space="preserve"> PAGEREF _Toc165277226 \h </w:instrText>
          </w:r>
          <w:r>
            <w:fldChar w:fldCharType="separate"/>
          </w:r>
          <w:r>
            <w:t>5</w:t>
          </w:r>
          <w:r>
            <w:fldChar w:fldCharType="end"/>
          </w:r>
          <w:r>
            <w:fldChar w:fldCharType="end"/>
          </w:r>
        </w:p>
        <w:p w14:paraId="6CD17EA3">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"_Toc165277227" </w:instrText>
          </w:r>
          <w:r>
            <w:fldChar w:fldCharType="separate"/>
          </w:r>
          <w:r>
            <w:rPr>
              <w:rStyle w:val="19"/>
            </w:rPr>
            <w:t>1.</w:t>
          </w:r>
          <w:r>
            <w:rPr>
              <w:rStyle w:val="19"/>
              <w:rFonts w:hint="eastAsia"/>
            </w:rPr>
            <w:t>绩效评价完整性</w:t>
          </w:r>
          <w:r>
            <w:tab/>
          </w:r>
          <w:r>
            <w:fldChar w:fldCharType="begin"/>
          </w:r>
          <w:r>
            <w:instrText xml:space="preserve"> PAGEREF _Toc165277227 \h </w:instrText>
          </w:r>
          <w:r>
            <w:fldChar w:fldCharType="separate"/>
          </w:r>
          <w:r>
            <w:t>5</w:t>
          </w:r>
          <w:r>
            <w:fldChar w:fldCharType="end"/>
          </w:r>
          <w:r>
            <w:fldChar w:fldCharType="end"/>
          </w:r>
        </w:p>
        <w:p w14:paraId="02AAB580">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"_Toc165277228" </w:instrText>
          </w:r>
          <w:r>
            <w:fldChar w:fldCharType="separate"/>
          </w:r>
          <w:r>
            <w:rPr>
              <w:rStyle w:val="19"/>
            </w:rPr>
            <w:t>2.</w:t>
          </w:r>
          <w:r>
            <w:rPr>
              <w:rStyle w:val="19"/>
              <w:rFonts w:hint="eastAsia"/>
            </w:rPr>
            <w:t>评价目的</w:t>
          </w:r>
          <w:r>
            <w:tab/>
          </w:r>
          <w:r>
            <w:fldChar w:fldCharType="begin"/>
          </w:r>
          <w:r>
            <w:instrText xml:space="preserve"> PAGEREF _Toc165277228 \h </w:instrText>
          </w:r>
          <w:r>
            <w:fldChar w:fldCharType="separate"/>
          </w:r>
          <w:r>
            <w:t>6</w:t>
          </w:r>
          <w:r>
            <w:fldChar w:fldCharType="end"/>
          </w:r>
          <w:r>
            <w:fldChar w:fldCharType="end"/>
          </w:r>
        </w:p>
        <w:p w14:paraId="46574750">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"_Toc165277229" </w:instrText>
          </w:r>
          <w:r>
            <w:fldChar w:fldCharType="separate"/>
          </w:r>
          <w:r>
            <w:rPr>
              <w:rStyle w:val="19"/>
            </w:rPr>
            <w:t>3.</w:t>
          </w:r>
          <w:r>
            <w:rPr>
              <w:rStyle w:val="19"/>
              <w:rFonts w:hint="eastAsia"/>
            </w:rPr>
            <w:t>评价对象</w:t>
          </w:r>
          <w:r>
            <w:tab/>
          </w:r>
          <w:r>
            <w:fldChar w:fldCharType="begin"/>
          </w:r>
          <w:r>
            <w:instrText xml:space="preserve"> PAGEREF _Toc165277229 \h </w:instrText>
          </w:r>
          <w:r>
            <w:fldChar w:fldCharType="separate"/>
          </w:r>
          <w:r>
            <w:t>6</w:t>
          </w:r>
          <w:r>
            <w:fldChar w:fldCharType="end"/>
          </w:r>
          <w:r>
            <w:fldChar w:fldCharType="end"/>
          </w:r>
        </w:p>
        <w:p w14:paraId="5916EE8E">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"_Toc165277230" </w:instrText>
          </w:r>
          <w:r>
            <w:fldChar w:fldCharType="separate"/>
          </w:r>
          <w:r>
            <w:rPr>
              <w:rStyle w:val="19"/>
            </w:rPr>
            <w:t>4.</w:t>
          </w:r>
          <w:r>
            <w:rPr>
              <w:rStyle w:val="19"/>
              <w:rFonts w:hint="eastAsia"/>
            </w:rPr>
            <w:t>绩效评价范围</w:t>
          </w:r>
          <w:r>
            <w:tab/>
          </w:r>
          <w:r>
            <w:fldChar w:fldCharType="begin"/>
          </w:r>
          <w:r>
            <w:instrText xml:space="preserve"> PAGEREF _Toc165277230 \h </w:instrText>
          </w:r>
          <w:r>
            <w:fldChar w:fldCharType="separate"/>
          </w:r>
          <w:r>
            <w:t>7</w:t>
          </w:r>
          <w:r>
            <w:fldChar w:fldCharType="end"/>
          </w:r>
          <w:r>
            <w:fldChar w:fldCharType="end"/>
          </w:r>
        </w:p>
        <w:p w14:paraId="362008B8">
          <w:pPr>
            <w:pStyle w:val="14"/>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"_Toc165277231" </w:instrText>
          </w:r>
          <w:r>
            <w:fldChar w:fldCharType="separate"/>
          </w:r>
          <w:r>
            <w:rPr>
              <w:rStyle w:val="19"/>
              <w:rFonts w:hint="eastAsia" w:ascii="仿宋" w:hAnsi="仿宋" w:eastAsia="仿宋"/>
              <w:lang w:bidi="en-US"/>
            </w:rPr>
            <w:t>（二）绩效评价原则、指标体系、方法及标准</w:t>
          </w:r>
          <w:r>
            <w:tab/>
          </w:r>
          <w:r>
            <w:fldChar w:fldCharType="begin"/>
          </w:r>
          <w:r>
            <w:instrText xml:space="preserve"> PAGEREF _Toc165277231 \h </w:instrText>
          </w:r>
          <w:r>
            <w:fldChar w:fldCharType="separate"/>
          </w:r>
          <w:r>
            <w:t>7</w:t>
          </w:r>
          <w:r>
            <w:fldChar w:fldCharType="end"/>
          </w:r>
          <w:r>
            <w:fldChar w:fldCharType="end"/>
          </w:r>
        </w:p>
        <w:p w14:paraId="6FD83A5F">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"_Toc165277232" </w:instrText>
          </w:r>
          <w:r>
            <w:fldChar w:fldCharType="separate"/>
          </w:r>
          <w:r>
            <w:rPr>
              <w:rStyle w:val="19"/>
            </w:rPr>
            <w:t>1.</w:t>
          </w:r>
          <w:r>
            <w:rPr>
              <w:rStyle w:val="19"/>
              <w:rFonts w:hint="eastAsia"/>
            </w:rPr>
            <w:t>评价原则</w:t>
          </w:r>
          <w:r>
            <w:tab/>
          </w:r>
          <w:r>
            <w:fldChar w:fldCharType="begin"/>
          </w:r>
          <w:r>
            <w:instrText xml:space="preserve"> PAGEREF _Toc165277232 \h </w:instrText>
          </w:r>
          <w:r>
            <w:fldChar w:fldCharType="separate"/>
          </w:r>
          <w:r>
            <w:t>7</w:t>
          </w:r>
          <w:r>
            <w:fldChar w:fldCharType="end"/>
          </w:r>
          <w:r>
            <w:fldChar w:fldCharType="end"/>
          </w:r>
        </w:p>
        <w:p w14:paraId="6FFDF711">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"_Toc165277233" </w:instrText>
          </w:r>
          <w:r>
            <w:fldChar w:fldCharType="separate"/>
          </w:r>
          <w:r>
            <w:rPr>
              <w:rStyle w:val="19"/>
            </w:rPr>
            <w:t>2.</w:t>
          </w:r>
          <w:r>
            <w:rPr>
              <w:rStyle w:val="19"/>
              <w:rFonts w:hint="eastAsia"/>
            </w:rPr>
            <w:t>评价指标体系</w:t>
          </w:r>
          <w:r>
            <w:tab/>
          </w:r>
          <w:r>
            <w:fldChar w:fldCharType="begin"/>
          </w:r>
          <w:r>
            <w:instrText xml:space="preserve"> PAGEREF _Toc165277233 \h </w:instrText>
          </w:r>
          <w:r>
            <w:fldChar w:fldCharType="separate"/>
          </w:r>
          <w:r>
            <w:t>8</w:t>
          </w:r>
          <w:r>
            <w:fldChar w:fldCharType="end"/>
          </w:r>
          <w:r>
            <w:fldChar w:fldCharType="end"/>
          </w:r>
        </w:p>
        <w:p w14:paraId="7233C5AA">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"_Toc165277234" </w:instrText>
          </w:r>
          <w:r>
            <w:fldChar w:fldCharType="separate"/>
          </w:r>
          <w:r>
            <w:rPr>
              <w:rStyle w:val="19"/>
            </w:rPr>
            <w:t>3.</w:t>
          </w:r>
          <w:r>
            <w:rPr>
              <w:rStyle w:val="19"/>
              <w:rFonts w:hint="eastAsia"/>
            </w:rPr>
            <w:t>评价方法</w:t>
          </w:r>
          <w:r>
            <w:tab/>
          </w:r>
          <w:r>
            <w:fldChar w:fldCharType="begin"/>
          </w:r>
          <w:r>
            <w:instrText xml:space="preserve"> PAGEREF _Toc165277234 \h </w:instrText>
          </w:r>
          <w:r>
            <w:fldChar w:fldCharType="separate"/>
          </w:r>
          <w:r>
            <w:t>15</w:t>
          </w:r>
          <w:r>
            <w:fldChar w:fldCharType="end"/>
          </w:r>
          <w:r>
            <w:fldChar w:fldCharType="end"/>
          </w:r>
        </w:p>
        <w:p w14:paraId="08B4C577">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"_Toc165277235" </w:instrText>
          </w:r>
          <w:r>
            <w:fldChar w:fldCharType="separate"/>
          </w:r>
          <w:r>
            <w:rPr>
              <w:rStyle w:val="19"/>
            </w:rPr>
            <w:t>4.</w:t>
          </w:r>
          <w:r>
            <w:rPr>
              <w:rStyle w:val="19"/>
              <w:rFonts w:hint="eastAsia"/>
            </w:rPr>
            <w:t>评价标准</w:t>
          </w:r>
          <w:r>
            <w:tab/>
          </w:r>
          <w:r>
            <w:fldChar w:fldCharType="begin"/>
          </w:r>
          <w:r>
            <w:instrText xml:space="preserve"> PAGEREF _Toc165277235 \h </w:instrText>
          </w:r>
          <w:r>
            <w:fldChar w:fldCharType="separate"/>
          </w:r>
          <w:r>
            <w:t>16</w:t>
          </w:r>
          <w:r>
            <w:fldChar w:fldCharType="end"/>
          </w:r>
          <w:r>
            <w:fldChar w:fldCharType="end"/>
          </w:r>
        </w:p>
        <w:p w14:paraId="276244B5">
          <w:pPr>
            <w:pStyle w:val="14"/>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"_Toc165277236" </w:instrText>
          </w:r>
          <w:r>
            <w:fldChar w:fldCharType="separate"/>
          </w:r>
          <w:r>
            <w:rPr>
              <w:rStyle w:val="19"/>
              <w:rFonts w:hint="eastAsia" w:ascii="仿宋" w:hAnsi="仿宋" w:eastAsia="仿宋"/>
              <w:lang w:bidi="en-US"/>
            </w:rPr>
            <w:t>（三）绩效评价工作过程</w:t>
          </w:r>
          <w:r>
            <w:tab/>
          </w:r>
          <w:r>
            <w:fldChar w:fldCharType="begin"/>
          </w:r>
          <w:r>
            <w:instrText xml:space="preserve"> PAGEREF _Toc165277236 \h </w:instrText>
          </w:r>
          <w:r>
            <w:fldChar w:fldCharType="separate"/>
          </w:r>
          <w:r>
            <w:t>17</w:t>
          </w:r>
          <w:r>
            <w:fldChar w:fldCharType="end"/>
          </w:r>
          <w:r>
            <w:fldChar w:fldCharType="end"/>
          </w:r>
        </w:p>
        <w:p w14:paraId="72BD5F23">
          <w:pPr>
            <w:pStyle w:val="12"/>
            <w:tabs>
              <w:tab w:val="right" w:leader="dot" w:pos="8296"/>
            </w:tabs>
            <w:ind w:firstLine="560"/>
            <w:rPr>
              <w:rFonts w:asciiTheme="minorHAnsi" w:hAnsiTheme="minorHAnsi" w:eastAsiaTheme="minorEastAsia" w:cstheme="minorBidi"/>
              <w:sz w:val="21"/>
            </w:rPr>
          </w:pPr>
          <w:r>
            <w:fldChar w:fldCharType="begin"/>
          </w:r>
          <w:r>
            <w:instrText xml:space="preserve"> HYPERLINK \l "_Toc165277237" </w:instrText>
          </w:r>
          <w:r>
            <w:fldChar w:fldCharType="separate"/>
          </w:r>
          <w:r>
            <w:rPr>
              <w:rStyle w:val="19"/>
              <w:rFonts w:hint="eastAsia" w:ascii="仿宋" w:hAnsi="仿宋" w:eastAsia="仿宋"/>
              <w:lang w:bidi="en-US"/>
            </w:rPr>
            <w:t>三、综合评价情况及评价结论</w:t>
          </w:r>
          <w:r>
            <w:tab/>
          </w:r>
          <w:r>
            <w:fldChar w:fldCharType="begin"/>
          </w:r>
          <w:r>
            <w:instrText xml:space="preserve"> PAGEREF _Toc165277237 \h </w:instrText>
          </w:r>
          <w:r>
            <w:fldChar w:fldCharType="separate"/>
          </w:r>
          <w:r>
            <w:t>17</w:t>
          </w:r>
          <w:r>
            <w:fldChar w:fldCharType="end"/>
          </w:r>
          <w:r>
            <w:fldChar w:fldCharType="end"/>
          </w:r>
        </w:p>
        <w:p w14:paraId="20C44253">
          <w:pPr>
            <w:pStyle w:val="14"/>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"_Toc165277238" </w:instrText>
          </w:r>
          <w:r>
            <w:fldChar w:fldCharType="separate"/>
          </w:r>
          <w:r>
            <w:rPr>
              <w:rStyle w:val="19"/>
              <w:rFonts w:hint="eastAsia" w:ascii="仿宋" w:hAnsi="仿宋" w:eastAsia="仿宋"/>
              <w:lang w:bidi="en-US"/>
            </w:rPr>
            <w:t>（一）评价结论</w:t>
          </w:r>
          <w:r>
            <w:tab/>
          </w:r>
          <w:r>
            <w:fldChar w:fldCharType="begin"/>
          </w:r>
          <w:r>
            <w:instrText xml:space="preserve"> PAGEREF _Toc165277238 \h </w:instrText>
          </w:r>
          <w:r>
            <w:fldChar w:fldCharType="separate"/>
          </w:r>
          <w:r>
            <w:t>17</w:t>
          </w:r>
          <w:r>
            <w:fldChar w:fldCharType="end"/>
          </w:r>
          <w:r>
            <w:fldChar w:fldCharType="end"/>
          </w:r>
        </w:p>
        <w:p w14:paraId="0F09106F">
          <w:pPr>
            <w:pStyle w:val="14"/>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"_Toc165277239" </w:instrText>
          </w:r>
          <w:r>
            <w:fldChar w:fldCharType="separate"/>
          </w:r>
          <w:r>
            <w:rPr>
              <w:rStyle w:val="19"/>
              <w:rFonts w:hint="eastAsia" w:ascii="仿宋" w:hAnsi="仿宋" w:eastAsia="仿宋"/>
              <w:lang w:bidi="en-US"/>
            </w:rPr>
            <w:t>（二）主要绩效</w:t>
          </w:r>
          <w:r>
            <w:tab/>
          </w:r>
          <w:r>
            <w:fldChar w:fldCharType="begin"/>
          </w:r>
          <w:r>
            <w:instrText xml:space="preserve"> PAGEREF _Toc165277239 \h </w:instrText>
          </w:r>
          <w:r>
            <w:fldChar w:fldCharType="separate"/>
          </w:r>
          <w:r>
            <w:t>19</w:t>
          </w:r>
          <w:r>
            <w:fldChar w:fldCharType="end"/>
          </w:r>
          <w:r>
            <w:fldChar w:fldCharType="end"/>
          </w:r>
        </w:p>
        <w:p w14:paraId="3317CBF5">
          <w:pPr>
            <w:pStyle w:val="12"/>
            <w:tabs>
              <w:tab w:val="right" w:leader="dot" w:pos="8296"/>
            </w:tabs>
            <w:ind w:firstLine="560"/>
            <w:rPr>
              <w:rFonts w:asciiTheme="minorHAnsi" w:hAnsiTheme="minorHAnsi" w:eastAsiaTheme="minorEastAsia" w:cstheme="minorBidi"/>
              <w:sz w:val="21"/>
            </w:rPr>
          </w:pPr>
          <w:r>
            <w:fldChar w:fldCharType="begin"/>
          </w:r>
          <w:r>
            <w:instrText xml:space="preserve"> HYPERLINK \l "_Toc165277240" </w:instrText>
          </w:r>
          <w:r>
            <w:fldChar w:fldCharType="separate"/>
          </w:r>
          <w:r>
            <w:rPr>
              <w:rStyle w:val="19"/>
              <w:rFonts w:hint="eastAsia" w:ascii="仿宋" w:hAnsi="仿宋" w:eastAsia="仿宋"/>
              <w:lang w:bidi="en-US"/>
            </w:rPr>
            <w:t>四、绩效评价指标分析</w:t>
          </w:r>
          <w:r>
            <w:tab/>
          </w:r>
          <w:r>
            <w:fldChar w:fldCharType="begin"/>
          </w:r>
          <w:r>
            <w:instrText xml:space="preserve"> PAGEREF _Toc165277240 \h </w:instrText>
          </w:r>
          <w:r>
            <w:fldChar w:fldCharType="separate"/>
          </w:r>
          <w:r>
            <w:t>19</w:t>
          </w:r>
          <w:r>
            <w:fldChar w:fldCharType="end"/>
          </w:r>
          <w:r>
            <w:fldChar w:fldCharType="end"/>
          </w:r>
        </w:p>
        <w:p w14:paraId="71F951F8">
          <w:pPr>
            <w:pStyle w:val="14"/>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"_Toc165277241" </w:instrText>
          </w:r>
          <w:r>
            <w:fldChar w:fldCharType="separate"/>
          </w:r>
          <w:r>
            <w:rPr>
              <w:rStyle w:val="19"/>
              <w:rFonts w:hint="eastAsia" w:ascii="仿宋" w:hAnsi="仿宋" w:eastAsia="仿宋"/>
              <w:lang w:bidi="en-US"/>
            </w:rPr>
            <w:t>（一）项目决策情况</w:t>
          </w:r>
          <w:r>
            <w:tab/>
          </w:r>
          <w:r>
            <w:fldChar w:fldCharType="begin"/>
          </w:r>
          <w:r>
            <w:instrText xml:space="preserve"> PAGEREF _Toc165277241 \h </w:instrText>
          </w:r>
          <w:r>
            <w:fldChar w:fldCharType="separate"/>
          </w:r>
          <w:r>
            <w:t>19</w:t>
          </w:r>
          <w:r>
            <w:fldChar w:fldCharType="end"/>
          </w:r>
          <w:r>
            <w:fldChar w:fldCharType="end"/>
          </w:r>
        </w:p>
        <w:p w14:paraId="78DD2ED7">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"_Toc165277242" </w:instrText>
          </w:r>
          <w:r>
            <w:fldChar w:fldCharType="separate"/>
          </w:r>
          <w:r>
            <w:rPr>
              <w:rStyle w:val="19"/>
            </w:rPr>
            <w:t>1.</w:t>
          </w:r>
          <w:r>
            <w:rPr>
              <w:rStyle w:val="19"/>
              <w:rFonts w:hint="eastAsia"/>
            </w:rPr>
            <w:t>项目立项</w:t>
          </w:r>
          <w:r>
            <w:tab/>
          </w:r>
          <w:r>
            <w:fldChar w:fldCharType="begin"/>
          </w:r>
          <w:r>
            <w:instrText xml:space="preserve"> PAGEREF _Toc165277242 \h </w:instrText>
          </w:r>
          <w:r>
            <w:fldChar w:fldCharType="separate"/>
          </w:r>
          <w:r>
            <w:t>19</w:t>
          </w:r>
          <w:r>
            <w:fldChar w:fldCharType="end"/>
          </w:r>
          <w:r>
            <w:fldChar w:fldCharType="end"/>
          </w:r>
        </w:p>
        <w:p w14:paraId="1944EDB4">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"_Toc165277243" </w:instrText>
          </w:r>
          <w:r>
            <w:fldChar w:fldCharType="separate"/>
          </w:r>
          <w:r>
            <w:rPr>
              <w:rStyle w:val="19"/>
            </w:rPr>
            <w:t>2.</w:t>
          </w:r>
          <w:r>
            <w:rPr>
              <w:rStyle w:val="19"/>
              <w:rFonts w:hint="eastAsia"/>
            </w:rPr>
            <w:t>绩效目标</w:t>
          </w:r>
          <w:r>
            <w:tab/>
          </w:r>
          <w:r>
            <w:fldChar w:fldCharType="begin"/>
          </w:r>
          <w:r>
            <w:instrText xml:space="preserve"> PAGEREF _Toc165277243 \h </w:instrText>
          </w:r>
          <w:r>
            <w:fldChar w:fldCharType="separate"/>
          </w:r>
          <w:r>
            <w:t>20</w:t>
          </w:r>
          <w:r>
            <w:fldChar w:fldCharType="end"/>
          </w:r>
          <w:r>
            <w:fldChar w:fldCharType="end"/>
          </w:r>
        </w:p>
        <w:p w14:paraId="7D584A8A">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"_Toc165277244" </w:instrText>
          </w:r>
          <w:r>
            <w:fldChar w:fldCharType="separate"/>
          </w:r>
          <w:r>
            <w:rPr>
              <w:rStyle w:val="19"/>
            </w:rPr>
            <w:t>3.</w:t>
          </w:r>
          <w:r>
            <w:rPr>
              <w:rStyle w:val="19"/>
              <w:rFonts w:hint="eastAsia"/>
            </w:rPr>
            <w:t>资金投入</w:t>
          </w:r>
          <w:r>
            <w:tab/>
          </w:r>
          <w:r>
            <w:fldChar w:fldCharType="begin"/>
          </w:r>
          <w:r>
            <w:instrText xml:space="preserve"> PAGEREF _Toc165277244 \h </w:instrText>
          </w:r>
          <w:r>
            <w:fldChar w:fldCharType="separate"/>
          </w:r>
          <w:r>
            <w:t>21</w:t>
          </w:r>
          <w:r>
            <w:fldChar w:fldCharType="end"/>
          </w:r>
          <w:r>
            <w:fldChar w:fldCharType="end"/>
          </w:r>
        </w:p>
        <w:p w14:paraId="31B0E6A5">
          <w:pPr>
            <w:pStyle w:val="14"/>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"_Toc165277245" </w:instrText>
          </w:r>
          <w:r>
            <w:fldChar w:fldCharType="separate"/>
          </w:r>
          <w:r>
            <w:rPr>
              <w:rStyle w:val="19"/>
              <w:rFonts w:hint="eastAsia" w:ascii="仿宋" w:hAnsi="仿宋" w:eastAsia="仿宋"/>
              <w:lang w:bidi="en-US"/>
            </w:rPr>
            <w:t>（二）项目过程情况</w:t>
          </w:r>
          <w:r>
            <w:tab/>
          </w:r>
          <w:r>
            <w:fldChar w:fldCharType="begin"/>
          </w:r>
          <w:r>
            <w:instrText xml:space="preserve"> PAGEREF _Toc165277245 \h </w:instrText>
          </w:r>
          <w:r>
            <w:fldChar w:fldCharType="separate"/>
          </w:r>
          <w:r>
            <w:t>22</w:t>
          </w:r>
          <w:r>
            <w:fldChar w:fldCharType="end"/>
          </w:r>
          <w:r>
            <w:fldChar w:fldCharType="end"/>
          </w:r>
        </w:p>
        <w:p w14:paraId="6241F3E9">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"_Toc165277246" </w:instrText>
          </w:r>
          <w:r>
            <w:fldChar w:fldCharType="separate"/>
          </w:r>
          <w:r>
            <w:rPr>
              <w:rStyle w:val="19"/>
            </w:rPr>
            <w:t>1.</w:t>
          </w:r>
          <w:r>
            <w:rPr>
              <w:rStyle w:val="19"/>
              <w:rFonts w:hint="eastAsia"/>
            </w:rPr>
            <w:t>资金管理</w:t>
          </w:r>
          <w:r>
            <w:tab/>
          </w:r>
          <w:r>
            <w:fldChar w:fldCharType="begin"/>
          </w:r>
          <w:r>
            <w:instrText xml:space="preserve"> PAGEREF _Toc165277246 \h </w:instrText>
          </w:r>
          <w:r>
            <w:fldChar w:fldCharType="separate"/>
          </w:r>
          <w:r>
            <w:t>22</w:t>
          </w:r>
          <w:r>
            <w:fldChar w:fldCharType="end"/>
          </w:r>
          <w:r>
            <w:fldChar w:fldCharType="end"/>
          </w:r>
        </w:p>
        <w:p w14:paraId="03EBE3CF">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"_Toc165277247" </w:instrText>
          </w:r>
          <w:r>
            <w:fldChar w:fldCharType="separate"/>
          </w:r>
          <w:r>
            <w:rPr>
              <w:rStyle w:val="19"/>
            </w:rPr>
            <w:t>2.</w:t>
          </w:r>
          <w:r>
            <w:rPr>
              <w:rStyle w:val="19"/>
              <w:rFonts w:hint="eastAsia"/>
            </w:rPr>
            <w:t>组织实施</w:t>
          </w:r>
          <w:r>
            <w:tab/>
          </w:r>
          <w:r>
            <w:fldChar w:fldCharType="begin"/>
          </w:r>
          <w:r>
            <w:instrText xml:space="preserve"> PAGEREF _Toc165277247 \h </w:instrText>
          </w:r>
          <w:r>
            <w:fldChar w:fldCharType="separate"/>
          </w:r>
          <w:r>
            <w:t>23</w:t>
          </w:r>
          <w:r>
            <w:fldChar w:fldCharType="end"/>
          </w:r>
          <w:r>
            <w:fldChar w:fldCharType="end"/>
          </w:r>
        </w:p>
        <w:p w14:paraId="36092146">
          <w:pPr>
            <w:pStyle w:val="14"/>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"_Toc165277248" </w:instrText>
          </w:r>
          <w:r>
            <w:fldChar w:fldCharType="separate"/>
          </w:r>
          <w:r>
            <w:rPr>
              <w:rStyle w:val="19"/>
              <w:rFonts w:hint="eastAsia" w:ascii="仿宋" w:hAnsi="仿宋" w:eastAsia="仿宋"/>
              <w:lang w:bidi="en-US"/>
            </w:rPr>
            <w:t>（三）项目产出情况</w:t>
          </w:r>
          <w:r>
            <w:tab/>
          </w:r>
          <w:r>
            <w:fldChar w:fldCharType="begin"/>
          </w:r>
          <w:r>
            <w:instrText xml:space="preserve"> PAGEREF _Toc165277248 \h </w:instrText>
          </w:r>
          <w:r>
            <w:fldChar w:fldCharType="separate"/>
          </w:r>
          <w:r>
            <w:t>24</w:t>
          </w:r>
          <w:r>
            <w:fldChar w:fldCharType="end"/>
          </w:r>
          <w:r>
            <w:fldChar w:fldCharType="end"/>
          </w:r>
        </w:p>
        <w:p w14:paraId="56B49901">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"_Toc165277249" </w:instrText>
          </w:r>
          <w:r>
            <w:fldChar w:fldCharType="separate"/>
          </w:r>
          <w:r>
            <w:rPr>
              <w:rStyle w:val="19"/>
            </w:rPr>
            <w:t>1.</w:t>
          </w:r>
          <w:r>
            <w:rPr>
              <w:rStyle w:val="19"/>
              <w:rFonts w:hint="eastAsia"/>
            </w:rPr>
            <w:t>产出数量</w:t>
          </w:r>
          <w:r>
            <w:tab/>
          </w:r>
          <w:r>
            <w:fldChar w:fldCharType="begin"/>
          </w:r>
          <w:r>
            <w:instrText xml:space="preserve"> PAGEREF _Toc165277249 \h </w:instrText>
          </w:r>
          <w:r>
            <w:fldChar w:fldCharType="separate"/>
          </w:r>
          <w:r>
            <w:t>24</w:t>
          </w:r>
          <w:r>
            <w:fldChar w:fldCharType="end"/>
          </w:r>
          <w:r>
            <w:fldChar w:fldCharType="end"/>
          </w:r>
        </w:p>
        <w:p w14:paraId="1A5A7757">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"_Toc165277250" </w:instrText>
          </w:r>
          <w:r>
            <w:fldChar w:fldCharType="separate"/>
          </w:r>
          <w:r>
            <w:rPr>
              <w:rStyle w:val="19"/>
            </w:rPr>
            <w:t>2.</w:t>
          </w:r>
          <w:r>
            <w:rPr>
              <w:rStyle w:val="19"/>
              <w:rFonts w:hint="eastAsia"/>
            </w:rPr>
            <w:t>产出质量</w:t>
          </w:r>
          <w:r>
            <w:tab/>
          </w:r>
          <w:r>
            <w:fldChar w:fldCharType="begin"/>
          </w:r>
          <w:r>
            <w:instrText xml:space="preserve"> PAGEREF _Toc165277250 \h </w:instrText>
          </w:r>
          <w:r>
            <w:fldChar w:fldCharType="separate"/>
          </w:r>
          <w:r>
            <w:t>24</w:t>
          </w:r>
          <w:r>
            <w:fldChar w:fldCharType="end"/>
          </w:r>
          <w:r>
            <w:fldChar w:fldCharType="end"/>
          </w:r>
        </w:p>
        <w:p w14:paraId="1A1BE8AF">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"_Toc165277251" </w:instrText>
          </w:r>
          <w:r>
            <w:fldChar w:fldCharType="separate"/>
          </w:r>
          <w:r>
            <w:rPr>
              <w:rStyle w:val="19"/>
            </w:rPr>
            <w:t>3.</w:t>
          </w:r>
          <w:r>
            <w:rPr>
              <w:rStyle w:val="19"/>
              <w:rFonts w:hint="eastAsia"/>
            </w:rPr>
            <w:t>产出时效</w:t>
          </w:r>
          <w:r>
            <w:tab/>
          </w:r>
          <w:r>
            <w:fldChar w:fldCharType="begin"/>
          </w:r>
          <w:r>
            <w:instrText xml:space="preserve"> PAGEREF _Toc165277251 \h </w:instrText>
          </w:r>
          <w:r>
            <w:fldChar w:fldCharType="separate"/>
          </w:r>
          <w:r>
            <w:t>25</w:t>
          </w:r>
          <w:r>
            <w:fldChar w:fldCharType="end"/>
          </w:r>
          <w:r>
            <w:fldChar w:fldCharType="end"/>
          </w:r>
        </w:p>
        <w:p w14:paraId="764BD28E">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"_Toc165277252" </w:instrText>
          </w:r>
          <w:r>
            <w:fldChar w:fldCharType="separate"/>
          </w:r>
          <w:r>
            <w:rPr>
              <w:rStyle w:val="19"/>
            </w:rPr>
            <w:t>4.</w:t>
          </w:r>
          <w:r>
            <w:rPr>
              <w:rStyle w:val="19"/>
              <w:rFonts w:hint="eastAsia"/>
            </w:rPr>
            <w:t>产出成本</w:t>
          </w:r>
          <w:r>
            <w:tab/>
          </w:r>
          <w:r>
            <w:fldChar w:fldCharType="begin"/>
          </w:r>
          <w:r>
            <w:instrText xml:space="preserve"> PAGEREF _Toc165277252 \h </w:instrText>
          </w:r>
          <w:r>
            <w:fldChar w:fldCharType="separate"/>
          </w:r>
          <w:r>
            <w:t>25</w:t>
          </w:r>
          <w:r>
            <w:fldChar w:fldCharType="end"/>
          </w:r>
          <w:r>
            <w:fldChar w:fldCharType="end"/>
          </w:r>
        </w:p>
        <w:p w14:paraId="7ECDFA63">
          <w:pPr>
            <w:pStyle w:val="14"/>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"_Toc165277253" </w:instrText>
          </w:r>
          <w:r>
            <w:fldChar w:fldCharType="separate"/>
          </w:r>
          <w:r>
            <w:rPr>
              <w:rStyle w:val="19"/>
              <w:rFonts w:hint="eastAsia" w:ascii="仿宋" w:hAnsi="仿宋" w:eastAsia="仿宋"/>
              <w:lang w:bidi="en-US"/>
            </w:rPr>
            <w:t>（四）项目效益情况</w:t>
          </w:r>
          <w:r>
            <w:tab/>
          </w:r>
          <w:r>
            <w:fldChar w:fldCharType="begin"/>
          </w:r>
          <w:r>
            <w:instrText xml:space="preserve"> PAGEREF _Toc165277253 \h </w:instrText>
          </w:r>
          <w:r>
            <w:fldChar w:fldCharType="separate"/>
          </w:r>
          <w:r>
            <w:t>26</w:t>
          </w:r>
          <w:r>
            <w:fldChar w:fldCharType="end"/>
          </w:r>
          <w:r>
            <w:fldChar w:fldCharType="end"/>
          </w:r>
        </w:p>
        <w:p w14:paraId="6F4474A6">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"_Toc165277254" </w:instrText>
          </w:r>
          <w:r>
            <w:fldChar w:fldCharType="separate"/>
          </w:r>
          <w:r>
            <w:rPr>
              <w:rStyle w:val="19"/>
            </w:rPr>
            <w:t>1.</w:t>
          </w:r>
          <w:r>
            <w:rPr>
              <w:rStyle w:val="19"/>
              <w:rFonts w:hint="eastAsia"/>
            </w:rPr>
            <w:t>项目效益</w:t>
          </w:r>
          <w:r>
            <w:tab/>
          </w:r>
          <w:r>
            <w:fldChar w:fldCharType="begin"/>
          </w:r>
          <w:r>
            <w:instrText xml:space="preserve"> PAGEREF _Toc165277254 \h </w:instrText>
          </w:r>
          <w:r>
            <w:fldChar w:fldCharType="separate"/>
          </w:r>
          <w:r>
            <w:t>26</w:t>
          </w:r>
          <w:r>
            <w:fldChar w:fldCharType="end"/>
          </w:r>
          <w:r>
            <w:fldChar w:fldCharType="end"/>
          </w:r>
        </w:p>
        <w:p w14:paraId="454E6DDD">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"_Toc165277255" </w:instrText>
          </w:r>
          <w:r>
            <w:fldChar w:fldCharType="separate"/>
          </w:r>
          <w:r>
            <w:rPr>
              <w:rStyle w:val="19"/>
            </w:rPr>
            <w:t xml:space="preserve">2. </w:t>
          </w:r>
          <w:r>
            <w:rPr>
              <w:rStyle w:val="19"/>
              <w:rFonts w:hint="eastAsia"/>
            </w:rPr>
            <w:t>满意度指标完成情况分析</w:t>
          </w:r>
          <w:r>
            <w:tab/>
          </w:r>
          <w:r>
            <w:fldChar w:fldCharType="begin"/>
          </w:r>
          <w:r>
            <w:instrText xml:space="preserve"> PAGEREF _Toc165277255 \h </w:instrText>
          </w:r>
          <w:r>
            <w:fldChar w:fldCharType="separate"/>
          </w:r>
          <w:r>
            <w:t>26</w:t>
          </w:r>
          <w:r>
            <w:fldChar w:fldCharType="end"/>
          </w:r>
          <w:r>
            <w:fldChar w:fldCharType="end"/>
          </w:r>
        </w:p>
        <w:p w14:paraId="785A3244">
          <w:pPr>
            <w:pStyle w:val="12"/>
            <w:tabs>
              <w:tab w:val="right" w:leader="dot" w:pos="8296"/>
            </w:tabs>
            <w:ind w:firstLine="560"/>
            <w:rPr>
              <w:rFonts w:asciiTheme="minorHAnsi" w:hAnsiTheme="minorHAnsi" w:eastAsiaTheme="minorEastAsia" w:cstheme="minorBidi"/>
              <w:sz w:val="21"/>
            </w:rPr>
          </w:pPr>
          <w:r>
            <w:fldChar w:fldCharType="begin"/>
          </w:r>
          <w:r>
            <w:instrText xml:space="preserve"> HYPERLINK \l "_Toc165277256" </w:instrText>
          </w:r>
          <w:r>
            <w:fldChar w:fldCharType="separate"/>
          </w:r>
          <w:r>
            <w:rPr>
              <w:rStyle w:val="19"/>
              <w:rFonts w:hint="eastAsia" w:ascii="仿宋" w:hAnsi="仿宋" w:eastAsia="仿宋"/>
              <w:lang w:bidi="en-US"/>
            </w:rPr>
            <w:t>五、主要经验及做法、存在的问题及原因分析</w:t>
          </w:r>
          <w:r>
            <w:tab/>
          </w:r>
          <w:r>
            <w:fldChar w:fldCharType="begin"/>
          </w:r>
          <w:r>
            <w:instrText xml:space="preserve"> PAGEREF _Toc165277256 \h </w:instrText>
          </w:r>
          <w:r>
            <w:fldChar w:fldCharType="separate"/>
          </w:r>
          <w:r>
            <w:t>27</w:t>
          </w:r>
          <w:r>
            <w:fldChar w:fldCharType="end"/>
          </w:r>
          <w:r>
            <w:fldChar w:fldCharType="end"/>
          </w:r>
        </w:p>
        <w:p w14:paraId="4B426EE3">
          <w:pPr>
            <w:pStyle w:val="14"/>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"_Toc165277257" </w:instrText>
          </w:r>
          <w:r>
            <w:fldChar w:fldCharType="separate"/>
          </w:r>
          <w:r>
            <w:rPr>
              <w:rStyle w:val="19"/>
              <w:rFonts w:hint="eastAsia" w:ascii="仿宋" w:hAnsi="仿宋" w:eastAsia="仿宋"/>
              <w:lang w:bidi="en-US"/>
            </w:rPr>
            <w:t>（一）主要经验及做法</w:t>
          </w:r>
          <w:r>
            <w:tab/>
          </w:r>
          <w:r>
            <w:fldChar w:fldCharType="begin"/>
          </w:r>
          <w:r>
            <w:instrText xml:space="preserve"> PAGEREF _Toc165277257 \h </w:instrText>
          </w:r>
          <w:r>
            <w:fldChar w:fldCharType="separate"/>
          </w:r>
          <w:r>
            <w:t>27</w:t>
          </w:r>
          <w:r>
            <w:fldChar w:fldCharType="end"/>
          </w:r>
          <w:r>
            <w:fldChar w:fldCharType="end"/>
          </w:r>
        </w:p>
        <w:p w14:paraId="4ECFA8E2">
          <w:pPr>
            <w:pStyle w:val="14"/>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"_Toc165277258" </w:instrText>
          </w:r>
          <w:r>
            <w:fldChar w:fldCharType="separate"/>
          </w:r>
          <w:r>
            <w:rPr>
              <w:rStyle w:val="19"/>
              <w:rFonts w:hint="eastAsia" w:ascii="仿宋" w:hAnsi="仿宋" w:eastAsia="仿宋"/>
              <w:lang w:bidi="en-US"/>
            </w:rPr>
            <w:t>（二）存在的问题及原因分析</w:t>
          </w:r>
          <w:r>
            <w:tab/>
          </w:r>
          <w:r>
            <w:fldChar w:fldCharType="begin"/>
          </w:r>
          <w:r>
            <w:instrText xml:space="preserve"> PAGEREF _Toc165277258 \h </w:instrText>
          </w:r>
          <w:r>
            <w:fldChar w:fldCharType="separate"/>
          </w:r>
          <w:r>
            <w:t>27</w:t>
          </w:r>
          <w:r>
            <w:fldChar w:fldCharType="end"/>
          </w:r>
          <w:r>
            <w:fldChar w:fldCharType="end"/>
          </w:r>
        </w:p>
        <w:p w14:paraId="1E33B61A">
          <w:pPr>
            <w:pStyle w:val="12"/>
            <w:tabs>
              <w:tab w:val="right" w:leader="dot" w:pos="8296"/>
            </w:tabs>
            <w:ind w:firstLine="560"/>
            <w:rPr>
              <w:rFonts w:asciiTheme="minorHAnsi" w:hAnsiTheme="minorHAnsi" w:eastAsiaTheme="minorEastAsia" w:cstheme="minorBidi"/>
              <w:sz w:val="21"/>
            </w:rPr>
          </w:pPr>
          <w:r>
            <w:fldChar w:fldCharType="begin"/>
          </w:r>
          <w:r>
            <w:instrText xml:space="preserve"> HYPERLINK \l "_Toc165277259" </w:instrText>
          </w:r>
          <w:r>
            <w:fldChar w:fldCharType="separate"/>
          </w:r>
          <w:r>
            <w:rPr>
              <w:rStyle w:val="19"/>
              <w:rFonts w:hint="eastAsia" w:ascii="仿宋" w:hAnsi="仿宋" w:eastAsia="仿宋"/>
              <w:lang w:bidi="en-US"/>
            </w:rPr>
            <w:t>六、有关建议</w:t>
          </w:r>
          <w:r>
            <w:tab/>
          </w:r>
          <w:r>
            <w:fldChar w:fldCharType="begin"/>
          </w:r>
          <w:r>
            <w:instrText xml:space="preserve"> PAGEREF _Toc165277259 \h </w:instrText>
          </w:r>
          <w:r>
            <w:fldChar w:fldCharType="separate"/>
          </w:r>
          <w:r>
            <w:t>28</w:t>
          </w:r>
          <w:r>
            <w:fldChar w:fldCharType="end"/>
          </w:r>
          <w:r>
            <w:fldChar w:fldCharType="end"/>
          </w:r>
        </w:p>
        <w:p w14:paraId="739113F9">
          <w:pPr>
            <w:pStyle w:val="12"/>
            <w:tabs>
              <w:tab w:val="right" w:leader="dot" w:pos="8296"/>
            </w:tabs>
            <w:ind w:firstLine="560"/>
            <w:rPr>
              <w:rFonts w:asciiTheme="minorHAnsi" w:hAnsiTheme="minorHAnsi" w:eastAsiaTheme="minorEastAsia" w:cstheme="minorBidi"/>
              <w:sz w:val="21"/>
            </w:rPr>
          </w:pPr>
          <w:r>
            <w:fldChar w:fldCharType="begin"/>
          </w:r>
          <w:r>
            <w:instrText xml:space="preserve"> HYPERLINK \l "_Toc165277260" </w:instrText>
          </w:r>
          <w:r>
            <w:fldChar w:fldCharType="separate"/>
          </w:r>
          <w:r>
            <w:rPr>
              <w:rStyle w:val="19"/>
              <w:rFonts w:hint="eastAsia" w:ascii="仿宋" w:hAnsi="仿宋" w:eastAsia="仿宋"/>
              <w:lang w:bidi="en-US"/>
            </w:rPr>
            <w:t>七、其他需要说明的问题</w:t>
          </w:r>
          <w:r>
            <w:tab/>
          </w:r>
          <w:r>
            <w:fldChar w:fldCharType="begin"/>
          </w:r>
          <w:r>
            <w:instrText xml:space="preserve"> PAGEREF _Toc165277260 \h </w:instrText>
          </w:r>
          <w:r>
            <w:fldChar w:fldCharType="separate"/>
          </w:r>
          <w:r>
            <w:t>28</w:t>
          </w:r>
          <w:r>
            <w:fldChar w:fldCharType="end"/>
          </w:r>
          <w:r>
            <w:fldChar w:fldCharType="end"/>
          </w:r>
        </w:p>
        <w:p w14:paraId="4F682CFF">
          <w:pPr>
            <w:ind w:firstLine="562"/>
          </w:pPr>
          <w:r>
            <w:rPr>
              <w:b/>
              <w:bCs/>
              <w:lang w:val="zh-CN"/>
            </w:rPr>
            <w:fldChar w:fldCharType="end"/>
          </w:r>
        </w:p>
      </w:sdtContent>
    </w:sdt>
    <w:p w14:paraId="1A6234F9">
      <w:pPr>
        <w:ind w:firstLine="598" w:firstLineChars="187"/>
        <w:rPr>
          <w:rFonts w:ascii="仿宋_GB2312"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1B256A1F">
      <w:pPr>
        <w:pStyle w:val="2"/>
        <w:ind w:firstLine="0" w:firstLineChars="0"/>
        <w:jc w:val="left"/>
        <w:rPr>
          <w:rFonts w:ascii="仿宋" w:hAnsi="仿宋" w:eastAsia="仿宋"/>
          <w:sz w:val="36"/>
          <w:szCs w:val="36"/>
          <w:lang w:bidi="en-US"/>
        </w:rPr>
      </w:pPr>
      <w:bookmarkStart w:id="0" w:name="_Toc165277220"/>
      <w:bookmarkStart w:id="1" w:name="_Toc67911601"/>
      <w:r>
        <w:rPr>
          <w:rFonts w:hint="eastAsia" w:ascii="仿宋" w:hAnsi="仿宋" w:eastAsia="仿宋"/>
          <w:sz w:val="36"/>
          <w:szCs w:val="36"/>
          <w:lang w:bidi="en-US"/>
        </w:rPr>
        <w:t>一、基本情况</w:t>
      </w:r>
      <w:bookmarkEnd w:id="0"/>
      <w:bookmarkEnd w:id="1"/>
    </w:p>
    <w:p w14:paraId="7341E19D">
      <w:pPr>
        <w:widowControl/>
        <w:spacing w:line="360" w:lineRule="auto"/>
        <w:ind w:firstLine="560"/>
        <w:jc w:val="left"/>
        <w:rPr>
          <w:rFonts w:ascii="仿宋_GB2312"/>
        </w:rPr>
      </w:pPr>
      <w:bookmarkStart w:id="2" w:name="_Toc67911602"/>
      <w:bookmarkStart w:id="3" w:name="_Toc165277221"/>
      <w:r>
        <w:rPr>
          <w:rFonts w:hint="eastAsia" w:ascii="仿宋" w:hAnsi="仿宋" w:eastAsia="仿宋"/>
          <w:lang w:bidi="en-US"/>
        </w:rPr>
        <w:t>（一）项目概况：</w:t>
      </w:r>
      <w:bookmarkEnd w:id="2"/>
      <w:bookmarkEnd w:id="3"/>
    </w:p>
    <w:p w14:paraId="44C12DFA">
      <w:pPr>
        <w:pStyle w:val="4"/>
        <w:ind w:firstLine="0" w:firstLineChars="0"/>
      </w:pPr>
      <w:bookmarkStart w:id="4" w:name="_Toc165277222"/>
      <w:r>
        <w:rPr>
          <w:rFonts w:hint="eastAsia"/>
        </w:rPr>
        <w:t>1．项目背景、主要内容及实施情况</w:t>
      </w:r>
      <w:bookmarkEnd w:id="4"/>
    </w:p>
    <w:p w14:paraId="095CCD57">
      <w:pPr>
        <w:widowControl/>
        <w:spacing w:line="360" w:lineRule="auto"/>
        <w:ind w:firstLine="560"/>
        <w:jc w:val="left"/>
        <w:rPr>
          <w:rFonts w:ascii="仿宋_GB2312"/>
        </w:rPr>
      </w:pPr>
      <w:r>
        <w:rPr>
          <w:rFonts w:hint="eastAsia" w:ascii="仿宋_GB2312"/>
        </w:rPr>
        <w:t>该项目实施背景：</w:t>
      </w:r>
      <w:r>
        <w:rPr>
          <w:rFonts w:hint="eastAsia" w:ascii="仿宋_GB2312" w:eastAsia="仿宋"/>
        </w:rPr>
        <w:t>根据</w:t>
      </w:r>
      <w:r>
        <w:rPr>
          <w:rFonts w:hint="eastAsia" w:ascii="仿宋_GB2312"/>
        </w:rPr>
        <w:t>《关于印发公立医院全面预算管理制度实施办法的通知》（国卫财乌发[2020]30号）、《关于印发《2023年乌鲁木齐市本级部门预算编制管理工作规程》的通知》（乌财预函[2022]15号）、《关于2023年市卫健委所属单位预算的批复》（乌卫财【2023】年2号）、《关于印发《乌鲁木齐市本级政府采购预算管理办法（实行）》的通知》（乌财预[2022]50号）的文件。乌鲁木齐市妇幼保健院是集预防、保健、医疗、护理、科研、教学、培训为一体的三级甲等妇幼保健机构，为全区、全市妇女儿童提供妇幼健康服务，承担全区、全市妇幼健康业务管理和技术支持工作。</w:t>
      </w:r>
      <w:r>
        <w:rPr>
          <w:rFonts w:ascii="仿宋_GB2312"/>
        </w:rPr>
        <w:t>2023年是全面贯彻</w:t>
      </w:r>
      <w:r>
        <w:rPr>
          <w:rFonts w:hint="eastAsia" w:ascii="仿宋_GB2312"/>
        </w:rPr>
        <w:t>落实</w:t>
      </w:r>
      <w:r>
        <w:rPr>
          <w:rFonts w:ascii="仿宋_GB2312"/>
        </w:rPr>
        <w:t>党的二十大精神的开局年，是实施“十四五”规划承前启后的关键年。在市委市人民政府的坚强领导下，在市卫生健康委的关心支持下，</w:t>
      </w:r>
      <w:r>
        <w:rPr>
          <w:rFonts w:hint="eastAsia" w:ascii="仿宋_GB2312"/>
        </w:rPr>
        <w:t>乌鲁木齐市市妇幼保健院始终贯彻学习</w:t>
      </w:r>
      <w:r>
        <w:rPr>
          <w:rFonts w:ascii="仿宋_GB2312"/>
        </w:rPr>
        <w:t>习近平新时代中国特色社会主义思想，</w:t>
      </w:r>
      <w:r>
        <w:rPr>
          <w:rFonts w:hint="eastAsia" w:ascii="仿宋_GB2312"/>
        </w:rPr>
        <w:t>推进公立医院党建，贯彻落实《母婴保健法》和</w:t>
      </w:r>
      <w:r>
        <w:rPr>
          <w:rFonts w:ascii="仿宋_GB2312"/>
        </w:rPr>
        <w:t>妇女</w:t>
      </w:r>
      <w:r>
        <w:rPr>
          <w:rFonts w:hint="eastAsia" w:ascii="仿宋_GB2312"/>
        </w:rPr>
        <w:t>、</w:t>
      </w:r>
      <w:r>
        <w:rPr>
          <w:rFonts w:ascii="仿宋_GB2312"/>
        </w:rPr>
        <w:t>儿童</w:t>
      </w:r>
      <w:r>
        <w:rPr>
          <w:rFonts w:hint="eastAsia" w:ascii="仿宋_GB2312"/>
        </w:rPr>
        <w:t>发展</w:t>
      </w:r>
      <w:r>
        <w:rPr>
          <w:rFonts w:ascii="仿宋_GB2312"/>
        </w:rPr>
        <w:t>纲要</w:t>
      </w:r>
      <w:r>
        <w:rPr>
          <w:rFonts w:hint="eastAsia" w:ascii="仿宋_GB2312"/>
        </w:rPr>
        <w:t>，以保障母婴安全、提高出生人口素质为核心，不断推进专科建设，努力提升医疗质量，积极探索现代医院管理新模式，不断优化运营管理，深化绩效改革，加大人才引育力度，重视科研教学，为医院高质量发展助力。</w:t>
      </w:r>
    </w:p>
    <w:p w14:paraId="5BA76397">
      <w:pPr>
        <w:widowControl/>
        <w:spacing w:line="360" w:lineRule="auto"/>
        <w:ind w:firstLine="560"/>
        <w:jc w:val="left"/>
        <w:rPr>
          <w:rFonts w:ascii="仿宋_GB2312"/>
        </w:rPr>
      </w:pPr>
      <w:r>
        <w:rPr>
          <w:rFonts w:hint="eastAsia" w:ascii="仿宋_GB2312"/>
        </w:rPr>
        <w:t>为保障医院医疗业务正常运转，持续提高医疗技术服务水平，医院根据2022年实际情况及2023年医院医疗事业发展需要，</w:t>
      </w:r>
      <w:r>
        <w:rPr>
          <w:rFonts w:hint="eastAsia" w:ascii="仿宋_GB2312" w:hAnsi="仿宋"/>
          <w:szCs w:val="28"/>
        </w:rPr>
        <w:t>经过设备委员会、信息委员会、科学技术委员会、预算委员会研究讨论通过，并经过院党委会集体决策，同意进行该项目申报。</w:t>
      </w:r>
      <w:r>
        <w:rPr>
          <w:rFonts w:hint="eastAsia" w:ascii="仿宋_GB2312"/>
        </w:rPr>
        <w:t>此项目为政府采购业务，采购项目为医疗设备购置、信息网络及软件购置、办公设备购置及总务后勤保障服务等。通过采购先进的医疗设备、信息化建设的提高，不断提升医疗服务水平，通过不断提高</w:t>
      </w:r>
      <w:r>
        <w:rPr>
          <w:rFonts w:ascii="仿宋_GB2312"/>
        </w:rPr>
        <w:t>总务后勤保障服务</w:t>
      </w:r>
      <w:r>
        <w:rPr>
          <w:rFonts w:hint="eastAsia" w:ascii="仿宋_GB2312"/>
        </w:rPr>
        <w:t>，改善就医环境，从而提升医院品牌形象，服务于广大患者，提高患者满意度。本项目资金性质为单位自有资金，安排预算金额6，626.8万元，年中没有对资金进行调增、调减。</w:t>
      </w:r>
    </w:p>
    <w:p w14:paraId="21C5E724">
      <w:pPr>
        <w:widowControl/>
        <w:spacing w:line="360" w:lineRule="auto"/>
        <w:ind w:firstLine="560"/>
        <w:jc w:val="left"/>
        <w:rPr>
          <w:rFonts w:ascii="仿宋_GB2312"/>
        </w:rPr>
      </w:pPr>
      <w:r>
        <w:rPr>
          <w:rFonts w:hint="eastAsia" w:ascii="仿宋_GB2312"/>
        </w:rPr>
        <w:t>项目2023年的主要实施内容：①办公设备购置211台，金额合计173.46万元;②专用设备购置102台，金额合计2227.20万元;</w:t>
      </w:r>
      <w:r>
        <w:rPr>
          <w:rFonts w:ascii="仿宋_GB2312"/>
        </w:rPr>
        <w:t>③信息网络及软件购置16套</w:t>
      </w:r>
      <w:r>
        <w:rPr>
          <w:rFonts w:hint="eastAsia" w:ascii="仿宋_GB2312"/>
        </w:rPr>
        <w:t>，金额合计1473万元；</w:t>
      </w:r>
      <w:r>
        <w:rPr>
          <w:rFonts w:ascii="仿宋_GB2312"/>
        </w:rPr>
        <w:t>④总务后勤保障服务43项</w:t>
      </w:r>
      <w:r>
        <w:rPr>
          <w:rFonts w:hint="eastAsia" w:ascii="仿宋_GB2312"/>
        </w:rPr>
        <w:t>，金额合计2753.14万元。</w:t>
      </w:r>
    </w:p>
    <w:p w14:paraId="773859CE">
      <w:pPr>
        <w:widowControl/>
        <w:spacing w:line="360" w:lineRule="auto"/>
        <w:ind w:firstLine="560"/>
        <w:jc w:val="left"/>
        <w:rPr>
          <w:rFonts w:ascii="仿宋_GB2312"/>
        </w:rPr>
      </w:pPr>
      <w:r>
        <w:rPr>
          <w:rFonts w:hint="eastAsia" w:ascii="仿宋_GB2312"/>
        </w:rPr>
        <w:t>2023年当年完成情况：①办公设备购置211台：未执行122台（台式计算机60台，UPS1台，便携式计算机9台，激光打印机50台，台式计算机-监控1台，液晶监视器1台）；已执行89台（中标金额117.47万元，实际已付款31.06万元）。</w:t>
      </w:r>
      <w:r>
        <w:rPr>
          <w:rFonts w:ascii="仿宋_GB2312"/>
        </w:rPr>
        <w:t>②</w:t>
      </w:r>
      <w:r>
        <w:rPr>
          <w:rFonts w:hint="eastAsia" w:ascii="仿宋_GB2312"/>
        </w:rPr>
        <w:t>专用设备购置102台：未执行39台；已执行63台（中标金额978.87万元，实际已付款118.19万元）。</w:t>
      </w:r>
      <w:r>
        <w:rPr>
          <w:rFonts w:ascii="仿宋_GB2312"/>
        </w:rPr>
        <w:t>③信息网络及软件购置16套</w:t>
      </w:r>
      <w:r>
        <w:rPr>
          <w:rFonts w:hint="eastAsia" w:ascii="仿宋_GB2312"/>
        </w:rPr>
        <w:t>：未执行5套；11套正在走采购流程，金额658.万元，实际已付款0万元。</w:t>
      </w:r>
      <w:r>
        <w:rPr>
          <w:rFonts w:ascii="仿宋_GB2312"/>
        </w:rPr>
        <w:t>④总务后勤保障服务43项</w:t>
      </w:r>
      <w:r>
        <w:rPr>
          <w:rFonts w:hint="eastAsia" w:ascii="仿宋_GB2312"/>
        </w:rPr>
        <w:t>：未执行8项，已执行35项（中标金额1306.25万元，实际已付款848.67万元）。实</w:t>
      </w:r>
      <w:r>
        <w:rPr>
          <w:rFonts w:ascii="仿宋_GB2312"/>
        </w:rPr>
        <w:t>际完成情况</w:t>
      </w:r>
      <w:r>
        <w:rPr>
          <w:rFonts w:hint="eastAsia" w:ascii="仿宋_GB2312"/>
        </w:rPr>
        <w:t>997.92万元</w:t>
      </w:r>
      <w:r>
        <w:rPr>
          <w:rFonts w:ascii="仿宋_GB2312"/>
        </w:rPr>
        <w:t>：</w:t>
      </w:r>
      <w:r>
        <w:rPr>
          <w:rFonts w:hint="eastAsia" w:ascii="仿宋_GB2312"/>
        </w:rPr>
        <w:t>①办公设备购置89台,金额合计31.06万元</w:t>
      </w:r>
      <w:r>
        <w:rPr>
          <w:rFonts w:ascii="仿宋_GB2312"/>
        </w:rPr>
        <w:t>;②</w:t>
      </w:r>
      <w:r>
        <w:rPr>
          <w:rFonts w:hint="eastAsia" w:ascii="仿宋_GB2312"/>
        </w:rPr>
        <w:t>专用设备购置63台，金额合计118.19万元</w:t>
      </w:r>
      <w:r>
        <w:rPr>
          <w:rFonts w:ascii="仿宋_GB2312"/>
        </w:rPr>
        <w:t>;③信息网络及软件购置</w:t>
      </w:r>
      <w:r>
        <w:rPr>
          <w:rFonts w:hint="eastAsia" w:ascii="仿宋_GB2312"/>
        </w:rPr>
        <w:t>0</w:t>
      </w:r>
      <w:r>
        <w:rPr>
          <w:rFonts w:ascii="仿宋_GB2312"/>
        </w:rPr>
        <w:t>套</w:t>
      </w:r>
      <w:r>
        <w:rPr>
          <w:rFonts w:hint="eastAsia" w:ascii="仿宋_GB2312"/>
        </w:rPr>
        <w:t>，金额合计0万元；</w:t>
      </w:r>
      <w:r>
        <w:rPr>
          <w:rFonts w:ascii="仿宋_GB2312"/>
        </w:rPr>
        <w:t>④总务后勤保障服务</w:t>
      </w:r>
      <w:r>
        <w:rPr>
          <w:rFonts w:hint="eastAsia" w:ascii="仿宋_GB2312"/>
        </w:rPr>
        <w:t>35</w:t>
      </w:r>
      <w:r>
        <w:rPr>
          <w:rFonts w:ascii="仿宋_GB2312"/>
        </w:rPr>
        <w:t>项</w:t>
      </w:r>
      <w:r>
        <w:rPr>
          <w:rFonts w:hint="eastAsia" w:ascii="仿宋_GB2312"/>
        </w:rPr>
        <w:t>，金额合计848.47万元。</w:t>
      </w:r>
    </w:p>
    <w:p w14:paraId="72BC5971">
      <w:pPr>
        <w:spacing w:line="360" w:lineRule="auto"/>
        <w:ind w:firstLine="560"/>
        <w:rPr>
          <w:rFonts w:ascii="仿宋_GB2312"/>
        </w:rPr>
      </w:pPr>
    </w:p>
    <w:p w14:paraId="3826D0F8">
      <w:pPr>
        <w:pStyle w:val="4"/>
        <w:ind w:firstLine="643"/>
      </w:pPr>
      <w:bookmarkStart w:id="5" w:name="_Toc165277223"/>
      <w:r>
        <w:rPr>
          <w:rFonts w:hint="eastAsia"/>
        </w:rPr>
        <w:t>2</w:t>
      </w:r>
      <w:r>
        <w:t>.资金投入和使用情况</w:t>
      </w:r>
      <w:bookmarkEnd w:id="5"/>
    </w:p>
    <w:p w14:paraId="6938725F">
      <w:pPr>
        <w:spacing w:line="360" w:lineRule="auto"/>
        <w:ind w:firstLine="560"/>
        <w:rPr>
          <w:rFonts w:ascii="仿宋_GB2312"/>
        </w:rPr>
      </w:pPr>
      <w:r>
        <w:rPr>
          <w:rFonts w:hint="eastAsia" w:ascii="仿宋_GB2312"/>
        </w:rPr>
        <w:t>该项目资金投入情况：经《关于2023年市卫健委所属单位预算的批复》（乌卫财[2023]年2号）文件批准，本项目系</w:t>
      </w:r>
      <w:r>
        <w:rPr>
          <w:rFonts w:ascii="仿宋_GB2312"/>
        </w:rPr>
        <w:t>2023</w:t>
      </w:r>
      <w:r>
        <w:rPr>
          <w:rFonts w:hint="eastAsia" w:ascii="仿宋_GB2312"/>
        </w:rPr>
        <w:t>年单位其他资金，共安排预算6626.8万元，于2023年</w:t>
      </w:r>
      <w:r>
        <w:rPr>
          <w:rFonts w:ascii="仿宋_GB2312"/>
        </w:rPr>
        <w:t>年</w:t>
      </w:r>
      <w:r>
        <w:rPr>
          <w:rFonts w:hint="eastAsia" w:ascii="仿宋_GB2312"/>
        </w:rPr>
        <w:t>初</w:t>
      </w:r>
      <w:r>
        <w:rPr>
          <w:rFonts w:ascii="仿宋_GB2312"/>
        </w:rPr>
        <w:t>部分预算批复项目，</w:t>
      </w:r>
      <w:r>
        <w:rPr>
          <w:rFonts w:hint="eastAsia" w:ascii="仿宋_GB2312"/>
        </w:rPr>
        <w:t>年中没有对资金进行调增、调减。</w:t>
      </w:r>
    </w:p>
    <w:p w14:paraId="08CB88C7">
      <w:pPr>
        <w:spacing w:line="360" w:lineRule="auto"/>
        <w:ind w:firstLine="560"/>
        <w:rPr>
          <w:rFonts w:ascii="仿宋_GB2312"/>
        </w:rPr>
      </w:pPr>
      <w:r>
        <w:rPr>
          <w:rFonts w:hint="eastAsia" w:ascii="仿宋_GB2312"/>
        </w:rPr>
        <w:t>该项目资金使用情况：此年度项目为政府采购项目，采购项目包括医疗设备购置、信</w:t>
      </w:r>
      <w:r>
        <w:rPr>
          <w:rFonts w:ascii="仿宋_GB2312"/>
        </w:rPr>
        <w:t>息网络及软件购置</w:t>
      </w:r>
      <w:r>
        <w:rPr>
          <w:rFonts w:hint="eastAsia" w:ascii="仿宋_GB2312"/>
        </w:rPr>
        <w:t>、办公设备购置及</w:t>
      </w:r>
      <w:r>
        <w:rPr>
          <w:rFonts w:ascii="仿宋_GB2312"/>
        </w:rPr>
        <w:t>总务后勤保障服务</w:t>
      </w:r>
      <w:r>
        <w:rPr>
          <w:rFonts w:hint="eastAsia" w:ascii="仿宋_GB2312"/>
        </w:rPr>
        <w:t>等，此项目资金均为我单位自有资金，采购金额共计6626.80万元。</w:t>
      </w:r>
    </w:p>
    <w:p w14:paraId="6C86EDEC">
      <w:pPr>
        <w:spacing w:line="360" w:lineRule="auto"/>
        <w:ind w:firstLine="560"/>
        <w:rPr>
          <w:rFonts w:hint="eastAsia" w:ascii="仿宋_GB2312"/>
          <w:highlight w:val="yellow"/>
        </w:rPr>
      </w:pPr>
      <w:r>
        <w:rPr>
          <w:rFonts w:hint="eastAsia" w:ascii="仿宋_GB2312"/>
        </w:rPr>
        <w:t>其中：</w:t>
      </w:r>
      <w:r>
        <w:rPr>
          <w:rFonts w:ascii="仿宋_GB2312"/>
        </w:rPr>
        <w:t>①</w:t>
      </w:r>
      <w:r>
        <w:rPr>
          <w:rFonts w:hint="eastAsia" w:ascii="仿宋_GB2312"/>
        </w:rPr>
        <w:t>办公设备购置：年初预算购置211台，预算金额合计173.46万元</w:t>
      </w:r>
      <w:r>
        <w:rPr>
          <w:rFonts w:ascii="仿宋_GB2312"/>
        </w:rPr>
        <w:t>;</w:t>
      </w:r>
      <w:r>
        <w:rPr>
          <w:rFonts w:hint="eastAsia" w:ascii="仿宋_GB2312"/>
        </w:rPr>
        <w:t>已执行89台（中标金额117.47万元，实际已付款31.06万元）。</w:t>
      </w:r>
      <w:r>
        <w:rPr>
          <w:rFonts w:ascii="仿宋_GB2312"/>
        </w:rPr>
        <w:t>②</w:t>
      </w:r>
      <w:r>
        <w:rPr>
          <w:rFonts w:hint="eastAsia" w:ascii="仿宋_GB2312"/>
        </w:rPr>
        <w:t>专用设备购置：年初预算购置102台，预算金额合计2227.20万元</w:t>
      </w:r>
      <w:r>
        <w:rPr>
          <w:rFonts w:ascii="仿宋_GB2312"/>
        </w:rPr>
        <w:t>;</w:t>
      </w:r>
      <w:r>
        <w:rPr>
          <w:rFonts w:hint="eastAsia" w:ascii="仿宋_GB2312"/>
        </w:rPr>
        <w:t>已执行63台（中标金额978.87万元，实际已付款118.19万元）。</w:t>
      </w:r>
      <w:r>
        <w:rPr>
          <w:rFonts w:cs="Calibri"/>
        </w:rPr>
        <w:t>③信息网络及软件购置</w:t>
      </w:r>
      <w:r>
        <w:rPr>
          <w:rFonts w:hint="eastAsia" w:cs="Calibri"/>
        </w:rPr>
        <w:t>：</w:t>
      </w:r>
      <w:r>
        <w:rPr>
          <w:rFonts w:hint="eastAsia" w:ascii="仿宋_GB2312"/>
        </w:rPr>
        <w:t>年初预算购置</w:t>
      </w:r>
      <w:r>
        <w:rPr>
          <w:rFonts w:cs="Calibri"/>
        </w:rPr>
        <w:t>16套</w:t>
      </w:r>
      <w:r>
        <w:rPr>
          <w:rFonts w:hint="eastAsia" w:cs="Calibri"/>
        </w:rPr>
        <w:t>，预算金额合计1473万元；11套正在走采购流程，实际已付款0万元。</w:t>
      </w:r>
      <w:r>
        <w:rPr>
          <w:rFonts w:cs="Calibri"/>
        </w:rPr>
        <w:t>④总务后勤保障服务</w:t>
      </w:r>
      <w:r>
        <w:rPr>
          <w:rFonts w:hint="eastAsia" w:cs="Calibri"/>
        </w:rPr>
        <w:t>：</w:t>
      </w:r>
      <w:r>
        <w:rPr>
          <w:rFonts w:hint="eastAsia" w:ascii="仿宋_GB2312"/>
        </w:rPr>
        <w:t>年初预算购置</w:t>
      </w:r>
      <w:r>
        <w:rPr>
          <w:rFonts w:cs="Calibri"/>
        </w:rPr>
        <w:t>43项</w:t>
      </w:r>
      <w:r>
        <w:rPr>
          <w:rFonts w:hint="eastAsia" w:cs="Calibri"/>
        </w:rPr>
        <w:t>，预算金额合计2753.14万元；已执行35项（中标金额1306.25万元，实际已付款848.67万元）。</w:t>
      </w:r>
    </w:p>
    <w:p w14:paraId="1EDAD5A4">
      <w:pPr>
        <w:spacing w:line="360" w:lineRule="auto"/>
        <w:ind w:firstLine="560"/>
        <w:rPr>
          <w:rFonts w:hint="eastAsia" w:cs="Calibri"/>
        </w:rPr>
      </w:pPr>
      <w:r>
        <w:rPr>
          <w:rFonts w:hint="eastAsia" w:cs="Calibri"/>
        </w:rPr>
        <w:t>由于该项目属</w:t>
      </w:r>
      <w:r>
        <w:rPr>
          <w:rFonts w:cs="Calibri"/>
        </w:rPr>
        <w:t>于单位自有资金</w:t>
      </w:r>
      <w:r>
        <w:rPr>
          <w:rFonts w:hint="eastAsia" w:cs="Calibri"/>
        </w:rPr>
        <w:t>支出</w:t>
      </w:r>
      <w:r>
        <w:rPr>
          <w:rFonts w:cs="Calibri"/>
        </w:rPr>
        <w:t>，无需财政拨款，</w:t>
      </w:r>
      <w:r>
        <w:rPr>
          <w:rFonts w:hint="eastAsia" w:cs="Calibri"/>
        </w:rPr>
        <w:t>预算执行性</w:t>
      </w:r>
      <w:r>
        <w:rPr>
          <w:rFonts w:cs="Calibri"/>
        </w:rPr>
        <w:t>率</w:t>
      </w:r>
      <w:r>
        <w:rPr>
          <w:rFonts w:hint="eastAsia" w:cs="Calibri"/>
        </w:rPr>
        <w:t>100</w:t>
      </w:r>
      <w:r>
        <w:rPr>
          <w:rFonts w:cs="Calibri"/>
        </w:rPr>
        <w:t>%</w:t>
      </w:r>
    </w:p>
    <w:p w14:paraId="7E42765A">
      <w:pPr>
        <w:pStyle w:val="3"/>
        <w:ind w:firstLine="643"/>
        <w:rPr>
          <w:rFonts w:ascii="仿宋" w:hAnsi="仿宋" w:eastAsia="仿宋"/>
          <w:lang w:bidi="en-US"/>
        </w:rPr>
      </w:pPr>
      <w:bookmarkStart w:id="6" w:name="_Toc67911603"/>
      <w:bookmarkStart w:id="7" w:name="_Toc165277224"/>
      <w:r>
        <w:rPr>
          <w:rFonts w:hint="eastAsia" w:ascii="仿宋" w:hAnsi="仿宋" w:eastAsia="仿宋"/>
          <w:lang w:bidi="en-US"/>
        </w:rPr>
        <w:t>（二）项目绩效目标：</w:t>
      </w:r>
      <w:bookmarkEnd w:id="6"/>
      <w:bookmarkEnd w:id="7"/>
    </w:p>
    <w:p w14:paraId="289D348C">
      <w:pPr>
        <w:spacing w:line="360" w:lineRule="auto"/>
        <w:ind w:firstLine="560"/>
        <w:rPr>
          <w:rFonts w:ascii="仿宋_GB2312" w:hAnsi="仿宋"/>
          <w:szCs w:val="28"/>
        </w:rPr>
      </w:pPr>
      <w:r>
        <w:rPr>
          <w:rFonts w:hint="eastAsia" w:ascii="仿宋_GB2312" w:hAnsi="仿宋"/>
          <w:szCs w:val="28"/>
        </w:rPr>
        <w:t>本项目依据《中共中央 国务院关于全面实施预算绩效管理的意见》（中发〔2018〕</w:t>
      </w:r>
      <w:r>
        <w:rPr>
          <w:rFonts w:ascii="仿宋_GB2312" w:hAnsi="仿宋"/>
          <w:szCs w:val="28"/>
        </w:rPr>
        <w:t>34</w:t>
      </w:r>
      <w:r>
        <w:rPr>
          <w:rFonts w:hint="eastAsia" w:ascii="仿宋_GB2312" w:hAnsi="仿宋"/>
          <w:szCs w:val="28"/>
        </w:rPr>
        <w:t>号）、《关于印发&lt;乌鲁木齐市本级部门预算绩效目标管理暂行办法</w:t>
      </w:r>
      <w:r>
        <w:rPr>
          <w:rFonts w:ascii="仿宋_GB2312" w:hAnsi="仿宋"/>
          <w:szCs w:val="28"/>
        </w:rPr>
        <w:t>&gt;</w:t>
      </w:r>
      <w:r>
        <w:rPr>
          <w:rFonts w:hint="eastAsia" w:ascii="仿宋_GB2312" w:hAnsi="仿宋"/>
          <w:szCs w:val="28"/>
        </w:rPr>
        <w:t>的通知》（乌财预</w:t>
      </w:r>
      <w:bookmarkStart w:id="8" w:name="_Hlk67566397"/>
      <w:r>
        <w:rPr>
          <w:rFonts w:hint="eastAsia" w:ascii="仿宋_GB2312" w:hAnsi="仿宋"/>
          <w:szCs w:val="28"/>
        </w:rPr>
        <w:t>〔2018〕</w:t>
      </w:r>
      <w:r>
        <w:rPr>
          <w:rFonts w:ascii="仿宋_GB2312" w:hAnsi="仿宋"/>
          <w:szCs w:val="28"/>
        </w:rPr>
        <w:t>5</w:t>
      </w:r>
      <w:r>
        <w:rPr>
          <w:rFonts w:hint="eastAsia" w:ascii="仿宋_GB2312" w:hAnsi="仿宋"/>
          <w:szCs w:val="28"/>
        </w:rPr>
        <w:t>6号</w:t>
      </w:r>
      <w:bookmarkEnd w:id="8"/>
      <w:r>
        <w:rPr>
          <w:rFonts w:hint="eastAsia" w:ascii="仿宋_GB2312" w:hAnsi="仿宋"/>
          <w:szCs w:val="28"/>
        </w:rPr>
        <w:t>）、《关于做好2</w:t>
      </w:r>
      <w:r>
        <w:rPr>
          <w:rFonts w:ascii="仿宋_GB2312" w:hAnsi="仿宋"/>
          <w:szCs w:val="28"/>
        </w:rPr>
        <w:t>019</w:t>
      </w:r>
      <w:r>
        <w:rPr>
          <w:rFonts w:hint="eastAsia" w:ascii="仿宋_GB2312" w:hAnsi="仿宋"/>
          <w:szCs w:val="28"/>
        </w:rPr>
        <w:t>年部门预算项目支出绩效目标管理有关事宜的通知》（乌财预〔20</w:t>
      </w:r>
      <w:r>
        <w:rPr>
          <w:rFonts w:ascii="仿宋_GB2312" w:hAnsi="仿宋"/>
          <w:szCs w:val="28"/>
        </w:rPr>
        <w:t>18</w:t>
      </w:r>
      <w:r>
        <w:rPr>
          <w:rFonts w:hint="eastAsia" w:ascii="仿宋_GB2312" w:hAnsi="仿宋"/>
          <w:szCs w:val="28"/>
        </w:rPr>
        <w:t>〕</w:t>
      </w:r>
      <w:r>
        <w:rPr>
          <w:rFonts w:ascii="仿宋_GB2312" w:hAnsi="仿宋"/>
          <w:szCs w:val="28"/>
        </w:rPr>
        <w:t>76</w:t>
      </w:r>
      <w:r>
        <w:rPr>
          <w:rFonts w:hint="eastAsia" w:ascii="仿宋_GB2312" w:hAnsi="仿宋"/>
          <w:szCs w:val="28"/>
        </w:rPr>
        <w:t>号）和《项目支出绩效评价管理办法》（财预〔20</w:t>
      </w:r>
      <w:r>
        <w:rPr>
          <w:rFonts w:ascii="仿宋_GB2312" w:hAnsi="仿宋"/>
          <w:szCs w:val="28"/>
        </w:rPr>
        <w:t>20</w:t>
      </w:r>
      <w:r>
        <w:rPr>
          <w:rFonts w:hint="eastAsia" w:ascii="仿宋_GB2312" w:hAnsi="仿宋"/>
          <w:szCs w:val="28"/>
        </w:rPr>
        <w:t>〕</w:t>
      </w:r>
      <w:r>
        <w:rPr>
          <w:rFonts w:ascii="仿宋_GB2312" w:hAnsi="仿宋"/>
          <w:szCs w:val="28"/>
        </w:rPr>
        <w:t>10</w:t>
      </w:r>
      <w:r>
        <w:rPr>
          <w:rFonts w:hint="eastAsia" w:ascii="仿宋_GB2312" w:hAnsi="仿宋"/>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3ACDA77D">
      <w:pPr>
        <w:spacing w:line="360" w:lineRule="auto"/>
        <w:ind w:firstLine="560"/>
        <w:rPr>
          <w:rFonts w:ascii="仿宋_GB2312" w:hAnsi="仿宋"/>
          <w:szCs w:val="28"/>
        </w:rPr>
      </w:pPr>
      <w:r>
        <w:rPr>
          <w:rFonts w:hint="eastAsia" w:ascii="仿宋_GB2312" w:hAnsi="仿宋"/>
          <w:szCs w:val="28"/>
        </w:rPr>
        <w:t>该项目为</w:t>
      </w:r>
      <w:r>
        <w:rPr>
          <w:rFonts w:ascii="仿宋_GB2312" w:hAnsi="仿宋"/>
          <w:szCs w:val="28"/>
        </w:rPr>
        <w:t>当年一次性项目。</w:t>
      </w:r>
    </w:p>
    <w:p w14:paraId="709809EA">
      <w:pPr>
        <w:spacing w:line="360" w:lineRule="auto"/>
        <w:ind w:firstLine="560"/>
        <w:rPr>
          <w:rFonts w:ascii="仿宋_GB2312" w:hAnsi="仿宋"/>
          <w:szCs w:val="28"/>
        </w:rPr>
      </w:pPr>
      <w:r>
        <w:rPr>
          <w:rFonts w:hint="eastAsia" w:ascii="仿宋_GB2312" w:hAnsi="仿宋"/>
          <w:szCs w:val="28"/>
        </w:rPr>
        <w:t>该项目总体绩效目标：此项目为政府采购业务，采购项目为医疗设备购置、信息网络及软件购置、办公设备购置及总务后勤保障服务等。通过采购先进的医疗设备、信息化建设的提高，不断提升医疗服务水平，通过不断提高</w:t>
      </w:r>
      <w:r>
        <w:rPr>
          <w:rFonts w:ascii="仿宋_GB2312" w:hAnsi="仿宋"/>
          <w:szCs w:val="28"/>
        </w:rPr>
        <w:t>总务后勤保障服务</w:t>
      </w:r>
      <w:r>
        <w:rPr>
          <w:rFonts w:hint="eastAsia" w:ascii="仿宋_GB2312" w:hAnsi="仿宋"/>
          <w:szCs w:val="28"/>
        </w:rPr>
        <w:t>，改善就医环境，从而提升医院品牌形象，服务于广大患者，提高患者满意度。</w:t>
      </w:r>
    </w:p>
    <w:p w14:paraId="03FAB74B">
      <w:pPr>
        <w:spacing w:line="360" w:lineRule="auto"/>
        <w:ind w:firstLine="560"/>
        <w:rPr>
          <w:rFonts w:ascii="仿宋_GB2312" w:hAnsi="仿宋"/>
          <w:szCs w:val="28"/>
        </w:rPr>
      </w:pPr>
      <w:r>
        <w:rPr>
          <w:rFonts w:hint="eastAsia" w:ascii="仿宋_GB2312" w:hAnsi="仿宋"/>
          <w:szCs w:val="28"/>
        </w:rPr>
        <w:t>该项目阶段性目标为：在2023年计划完成</w:t>
      </w:r>
      <w:r>
        <w:rPr>
          <w:rFonts w:ascii="仿宋_GB2312" w:hAnsi="仿宋"/>
          <w:szCs w:val="28"/>
        </w:rPr>
        <w:t>①</w:t>
      </w:r>
      <w:r>
        <w:rPr>
          <w:rFonts w:hint="eastAsia" w:ascii="仿宋_GB2312" w:hAnsi="仿宋"/>
          <w:szCs w:val="28"/>
        </w:rPr>
        <w:t>办公设备购置211台，金额合计173.46万元</w:t>
      </w:r>
      <w:r>
        <w:rPr>
          <w:rFonts w:ascii="仿宋_GB2312" w:hAnsi="仿宋"/>
          <w:szCs w:val="28"/>
        </w:rPr>
        <w:t>;②</w:t>
      </w:r>
      <w:r>
        <w:rPr>
          <w:rFonts w:hint="eastAsia" w:ascii="仿宋_GB2312" w:hAnsi="仿宋"/>
          <w:szCs w:val="28"/>
        </w:rPr>
        <w:t>专用设备购置102台，金额合计2227.20万元</w:t>
      </w:r>
      <w:r>
        <w:rPr>
          <w:rFonts w:ascii="仿宋_GB2312" w:hAnsi="仿宋"/>
          <w:szCs w:val="28"/>
        </w:rPr>
        <w:t>;③信息网络及软件购置16套</w:t>
      </w:r>
      <w:r>
        <w:rPr>
          <w:rFonts w:hint="eastAsia" w:ascii="仿宋_GB2312" w:hAnsi="仿宋"/>
          <w:szCs w:val="28"/>
        </w:rPr>
        <w:t>，金额合计1473万元；</w:t>
      </w:r>
      <w:r>
        <w:rPr>
          <w:rFonts w:ascii="仿宋_GB2312" w:hAnsi="仿宋"/>
          <w:szCs w:val="28"/>
        </w:rPr>
        <w:t>④总务后勤保障服务43项</w:t>
      </w:r>
      <w:r>
        <w:rPr>
          <w:rFonts w:hint="eastAsia" w:ascii="仿宋_GB2312" w:hAnsi="仿宋"/>
          <w:szCs w:val="28"/>
        </w:rPr>
        <w:t>，金额合计2753.14万元。</w:t>
      </w:r>
    </w:p>
    <w:p w14:paraId="631C8102">
      <w:pPr>
        <w:spacing w:line="360" w:lineRule="auto"/>
        <w:ind w:firstLine="560"/>
        <w:rPr>
          <w:rFonts w:ascii="仿宋_GB2312" w:hAnsi="仿宋"/>
          <w:szCs w:val="28"/>
        </w:rPr>
      </w:pPr>
    </w:p>
    <w:p w14:paraId="70176B1E">
      <w:pPr>
        <w:pStyle w:val="2"/>
        <w:ind w:firstLine="0" w:firstLineChars="0"/>
        <w:jc w:val="left"/>
        <w:rPr>
          <w:rFonts w:ascii="仿宋" w:hAnsi="仿宋" w:eastAsia="仿宋"/>
          <w:sz w:val="36"/>
          <w:szCs w:val="36"/>
          <w:lang w:bidi="en-US"/>
        </w:rPr>
      </w:pPr>
      <w:bookmarkStart w:id="9" w:name="_Toc67911604"/>
      <w:bookmarkStart w:id="10" w:name="_Toc165277225"/>
      <w:r>
        <w:rPr>
          <w:rFonts w:hint="eastAsia" w:ascii="仿宋" w:hAnsi="仿宋" w:eastAsia="仿宋"/>
          <w:sz w:val="36"/>
          <w:szCs w:val="36"/>
          <w:lang w:bidi="en-US"/>
        </w:rPr>
        <w:t>二、绩效评价工作开展情况</w:t>
      </w:r>
      <w:bookmarkEnd w:id="9"/>
      <w:bookmarkEnd w:id="10"/>
    </w:p>
    <w:p w14:paraId="59820B62">
      <w:pPr>
        <w:pStyle w:val="3"/>
        <w:ind w:firstLine="643"/>
        <w:rPr>
          <w:rFonts w:ascii="仿宋" w:hAnsi="仿宋" w:eastAsia="仿宋"/>
          <w:lang w:bidi="en-US"/>
        </w:rPr>
      </w:pPr>
      <w:bookmarkStart w:id="11" w:name="_Toc165277226"/>
      <w:bookmarkStart w:id="12" w:name="_Toc67911605"/>
      <w:r>
        <w:rPr>
          <w:rFonts w:hint="eastAsia" w:ascii="仿宋" w:hAnsi="仿宋" w:eastAsia="仿宋"/>
          <w:lang w:bidi="en-US"/>
        </w:rPr>
        <w:t>（一）绩效评价目的、对象和范围</w:t>
      </w:r>
      <w:bookmarkEnd w:id="11"/>
      <w:bookmarkEnd w:id="12"/>
    </w:p>
    <w:p w14:paraId="4CA31013">
      <w:pPr>
        <w:pStyle w:val="4"/>
        <w:ind w:firstLine="643"/>
      </w:pPr>
      <w:bookmarkStart w:id="13" w:name="_Toc165277227"/>
      <w:r>
        <w:rPr>
          <w:rFonts w:hint="eastAsia"/>
        </w:rPr>
        <w:t>1</w:t>
      </w:r>
      <w:r>
        <w:t>.绩效评价完整性</w:t>
      </w:r>
      <w:bookmarkEnd w:id="13"/>
    </w:p>
    <w:p w14:paraId="20ACFBA2">
      <w:pPr>
        <w:spacing w:line="360" w:lineRule="auto"/>
        <w:ind w:firstLine="560"/>
        <w:rPr>
          <w:rFonts w:ascii="仿宋_GB2312" w:hAnsi="仿宋"/>
          <w:szCs w:val="28"/>
        </w:rPr>
      </w:pPr>
      <w:r>
        <w:rPr>
          <w:rFonts w:hint="eastAsia" w:ascii="仿宋_GB2312" w:hAnsi="仿宋"/>
          <w:szCs w:val="28"/>
        </w:rPr>
        <w:t>首先，为保障医院医疗业务正常运转，持续提高医疗技术服务水平，医院根据2022年实际情况及2023年医院医疗事业发展需要，经过设备委员会、信息委员会、科学技术委员会、预算委员会研究讨论通过，并经过院党委会集体决策，同意进行该项目申报。此项目为政府采购业务，采购项目为医疗设备购置、信息网络及软件购置、办公设备购置及总务后勤保障服务等。通过采购先进的医疗设备、信息化建设的提高，不断提升医疗服务水平，通过不断提高</w:t>
      </w:r>
      <w:r>
        <w:rPr>
          <w:rFonts w:ascii="仿宋_GB2312" w:hAnsi="仿宋"/>
          <w:szCs w:val="28"/>
        </w:rPr>
        <w:t>总务后勤保障服务</w:t>
      </w:r>
      <w:r>
        <w:rPr>
          <w:rFonts w:hint="eastAsia" w:ascii="仿宋_GB2312" w:hAnsi="仿宋"/>
          <w:szCs w:val="28"/>
        </w:rPr>
        <w:t>，改善就医环境，从而提升医院品牌形象，服务于广大患者，提高患者满意度。该项目按照指向明确、细化量化、合理可行和相应匹配的要求，设定三级绩效目标（数量指标、质量指标、时效指标、成本指标、效益指标），以准确、清晰地反映财政资金在使用期所能达到的预期产出和效果。</w:t>
      </w:r>
    </w:p>
    <w:p w14:paraId="728D7CC5">
      <w:pPr>
        <w:spacing w:line="360" w:lineRule="auto"/>
        <w:ind w:firstLine="560"/>
        <w:rPr>
          <w:rFonts w:ascii="仿宋_GB2312" w:hAnsi="仿宋"/>
          <w:szCs w:val="28"/>
        </w:rPr>
      </w:pPr>
      <w:r>
        <w:rPr>
          <w:rFonts w:hint="eastAsia" w:ascii="仿宋_GB2312" w:hAnsi="仿宋"/>
          <w:szCs w:val="28"/>
        </w:rPr>
        <w:t>其次，经《关于2023年市卫健委所属单位预算的批复》（乌卫财[2023]年2号）文件批准后，我医院按预算批复执行预算，预算在院内职代会进行公开，各职能科室按预算执行。以2023年5月底和8月底为节点给财政上报该项目支出的绩效监控情况，定期召开预算委员会将预算执行结果定期通报，督促各相关科室加快预算执行速度。</w:t>
      </w:r>
    </w:p>
    <w:p w14:paraId="0122B662">
      <w:pPr>
        <w:spacing w:line="520" w:lineRule="exact"/>
        <w:ind w:firstLine="560"/>
        <w:rPr>
          <w:rFonts w:ascii="仿宋_GB2312" w:hAnsi="仿宋"/>
          <w:szCs w:val="28"/>
        </w:rPr>
      </w:pPr>
      <w:r>
        <w:rPr>
          <w:rFonts w:hint="eastAsia" w:ascii="仿宋_GB2312" w:hAnsi="仿宋"/>
          <w:szCs w:val="28"/>
        </w:rPr>
        <w:t>最后，医院经过充分调研论证，采购项目按采购目录、金额分别上报院长办公会或党委会审议通过后上报，依据政策严格确定采购方式后上报市卫生健康委、市财政局采购办，待采购办审核，按审批意见实施采购。各归口科室做好各项目的执行和统计工作，按照项目绩效目标要求推进项目执行进度，并准确记录工作台账；按时、客观、真实、准确的提供佐证资料。</w:t>
      </w:r>
    </w:p>
    <w:p w14:paraId="08CAF232">
      <w:pPr>
        <w:pStyle w:val="4"/>
        <w:ind w:firstLine="643"/>
      </w:pPr>
      <w:bookmarkStart w:id="14" w:name="_Toc165277228"/>
      <w:r>
        <w:t>2</w:t>
      </w:r>
      <w:r>
        <w:rPr>
          <w:rFonts w:hint="eastAsia"/>
        </w:rPr>
        <w:t>.评价目的</w:t>
      </w:r>
      <w:bookmarkEnd w:id="14"/>
    </w:p>
    <w:p w14:paraId="11DFCA16">
      <w:pPr>
        <w:spacing w:line="360" w:lineRule="auto"/>
        <w:ind w:firstLine="560"/>
        <w:rPr>
          <w:rFonts w:ascii="仿宋_GB2312"/>
          <w:b/>
          <w:bCs/>
        </w:rPr>
      </w:pPr>
      <w:r>
        <w:rPr>
          <w:rFonts w:hint="eastAsia" w:ascii="仿宋_GB2312"/>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w:t>
      </w:r>
      <w:bookmarkStart w:id="64" w:name="_GoBack"/>
      <w:r>
        <w:rPr>
          <w:rFonts w:hint="eastAsia" w:ascii="仿宋_GB2312"/>
          <w:highlight w:val="none"/>
        </w:rPr>
        <w:t>、数量指标、质量指标、时效指标、成本指标和效益指标等进行深入调研和分析，进一步了解</w:t>
      </w:r>
      <w:r>
        <w:rPr>
          <w:rFonts w:hint="eastAsia" w:ascii="仿宋_GB2312"/>
          <w:highlight w:val="none"/>
        </w:rPr>
        <w:t>医疗设备、总务后勤保障及信息化建设项目</w:t>
      </w:r>
      <w:r>
        <w:rPr>
          <w:rFonts w:hint="eastAsia" w:ascii="仿宋_GB2312"/>
          <w:highlight w:val="none"/>
        </w:rPr>
        <w:t>项目实施情况，并考察项目实施过程和效果。（2）通过评价，客观公正反映项目立项科学性、项目管理规范性、项目实施有效性和项目效果，总结项目实施</w:t>
      </w:r>
      <w:bookmarkEnd w:id="64"/>
      <w:r>
        <w:rPr>
          <w:rFonts w:hint="eastAsia" w:ascii="仿宋_GB2312"/>
        </w:rPr>
        <w:t>的经验，发现项目实施过程中存在的问题，提出合理化建议，为完善项目管理和相关部门决策提供参考依据，并提高财政资金使用效益。</w:t>
      </w:r>
    </w:p>
    <w:p w14:paraId="086DB80A">
      <w:pPr>
        <w:pStyle w:val="4"/>
        <w:ind w:firstLine="643"/>
      </w:pPr>
      <w:bookmarkStart w:id="15" w:name="_Toc165277229"/>
      <w:r>
        <w:t>3</w:t>
      </w:r>
      <w:r>
        <w:rPr>
          <w:rFonts w:hint="eastAsia"/>
        </w:rPr>
        <w:t>.评价对象</w:t>
      </w:r>
      <w:bookmarkEnd w:id="15"/>
    </w:p>
    <w:p w14:paraId="29E9AB79">
      <w:pPr>
        <w:spacing w:line="360" w:lineRule="auto"/>
        <w:ind w:firstLine="560"/>
        <w:rPr>
          <w:rFonts w:ascii="仿宋_GB2312"/>
        </w:rPr>
      </w:pPr>
      <w:r>
        <w:rPr>
          <w:rFonts w:hint="eastAsia" w:ascii="仿宋_GB2312"/>
        </w:rPr>
        <w:t>（1）绩效评价的对象：医疗设备、总务后勤保障及信息化建设项目</w:t>
      </w:r>
      <w:r>
        <w:rPr>
          <w:rFonts w:ascii="仿宋_GB2312"/>
        </w:rPr>
        <w:t xml:space="preserve"> </w:t>
      </w:r>
    </w:p>
    <w:p w14:paraId="0FA39C5B">
      <w:pPr>
        <w:pStyle w:val="4"/>
        <w:ind w:firstLine="643"/>
      </w:pPr>
      <w:bookmarkStart w:id="16" w:name="_Toc165277230"/>
      <w:r>
        <w:rPr>
          <w:rFonts w:hint="eastAsia"/>
        </w:rPr>
        <w:t>4</w:t>
      </w:r>
      <w:r>
        <w:t>.</w:t>
      </w:r>
      <w:r>
        <w:rPr>
          <w:rFonts w:hint="eastAsia"/>
        </w:rPr>
        <w:t>绩效评价范围</w:t>
      </w:r>
      <w:bookmarkEnd w:id="16"/>
    </w:p>
    <w:p w14:paraId="54D1FB2B">
      <w:pPr>
        <w:spacing w:line="360" w:lineRule="auto"/>
        <w:ind w:firstLine="560"/>
        <w:rPr>
          <w:rFonts w:ascii="仿宋_GB2312"/>
        </w:rPr>
      </w:pPr>
      <w:r>
        <w:rPr>
          <w:rFonts w:ascii="仿宋_GB2312"/>
        </w:rPr>
        <w:t>1.</w:t>
      </w:r>
      <w:r>
        <w:rPr>
          <w:rFonts w:hint="eastAsia" w:ascii="仿宋_GB2312"/>
        </w:rPr>
        <w:t>时间范围：2</w:t>
      </w:r>
      <w:r>
        <w:rPr>
          <w:rFonts w:ascii="仿宋_GB2312"/>
        </w:rPr>
        <w:t>023</w:t>
      </w:r>
      <w:r>
        <w:rPr>
          <w:rFonts w:hint="eastAsia" w:ascii="仿宋_GB2312"/>
        </w:rPr>
        <w:t>年1月1日至2</w:t>
      </w:r>
      <w:r>
        <w:rPr>
          <w:rFonts w:ascii="仿宋_GB2312"/>
        </w:rPr>
        <w:t>023</w:t>
      </w:r>
      <w:r>
        <w:rPr>
          <w:rFonts w:hint="eastAsia" w:ascii="仿宋_GB2312"/>
        </w:rPr>
        <w:t>年1</w:t>
      </w:r>
      <w:r>
        <w:rPr>
          <w:rFonts w:ascii="仿宋_GB2312"/>
        </w:rPr>
        <w:t>2</w:t>
      </w:r>
      <w:r>
        <w:rPr>
          <w:rFonts w:hint="eastAsia" w:ascii="仿宋_GB2312"/>
        </w:rPr>
        <w:t>月3</w:t>
      </w:r>
      <w:r>
        <w:rPr>
          <w:rFonts w:ascii="仿宋_GB2312"/>
        </w:rPr>
        <w:t>1</w:t>
      </w:r>
      <w:r>
        <w:rPr>
          <w:rFonts w:hint="eastAsia" w:ascii="仿宋_GB2312"/>
        </w:rPr>
        <w:t>日。</w:t>
      </w:r>
    </w:p>
    <w:p w14:paraId="0DF30B04">
      <w:pPr>
        <w:spacing w:line="360" w:lineRule="auto"/>
        <w:ind w:firstLine="560"/>
        <w:rPr>
          <w:rFonts w:ascii="仿宋_GB2312" w:hAnsi="仿宋"/>
          <w:szCs w:val="28"/>
        </w:rPr>
      </w:pPr>
      <w:r>
        <w:rPr>
          <w:rFonts w:ascii="仿宋_GB2312"/>
        </w:rPr>
        <w:t>2.</w:t>
      </w:r>
      <w:r>
        <w:rPr>
          <w:rFonts w:hint="eastAsia" w:ascii="仿宋_GB2312"/>
        </w:rPr>
        <w:t>项目范围：</w:t>
      </w:r>
      <w:r>
        <w:rPr>
          <w:rFonts w:hint="eastAsia" w:ascii="仿宋_GB2312" w:hAnsi="仿宋"/>
          <w:szCs w:val="28"/>
        </w:rPr>
        <w:t>为保障医院医疗业务正常运转，持续提高医疗技术服务水平，医院根据2022年实际情况及2023年医院医疗事业发展需要，经过设备委员会、信息委员会、科学技术委员会、预算委员会研究讨论通过，并经过院党委会集体决策，同意进行该项目申报。</w:t>
      </w:r>
    </w:p>
    <w:p w14:paraId="008B05D4">
      <w:pPr>
        <w:spacing w:line="360" w:lineRule="auto"/>
        <w:ind w:firstLine="560"/>
        <w:rPr>
          <w:rFonts w:ascii="仿宋_GB2312"/>
          <w:szCs w:val="28"/>
        </w:rPr>
      </w:pPr>
      <w:r>
        <w:rPr>
          <w:rFonts w:hint="eastAsia" w:ascii="仿宋_GB2312"/>
          <w:szCs w:val="28"/>
        </w:rPr>
        <w:t>该项目属于单位经常性项目，依据医院主要职能和医疗业务发展方向编制该项目内容，包括医疗设备的购置、信息网络及软件的购置、办公设备的购置及总务后勤保障服务的采购，采购项目涉及货物、服务、工程等方面，项目综合性较强，采购过程流程繁琐，涉及需要协同部门较多，项目耗时较长。又因存在服务周期与会计年度不一致的服务合同，故部分业务未在项目当年完成支付。</w:t>
      </w:r>
    </w:p>
    <w:p w14:paraId="2F8702F9">
      <w:pPr>
        <w:spacing w:line="360" w:lineRule="auto"/>
        <w:ind w:firstLine="560"/>
        <w:rPr>
          <w:rFonts w:hint="eastAsia" w:ascii="仿宋_GB2312" w:hAnsi="仿宋"/>
          <w:szCs w:val="28"/>
        </w:rPr>
      </w:pPr>
      <w:r>
        <w:rPr>
          <w:rFonts w:hint="eastAsia" w:ascii="仿宋_GB2312" w:hAnsi="仿宋"/>
          <w:szCs w:val="28"/>
        </w:rPr>
        <w:t>此项目为政府采购业务，采购项目为医疗设备购置、信息网络及软件购置、办公设备购置及总务后勤保障服务等。通过采购先进的医疗设备、信息化建设的提高，不断提升医疗服务水平，通过不断提高</w:t>
      </w:r>
      <w:r>
        <w:rPr>
          <w:rFonts w:ascii="仿宋_GB2312" w:hAnsi="仿宋"/>
          <w:szCs w:val="28"/>
        </w:rPr>
        <w:t>总务后勤保障服务</w:t>
      </w:r>
      <w:r>
        <w:rPr>
          <w:rFonts w:hint="eastAsia" w:ascii="仿宋_GB2312" w:hAnsi="仿宋"/>
          <w:szCs w:val="28"/>
        </w:rPr>
        <w:t>，改善就医环境，从而提升医院品牌形象，服务于广大患者，提高患者满意度。项目</w:t>
      </w:r>
      <w:r>
        <w:rPr>
          <w:rFonts w:ascii="仿宋_GB2312" w:hAnsi="仿宋"/>
          <w:szCs w:val="28"/>
        </w:rPr>
        <w:t>完成情况</w:t>
      </w:r>
      <w:r>
        <w:rPr>
          <w:rFonts w:hint="eastAsia" w:ascii="仿宋_GB2312" w:hAnsi="仿宋"/>
          <w:szCs w:val="28"/>
        </w:rPr>
        <w:t>良好</w:t>
      </w:r>
      <w:r>
        <w:rPr>
          <w:rFonts w:ascii="仿宋_GB2312" w:hAnsi="仿宋"/>
          <w:szCs w:val="28"/>
        </w:rPr>
        <w:t>。</w:t>
      </w:r>
    </w:p>
    <w:p w14:paraId="2AF4924C">
      <w:pPr>
        <w:widowControl/>
        <w:ind w:firstLine="480"/>
        <w:jc w:val="left"/>
        <w:rPr>
          <w:rFonts w:ascii="宋体" w:hAnsi="宋体" w:eastAsia="宋体" w:cs="宋体"/>
          <w:color w:val="FF0000"/>
          <w:kern w:val="0"/>
          <w:sz w:val="24"/>
          <w:szCs w:val="24"/>
        </w:rPr>
      </w:pPr>
    </w:p>
    <w:p w14:paraId="7161D467">
      <w:pPr>
        <w:pStyle w:val="3"/>
        <w:ind w:firstLine="643"/>
        <w:rPr>
          <w:rFonts w:ascii="仿宋" w:hAnsi="仿宋" w:eastAsia="仿宋"/>
          <w:lang w:bidi="en-US"/>
        </w:rPr>
      </w:pPr>
      <w:bookmarkStart w:id="17" w:name="_Toc67911606"/>
      <w:bookmarkStart w:id="18" w:name="_Toc165277231"/>
      <w:bookmarkStart w:id="19" w:name="_Hlk67586765"/>
      <w:r>
        <w:rPr>
          <w:rFonts w:hint="eastAsia" w:ascii="仿宋" w:hAnsi="仿宋" w:eastAsia="仿宋"/>
          <w:lang w:bidi="en-US"/>
        </w:rPr>
        <w:t>（二）绩效评价原则、指标体系、方法及标准</w:t>
      </w:r>
      <w:bookmarkEnd w:id="17"/>
      <w:bookmarkEnd w:id="18"/>
    </w:p>
    <w:bookmarkEnd w:id="19"/>
    <w:p w14:paraId="1ADB472E">
      <w:pPr>
        <w:pStyle w:val="4"/>
        <w:ind w:firstLine="643"/>
      </w:pPr>
      <w:bookmarkStart w:id="20" w:name="_Toc165277232"/>
      <w:r>
        <w:rPr>
          <w:rFonts w:hint="eastAsia"/>
        </w:rPr>
        <w:t>1</w:t>
      </w:r>
      <w:r>
        <w:t>.</w:t>
      </w:r>
      <w:r>
        <w:rPr>
          <w:rFonts w:hint="eastAsia"/>
        </w:rPr>
        <w:t>评价原则</w:t>
      </w:r>
      <w:bookmarkEnd w:id="20"/>
    </w:p>
    <w:p w14:paraId="59A1904C">
      <w:pPr>
        <w:spacing w:line="600" w:lineRule="exact"/>
        <w:ind w:firstLine="640"/>
        <w:rPr>
          <w:rFonts w:ascii="仿宋_GB2312"/>
          <w:bCs/>
          <w:sz w:val="32"/>
          <w:szCs w:val="32"/>
        </w:rPr>
      </w:pPr>
      <w:r>
        <w:rPr>
          <w:rFonts w:hint="eastAsia" w:ascii="仿宋_GB2312"/>
          <w:bCs/>
          <w:sz w:val="32"/>
          <w:szCs w:val="32"/>
        </w:rPr>
        <w:t>（一）科学公正。绩效评价应当运用科学合理的方法，按照规范的程序，对项目绩效进行客观、公正的反映。</w:t>
      </w:r>
    </w:p>
    <w:p w14:paraId="0558C246">
      <w:pPr>
        <w:spacing w:line="600" w:lineRule="exact"/>
        <w:ind w:firstLine="640"/>
        <w:rPr>
          <w:rFonts w:ascii="仿宋_GB2312"/>
          <w:bCs/>
          <w:sz w:val="32"/>
          <w:szCs w:val="32"/>
        </w:rPr>
      </w:pPr>
      <w:r>
        <w:rPr>
          <w:rFonts w:hint="eastAsia" w:ascii="仿宋_GB2312"/>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3933174F">
      <w:pPr>
        <w:spacing w:line="600" w:lineRule="exact"/>
        <w:ind w:firstLine="640"/>
        <w:rPr>
          <w:rFonts w:ascii="仿宋_GB2312"/>
          <w:bCs/>
          <w:sz w:val="32"/>
          <w:szCs w:val="32"/>
        </w:rPr>
      </w:pPr>
      <w:r>
        <w:rPr>
          <w:rFonts w:hint="eastAsia" w:ascii="仿宋_GB2312"/>
          <w:bCs/>
          <w:sz w:val="32"/>
          <w:szCs w:val="32"/>
        </w:rPr>
        <w:t>（三）激励约束。绩效评价结果应与预算安排、政策调整、改进管理实质性挂钩，体现奖优罚劣和激励相容导向，有效要安排、低效要压减、无效要问责。</w:t>
      </w:r>
    </w:p>
    <w:p w14:paraId="4EA02DBF">
      <w:pPr>
        <w:spacing w:line="600" w:lineRule="exact"/>
        <w:ind w:firstLine="640"/>
        <w:rPr>
          <w:rFonts w:ascii="仿宋_GB2312"/>
          <w:bCs/>
          <w:sz w:val="32"/>
          <w:szCs w:val="32"/>
        </w:rPr>
      </w:pPr>
      <w:r>
        <w:rPr>
          <w:rFonts w:hint="eastAsia" w:ascii="仿宋_GB2312"/>
          <w:bCs/>
          <w:sz w:val="32"/>
          <w:szCs w:val="32"/>
        </w:rPr>
        <w:t>（四）公开透明。绩效评价结果应依法依规公开，并自觉接受社会监督。</w:t>
      </w:r>
    </w:p>
    <w:p w14:paraId="701F4BC9">
      <w:pPr>
        <w:pStyle w:val="4"/>
        <w:ind w:firstLine="643"/>
      </w:pPr>
      <w:bookmarkStart w:id="21" w:name="_Toc165277233"/>
      <w:r>
        <w:t>2.</w:t>
      </w:r>
      <w:r>
        <w:rPr>
          <w:rFonts w:hint="eastAsia"/>
        </w:rPr>
        <w:t>评价指标体系</w:t>
      </w:r>
      <w:bookmarkEnd w:id="21"/>
    </w:p>
    <w:p w14:paraId="1C8E6E07">
      <w:pPr>
        <w:spacing w:line="360" w:lineRule="auto"/>
        <w:ind w:firstLine="560"/>
        <w:rPr>
          <w:rFonts w:ascii="仿宋_GB2312"/>
        </w:rPr>
      </w:pPr>
      <w:r>
        <w:rPr>
          <w:rFonts w:hint="eastAsia" w:ascii="仿宋_GB2312"/>
        </w:rPr>
        <w:t>绩效评价指标体系作为衡量绩效目标实现程度的考核工具，一般遵循以下原则：</w:t>
      </w:r>
    </w:p>
    <w:p w14:paraId="3FAD7CDB">
      <w:pPr>
        <w:spacing w:line="360" w:lineRule="auto"/>
        <w:ind w:firstLine="560"/>
        <w:rPr>
          <w:rFonts w:ascii="仿宋_GB2312"/>
        </w:rPr>
      </w:pPr>
      <w:r>
        <w:rPr>
          <w:rFonts w:hint="eastAsia" w:ascii="仿宋_GB2312"/>
        </w:rPr>
        <w:t>（1）相关性原则：绩效评价指标应当与绩效目标有直接的联系，能够恰当反映目标的实现程度。</w:t>
      </w:r>
    </w:p>
    <w:p w14:paraId="16DD4BA1">
      <w:pPr>
        <w:spacing w:line="360" w:lineRule="auto"/>
        <w:ind w:firstLine="560"/>
        <w:rPr>
          <w:rFonts w:ascii="仿宋_GB2312"/>
        </w:rPr>
      </w:pPr>
      <w:r>
        <w:rPr>
          <w:rFonts w:hint="eastAsia" w:ascii="仿宋_GB2312"/>
        </w:rPr>
        <w:t>（2）重要性原则：应当优先使用最具评价对象代表性、最能反映评价要求的核心指标。</w:t>
      </w:r>
    </w:p>
    <w:p w14:paraId="1DF8C3DE">
      <w:pPr>
        <w:spacing w:line="360" w:lineRule="auto"/>
        <w:ind w:firstLine="560"/>
        <w:rPr>
          <w:rFonts w:ascii="仿宋_GB2312"/>
        </w:rPr>
      </w:pPr>
      <w:r>
        <w:rPr>
          <w:rFonts w:hint="eastAsia" w:ascii="仿宋_GB2312"/>
        </w:rPr>
        <w:t>（3）可比性原则：对同类评价对象要设定共性的绩效评价指标，以便于评价结果可以相互比较。</w:t>
      </w:r>
    </w:p>
    <w:p w14:paraId="3E15E303">
      <w:pPr>
        <w:spacing w:line="360" w:lineRule="auto"/>
        <w:ind w:firstLine="560"/>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14:paraId="6DA93F4C">
      <w:pPr>
        <w:spacing w:line="360" w:lineRule="auto"/>
        <w:ind w:firstLine="560"/>
        <w:rPr>
          <w:rFonts w:ascii="仿宋_GB2312"/>
        </w:rPr>
      </w:pPr>
      <w:r>
        <w:rPr>
          <w:rFonts w:hint="eastAsia" w:ascii="仿宋_GB2312"/>
        </w:rPr>
        <w:t>（5）经济性原则：绩效评价指标设计应当通俗易懂、简便易行，数据的获得应当考虑现实条件和可操作性，符合成本效益原则。</w:t>
      </w:r>
    </w:p>
    <w:p w14:paraId="1E152E19">
      <w:pPr>
        <w:spacing w:line="360" w:lineRule="auto"/>
        <w:ind w:firstLine="560"/>
        <w:rPr>
          <w:rFonts w:ascii="仿宋_GB2312"/>
        </w:rPr>
      </w:pPr>
      <w:r>
        <w:rPr>
          <w:rFonts w:hint="eastAsia" w:ascii="仿宋_GB2312"/>
        </w:rPr>
        <w:t>本项目的评价指标体系建立如下表所示。</w:t>
      </w:r>
    </w:p>
    <w:p w14:paraId="24169911">
      <w:pPr>
        <w:spacing w:line="360" w:lineRule="auto"/>
        <w:ind w:firstLine="560"/>
        <w:rPr>
          <w:rFonts w:ascii="仿宋_GB2312"/>
        </w:rPr>
      </w:pPr>
    </w:p>
    <w:p w14:paraId="431B9228">
      <w:pPr>
        <w:spacing w:line="360" w:lineRule="auto"/>
        <w:ind w:firstLine="560"/>
        <w:rPr>
          <w:rFonts w:ascii="仿宋_GB2312"/>
        </w:rPr>
      </w:pPr>
    </w:p>
    <w:p w14:paraId="601E53F9">
      <w:pPr>
        <w:spacing w:line="360" w:lineRule="auto"/>
        <w:ind w:firstLine="560"/>
        <w:rPr>
          <w:rFonts w:ascii="仿宋_GB2312"/>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14:paraId="7DBFC89F">
      <w:pPr>
        <w:spacing w:line="360" w:lineRule="auto"/>
        <w:ind w:firstLine="0" w:firstLineChars="0"/>
        <w:jc w:val="center"/>
        <w:rPr>
          <w:rFonts w:ascii="仿宋_GB2312"/>
          <w:b/>
          <w:bCs/>
        </w:rPr>
      </w:pPr>
      <w:r>
        <w:rPr>
          <w:rFonts w:ascii="仿宋_GB2312"/>
          <w:b/>
          <w:bCs/>
        </w:rPr>
        <w:t xml:space="preserve">  </w:t>
      </w:r>
      <w:r>
        <w:rPr>
          <w:rFonts w:hint="eastAsia" w:ascii="仿宋_GB2312"/>
          <w:b/>
          <w:bCs/>
        </w:rPr>
        <w:t>项目支出绩效评价指标体系</w:t>
      </w:r>
    </w:p>
    <w:tbl>
      <w:tblPr>
        <w:tblStyle w:val="1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14:paraId="6ED9CA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14:paraId="1F47DFE8">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199" w:type="dxa"/>
            <w:tcBorders>
              <w:tl2br w:val="nil"/>
              <w:tr2bl w:val="nil"/>
            </w:tcBorders>
            <w:shd w:val="clear" w:color="auto" w:fill="D0CECE" w:themeFill="background2" w:themeFillShade="E6"/>
            <w:vAlign w:val="center"/>
          </w:tcPr>
          <w:p w14:paraId="64CD15DC">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411" w:type="dxa"/>
            <w:tcBorders>
              <w:tl2br w:val="nil"/>
              <w:tr2bl w:val="nil"/>
            </w:tcBorders>
            <w:shd w:val="clear" w:color="auto" w:fill="D0CECE" w:themeFill="background2" w:themeFillShade="E6"/>
            <w:vAlign w:val="center"/>
          </w:tcPr>
          <w:p w14:paraId="305E3A97">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789" w:type="dxa"/>
            <w:tcBorders>
              <w:tl2br w:val="nil"/>
              <w:tr2bl w:val="nil"/>
            </w:tcBorders>
            <w:shd w:val="clear" w:color="auto" w:fill="D0CECE" w:themeFill="background2" w:themeFillShade="E6"/>
            <w:vAlign w:val="center"/>
          </w:tcPr>
          <w:p w14:paraId="181BA1E2">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41" w:type="dxa"/>
            <w:tcBorders>
              <w:tl2br w:val="nil"/>
              <w:tr2bl w:val="nil"/>
            </w:tcBorders>
            <w:shd w:val="clear" w:color="auto" w:fill="D0CECE" w:themeFill="background2" w:themeFillShade="E6"/>
            <w:vAlign w:val="center"/>
          </w:tcPr>
          <w:p w14:paraId="29C793C0">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14:paraId="0EFB23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49D801D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vMerge w:val="restart"/>
            <w:tcBorders>
              <w:tl2br w:val="nil"/>
              <w:tr2bl w:val="nil"/>
            </w:tcBorders>
            <w:shd w:val="clear" w:color="auto" w:fill="FFFFFF"/>
            <w:vAlign w:val="center"/>
          </w:tcPr>
          <w:p w14:paraId="01FC44C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项目立项</w:t>
            </w:r>
          </w:p>
        </w:tc>
        <w:tc>
          <w:tcPr>
            <w:tcW w:w="1411" w:type="dxa"/>
            <w:tcBorders>
              <w:tl2br w:val="nil"/>
              <w:tr2bl w:val="nil"/>
            </w:tcBorders>
            <w:shd w:val="clear" w:color="auto" w:fill="FFFFFF"/>
            <w:vAlign w:val="center"/>
          </w:tcPr>
          <w:p w14:paraId="3679F3B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立项依据</w:t>
            </w:r>
          </w:p>
          <w:p w14:paraId="4DAAD2D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充分性</w:t>
            </w:r>
          </w:p>
        </w:tc>
        <w:tc>
          <w:tcPr>
            <w:tcW w:w="2789" w:type="dxa"/>
            <w:tcBorders>
              <w:tl2br w:val="nil"/>
              <w:tr2bl w:val="nil"/>
            </w:tcBorders>
            <w:shd w:val="clear" w:color="auto" w:fill="FFFFFF"/>
            <w:vAlign w:val="center"/>
          </w:tcPr>
          <w:p w14:paraId="02B057E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111D7A86">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p>
          <w:p w14:paraId="7B2BCCD1">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①项目立项是否符合国家法律法规、国民经济发展规划和相关政策；</w:t>
            </w:r>
          </w:p>
          <w:p w14:paraId="4D96F38E">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②项目立项是否符合行业发展规划和政策要求；</w:t>
            </w:r>
          </w:p>
          <w:p w14:paraId="48374651">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③项目立项是否与部门职责范围相符，属于部门履职所需；</w:t>
            </w:r>
          </w:p>
          <w:p w14:paraId="74A98121">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④项目是否属于公共财政支持范围，是否符合中央、地方事权支出责任划分原则；</w:t>
            </w:r>
          </w:p>
          <w:p w14:paraId="62BABA42">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⑤项目是否与相关部门同类项目或部门内部相关项目重复。</w:t>
            </w:r>
          </w:p>
        </w:tc>
      </w:tr>
      <w:tr w14:paraId="2D7D81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79FCA35F">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270DD541">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0ACFE617">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立项程序</w:t>
            </w:r>
          </w:p>
          <w:p w14:paraId="3151D6E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规范性</w:t>
            </w:r>
          </w:p>
        </w:tc>
        <w:tc>
          <w:tcPr>
            <w:tcW w:w="2789" w:type="dxa"/>
            <w:tcBorders>
              <w:tl2br w:val="nil"/>
              <w:tr2bl w:val="nil"/>
            </w:tcBorders>
            <w:shd w:val="clear" w:color="auto" w:fill="FFFFFF"/>
            <w:vAlign w:val="center"/>
          </w:tcPr>
          <w:p w14:paraId="1DBF8B3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39D080AC">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p>
          <w:p w14:paraId="701AC4D7">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①项目是否按照规定的程序申请设立；</w:t>
            </w:r>
          </w:p>
          <w:p w14:paraId="1D4656FA">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②审批文件、材料是否符合相关要求；</w:t>
            </w:r>
          </w:p>
          <w:p w14:paraId="33351F4F">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③事前是否已经过必要的可行性研究、专家论证、风险评估、绩效评估、集体决策。</w:t>
            </w:r>
          </w:p>
        </w:tc>
      </w:tr>
      <w:tr w14:paraId="0FF95A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5FA909E1">
            <w:pPr>
              <w:ind w:firstLine="0" w:firstLineChars="0"/>
              <w:jc w:val="center"/>
              <w:rPr>
                <w:rFonts w:ascii="宋体" w:hAnsi="宋体" w:eastAsia="宋体" w:cs="宋体"/>
                <w:color w:val="000000"/>
                <w:kern w:val="0"/>
                <w:sz w:val="22"/>
              </w:rPr>
            </w:pPr>
          </w:p>
        </w:tc>
        <w:tc>
          <w:tcPr>
            <w:tcW w:w="1199" w:type="dxa"/>
            <w:tcBorders>
              <w:tl2br w:val="nil"/>
              <w:tr2bl w:val="nil"/>
            </w:tcBorders>
            <w:shd w:val="clear" w:color="auto" w:fill="FFFFFF"/>
            <w:vAlign w:val="center"/>
          </w:tcPr>
          <w:p w14:paraId="4EA1805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35524ECD">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p w14:paraId="5ED0ABA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000000" w:fill="FFFFFF"/>
            <w:vAlign w:val="center"/>
          </w:tcPr>
          <w:p w14:paraId="17D8736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5DDF4C4D">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p>
          <w:p w14:paraId="794EB7E8">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（如未设定预算绩效目标，也可考核其他工作任务目标）</w:t>
            </w:r>
          </w:p>
          <w:p w14:paraId="137A72AC">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①项目是否有绩效目标；</w:t>
            </w:r>
          </w:p>
          <w:p w14:paraId="33CBA2DB">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②项目绩效目标与实际工作内容是否具有相关性；</w:t>
            </w:r>
          </w:p>
          <w:p w14:paraId="3EE6D572">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③项目预期产出效益和效果是否符合正常的业绩水平；</w:t>
            </w:r>
          </w:p>
          <w:p w14:paraId="1FCFBFDA">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r>
      <w:tr w14:paraId="538B55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2253AF0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tcBorders>
              <w:tl2br w:val="nil"/>
              <w:tr2bl w:val="nil"/>
            </w:tcBorders>
            <w:shd w:val="clear" w:color="auto" w:fill="FFFFFF"/>
            <w:vAlign w:val="center"/>
          </w:tcPr>
          <w:p w14:paraId="12A3DCB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449F11A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绩效指标</w:t>
            </w:r>
          </w:p>
          <w:p w14:paraId="0C9F8DB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明确性</w:t>
            </w:r>
          </w:p>
        </w:tc>
        <w:tc>
          <w:tcPr>
            <w:tcW w:w="2789" w:type="dxa"/>
            <w:tcBorders>
              <w:tl2br w:val="nil"/>
              <w:tr2bl w:val="nil"/>
            </w:tcBorders>
            <w:shd w:val="clear" w:color="000000" w:fill="FFFFFF"/>
            <w:vAlign w:val="center"/>
          </w:tcPr>
          <w:p w14:paraId="54B2801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2082C02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p>
          <w:p w14:paraId="0CCBC8A0">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①是否将项目绩效目标细化分解为具体的绩效指标；</w:t>
            </w:r>
          </w:p>
          <w:p w14:paraId="12BC0DE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②是否通过清晰、可衡量的指标值予以体现；</w:t>
            </w:r>
          </w:p>
          <w:p w14:paraId="3AC4196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③是否与项目目标任务数或计划数相对应。</w:t>
            </w:r>
          </w:p>
          <w:p w14:paraId="61A08D2C">
            <w:pPr>
              <w:widowControl/>
              <w:ind w:firstLine="0" w:firstLineChars="0"/>
              <w:rPr>
                <w:rFonts w:ascii="宋体" w:hAnsi="宋体" w:eastAsia="宋体" w:cs="宋体"/>
                <w:color w:val="000000"/>
                <w:kern w:val="0"/>
                <w:sz w:val="22"/>
              </w:rPr>
            </w:pPr>
          </w:p>
        </w:tc>
      </w:tr>
      <w:tr w14:paraId="2443C4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1B69D219">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68FEC7DF">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资金投入</w:t>
            </w:r>
          </w:p>
        </w:tc>
        <w:tc>
          <w:tcPr>
            <w:tcW w:w="1411" w:type="dxa"/>
            <w:tcBorders>
              <w:tl2br w:val="nil"/>
              <w:tr2bl w:val="nil"/>
            </w:tcBorders>
            <w:shd w:val="clear" w:color="auto" w:fill="FFFFFF"/>
            <w:vAlign w:val="center"/>
          </w:tcPr>
          <w:p w14:paraId="4E243326">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预算编制</w:t>
            </w:r>
          </w:p>
          <w:p w14:paraId="4D418D4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科学性</w:t>
            </w:r>
          </w:p>
        </w:tc>
        <w:tc>
          <w:tcPr>
            <w:tcW w:w="2789" w:type="dxa"/>
            <w:tcBorders>
              <w:tl2br w:val="nil"/>
              <w:tr2bl w:val="nil"/>
            </w:tcBorders>
            <w:shd w:val="clear" w:color="auto" w:fill="FFFFFF"/>
            <w:vAlign w:val="center"/>
          </w:tcPr>
          <w:p w14:paraId="5B46CADF">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1FEE1AA0">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p>
          <w:p w14:paraId="0D14435A">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①预算编制是否经过科学论证；</w:t>
            </w:r>
          </w:p>
          <w:p w14:paraId="2664ABD0">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②预算内容与项目内容是否匹配；</w:t>
            </w:r>
          </w:p>
          <w:p w14:paraId="7D5B641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③预算额度测算依据是否充分，是否按照标准编制；</w:t>
            </w:r>
          </w:p>
          <w:p w14:paraId="211792B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④预算确定的项目投资额或资金量是否与工作任务相匹配。</w:t>
            </w:r>
          </w:p>
        </w:tc>
      </w:tr>
      <w:tr w14:paraId="4AEA0B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1DC96A5B">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26FB5F34">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05FFFC6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资金分配</w:t>
            </w:r>
          </w:p>
          <w:p w14:paraId="1E4E038D">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auto" w:fill="FFFFFF"/>
            <w:vAlign w:val="center"/>
          </w:tcPr>
          <w:p w14:paraId="5ED607D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44CF7D2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p>
          <w:p w14:paraId="2B9BD9B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①预算资金分配依据是否充分；</w:t>
            </w:r>
          </w:p>
          <w:p w14:paraId="08A640B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②资金分配额度是否合理，与项目单位或地方实际是否相适应。</w:t>
            </w:r>
          </w:p>
        </w:tc>
      </w:tr>
      <w:tr w14:paraId="27AE85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58AB4A61">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vMerge w:val="restart"/>
            <w:tcBorders>
              <w:tl2br w:val="nil"/>
              <w:tr2bl w:val="nil"/>
            </w:tcBorders>
            <w:shd w:val="clear" w:color="auto" w:fill="FFFFFF"/>
            <w:vAlign w:val="center"/>
          </w:tcPr>
          <w:p w14:paraId="39688F6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17C4F47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789" w:type="dxa"/>
            <w:tcBorders>
              <w:tl2br w:val="nil"/>
              <w:tr2bl w:val="nil"/>
            </w:tcBorders>
            <w:shd w:val="clear" w:color="000000" w:fill="FFFFFF"/>
            <w:vAlign w:val="center"/>
          </w:tcPr>
          <w:p w14:paraId="240FDD6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05C49EE1">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14:paraId="27DDD77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14:paraId="4DE0DA4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r>
      <w:tr w14:paraId="17DD6B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4C2B66F0">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1D2BA37F">
            <w:pPr>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5EAC259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789" w:type="dxa"/>
            <w:tcBorders>
              <w:tl2br w:val="nil"/>
              <w:tr2bl w:val="nil"/>
            </w:tcBorders>
            <w:shd w:val="clear" w:color="auto" w:fill="FFFFFF"/>
            <w:vAlign w:val="center"/>
          </w:tcPr>
          <w:p w14:paraId="2D2D72A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4C6A682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预算执行率=（实际支出资金/实际到位资金）×100%。</w:t>
            </w:r>
          </w:p>
          <w:p w14:paraId="34DF5C4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实际支出资金：一定时期（本年度或项目期）内项目实际拨付的资金。</w:t>
            </w:r>
          </w:p>
        </w:tc>
      </w:tr>
      <w:tr w14:paraId="711737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7D10889D">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tcBorders>
              <w:tl2br w:val="nil"/>
              <w:tr2bl w:val="nil"/>
            </w:tcBorders>
            <w:shd w:val="clear" w:color="auto" w:fill="FFFFFF"/>
            <w:vAlign w:val="center"/>
          </w:tcPr>
          <w:p w14:paraId="43B9751D">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75F7993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资金使用</w:t>
            </w:r>
          </w:p>
          <w:p w14:paraId="4B4A94B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合规性</w:t>
            </w:r>
          </w:p>
        </w:tc>
        <w:tc>
          <w:tcPr>
            <w:tcW w:w="2789" w:type="dxa"/>
            <w:tcBorders>
              <w:tl2br w:val="nil"/>
              <w:tr2bl w:val="nil"/>
            </w:tcBorders>
            <w:shd w:val="clear" w:color="000000" w:fill="FFFFFF"/>
            <w:vAlign w:val="center"/>
          </w:tcPr>
          <w:p w14:paraId="64C7705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1E704BC1">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p>
          <w:p w14:paraId="28D330C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①是否符合国家财经法规和财务管理制度以及有关专项资金管理办法的规定；</w:t>
            </w:r>
          </w:p>
          <w:p w14:paraId="7CF56D2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②资金的拨付是否有完整的审批程序和手续；</w:t>
            </w:r>
          </w:p>
          <w:p w14:paraId="2F83EDE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③是否符合项目预算批复或合同规定的用途；</w:t>
            </w:r>
          </w:p>
          <w:p w14:paraId="76B89F0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④是否存在截留、挤占、挪用、虚列支出等情况。</w:t>
            </w:r>
          </w:p>
        </w:tc>
      </w:tr>
      <w:tr w14:paraId="7CE8C2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223349CC">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29D9E20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组织实施</w:t>
            </w:r>
          </w:p>
        </w:tc>
        <w:tc>
          <w:tcPr>
            <w:tcW w:w="1411" w:type="dxa"/>
            <w:tcBorders>
              <w:tl2br w:val="nil"/>
              <w:tr2bl w:val="nil"/>
            </w:tcBorders>
            <w:shd w:val="clear" w:color="auto" w:fill="FFFFFF"/>
            <w:vAlign w:val="center"/>
          </w:tcPr>
          <w:p w14:paraId="35B1E60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管理制度</w:t>
            </w:r>
          </w:p>
          <w:p w14:paraId="0DD7F19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健全性</w:t>
            </w:r>
          </w:p>
        </w:tc>
        <w:tc>
          <w:tcPr>
            <w:tcW w:w="2789" w:type="dxa"/>
            <w:tcBorders>
              <w:tl2br w:val="nil"/>
              <w:tr2bl w:val="nil"/>
            </w:tcBorders>
            <w:shd w:val="clear" w:color="000000" w:fill="FFFFFF"/>
            <w:vAlign w:val="center"/>
          </w:tcPr>
          <w:p w14:paraId="19D7A4E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63A6998F">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p>
          <w:p w14:paraId="20B0E95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①是否已制定或具有相应的财务和业务管理制度；</w:t>
            </w:r>
          </w:p>
          <w:p w14:paraId="3C80F2C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②财务和业务管理制度是否合法、合规、完整。</w:t>
            </w:r>
          </w:p>
        </w:tc>
      </w:tr>
      <w:tr w14:paraId="1BF3AF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85" w:hRule="atLeast"/>
          <w:jc w:val="center"/>
        </w:trPr>
        <w:tc>
          <w:tcPr>
            <w:tcW w:w="1155" w:type="dxa"/>
            <w:vMerge w:val="continue"/>
            <w:tcBorders>
              <w:tl2br w:val="nil"/>
              <w:tr2bl w:val="nil"/>
            </w:tcBorders>
            <w:shd w:val="clear" w:color="auto" w:fill="FFFFFF"/>
            <w:vAlign w:val="center"/>
          </w:tcPr>
          <w:p w14:paraId="667A08C2">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52C9BE0B">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0A6B856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制度执行</w:t>
            </w:r>
          </w:p>
          <w:p w14:paraId="0A7283A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有效性</w:t>
            </w:r>
          </w:p>
        </w:tc>
        <w:tc>
          <w:tcPr>
            <w:tcW w:w="2789" w:type="dxa"/>
            <w:tcBorders>
              <w:tl2br w:val="nil"/>
              <w:tr2bl w:val="nil"/>
            </w:tcBorders>
            <w:shd w:val="clear" w:color="000000" w:fill="FFFFFF"/>
            <w:vAlign w:val="center"/>
          </w:tcPr>
          <w:p w14:paraId="7902685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3093E67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p>
          <w:p w14:paraId="2915153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①是否遵守相关法律法规和相关管理规定；</w:t>
            </w:r>
          </w:p>
          <w:p w14:paraId="7406E14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②项目调整及支出调整手续是否完备；</w:t>
            </w:r>
          </w:p>
          <w:p w14:paraId="0A36AD7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③项目合同书、验收报告、技术鉴定等资料是否齐全并及时归档；</w:t>
            </w:r>
          </w:p>
          <w:p w14:paraId="2CAF4B2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④项目实施的人员条件、场地设备、信息支撑等是否落实到位。</w:t>
            </w:r>
          </w:p>
        </w:tc>
      </w:tr>
      <w:tr w14:paraId="5BD4B6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14:paraId="51F18E7D">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w:t>
            </w:r>
          </w:p>
        </w:tc>
        <w:tc>
          <w:tcPr>
            <w:tcW w:w="1199" w:type="dxa"/>
            <w:vMerge w:val="restart"/>
            <w:tcBorders>
              <w:tl2br w:val="nil"/>
              <w:tr2bl w:val="nil"/>
            </w:tcBorders>
            <w:shd w:val="clear" w:color="auto" w:fill="FFFFFF"/>
            <w:vAlign w:val="center"/>
          </w:tcPr>
          <w:p w14:paraId="1AE67DDA">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产出数量</w:t>
            </w:r>
          </w:p>
        </w:tc>
        <w:tc>
          <w:tcPr>
            <w:tcW w:w="1411" w:type="dxa"/>
            <w:tcBorders>
              <w:tl2br w:val="nil"/>
              <w:tr2bl w:val="nil"/>
            </w:tcBorders>
            <w:shd w:val="clear" w:color="auto" w:fill="FFFFFF"/>
          </w:tcPr>
          <w:p w14:paraId="4D0D82E6">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办公设备购置数</w:t>
            </w:r>
          </w:p>
        </w:tc>
        <w:tc>
          <w:tcPr>
            <w:tcW w:w="2789" w:type="dxa"/>
            <w:vMerge w:val="restart"/>
            <w:tcBorders>
              <w:tl2br w:val="nil"/>
              <w:tr2bl w:val="nil"/>
            </w:tcBorders>
            <w:shd w:val="clear" w:color="000000" w:fill="FFFFFF"/>
            <w:vAlign w:val="center"/>
          </w:tcPr>
          <w:p w14:paraId="455652F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4176F69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实际完成率=（实际产出数/计划产出数）×100%。</w:t>
            </w:r>
          </w:p>
          <w:p w14:paraId="4E34A98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实际产出数：一定时期（本年度或项目期）内项目实际产出的产品或提供的服务数量。</w:t>
            </w:r>
          </w:p>
          <w:p w14:paraId="5CE01C98">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计划产出数：项目绩效目标确定的在一定时期（本年度或项目期）内计划产出的产品或提供的服务数量。</w:t>
            </w:r>
          </w:p>
        </w:tc>
      </w:tr>
      <w:tr w14:paraId="38216F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02E6AC60">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1CAAD1C6">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tcPr>
          <w:p w14:paraId="024868DA">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专用设备购置数</w:t>
            </w:r>
          </w:p>
        </w:tc>
        <w:tc>
          <w:tcPr>
            <w:tcW w:w="2789" w:type="dxa"/>
            <w:vMerge w:val="continue"/>
            <w:tcBorders>
              <w:tl2br w:val="nil"/>
              <w:tr2bl w:val="nil"/>
            </w:tcBorders>
            <w:shd w:val="clear" w:color="000000" w:fill="FFFFFF"/>
            <w:vAlign w:val="center"/>
          </w:tcPr>
          <w:p w14:paraId="2FC451EA">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7A8E3352">
            <w:pPr>
              <w:widowControl/>
              <w:ind w:firstLine="0" w:firstLineChars="0"/>
              <w:rPr>
                <w:rFonts w:ascii="宋体" w:hAnsi="宋体" w:eastAsia="宋体" w:cs="宋体"/>
                <w:color w:val="000000"/>
                <w:kern w:val="0"/>
                <w:sz w:val="22"/>
              </w:rPr>
            </w:pPr>
          </w:p>
        </w:tc>
      </w:tr>
      <w:tr w14:paraId="44FC5A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661AD042">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16F37806">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tcPr>
          <w:p w14:paraId="4CF1D1D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信息网络及软件购置</w:t>
            </w:r>
          </w:p>
        </w:tc>
        <w:tc>
          <w:tcPr>
            <w:tcW w:w="2789" w:type="dxa"/>
            <w:vMerge w:val="continue"/>
            <w:tcBorders>
              <w:tl2br w:val="nil"/>
              <w:tr2bl w:val="nil"/>
            </w:tcBorders>
            <w:shd w:val="clear" w:color="000000" w:fill="FFFFFF"/>
            <w:vAlign w:val="center"/>
          </w:tcPr>
          <w:p w14:paraId="446713EB">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1F8BE27A">
            <w:pPr>
              <w:widowControl/>
              <w:ind w:firstLine="0" w:firstLineChars="0"/>
              <w:rPr>
                <w:rFonts w:ascii="宋体" w:hAnsi="宋体" w:eastAsia="宋体" w:cs="宋体"/>
                <w:color w:val="000000"/>
                <w:kern w:val="0"/>
                <w:sz w:val="22"/>
              </w:rPr>
            </w:pPr>
          </w:p>
        </w:tc>
      </w:tr>
      <w:tr w14:paraId="5B03DE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82" w:hRule="atLeast"/>
          <w:jc w:val="center"/>
        </w:trPr>
        <w:tc>
          <w:tcPr>
            <w:tcW w:w="1155" w:type="dxa"/>
            <w:vMerge w:val="continue"/>
            <w:tcBorders>
              <w:tl2br w:val="nil"/>
              <w:tr2bl w:val="nil"/>
            </w:tcBorders>
            <w:shd w:val="clear" w:color="auto" w:fill="FFFFFF"/>
            <w:vAlign w:val="center"/>
          </w:tcPr>
          <w:p w14:paraId="0A7F47F4">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7B4F8A4A">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tcPr>
          <w:p w14:paraId="383F656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总务后勤保障服务</w:t>
            </w:r>
          </w:p>
        </w:tc>
        <w:tc>
          <w:tcPr>
            <w:tcW w:w="2789" w:type="dxa"/>
            <w:vMerge w:val="continue"/>
            <w:tcBorders>
              <w:tl2br w:val="nil"/>
              <w:tr2bl w:val="nil"/>
            </w:tcBorders>
            <w:shd w:val="clear" w:color="000000" w:fill="FFFFFF"/>
            <w:vAlign w:val="center"/>
          </w:tcPr>
          <w:p w14:paraId="159971D0">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43ED024C">
            <w:pPr>
              <w:widowControl/>
              <w:ind w:firstLine="0" w:firstLineChars="0"/>
              <w:rPr>
                <w:rFonts w:ascii="宋体" w:hAnsi="宋体" w:eastAsia="宋体" w:cs="宋体"/>
                <w:color w:val="000000"/>
                <w:kern w:val="0"/>
                <w:sz w:val="22"/>
              </w:rPr>
            </w:pPr>
          </w:p>
        </w:tc>
      </w:tr>
      <w:tr w14:paraId="2F9D47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14:paraId="3129D26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w:t>
            </w:r>
          </w:p>
        </w:tc>
        <w:tc>
          <w:tcPr>
            <w:tcW w:w="1199" w:type="dxa"/>
            <w:tcBorders>
              <w:tl2br w:val="nil"/>
              <w:tr2bl w:val="nil"/>
            </w:tcBorders>
            <w:shd w:val="clear" w:color="auto" w:fill="FFFFFF"/>
            <w:vAlign w:val="center"/>
          </w:tcPr>
          <w:p w14:paraId="43648E8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产出质量</w:t>
            </w:r>
          </w:p>
        </w:tc>
        <w:tc>
          <w:tcPr>
            <w:tcW w:w="1411" w:type="dxa"/>
            <w:tcBorders>
              <w:tl2br w:val="nil"/>
              <w:tr2bl w:val="nil"/>
            </w:tcBorders>
            <w:shd w:val="clear" w:color="auto" w:fill="FFFFFF"/>
            <w:vAlign w:val="center"/>
          </w:tcPr>
          <w:p w14:paraId="1B673BD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设备购置合格率</w:t>
            </w:r>
          </w:p>
        </w:tc>
        <w:tc>
          <w:tcPr>
            <w:tcW w:w="2789" w:type="dxa"/>
            <w:tcBorders>
              <w:tl2br w:val="nil"/>
              <w:tr2bl w:val="nil"/>
            </w:tcBorders>
            <w:shd w:val="clear" w:color="000000" w:fill="FFFFFF"/>
            <w:vAlign w:val="center"/>
          </w:tcPr>
          <w:p w14:paraId="50472FF1">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3694831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设备购置合格率=（设备合格数量/实际购置数）×100%。</w:t>
            </w:r>
          </w:p>
          <w:p w14:paraId="16CB3103">
            <w:pPr>
              <w:widowControl/>
              <w:ind w:firstLine="0" w:firstLineChars="0"/>
              <w:rPr>
                <w:rFonts w:ascii="宋体" w:hAnsi="宋体" w:eastAsia="宋体" w:cs="宋体"/>
                <w:color w:val="000000"/>
                <w:kern w:val="0"/>
                <w:sz w:val="22"/>
                <w:highlight w:val="yellow"/>
              </w:rPr>
            </w:pPr>
          </w:p>
        </w:tc>
      </w:tr>
      <w:tr w14:paraId="56D860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05" w:hRule="atLeast"/>
          <w:jc w:val="center"/>
        </w:trPr>
        <w:tc>
          <w:tcPr>
            <w:tcW w:w="1155" w:type="dxa"/>
            <w:vMerge w:val="continue"/>
            <w:tcBorders>
              <w:tl2br w:val="nil"/>
              <w:tr2bl w:val="nil"/>
            </w:tcBorders>
            <w:shd w:val="clear" w:color="auto" w:fill="FFFFFF"/>
            <w:vAlign w:val="center"/>
          </w:tcPr>
          <w:p w14:paraId="1A8C284D">
            <w:pPr>
              <w:widowControl/>
              <w:ind w:firstLine="0" w:firstLineChars="0"/>
              <w:jc w:val="center"/>
              <w:rPr>
                <w:rFonts w:ascii="宋体" w:hAnsi="宋体" w:eastAsia="宋体" w:cs="宋体"/>
                <w:color w:val="000000"/>
                <w:kern w:val="0"/>
                <w:sz w:val="22"/>
                <w:highlight w:val="yellow"/>
              </w:rPr>
            </w:pPr>
          </w:p>
        </w:tc>
        <w:tc>
          <w:tcPr>
            <w:tcW w:w="1199" w:type="dxa"/>
            <w:tcBorders>
              <w:tl2br w:val="nil"/>
              <w:tr2bl w:val="nil"/>
            </w:tcBorders>
            <w:shd w:val="clear" w:color="auto" w:fill="FFFFFF"/>
            <w:vAlign w:val="center"/>
          </w:tcPr>
          <w:p w14:paraId="318A525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产出质量</w:t>
            </w:r>
          </w:p>
        </w:tc>
        <w:tc>
          <w:tcPr>
            <w:tcW w:w="1411" w:type="dxa"/>
            <w:tcBorders>
              <w:tl2br w:val="nil"/>
              <w:tr2bl w:val="nil"/>
            </w:tcBorders>
            <w:shd w:val="clear" w:color="auto" w:fill="FFFFFF"/>
            <w:vAlign w:val="center"/>
          </w:tcPr>
          <w:p w14:paraId="685202F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验收合格率</w:t>
            </w:r>
          </w:p>
        </w:tc>
        <w:tc>
          <w:tcPr>
            <w:tcW w:w="2789" w:type="dxa"/>
            <w:tcBorders>
              <w:tl2br w:val="nil"/>
              <w:tr2bl w:val="nil"/>
            </w:tcBorders>
            <w:shd w:val="clear" w:color="000000" w:fill="FFFFFF"/>
            <w:vAlign w:val="center"/>
          </w:tcPr>
          <w:p w14:paraId="1B8EB698">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项目完成的质量达标产出数与实际产出数的比率，用以反映和考核项目产出质量目标的实现程度。</w:t>
            </w:r>
          </w:p>
          <w:p w14:paraId="6AE1CB7A">
            <w:pPr>
              <w:widowControl/>
              <w:ind w:firstLine="0" w:firstLineChars="0"/>
              <w:rPr>
                <w:rFonts w:ascii="宋体" w:hAnsi="宋体" w:eastAsia="宋体" w:cs="宋体"/>
                <w:color w:val="000000"/>
                <w:kern w:val="0"/>
                <w:sz w:val="22"/>
              </w:rPr>
            </w:pPr>
          </w:p>
        </w:tc>
        <w:tc>
          <w:tcPr>
            <w:tcW w:w="7341" w:type="dxa"/>
            <w:tcBorders>
              <w:tl2br w:val="nil"/>
              <w:tr2bl w:val="nil"/>
            </w:tcBorders>
            <w:shd w:val="clear" w:color="000000" w:fill="FFFFFF"/>
            <w:vAlign w:val="center"/>
          </w:tcPr>
          <w:p w14:paraId="6EC2481F">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设备购置合格率=（设备合格数量/实际购置数）×100%。</w:t>
            </w:r>
          </w:p>
          <w:p w14:paraId="3BEEAE00">
            <w:pPr>
              <w:widowControl/>
              <w:ind w:firstLine="0" w:firstLineChars="0"/>
              <w:rPr>
                <w:rFonts w:ascii="宋体" w:hAnsi="宋体" w:eastAsia="宋体" w:cs="宋体"/>
                <w:color w:val="000000"/>
                <w:kern w:val="0"/>
                <w:sz w:val="22"/>
              </w:rPr>
            </w:pPr>
          </w:p>
        </w:tc>
      </w:tr>
      <w:tr w14:paraId="5E3D1D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24" w:hRule="atLeast"/>
          <w:jc w:val="center"/>
        </w:trPr>
        <w:tc>
          <w:tcPr>
            <w:tcW w:w="1155" w:type="dxa"/>
            <w:vMerge w:val="continue"/>
            <w:tcBorders>
              <w:tl2br w:val="nil"/>
              <w:tr2bl w:val="nil"/>
            </w:tcBorders>
            <w:shd w:val="clear" w:color="auto" w:fill="FFFFFF"/>
            <w:vAlign w:val="center"/>
          </w:tcPr>
          <w:p w14:paraId="0D5A3D9C">
            <w:pPr>
              <w:widowControl/>
              <w:ind w:firstLine="0" w:firstLineChars="0"/>
              <w:jc w:val="center"/>
              <w:rPr>
                <w:rFonts w:ascii="宋体" w:hAnsi="宋体" w:eastAsia="宋体" w:cs="宋体"/>
                <w:color w:val="000000"/>
                <w:kern w:val="0"/>
                <w:sz w:val="22"/>
                <w:highlight w:val="yellow"/>
              </w:rPr>
            </w:pPr>
          </w:p>
        </w:tc>
        <w:tc>
          <w:tcPr>
            <w:tcW w:w="1199" w:type="dxa"/>
            <w:tcBorders>
              <w:tl2br w:val="nil"/>
              <w:tr2bl w:val="nil"/>
            </w:tcBorders>
            <w:shd w:val="clear" w:color="auto" w:fill="FFFFFF"/>
            <w:vAlign w:val="center"/>
          </w:tcPr>
          <w:p w14:paraId="485C37EF">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产出时效</w:t>
            </w:r>
          </w:p>
        </w:tc>
        <w:tc>
          <w:tcPr>
            <w:tcW w:w="1411" w:type="dxa"/>
            <w:tcBorders>
              <w:tl2br w:val="nil"/>
              <w:tr2bl w:val="nil"/>
            </w:tcBorders>
            <w:shd w:val="clear" w:color="auto" w:fill="FFFFFF"/>
            <w:vAlign w:val="center"/>
          </w:tcPr>
          <w:p w14:paraId="42E064E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系统运行维护响应时间</w:t>
            </w:r>
          </w:p>
        </w:tc>
        <w:tc>
          <w:tcPr>
            <w:tcW w:w="2789" w:type="dxa"/>
            <w:tcBorders>
              <w:tl2br w:val="nil"/>
              <w:tr2bl w:val="nil"/>
            </w:tcBorders>
            <w:shd w:val="clear" w:color="000000" w:fill="FFFFFF"/>
            <w:vAlign w:val="center"/>
          </w:tcPr>
          <w:p w14:paraId="41B7E34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638363F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实际完成时间：项目实施单位完成该项目实际所耗用的时间。</w:t>
            </w:r>
          </w:p>
          <w:p w14:paraId="482AE34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计划完成时间：按照项目实施计划或相关规定完成该项目所需的时间。</w:t>
            </w:r>
          </w:p>
        </w:tc>
      </w:tr>
      <w:tr w14:paraId="6C375B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14:paraId="5DFB3C4B">
            <w:pPr>
              <w:ind w:firstLine="0" w:firstLineChars="0"/>
              <w:jc w:val="center"/>
              <w:rPr>
                <w:rFonts w:ascii="宋体" w:hAnsi="宋体" w:eastAsia="宋体" w:cs="宋体"/>
                <w:color w:val="000000"/>
                <w:kern w:val="0"/>
                <w:sz w:val="22"/>
                <w:highlight w:val="yellow"/>
              </w:rPr>
            </w:pPr>
          </w:p>
        </w:tc>
        <w:tc>
          <w:tcPr>
            <w:tcW w:w="1199" w:type="dxa"/>
            <w:vMerge w:val="restart"/>
            <w:tcBorders>
              <w:tl2br w:val="nil"/>
              <w:tr2bl w:val="nil"/>
            </w:tcBorders>
            <w:shd w:val="clear" w:color="auto" w:fill="FFFFFF"/>
            <w:vAlign w:val="center"/>
          </w:tcPr>
          <w:p w14:paraId="7002F204">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产出成本</w:t>
            </w:r>
          </w:p>
        </w:tc>
        <w:tc>
          <w:tcPr>
            <w:tcW w:w="1411" w:type="dxa"/>
            <w:tcBorders>
              <w:tl2br w:val="nil"/>
              <w:tr2bl w:val="nil"/>
            </w:tcBorders>
            <w:shd w:val="clear" w:color="auto" w:fill="FFFFFF"/>
            <w:vAlign w:val="center"/>
          </w:tcPr>
          <w:p w14:paraId="2546CCF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办公设备购置额</w:t>
            </w:r>
          </w:p>
        </w:tc>
        <w:tc>
          <w:tcPr>
            <w:tcW w:w="2789" w:type="dxa"/>
            <w:vMerge w:val="restart"/>
            <w:tcBorders>
              <w:tl2br w:val="nil"/>
              <w:tr2bl w:val="nil"/>
            </w:tcBorders>
            <w:shd w:val="clear" w:color="000000" w:fill="FFFFFF"/>
            <w:vAlign w:val="center"/>
          </w:tcPr>
          <w:p w14:paraId="3156EAF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66D1846B">
            <w:pPr>
              <w:widowControl/>
              <w:ind w:firstLine="0" w:firstLineChars="0"/>
              <w:rPr>
                <w:rFonts w:ascii="宋体" w:hAnsi="宋体" w:eastAsia="宋体" w:cs="宋体"/>
                <w:color w:val="000000"/>
                <w:kern w:val="0"/>
                <w:sz w:val="22"/>
              </w:rPr>
            </w:pPr>
          </w:p>
          <w:p w14:paraId="49E96B5F">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成本节约率=[（计划成本-实际成本）/计划成本]×100%。</w:t>
            </w:r>
          </w:p>
          <w:p w14:paraId="3A3E5DB8">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实际成本：项目实施单位如期、保质、保量完成既定工作目标实际所耗费的支出。</w:t>
            </w:r>
          </w:p>
          <w:p w14:paraId="7993142F">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计划成本：项目实施单位为完成工作目标计划安排的支出，一般以项目预算为参考。</w:t>
            </w:r>
          </w:p>
        </w:tc>
      </w:tr>
      <w:tr w14:paraId="20E7A2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14:paraId="10EFA669">
            <w:pPr>
              <w:ind w:firstLine="0" w:firstLineChars="0"/>
              <w:jc w:val="center"/>
              <w:rPr>
                <w:rFonts w:ascii="宋体" w:hAnsi="宋体" w:eastAsia="宋体" w:cs="宋体"/>
                <w:color w:val="000000"/>
                <w:kern w:val="0"/>
                <w:sz w:val="22"/>
                <w:highlight w:val="yellow"/>
              </w:rPr>
            </w:pPr>
          </w:p>
        </w:tc>
        <w:tc>
          <w:tcPr>
            <w:tcW w:w="1199" w:type="dxa"/>
            <w:vMerge w:val="continue"/>
            <w:tcBorders>
              <w:tl2br w:val="nil"/>
              <w:tr2bl w:val="nil"/>
            </w:tcBorders>
            <w:shd w:val="clear" w:color="auto" w:fill="FFFFFF"/>
            <w:vAlign w:val="center"/>
          </w:tcPr>
          <w:p w14:paraId="534547A7">
            <w:pPr>
              <w:ind w:firstLine="0" w:firstLineChars="0"/>
              <w:jc w:val="center"/>
              <w:rPr>
                <w:rFonts w:ascii="宋体" w:hAnsi="宋体" w:eastAsia="宋体" w:cs="宋体"/>
                <w:color w:val="000000"/>
                <w:kern w:val="0"/>
                <w:sz w:val="22"/>
                <w:highlight w:val="yellow"/>
              </w:rPr>
            </w:pPr>
          </w:p>
        </w:tc>
        <w:tc>
          <w:tcPr>
            <w:tcW w:w="1411" w:type="dxa"/>
            <w:tcBorders>
              <w:tl2br w:val="nil"/>
              <w:tr2bl w:val="nil"/>
            </w:tcBorders>
            <w:shd w:val="clear" w:color="auto" w:fill="FFFFFF"/>
            <w:vAlign w:val="center"/>
          </w:tcPr>
          <w:p w14:paraId="6EB9CA7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专用设备购置额</w:t>
            </w:r>
          </w:p>
        </w:tc>
        <w:tc>
          <w:tcPr>
            <w:tcW w:w="2789" w:type="dxa"/>
            <w:vMerge w:val="continue"/>
            <w:tcBorders>
              <w:tl2br w:val="nil"/>
              <w:tr2bl w:val="nil"/>
            </w:tcBorders>
            <w:shd w:val="clear" w:color="000000" w:fill="FFFFFF"/>
            <w:vAlign w:val="center"/>
          </w:tcPr>
          <w:p w14:paraId="3022B66C">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36B439BE">
            <w:pPr>
              <w:widowControl/>
              <w:ind w:firstLine="0" w:firstLineChars="0"/>
              <w:rPr>
                <w:rFonts w:ascii="宋体" w:hAnsi="宋体" w:eastAsia="宋体" w:cs="宋体"/>
                <w:color w:val="000000"/>
                <w:kern w:val="0"/>
                <w:sz w:val="22"/>
              </w:rPr>
            </w:pPr>
          </w:p>
        </w:tc>
      </w:tr>
      <w:tr w14:paraId="3F1ABC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14:paraId="46937A0A">
            <w:pPr>
              <w:ind w:firstLine="0" w:firstLineChars="0"/>
              <w:jc w:val="center"/>
              <w:rPr>
                <w:rFonts w:ascii="宋体" w:hAnsi="宋体" w:eastAsia="宋体" w:cs="宋体"/>
                <w:color w:val="000000"/>
                <w:kern w:val="0"/>
                <w:sz w:val="22"/>
                <w:highlight w:val="yellow"/>
              </w:rPr>
            </w:pPr>
          </w:p>
        </w:tc>
        <w:tc>
          <w:tcPr>
            <w:tcW w:w="1199" w:type="dxa"/>
            <w:vMerge w:val="continue"/>
            <w:tcBorders>
              <w:tl2br w:val="nil"/>
              <w:tr2bl w:val="nil"/>
            </w:tcBorders>
            <w:shd w:val="clear" w:color="auto" w:fill="FFFFFF"/>
            <w:vAlign w:val="center"/>
          </w:tcPr>
          <w:p w14:paraId="12792261">
            <w:pPr>
              <w:widowControl/>
              <w:ind w:firstLine="0" w:firstLineChars="0"/>
              <w:jc w:val="center"/>
              <w:rPr>
                <w:rFonts w:ascii="宋体" w:hAnsi="宋体" w:eastAsia="宋体" w:cs="宋体"/>
                <w:color w:val="000000"/>
                <w:kern w:val="0"/>
                <w:sz w:val="22"/>
                <w:highlight w:val="yellow"/>
              </w:rPr>
            </w:pPr>
          </w:p>
        </w:tc>
        <w:tc>
          <w:tcPr>
            <w:tcW w:w="1411" w:type="dxa"/>
            <w:tcBorders>
              <w:tl2br w:val="nil"/>
              <w:tr2bl w:val="nil"/>
            </w:tcBorders>
            <w:shd w:val="clear" w:color="auto" w:fill="FFFFFF"/>
            <w:vAlign w:val="center"/>
          </w:tcPr>
          <w:p w14:paraId="3091042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信息网络及软件购置额</w:t>
            </w:r>
          </w:p>
        </w:tc>
        <w:tc>
          <w:tcPr>
            <w:tcW w:w="2789" w:type="dxa"/>
            <w:vMerge w:val="continue"/>
            <w:tcBorders>
              <w:tl2br w:val="nil"/>
              <w:tr2bl w:val="nil"/>
            </w:tcBorders>
            <w:shd w:val="clear" w:color="000000" w:fill="FFFFFF"/>
            <w:vAlign w:val="center"/>
          </w:tcPr>
          <w:p w14:paraId="0E3A4386">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2CE6EDF1">
            <w:pPr>
              <w:widowControl/>
              <w:ind w:firstLine="0" w:firstLineChars="0"/>
              <w:rPr>
                <w:rFonts w:ascii="宋体" w:hAnsi="宋体" w:eastAsia="宋体" w:cs="宋体"/>
                <w:color w:val="000000"/>
                <w:kern w:val="0"/>
                <w:sz w:val="22"/>
              </w:rPr>
            </w:pPr>
          </w:p>
        </w:tc>
      </w:tr>
      <w:tr w14:paraId="10CBFF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14:paraId="507CF44D">
            <w:pPr>
              <w:ind w:firstLine="0" w:firstLineChars="0"/>
              <w:jc w:val="center"/>
              <w:rPr>
                <w:rFonts w:ascii="宋体" w:hAnsi="宋体" w:eastAsia="宋体" w:cs="宋体"/>
                <w:color w:val="000000"/>
                <w:kern w:val="0"/>
                <w:sz w:val="22"/>
                <w:highlight w:val="yellow"/>
              </w:rPr>
            </w:pPr>
          </w:p>
        </w:tc>
        <w:tc>
          <w:tcPr>
            <w:tcW w:w="1199" w:type="dxa"/>
            <w:vMerge w:val="continue"/>
            <w:tcBorders>
              <w:tl2br w:val="nil"/>
              <w:tr2bl w:val="nil"/>
            </w:tcBorders>
            <w:shd w:val="clear" w:color="auto" w:fill="FFFFFF"/>
            <w:vAlign w:val="center"/>
          </w:tcPr>
          <w:p w14:paraId="27D795AB">
            <w:pPr>
              <w:widowControl/>
              <w:ind w:firstLine="0" w:firstLineChars="0"/>
              <w:jc w:val="center"/>
              <w:rPr>
                <w:rFonts w:ascii="宋体" w:hAnsi="宋体" w:eastAsia="宋体" w:cs="宋体"/>
                <w:color w:val="000000"/>
                <w:kern w:val="0"/>
                <w:sz w:val="22"/>
                <w:highlight w:val="yellow"/>
              </w:rPr>
            </w:pPr>
          </w:p>
        </w:tc>
        <w:tc>
          <w:tcPr>
            <w:tcW w:w="1411" w:type="dxa"/>
            <w:tcBorders>
              <w:tl2br w:val="nil"/>
              <w:tr2bl w:val="nil"/>
            </w:tcBorders>
            <w:shd w:val="clear" w:color="auto" w:fill="FFFFFF"/>
            <w:vAlign w:val="center"/>
          </w:tcPr>
          <w:p w14:paraId="4C4B232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总务后勤保障服务购置额</w:t>
            </w:r>
          </w:p>
        </w:tc>
        <w:tc>
          <w:tcPr>
            <w:tcW w:w="2789" w:type="dxa"/>
            <w:vMerge w:val="continue"/>
            <w:tcBorders>
              <w:tl2br w:val="nil"/>
              <w:tr2bl w:val="nil"/>
            </w:tcBorders>
            <w:shd w:val="clear" w:color="000000" w:fill="FFFFFF"/>
            <w:vAlign w:val="center"/>
          </w:tcPr>
          <w:p w14:paraId="42034669">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15CC0714">
            <w:pPr>
              <w:widowControl/>
              <w:ind w:firstLine="0" w:firstLineChars="0"/>
              <w:rPr>
                <w:rFonts w:ascii="宋体" w:hAnsi="宋体" w:eastAsia="宋体" w:cs="宋体"/>
                <w:color w:val="000000"/>
                <w:kern w:val="0"/>
                <w:sz w:val="22"/>
              </w:rPr>
            </w:pPr>
          </w:p>
        </w:tc>
      </w:tr>
      <w:tr w14:paraId="53D8AF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14:paraId="31868A4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效益</w:t>
            </w:r>
          </w:p>
        </w:tc>
        <w:tc>
          <w:tcPr>
            <w:tcW w:w="1199" w:type="dxa"/>
            <w:tcBorders>
              <w:tl2br w:val="nil"/>
              <w:tr2bl w:val="nil"/>
            </w:tcBorders>
            <w:shd w:val="clear" w:color="auto" w:fill="FFFFFF"/>
            <w:vAlign w:val="center"/>
          </w:tcPr>
          <w:p w14:paraId="4B76935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社会效益指标</w:t>
            </w:r>
          </w:p>
        </w:tc>
        <w:tc>
          <w:tcPr>
            <w:tcW w:w="1411" w:type="dxa"/>
            <w:tcBorders>
              <w:tl2br w:val="nil"/>
              <w:tr2bl w:val="nil"/>
            </w:tcBorders>
            <w:shd w:val="clear" w:color="auto" w:fill="FFFFFF"/>
            <w:vAlign w:val="center"/>
          </w:tcPr>
          <w:p w14:paraId="4A54278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提高服务质量</w:t>
            </w:r>
          </w:p>
        </w:tc>
        <w:tc>
          <w:tcPr>
            <w:tcW w:w="2789" w:type="dxa"/>
            <w:tcBorders>
              <w:tl2br w:val="nil"/>
              <w:tr2bl w:val="nil"/>
            </w:tcBorders>
            <w:shd w:val="clear" w:color="000000" w:fill="FFFFFF"/>
            <w:vAlign w:val="center"/>
          </w:tcPr>
          <w:p w14:paraId="18FAFEF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项目实施所产生的效益。</w:t>
            </w:r>
          </w:p>
        </w:tc>
        <w:tc>
          <w:tcPr>
            <w:tcW w:w="7341" w:type="dxa"/>
            <w:tcBorders>
              <w:tl2br w:val="nil"/>
              <w:tr2bl w:val="nil"/>
            </w:tcBorders>
            <w:shd w:val="clear" w:color="000000" w:fill="FFFFFF"/>
            <w:vAlign w:val="center"/>
          </w:tcPr>
          <w:p w14:paraId="0D99AD9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项目实施所产生的社会效益、经济效益、生态效益、可持续影响等。可根据项目实际情况有选择地设置和细化。</w:t>
            </w:r>
          </w:p>
        </w:tc>
      </w:tr>
      <w:tr w14:paraId="11ACD4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63FEC329">
            <w:pPr>
              <w:widowControl/>
              <w:ind w:firstLine="0" w:firstLineChars="0"/>
              <w:jc w:val="center"/>
              <w:rPr>
                <w:rFonts w:ascii="宋体" w:hAnsi="宋体" w:eastAsia="宋体" w:cs="宋体"/>
                <w:color w:val="000000"/>
                <w:kern w:val="0"/>
                <w:sz w:val="22"/>
              </w:rPr>
            </w:pPr>
            <w:r>
              <w:rPr>
                <w:rFonts w:ascii="宋体" w:hAnsi="宋体" w:eastAsia="宋体" w:cs="宋体"/>
                <w:color w:val="000000"/>
                <w:kern w:val="0"/>
                <w:sz w:val="22"/>
              </w:rPr>
              <w:t>满意度指标完成情况分析</w:t>
            </w:r>
          </w:p>
        </w:tc>
        <w:tc>
          <w:tcPr>
            <w:tcW w:w="1199" w:type="dxa"/>
            <w:tcBorders>
              <w:tl2br w:val="nil"/>
              <w:tr2bl w:val="nil"/>
            </w:tcBorders>
            <w:shd w:val="clear" w:color="auto" w:fill="FFFFFF"/>
            <w:vAlign w:val="center"/>
          </w:tcPr>
          <w:p w14:paraId="1D83F3F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满意度指标</w:t>
            </w:r>
          </w:p>
        </w:tc>
        <w:tc>
          <w:tcPr>
            <w:tcW w:w="1411" w:type="dxa"/>
            <w:tcBorders>
              <w:tl2br w:val="nil"/>
              <w:tr2bl w:val="nil"/>
            </w:tcBorders>
            <w:shd w:val="clear" w:color="auto" w:fill="FFFFFF"/>
            <w:vAlign w:val="center"/>
          </w:tcPr>
          <w:p w14:paraId="7C30DFC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患者满意度</w:t>
            </w:r>
          </w:p>
        </w:tc>
        <w:tc>
          <w:tcPr>
            <w:tcW w:w="2789" w:type="dxa"/>
            <w:tcBorders>
              <w:tl2br w:val="nil"/>
              <w:tr2bl w:val="nil"/>
            </w:tcBorders>
            <w:shd w:val="clear" w:color="000000" w:fill="FFFFFF"/>
            <w:vAlign w:val="center"/>
          </w:tcPr>
          <w:p w14:paraId="5FD6CA8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社会公众或服务对象对项目实施效果的满意程度。</w:t>
            </w:r>
          </w:p>
        </w:tc>
        <w:tc>
          <w:tcPr>
            <w:tcW w:w="7341" w:type="dxa"/>
            <w:tcBorders>
              <w:tl2br w:val="nil"/>
              <w:tr2bl w:val="nil"/>
            </w:tcBorders>
            <w:shd w:val="clear" w:color="000000" w:fill="FFFFFF"/>
            <w:vAlign w:val="center"/>
          </w:tcPr>
          <w:p w14:paraId="02CCF5B1">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r>
    </w:tbl>
    <w:p w14:paraId="3EC5FDC6">
      <w:pPr>
        <w:ind w:firstLine="0" w:firstLineChars="0"/>
        <w:jc w:val="center"/>
        <w:rPr>
          <w:rFonts w:ascii="仿宋_GB2312"/>
        </w:rPr>
      </w:pPr>
    </w:p>
    <w:p w14:paraId="06FAE0F1">
      <w:pPr>
        <w:ind w:firstLine="0" w:firstLineChars="0"/>
        <w:jc w:val="center"/>
        <w:rPr>
          <w:rFonts w:ascii="仿宋_GB2312"/>
        </w:rPr>
      </w:pPr>
    </w:p>
    <w:p w14:paraId="75198818">
      <w:pPr>
        <w:ind w:firstLine="0" w:firstLineChars="0"/>
        <w:jc w:val="center"/>
        <w:rPr>
          <w:rFonts w:ascii="仿宋_GB2312"/>
        </w:rPr>
      </w:pPr>
    </w:p>
    <w:p w14:paraId="4AD24115">
      <w:pPr>
        <w:ind w:firstLine="0" w:firstLineChars="0"/>
        <w:jc w:val="center"/>
        <w:rPr>
          <w:rFonts w:ascii="仿宋_GB2312"/>
        </w:rPr>
      </w:pPr>
    </w:p>
    <w:p w14:paraId="3498EC20">
      <w:pPr>
        <w:ind w:firstLine="0" w:firstLineChars="0"/>
        <w:jc w:val="center"/>
        <w:rPr>
          <w:rFonts w:ascii="仿宋_GB2312"/>
        </w:rPr>
      </w:pPr>
    </w:p>
    <w:p w14:paraId="4446E5A5">
      <w:pPr>
        <w:ind w:firstLine="0" w:firstLineChars="0"/>
        <w:jc w:val="center"/>
        <w:rPr>
          <w:rFonts w:ascii="仿宋_GB2312"/>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14:paraId="4F9566DA">
      <w:pPr>
        <w:pStyle w:val="4"/>
        <w:ind w:firstLine="643"/>
      </w:pPr>
      <w:bookmarkStart w:id="22" w:name="_Toc165277234"/>
      <w:bookmarkStart w:id="23" w:name="_Hlk67586038"/>
      <w:r>
        <w:t>3.</w:t>
      </w:r>
      <w:r>
        <w:rPr>
          <w:rFonts w:hint="eastAsia"/>
        </w:rPr>
        <w:t>评价方法</w:t>
      </w:r>
      <w:bookmarkEnd w:id="22"/>
    </w:p>
    <w:bookmarkEnd w:id="23"/>
    <w:p w14:paraId="75D9022C">
      <w:pPr>
        <w:spacing w:line="360" w:lineRule="auto"/>
        <w:ind w:firstLine="560"/>
        <w:rPr>
          <w:rFonts w:ascii="仿宋_GB2312"/>
        </w:rPr>
      </w:pPr>
      <w:r>
        <w:rPr>
          <w:rFonts w:hint="eastAsia" w:ascii="仿宋_GB2312"/>
        </w:rPr>
        <w:t>《关于印发&lt;项目支出绩效评价管理办法&gt;的通知》（财预〔2020〕10号）文件指出部门评价的方法主要包括成本效益分析法、比较法、因素分析法、最低成本法、公众评判法、标杆管理法等。</w:t>
      </w:r>
    </w:p>
    <w:p w14:paraId="0B6CF2B6">
      <w:pPr>
        <w:spacing w:line="360" w:lineRule="auto"/>
        <w:ind w:firstLine="560"/>
        <w:rPr>
          <w:rFonts w:ascii="仿宋_GB2312"/>
        </w:rPr>
      </w:pPr>
      <w:r>
        <w:rPr>
          <w:rFonts w:hint="eastAsia" w:ascii="仿宋_GB2312"/>
        </w:rPr>
        <w:t>（1）成本效益分析法。是指将投入与产出、效益进行关联性分析的方法。</w:t>
      </w:r>
    </w:p>
    <w:p w14:paraId="694FE483">
      <w:pPr>
        <w:spacing w:line="360" w:lineRule="auto"/>
        <w:ind w:firstLine="560"/>
        <w:rPr>
          <w:rFonts w:ascii="仿宋_GB2312"/>
        </w:rPr>
      </w:pPr>
      <w:r>
        <w:rPr>
          <w:rFonts w:hint="eastAsia" w:ascii="仿宋_GB2312"/>
        </w:rPr>
        <w:t>（2）比较法。是指将实施情况与绩效目标、历史情况、不同部门和地区同类支出情况进行比较的方法。</w:t>
      </w:r>
    </w:p>
    <w:p w14:paraId="48C58CCE">
      <w:pPr>
        <w:spacing w:line="360" w:lineRule="auto"/>
        <w:ind w:firstLine="560"/>
        <w:rPr>
          <w:rFonts w:ascii="仿宋_GB2312"/>
        </w:rPr>
      </w:pPr>
      <w:r>
        <w:rPr>
          <w:rFonts w:hint="eastAsia" w:ascii="仿宋_GB2312"/>
        </w:rPr>
        <w:t>（3）因素分析法。是指综合分析影响绩效目标实现、实施效果的内外部因素的方法。</w:t>
      </w:r>
    </w:p>
    <w:p w14:paraId="5D3EBCC8">
      <w:pPr>
        <w:spacing w:line="360" w:lineRule="auto"/>
        <w:ind w:firstLine="560"/>
        <w:rPr>
          <w:rFonts w:ascii="仿宋_GB2312"/>
        </w:rPr>
      </w:pPr>
      <w:r>
        <w:rPr>
          <w:rFonts w:hint="eastAsia" w:ascii="仿宋_GB2312"/>
        </w:rPr>
        <w:t>（4）最低成本法。是指在绩效目标确定的前提下，成本最小者为优的方法。</w:t>
      </w:r>
    </w:p>
    <w:p w14:paraId="2075883E">
      <w:pPr>
        <w:spacing w:line="360" w:lineRule="auto"/>
        <w:ind w:firstLine="560"/>
        <w:rPr>
          <w:rFonts w:ascii="仿宋_GB2312"/>
        </w:rPr>
      </w:pPr>
      <w:r>
        <w:rPr>
          <w:rFonts w:hint="eastAsia" w:ascii="仿宋_GB2312"/>
        </w:rPr>
        <w:t>（5）公众评判法。是指通过专家评估、公众问卷及抽样调查等方式进行评判的方法。</w:t>
      </w:r>
    </w:p>
    <w:p w14:paraId="70EDD0AB">
      <w:pPr>
        <w:spacing w:line="360" w:lineRule="auto"/>
        <w:ind w:firstLine="560"/>
        <w:rPr>
          <w:rFonts w:ascii="仿宋_GB2312"/>
        </w:rPr>
      </w:pPr>
      <w:r>
        <w:rPr>
          <w:rFonts w:hint="eastAsia" w:ascii="仿宋_GB2312"/>
        </w:rPr>
        <w:t>（6）标杆管理法。是指以国内外同行业中较高的绩效水平为标杆进行评判的方法。</w:t>
      </w:r>
    </w:p>
    <w:p w14:paraId="0F591EAF">
      <w:pPr>
        <w:spacing w:line="360" w:lineRule="auto"/>
        <w:ind w:firstLine="560"/>
        <w:rPr>
          <w:rFonts w:ascii="仿宋_GB2312"/>
        </w:rPr>
      </w:pPr>
      <w:r>
        <w:rPr>
          <w:rFonts w:hint="eastAsia" w:ascii="仿宋_GB2312"/>
        </w:rPr>
        <w:t>（7）其他评价方法。</w:t>
      </w:r>
    </w:p>
    <w:p w14:paraId="4A5A28BA">
      <w:pPr>
        <w:spacing w:line="360" w:lineRule="auto"/>
        <w:ind w:firstLine="560"/>
        <w:rPr>
          <w:rFonts w:ascii="仿宋_GB2312"/>
        </w:rPr>
      </w:pPr>
      <w:r>
        <w:rPr>
          <w:rFonts w:hint="eastAsia" w:ascii="仿宋_GB2312"/>
        </w:rPr>
        <w:t>根据本项目（医疗设备、总务后勤保障及信息化建设项目）的特点，本次评价主要采用比较法</w:t>
      </w:r>
      <w:r>
        <w:rPr>
          <w:rFonts w:ascii="仿宋_GB2312"/>
        </w:rPr>
        <w:t>和</w:t>
      </w:r>
      <w:r>
        <w:rPr>
          <w:rFonts w:hint="eastAsia" w:ascii="仿宋_GB2312"/>
        </w:rPr>
        <w:t>公众评判，对项目总预算和明细预算的内容、标准、计划是否经济合理进行深入分析，以考察实际产出和效益是否达到预期。</w:t>
      </w:r>
    </w:p>
    <w:p w14:paraId="209480B2">
      <w:pPr>
        <w:pStyle w:val="4"/>
        <w:ind w:firstLine="643"/>
      </w:pPr>
      <w:bookmarkStart w:id="24" w:name="_Toc165277235"/>
      <w:r>
        <w:t>4.</w:t>
      </w:r>
      <w:r>
        <w:rPr>
          <w:rFonts w:hint="eastAsia"/>
        </w:rPr>
        <w:t>评价标准</w:t>
      </w:r>
      <w:bookmarkEnd w:id="24"/>
    </w:p>
    <w:p w14:paraId="5C120236">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14:paraId="5A880917">
      <w:pPr>
        <w:spacing w:line="360" w:lineRule="auto"/>
        <w:ind w:firstLine="560"/>
        <w:rPr>
          <w:rFonts w:ascii="仿宋_GB2312"/>
        </w:rPr>
      </w:pPr>
      <w:r>
        <w:rPr>
          <w:rFonts w:hint="eastAsia" w:ascii="仿宋_GB2312"/>
        </w:rPr>
        <w:t>（1）计划标准。指以预先制定的目标、计划、预算、定额等作为评价标准。</w:t>
      </w:r>
    </w:p>
    <w:p w14:paraId="20D6FEEE">
      <w:pPr>
        <w:spacing w:line="360" w:lineRule="auto"/>
        <w:ind w:firstLine="560"/>
        <w:rPr>
          <w:rFonts w:ascii="仿宋_GB2312"/>
        </w:rPr>
      </w:pPr>
      <w:r>
        <w:rPr>
          <w:rFonts w:hint="eastAsia" w:ascii="仿宋_GB2312"/>
        </w:rPr>
        <w:t>（2）行业标准。指参照国家公布的行业指标数据制定的评价标准。</w:t>
      </w:r>
    </w:p>
    <w:p w14:paraId="760C2789">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14:paraId="0C9BB8D3">
      <w:pPr>
        <w:spacing w:line="360" w:lineRule="auto"/>
        <w:ind w:firstLine="560"/>
        <w:rPr>
          <w:rFonts w:ascii="仿宋_GB2312"/>
        </w:rPr>
      </w:pPr>
      <w:r>
        <w:rPr>
          <w:rFonts w:hint="eastAsia" w:ascii="仿宋_GB2312"/>
        </w:rPr>
        <w:t>在上述评价标准的基础上，本次评价依据以下文件为重要指导和准绳：</w:t>
      </w:r>
    </w:p>
    <w:p w14:paraId="2BEAFBA7">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《中共中央国务院关于全面实施预算绩效管理的意见》（中发〔2018〕34号）</w:t>
      </w:r>
    </w:p>
    <w:p w14:paraId="4C373B7E">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《关于印发&lt;乌鲁木齐市本级部门预算绩效目标管理暂行办法&gt;的通知》（乌财预〔2018〕56号）</w:t>
      </w:r>
    </w:p>
    <w:p w14:paraId="623F1784">
      <w:pPr>
        <w:spacing w:line="360" w:lineRule="auto"/>
        <w:ind w:firstLine="560" w:firstLineChars="0"/>
        <w:rPr>
          <w:rFonts w:ascii="仿宋_GB2312"/>
        </w:rPr>
      </w:pPr>
      <w:r>
        <w:rPr>
          <w:rFonts w:hint="eastAsia" w:ascii="黑体" w:hAnsi="黑体" w:eastAsia="黑体" w:cs="Times New Roman"/>
          <w:szCs w:val="28"/>
        </w:rPr>
        <w:t>·</w:t>
      </w:r>
      <w:r>
        <w:rPr>
          <w:rFonts w:hint="eastAsia" w:ascii="仿宋_GB2312"/>
        </w:rPr>
        <w:t>《关于做好2019年部门预算项目支出绩效目标管理有关事宜的通知》（乌财预〔2018〕76号）</w:t>
      </w:r>
    </w:p>
    <w:p w14:paraId="2325B0BB">
      <w:pPr>
        <w:spacing w:line="360" w:lineRule="auto"/>
        <w:ind w:firstLine="560"/>
        <w:rPr>
          <w:rFonts w:ascii="仿宋_GB2312"/>
        </w:rPr>
      </w:pPr>
      <w:r>
        <w:rPr>
          <w:rFonts w:hint="eastAsia" w:ascii="黑体" w:hAnsi="黑体" w:eastAsia="黑体" w:cs="Times New Roman"/>
          <w:szCs w:val="28"/>
        </w:rPr>
        <w:t>·</w:t>
      </w:r>
      <w:r>
        <w:rPr>
          <w:rFonts w:hint="eastAsia" w:ascii="仿宋_GB2312"/>
        </w:rPr>
        <w:t>《项目支出绩效评价管理办法》（财预〔2020〕10号）</w:t>
      </w:r>
    </w:p>
    <w:p w14:paraId="6BFCE5A8">
      <w:pPr>
        <w:spacing w:line="360" w:lineRule="auto"/>
        <w:ind w:firstLine="560"/>
        <w:rPr>
          <w:rFonts w:ascii="仿宋_GB2312" w:hAnsi="仿宋"/>
          <w:szCs w:val="28"/>
        </w:rPr>
      </w:pPr>
      <w:r>
        <w:rPr>
          <w:rFonts w:hint="eastAsia" w:ascii="黑体" w:hAnsi="黑体" w:eastAsia="黑体" w:cs="Times New Roman"/>
          <w:szCs w:val="28"/>
        </w:rPr>
        <w:t xml:space="preserve">·  </w:t>
      </w:r>
      <w:r>
        <w:rPr>
          <w:rFonts w:hint="eastAsia" w:ascii="仿宋_GB2312" w:hAnsi="仿宋"/>
          <w:szCs w:val="28"/>
        </w:rPr>
        <w:t>《关于2023年市卫健委所属单位预算的批复》（乌卫财[2023]年2号）</w:t>
      </w:r>
    </w:p>
    <w:p w14:paraId="796AFFD8">
      <w:pPr>
        <w:spacing w:line="360" w:lineRule="auto"/>
        <w:ind w:firstLine="560"/>
        <w:rPr>
          <w:rFonts w:ascii="仿宋_GB2312"/>
        </w:rPr>
      </w:pPr>
      <w:r>
        <w:rPr>
          <w:rFonts w:hint="eastAsia" w:ascii="黑体" w:hAnsi="黑体" w:eastAsia="黑体" w:cs="Times New Roman"/>
          <w:szCs w:val="28"/>
        </w:rPr>
        <w:t xml:space="preserve">· </w:t>
      </w:r>
      <w:r>
        <w:rPr>
          <w:rFonts w:hint="eastAsia" w:ascii="仿宋_GB2312"/>
        </w:rPr>
        <w:t>《2023年乌鲁木齐市本级部门预算编制管理工作规程》的通知》（乌财预函[2022]15号）</w:t>
      </w:r>
    </w:p>
    <w:p w14:paraId="744DD4F5">
      <w:pPr>
        <w:spacing w:line="360" w:lineRule="auto"/>
        <w:ind w:firstLine="560"/>
        <w:rPr>
          <w:rFonts w:ascii="仿宋_GB2312" w:hAnsi="仿宋"/>
          <w:szCs w:val="28"/>
        </w:rPr>
      </w:pPr>
      <w:r>
        <w:rPr>
          <w:rFonts w:hint="eastAsia" w:ascii="黑体" w:hAnsi="黑体" w:eastAsia="黑体" w:cs="Times New Roman"/>
          <w:szCs w:val="28"/>
        </w:rPr>
        <w:t xml:space="preserve">· </w:t>
      </w:r>
      <w:r>
        <w:rPr>
          <w:rFonts w:hint="eastAsia" w:ascii="仿宋_GB2312"/>
        </w:rPr>
        <w:t>《关于印发《乌鲁木齐市本级政府采购预算管理办法（实行）》的通知》（乌财预[2022]50号）</w:t>
      </w:r>
    </w:p>
    <w:p w14:paraId="0C5C9641">
      <w:pPr>
        <w:pStyle w:val="3"/>
        <w:ind w:firstLine="643"/>
        <w:rPr>
          <w:rFonts w:ascii="仿宋" w:hAnsi="仿宋" w:eastAsia="仿宋"/>
          <w:lang w:bidi="en-US"/>
        </w:rPr>
      </w:pPr>
      <w:bookmarkStart w:id="25" w:name="_Toc67911607"/>
      <w:bookmarkStart w:id="26" w:name="_Toc165277236"/>
      <w:r>
        <w:rPr>
          <w:rFonts w:hint="eastAsia" w:ascii="仿宋" w:hAnsi="仿宋" w:eastAsia="仿宋"/>
          <w:lang w:bidi="en-US"/>
        </w:rPr>
        <w:t>（三）绩效评价工作过程</w:t>
      </w:r>
      <w:bookmarkEnd w:id="25"/>
      <w:bookmarkEnd w:id="26"/>
    </w:p>
    <w:p w14:paraId="443161A3">
      <w:pPr>
        <w:spacing w:line="360" w:lineRule="auto"/>
        <w:ind w:firstLine="560"/>
        <w:rPr>
          <w:rFonts w:ascii="仿宋_GB2312"/>
        </w:rPr>
      </w:pPr>
      <w:r>
        <w:rPr>
          <w:rFonts w:hint="eastAsia" w:ascii="仿宋_GB231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ascii="仿宋_GB2312"/>
        </w:rPr>
        <w:footnoteReference w:id="0"/>
      </w:r>
      <w:r>
        <w:rPr>
          <w:rFonts w:hint="eastAsia" w:ascii="仿宋_GB2312"/>
        </w:rPr>
        <w:t>、材料审核分析、现场核查评价、综合分析评价及报告撰写，评价项目实施情况，展现资金使用效益。</w:t>
      </w:r>
    </w:p>
    <w:p w14:paraId="02D1F8A9">
      <w:pPr>
        <w:pStyle w:val="2"/>
        <w:ind w:firstLine="0" w:firstLineChars="0"/>
        <w:jc w:val="left"/>
        <w:rPr>
          <w:rFonts w:ascii="仿宋" w:hAnsi="仿宋" w:eastAsia="仿宋"/>
          <w:sz w:val="36"/>
          <w:szCs w:val="36"/>
          <w:lang w:bidi="en-US"/>
        </w:rPr>
      </w:pPr>
      <w:bookmarkStart w:id="27" w:name="_Toc67911608"/>
      <w:bookmarkStart w:id="28" w:name="_Toc165277237"/>
      <w:r>
        <w:rPr>
          <w:rFonts w:hint="eastAsia" w:ascii="仿宋" w:hAnsi="仿宋" w:eastAsia="仿宋"/>
          <w:sz w:val="36"/>
          <w:szCs w:val="36"/>
          <w:lang w:bidi="en-US"/>
        </w:rPr>
        <w:t>三、综合评价情况及评价结论</w:t>
      </w:r>
      <w:bookmarkEnd w:id="27"/>
      <w:bookmarkEnd w:id="28"/>
    </w:p>
    <w:p w14:paraId="1C671EB9">
      <w:pPr>
        <w:pStyle w:val="3"/>
        <w:ind w:firstLine="643"/>
        <w:rPr>
          <w:rFonts w:ascii="仿宋" w:hAnsi="仿宋" w:eastAsia="仿宋"/>
          <w:lang w:bidi="en-US"/>
        </w:rPr>
      </w:pPr>
      <w:bookmarkStart w:id="29" w:name="_Toc67911609"/>
      <w:bookmarkStart w:id="30" w:name="_Toc165277238"/>
      <w:r>
        <w:rPr>
          <w:rFonts w:hint="eastAsia" w:ascii="仿宋" w:hAnsi="仿宋" w:eastAsia="仿宋"/>
          <w:lang w:bidi="en-US"/>
        </w:rPr>
        <w:t>（一）评价结论</w:t>
      </w:r>
      <w:bookmarkEnd w:id="29"/>
      <w:bookmarkEnd w:id="30"/>
    </w:p>
    <w:p w14:paraId="243D54F3">
      <w:pPr>
        <w:spacing w:line="360" w:lineRule="auto"/>
        <w:ind w:firstLine="560"/>
        <w:rPr>
          <w:rFonts w:ascii="仿宋_GB2312"/>
          <w:szCs w:val="28"/>
        </w:rPr>
      </w:pPr>
      <w:r>
        <w:rPr>
          <w:rFonts w:hint="eastAsia" w:ascii="仿宋_GB2312"/>
          <w:szCs w:val="28"/>
        </w:rPr>
        <w:t>结合项目特点，制定符合项目实际的绩效评价指标体系及评分标准，通过数据采集、问卷调查及访谈等形式，对2</w:t>
      </w:r>
      <w:r>
        <w:rPr>
          <w:rFonts w:ascii="仿宋_GB2312"/>
          <w:szCs w:val="28"/>
        </w:rPr>
        <w:t>023</w:t>
      </w:r>
      <w:r>
        <w:rPr>
          <w:rFonts w:hint="eastAsia" w:ascii="仿宋_GB2312"/>
          <w:szCs w:val="28"/>
        </w:rPr>
        <w:t>年医疗设备、总务后勤保障及信息化建设项目进行客观评价，最终评分结果为：总分为</w:t>
      </w:r>
      <w:r>
        <w:rPr>
          <w:rFonts w:ascii="仿宋_GB2312"/>
          <w:szCs w:val="28"/>
        </w:rPr>
        <w:t>95.56</w:t>
      </w:r>
      <w:r>
        <w:rPr>
          <w:rFonts w:hint="eastAsia" w:ascii="仿宋_GB2312"/>
          <w:szCs w:val="28"/>
        </w:rPr>
        <w:t>分，绩效评级为“优”</w:t>
      </w:r>
      <w:r>
        <w:rPr>
          <w:rFonts w:hint="eastAsia" w:ascii="仿宋_GB2312"/>
          <w:szCs w:val="28"/>
        </w:rPr>
        <w:footnoteReference w:id="1"/>
      </w:r>
      <w:r>
        <w:rPr>
          <w:rFonts w:hint="eastAsia" w:ascii="仿宋_GB2312"/>
          <w:szCs w:val="28"/>
        </w:rPr>
        <w:t>。</w:t>
      </w:r>
    </w:p>
    <w:p w14:paraId="0D3127DB">
      <w:pPr>
        <w:spacing w:line="360" w:lineRule="auto"/>
        <w:ind w:firstLine="560"/>
        <w:rPr>
          <w:rFonts w:ascii="仿宋_GB2312"/>
          <w:szCs w:val="28"/>
        </w:rPr>
      </w:pPr>
      <w:r>
        <w:rPr>
          <w:rFonts w:hint="eastAsia" w:ascii="仿宋_GB2312"/>
          <w:szCs w:val="28"/>
        </w:rPr>
        <w:t>医疗设备、总务后勤保障及信息化建设项目各部分权重和绩效分值如附表所示：</w:t>
      </w:r>
    </w:p>
    <w:p w14:paraId="5613670D">
      <w:pPr>
        <w:spacing w:line="360" w:lineRule="auto"/>
        <w:ind w:firstLine="0" w:firstLineChars="0"/>
        <w:jc w:val="center"/>
        <w:rPr>
          <w:rFonts w:ascii="仿宋_GB2312"/>
          <w:b/>
          <w:bCs/>
          <w:szCs w:val="28"/>
        </w:rPr>
      </w:pPr>
      <w:r>
        <w:rPr>
          <w:rFonts w:ascii="仿宋_GB2312"/>
          <w:b/>
          <w:bCs/>
          <w:szCs w:val="28"/>
        </w:rPr>
        <w:t xml:space="preserve">  </w:t>
      </w:r>
      <w:r>
        <w:rPr>
          <w:rFonts w:hint="eastAsia" w:ascii="仿宋_GB2312"/>
          <w:b/>
          <w:bCs/>
          <w:szCs w:val="28"/>
        </w:rPr>
        <w:t>项目各部分权重和绩效分值</w:t>
      </w:r>
    </w:p>
    <w:tbl>
      <w:tblPr>
        <w:tblStyle w:val="16"/>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3006"/>
        <w:gridCol w:w="585"/>
        <w:gridCol w:w="898"/>
        <w:gridCol w:w="1039"/>
      </w:tblGrid>
      <w:tr w14:paraId="7EBF1B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14:paraId="7842F78A">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一级指标</w:t>
            </w:r>
          </w:p>
        </w:tc>
        <w:tc>
          <w:tcPr>
            <w:tcW w:w="1984" w:type="dxa"/>
            <w:tcBorders>
              <w:tl2br w:val="nil"/>
              <w:tr2bl w:val="nil"/>
            </w:tcBorders>
            <w:shd w:val="clear" w:color="auto" w:fill="D0CECE" w:themeFill="background2" w:themeFillShade="E6"/>
            <w:vAlign w:val="center"/>
          </w:tcPr>
          <w:p w14:paraId="39F6E7EB">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二级指标</w:t>
            </w:r>
          </w:p>
        </w:tc>
        <w:tc>
          <w:tcPr>
            <w:tcW w:w="3006" w:type="dxa"/>
            <w:tcBorders>
              <w:tl2br w:val="nil"/>
              <w:tr2bl w:val="nil"/>
            </w:tcBorders>
            <w:shd w:val="clear" w:color="auto" w:fill="D0CECE" w:themeFill="background2" w:themeFillShade="E6"/>
            <w:vAlign w:val="center"/>
          </w:tcPr>
          <w:p w14:paraId="0437F4A5">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三级指标</w:t>
            </w:r>
          </w:p>
        </w:tc>
        <w:tc>
          <w:tcPr>
            <w:tcW w:w="585" w:type="dxa"/>
            <w:tcBorders>
              <w:tl2br w:val="nil"/>
              <w:tr2bl w:val="nil"/>
            </w:tcBorders>
            <w:shd w:val="clear" w:color="auto" w:fill="D0CECE" w:themeFill="background2" w:themeFillShade="E6"/>
            <w:vAlign w:val="center"/>
          </w:tcPr>
          <w:p w14:paraId="58E8A5BD">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分值</w:t>
            </w:r>
          </w:p>
        </w:tc>
        <w:tc>
          <w:tcPr>
            <w:tcW w:w="898" w:type="dxa"/>
            <w:tcBorders>
              <w:tl2br w:val="nil"/>
              <w:tr2bl w:val="nil"/>
            </w:tcBorders>
            <w:shd w:val="clear" w:color="auto" w:fill="D0CECE" w:themeFill="background2" w:themeFillShade="E6"/>
            <w:vAlign w:val="center"/>
          </w:tcPr>
          <w:p w14:paraId="30B2DA36">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得分</w:t>
            </w:r>
          </w:p>
        </w:tc>
        <w:tc>
          <w:tcPr>
            <w:tcW w:w="1039" w:type="dxa"/>
            <w:tcBorders>
              <w:tl2br w:val="nil"/>
              <w:tr2bl w:val="nil"/>
            </w:tcBorders>
            <w:shd w:val="clear" w:color="auto" w:fill="D0CECE" w:themeFill="background2" w:themeFillShade="E6"/>
            <w:vAlign w:val="center"/>
          </w:tcPr>
          <w:p w14:paraId="5F9267C0">
            <w:pPr>
              <w:widowControl/>
              <w:ind w:firstLine="0" w:firstLineChars="0"/>
              <w:jc w:val="center"/>
              <w:rPr>
                <w:rFonts w:ascii="仿宋_GB2312" w:hAnsi="Gungsuh" w:cs="宋体"/>
                <w:b/>
                <w:bCs/>
                <w:kern w:val="0"/>
                <w:sz w:val="24"/>
                <w:szCs w:val="24"/>
              </w:rPr>
            </w:pPr>
            <w:r>
              <w:rPr>
                <w:rFonts w:hint="eastAsia" w:ascii="仿宋_GB2312" w:hAnsi="Gungsuh" w:cs="宋体"/>
                <w:b/>
                <w:bCs/>
                <w:kern w:val="0"/>
                <w:sz w:val="24"/>
                <w:szCs w:val="24"/>
              </w:rPr>
              <w:t>得分率</w:t>
            </w:r>
          </w:p>
        </w:tc>
      </w:tr>
      <w:tr w14:paraId="1D97AE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68C31FB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决策</w:t>
            </w:r>
          </w:p>
        </w:tc>
        <w:tc>
          <w:tcPr>
            <w:tcW w:w="1984" w:type="dxa"/>
            <w:vMerge w:val="restart"/>
            <w:tcBorders>
              <w:tl2br w:val="nil"/>
              <w:tr2bl w:val="nil"/>
            </w:tcBorders>
            <w:shd w:val="clear" w:color="auto" w:fill="FFFFFF"/>
            <w:vAlign w:val="center"/>
          </w:tcPr>
          <w:p w14:paraId="4608BC4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项目立项</w:t>
            </w:r>
          </w:p>
        </w:tc>
        <w:tc>
          <w:tcPr>
            <w:tcW w:w="3006" w:type="dxa"/>
            <w:tcBorders>
              <w:tl2br w:val="nil"/>
              <w:tr2bl w:val="nil"/>
            </w:tcBorders>
            <w:shd w:val="clear" w:color="auto" w:fill="FFFFFF"/>
            <w:vAlign w:val="center"/>
          </w:tcPr>
          <w:p w14:paraId="5A5C18C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立项依据充分性</w:t>
            </w:r>
          </w:p>
        </w:tc>
        <w:tc>
          <w:tcPr>
            <w:tcW w:w="585" w:type="dxa"/>
            <w:tcBorders>
              <w:tl2br w:val="nil"/>
              <w:tr2bl w:val="nil"/>
            </w:tcBorders>
            <w:shd w:val="clear" w:color="auto" w:fill="FFFFFF"/>
            <w:vAlign w:val="center"/>
          </w:tcPr>
          <w:p w14:paraId="7BCDAB8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2E2D6D2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auto" w:fill="FFFFFF"/>
            <w:vAlign w:val="center"/>
          </w:tcPr>
          <w:p w14:paraId="5885FB7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41E24D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44C02B2C">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65F674E2">
            <w:pPr>
              <w:widowControl/>
              <w:ind w:firstLine="0" w:firstLineChars="0"/>
              <w:jc w:val="center"/>
              <w:rPr>
                <w:rFonts w:ascii="仿宋_GB2312" w:hAnsi="宋体" w:cs="宋体"/>
                <w:kern w:val="0"/>
                <w:sz w:val="24"/>
                <w:szCs w:val="24"/>
              </w:rPr>
            </w:pPr>
          </w:p>
        </w:tc>
        <w:tc>
          <w:tcPr>
            <w:tcW w:w="3006" w:type="dxa"/>
            <w:tcBorders>
              <w:tl2br w:val="nil"/>
              <w:tr2bl w:val="nil"/>
            </w:tcBorders>
            <w:shd w:val="clear" w:color="auto" w:fill="FFFFFF"/>
            <w:vAlign w:val="center"/>
          </w:tcPr>
          <w:p w14:paraId="1987FA2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立项程序规范性</w:t>
            </w:r>
          </w:p>
        </w:tc>
        <w:tc>
          <w:tcPr>
            <w:tcW w:w="585" w:type="dxa"/>
            <w:tcBorders>
              <w:tl2br w:val="nil"/>
              <w:tr2bl w:val="nil"/>
            </w:tcBorders>
            <w:shd w:val="clear" w:color="auto" w:fill="FFFFFF"/>
            <w:vAlign w:val="center"/>
          </w:tcPr>
          <w:p w14:paraId="4712B90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72FAAAA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auto" w:fill="FFFFFF"/>
            <w:vAlign w:val="center"/>
          </w:tcPr>
          <w:p w14:paraId="30128C6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1DD9BD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435781B1">
            <w:pPr>
              <w:ind w:firstLine="48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616D33B3">
            <w:pPr>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w:t>
            </w:r>
          </w:p>
        </w:tc>
        <w:tc>
          <w:tcPr>
            <w:tcW w:w="3006" w:type="dxa"/>
            <w:tcBorders>
              <w:tl2br w:val="nil"/>
              <w:tr2bl w:val="nil"/>
            </w:tcBorders>
            <w:shd w:val="clear" w:color="auto" w:fill="FFFFFF"/>
            <w:vAlign w:val="center"/>
          </w:tcPr>
          <w:p w14:paraId="30F22A2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绩效目标合理性</w:t>
            </w:r>
          </w:p>
        </w:tc>
        <w:tc>
          <w:tcPr>
            <w:tcW w:w="585" w:type="dxa"/>
            <w:tcBorders>
              <w:tl2br w:val="nil"/>
              <w:tr2bl w:val="nil"/>
            </w:tcBorders>
            <w:shd w:val="clear" w:color="000000" w:fill="FFFFFF"/>
            <w:vAlign w:val="center"/>
          </w:tcPr>
          <w:p w14:paraId="315CEA4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651621E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5B1F3BD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6E2D57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46D0A78B">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7FC62875">
            <w:pPr>
              <w:widowControl/>
              <w:ind w:firstLine="0" w:firstLineChars="0"/>
              <w:jc w:val="center"/>
              <w:rPr>
                <w:rFonts w:ascii="仿宋_GB2312" w:hAnsi="宋体" w:cs="宋体"/>
                <w:kern w:val="0"/>
                <w:sz w:val="24"/>
                <w:szCs w:val="24"/>
              </w:rPr>
            </w:pPr>
          </w:p>
        </w:tc>
        <w:tc>
          <w:tcPr>
            <w:tcW w:w="3006" w:type="dxa"/>
            <w:tcBorders>
              <w:tl2br w:val="nil"/>
              <w:tr2bl w:val="nil"/>
            </w:tcBorders>
            <w:shd w:val="clear" w:color="auto" w:fill="FFFFFF"/>
            <w:vAlign w:val="center"/>
          </w:tcPr>
          <w:p w14:paraId="26216D9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绩效指标明确性</w:t>
            </w:r>
          </w:p>
        </w:tc>
        <w:tc>
          <w:tcPr>
            <w:tcW w:w="585" w:type="dxa"/>
            <w:tcBorders>
              <w:tl2br w:val="nil"/>
              <w:tr2bl w:val="nil"/>
            </w:tcBorders>
            <w:shd w:val="clear" w:color="000000" w:fill="FFFFFF"/>
            <w:vAlign w:val="center"/>
          </w:tcPr>
          <w:p w14:paraId="2746A57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16A5AC4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12BDBBD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0F7344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4F53401">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53D2BC3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资金投入</w:t>
            </w:r>
          </w:p>
        </w:tc>
        <w:tc>
          <w:tcPr>
            <w:tcW w:w="3006" w:type="dxa"/>
            <w:tcBorders>
              <w:tl2br w:val="nil"/>
              <w:tr2bl w:val="nil"/>
            </w:tcBorders>
            <w:shd w:val="clear" w:color="auto" w:fill="FFFFFF"/>
            <w:vAlign w:val="center"/>
          </w:tcPr>
          <w:p w14:paraId="388CB4E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预算编制科学性</w:t>
            </w:r>
          </w:p>
        </w:tc>
        <w:tc>
          <w:tcPr>
            <w:tcW w:w="585" w:type="dxa"/>
            <w:tcBorders>
              <w:tl2br w:val="nil"/>
              <w:tr2bl w:val="nil"/>
            </w:tcBorders>
            <w:shd w:val="clear" w:color="auto" w:fill="FFFFFF"/>
            <w:vAlign w:val="center"/>
          </w:tcPr>
          <w:p w14:paraId="53C05DC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0EBF269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auto" w:fill="FFFFFF"/>
            <w:vAlign w:val="center"/>
          </w:tcPr>
          <w:p w14:paraId="25A2AA6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30BBCA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DC31C6E">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22897447">
            <w:pPr>
              <w:widowControl/>
              <w:ind w:firstLine="0" w:firstLineChars="0"/>
              <w:jc w:val="center"/>
              <w:rPr>
                <w:rFonts w:ascii="仿宋_GB2312" w:hAnsi="宋体" w:cs="宋体"/>
                <w:kern w:val="0"/>
                <w:sz w:val="24"/>
                <w:szCs w:val="24"/>
              </w:rPr>
            </w:pPr>
          </w:p>
        </w:tc>
        <w:tc>
          <w:tcPr>
            <w:tcW w:w="3006" w:type="dxa"/>
            <w:tcBorders>
              <w:tl2br w:val="nil"/>
              <w:tr2bl w:val="nil"/>
            </w:tcBorders>
            <w:shd w:val="clear" w:color="auto" w:fill="FFFFFF"/>
            <w:vAlign w:val="center"/>
          </w:tcPr>
          <w:p w14:paraId="6E73101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资金分配合理性</w:t>
            </w:r>
          </w:p>
        </w:tc>
        <w:tc>
          <w:tcPr>
            <w:tcW w:w="585" w:type="dxa"/>
            <w:tcBorders>
              <w:tl2br w:val="nil"/>
              <w:tr2bl w:val="nil"/>
            </w:tcBorders>
            <w:shd w:val="clear" w:color="auto" w:fill="FFFFFF"/>
            <w:vAlign w:val="center"/>
          </w:tcPr>
          <w:p w14:paraId="2E1FAF1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622BFDA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auto" w:fill="FFFFFF"/>
            <w:vAlign w:val="center"/>
          </w:tcPr>
          <w:p w14:paraId="197598D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12373A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735FD9C8">
            <w:pPr>
              <w:ind w:firstLine="0" w:firstLineChars="0"/>
              <w:jc w:val="center"/>
              <w:rPr>
                <w:rFonts w:ascii="仿宋_GB2312" w:hAnsi="宋体" w:cs="宋体"/>
                <w:kern w:val="0"/>
                <w:sz w:val="24"/>
                <w:szCs w:val="24"/>
              </w:rPr>
            </w:pPr>
            <w:r>
              <w:rPr>
                <w:rFonts w:hint="eastAsia" w:ascii="仿宋_GB2312" w:hAnsi="宋体" w:cs="宋体"/>
                <w:kern w:val="0"/>
                <w:sz w:val="24"/>
                <w:szCs w:val="24"/>
              </w:rPr>
              <w:t>过程</w:t>
            </w:r>
          </w:p>
        </w:tc>
        <w:tc>
          <w:tcPr>
            <w:tcW w:w="1984" w:type="dxa"/>
            <w:vMerge w:val="restart"/>
            <w:tcBorders>
              <w:tl2br w:val="nil"/>
              <w:tr2bl w:val="nil"/>
            </w:tcBorders>
            <w:shd w:val="clear" w:color="auto" w:fill="FFFFFF"/>
            <w:vAlign w:val="center"/>
          </w:tcPr>
          <w:p w14:paraId="5F846ACD">
            <w:pPr>
              <w:ind w:firstLine="0" w:firstLineChars="0"/>
              <w:jc w:val="center"/>
              <w:rPr>
                <w:rFonts w:ascii="仿宋_GB2312" w:hAnsi="宋体" w:cs="宋体"/>
                <w:kern w:val="0"/>
                <w:sz w:val="24"/>
                <w:szCs w:val="24"/>
              </w:rPr>
            </w:pPr>
            <w:r>
              <w:rPr>
                <w:rFonts w:hint="eastAsia" w:ascii="仿宋_GB2312" w:hAnsi="宋体" w:cs="宋体"/>
                <w:kern w:val="0"/>
                <w:sz w:val="24"/>
                <w:szCs w:val="24"/>
              </w:rPr>
              <w:t>资金管理</w:t>
            </w:r>
          </w:p>
        </w:tc>
        <w:tc>
          <w:tcPr>
            <w:tcW w:w="3006" w:type="dxa"/>
            <w:tcBorders>
              <w:tl2br w:val="nil"/>
              <w:tr2bl w:val="nil"/>
            </w:tcBorders>
            <w:shd w:val="clear" w:color="auto" w:fill="FFFFFF"/>
            <w:vAlign w:val="center"/>
          </w:tcPr>
          <w:p w14:paraId="1E1C08D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资金到位率</w:t>
            </w:r>
          </w:p>
        </w:tc>
        <w:tc>
          <w:tcPr>
            <w:tcW w:w="585" w:type="dxa"/>
            <w:tcBorders>
              <w:tl2br w:val="nil"/>
              <w:tr2bl w:val="nil"/>
            </w:tcBorders>
            <w:shd w:val="clear" w:color="000000" w:fill="FFFFFF"/>
            <w:vAlign w:val="center"/>
          </w:tcPr>
          <w:p w14:paraId="329C6B2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7AFC863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tcBorders>
              <w:tl2br w:val="nil"/>
              <w:tr2bl w:val="nil"/>
            </w:tcBorders>
            <w:shd w:val="clear" w:color="000000" w:fill="FFFFFF"/>
            <w:vAlign w:val="center"/>
          </w:tcPr>
          <w:p w14:paraId="094CEB3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7CC3F4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40B75C44">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4385381E">
            <w:pPr>
              <w:ind w:firstLine="480"/>
              <w:jc w:val="center"/>
              <w:rPr>
                <w:rFonts w:ascii="仿宋_GB2312" w:hAnsi="宋体" w:cs="宋体"/>
                <w:kern w:val="0"/>
                <w:sz w:val="24"/>
                <w:szCs w:val="24"/>
              </w:rPr>
            </w:pPr>
          </w:p>
        </w:tc>
        <w:tc>
          <w:tcPr>
            <w:tcW w:w="3006" w:type="dxa"/>
            <w:tcBorders>
              <w:tl2br w:val="nil"/>
              <w:tr2bl w:val="nil"/>
            </w:tcBorders>
            <w:shd w:val="clear" w:color="auto" w:fill="FFFFFF"/>
            <w:vAlign w:val="center"/>
          </w:tcPr>
          <w:p w14:paraId="113DEE5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预算执行率</w:t>
            </w:r>
          </w:p>
        </w:tc>
        <w:tc>
          <w:tcPr>
            <w:tcW w:w="585" w:type="dxa"/>
            <w:tcBorders>
              <w:tl2br w:val="nil"/>
              <w:tr2bl w:val="nil"/>
            </w:tcBorders>
            <w:shd w:val="clear" w:color="auto" w:fill="FFFFFF"/>
            <w:vAlign w:val="center"/>
          </w:tcPr>
          <w:p w14:paraId="29C618B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auto" w:fill="FFFFFF"/>
            <w:vAlign w:val="center"/>
          </w:tcPr>
          <w:p w14:paraId="71ACA8B4">
            <w:pPr>
              <w:widowControl/>
              <w:ind w:firstLine="0" w:firstLineChars="0"/>
              <w:jc w:val="center"/>
              <w:rPr>
                <w:rFonts w:ascii="仿宋_GB2312" w:hAnsi="宋体" w:cs="宋体"/>
                <w:kern w:val="0"/>
                <w:sz w:val="24"/>
                <w:szCs w:val="24"/>
              </w:rPr>
            </w:pPr>
            <w:r>
              <w:rPr>
                <w:rFonts w:ascii="仿宋_GB2312" w:hAnsi="宋体" w:cs="宋体"/>
                <w:kern w:val="0"/>
                <w:sz w:val="24"/>
                <w:szCs w:val="24"/>
              </w:rPr>
              <w:t>5</w:t>
            </w:r>
          </w:p>
        </w:tc>
        <w:tc>
          <w:tcPr>
            <w:tcW w:w="1039" w:type="dxa"/>
            <w:tcBorders>
              <w:tl2br w:val="nil"/>
              <w:tr2bl w:val="nil"/>
            </w:tcBorders>
            <w:shd w:val="clear" w:color="auto" w:fill="FFFFFF"/>
            <w:vAlign w:val="center"/>
          </w:tcPr>
          <w:p w14:paraId="5C125B13">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r>
              <w:rPr>
                <w:rFonts w:hint="eastAsia" w:ascii="仿宋_GB2312" w:hAnsi="宋体" w:cs="宋体"/>
                <w:kern w:val="0"/>
                <w:sz w:val="24"/>
                <w:szCs w:val="24"/>
              </w:rPr>
              <w:t>%</w:t>
            </w:r>
          </w:p>
        </w:tc>
      </w:tr>
      <w:tr w14:paraId="5DDC55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F91B6B9">
            <w:pPr>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24A4437B">
            <w:pPr>
              <w:widowControl/>
              <w:ind w:firstLine="0" w:firstLineChars="0"/>
              <w:jc w:val="center"/>
              <w:rPr>
                <w:rFonts w:ascii="仿宋_GB2312" w:hAnsi="宋体" w:cs="宋体"/>
                <w:kern w:val="0"/>
                <w:sz w:val="24"/>
                <w:szCs w:val="24"/>
              </w:rPr>
            </w:pPr>
          </w:p>
        </w:tc>
        <w:tc>
          <w:tcPr>
            <w:tcW w:w="3006" w:type="dxa"/>
            <w:tcBorders>
              <w:tl2br w:val="nil"/>
              <w:tr2bl w:val="nil"/>
            </w:tcBorders>
            <w:shd w:val="clear" w:color="auto" w:fill="FFFFFF"/>
            <w:vAlign w:val="center"/>
          </w:tcPr>
          <w:p w14:paraId="071D8AB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资金使用合规性</w:t>
            </w:r>
          </w:p>
        </w:tc>
        <w:tc>
          <w:tcPr>
            <w:tcW w:w="585" w:type="dxa"/>
            <w:tcBorders>
              <w:tl2br w:val="nil"/>
              <w:tr2bl w:val="nil"/>
            </w:tcBorders>
            <w:shd w:val="clear" w:color="000000" w:fill="FFFFFF"/>
            <w:vAlign w:val="center"/>
          </w:tcPr>
          <w:p w14:paraId="00A639D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6CC40E3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66A436A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037DAF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4AE61D1">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45F1E8F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组织实施</w:t>
            </w:r>
          </w:p>
        </w:tc>
        <w:tc>
          <w:tcPr>
            <w:tcW w:w="3006" w:type="dxa"/>
            <w:tcBorders>
              <w:tl2br w:val="nil"/>
              <w:tr2bl w:val="nil"/>
            </w:tcBorders>
            <w:shd w:val="clear" w:color="auto" w:fill="FFFFFF"/>
            <w:vAlign w:val="center"/>
          </w:tcPr>
          <w:p w14:paraId="5E11EB9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管理制度健全性</w:t>
            </w:r>
          </w:p>
        </w:tc>
        <w:tc>
          <w:tcPr>
            <w:tcW w:w="585" w:type="dxa"/>
            <w:tcBorders>
              <w:tl2br w:val="nil"/>
              <w:tr2bl w:val="nil"/>
            </w:tcBorders>
            <w:shd w:val="clear" w:color="000000" w:fill="FFFFFF"/>
            <w:vAlign w:val="center"/>
          </w:tcPr>
          <w:p w14:paraId="6D0D1EC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6CBD9A2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59057B1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4E0A5B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0C253EF">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72FEC437">
            <w:pPr>
              <w:widowControl/>
              <w:ind w:firstLine="0" w:firstLineChars="0"/>
              <w:jc w:val="center"/>
              <w:rPr>
                <w:rFonts w:ascii="仿宋_GB2312" w:hAnsi="宋体" w:cs="宋体"/>
                <w:kern w:val="0"/>
                <w:sz w:val="24"/>
                <w:szCs w:val="24"/>
              </w:rPr>
            </w:pPr>
          </w:p>
        </w:tc>
        <w:tc>
          <w:tcPr>
            <w:tcW w:w="3006" w:type="dxa"/>
            <w:tcBorders>
              <w:tl2br w:val="nil"/>
              <w:tr2bl w:val="nil"/>
            </w:tcBorders>
            <w:shd w:val="clear" w:color="auto" w:fill="FFFFFF"/>
            <w:vAlign w:val="center"/>
          </w:tcPr>
          <w:p w14:paraId="01E72E5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制度执行有效性</w:t>
            </w:r>
          </w:p>
        </w:tc>
        <w:tc>
          <w:tcPr>
            <w:tcW w:w="585" w:type="dxa"/>
            <w:tcBorders>
              <w:tl2br w:val="nil"/>
              <w:tr2bl w:val="nil"/>
            </w:tcBorders>
            <w:shd w:val="clear" w:color="000000" w:fill="FFFFFF"/>
            <w:vAlign w:val="center"/>
          </w:tcPr>
          <w:p w14:paraId="1E20A2D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14:paraId="119F000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000000" w:fill="FFFFFF"/>
            <w:vAlign w:val="center"/>
          </w:tcPr>
          <w:p w14:paraId="46B97F9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709BE5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14:paraId="22BE887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w:t>
            </w:r>
          </w:p>
        </w:tc>
        <w:tc>
          <w:tcPr>
            <w:tcW w:w="1984" w:type="dxa"/>
            <w:vMerge w:val="restart"/>
            <w:tcBorders>
              <w:tl2br w:val="nil"/>
              <w:tr2bl w:val="nil"/>
            </w:tcBorders>
            <w:shd w:val="clear" w:color="auto" w:fill="FFFFFF"/>
            <w:vAlign w:val="center"/>
          </w:tcPr>
          <w:p w14:paraId="4E30003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产出数量</w:t>
            </w:r>
          </w:p>
        </w:tc>
        <w:tc>
          <w:tcPr>
            <w:tcW w:w="3006" w:type="dxa"/>
            <w:tcBorders>
              <w:tl2br w:val="nil"/>
              <w:tr2bl w:val="nil"/>
            </w:tcBorders>
            <w:shd w:val="clear" w:color="auto" w:fill="FFFFFF"/>
            <w:vAlign w:val="center"/>
          </w:tcPr>
          <w:p w14:paraId="7217F59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办公设备购置数</w:t>
            </w:r>
          </w:p>
        </w:tc>
        <w:tc>
          <w:tcPr>
            <w:tcW w:w="585" w:type="dxa"/>
            <w:tcBorders>
              <w:tl2br w:val="nil"/>
              <w:tr2bl w:val="nil"/>
            </w:tcBorders>
            <w:shd w:val="clear" w:color="000000" w:fill="FFFFFF"/>
            <w:vAlign w:val="center"/>
          </w:tcPr>
          <w:p w14:paraId="4A468F0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3F05F73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1.27</w:t>
            </w:r>
          </w:p>
        </w:tc>
        <w:tc>
          <w:tcPr>
            <w:tcW w:w="1039" w:type="dxa"/>
            <w:tcBorders>
              <w:tl2br w:val="nil"/>
              <w:tr2bl w:val="nil"/>
            </w:tcBorders>
            <w:shd w:val="clear" w:color="000000" w:fill="FFFFFF"/>
            <w:vAlign w:val="center"/>
          </w:tcPr>
          <w:p w14:paraId="42EB23E9">
            <w:pPr>
              <w:widowControl/>
              <w:ind w:firstLine="0" w:firstLineChars="0"/>
              <w:jc w:val="center"/>
              <w:rPr>
                <w:rFonts w:ascii="仿宋_GB2312" w:hAnsi="宋体" w:cs="宋体"/>
                <w:kern w:val="0"/>
                <w:sz w:val="24"/>
                <w:szCs w:val="24"/>
                <w:highlight w:val="yellow"/>
              </w:rPr>
            </w:pPr>
            <w:r>
              <w:rPr>
                <w:rFonts w:hint="eastAsia" w:ascii="仿宋_GB2312" w:hAnsi="宋体" w:cs="宋体"/>
                <w:kern w:val="0"/>
                <w:sz w:val="24"/>
                <w:szCs w:val="24"/>
              </w:rPr>
              <w:t>42.18%</w:t>
            </w:r>
          </w:p>
        </w:tc>
      </w:tr>
      <w:tr w14:paraId="7332DF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5AD05241">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1874A6F6">
            <w:pPr>
              <w:widowControl/>
              <w:ind w:firstLine="0" w:firstLineChars="0"/>
              <w:jc w:val="center"/>
              <w:rPr>
                <w:rFonts w:ascii="仿宋_GB2312" w:hAnsi="宋体" w:cs="宋体"/>
                <w:kern w:val="0"/>
                <w:sz w:val="24"/>
                <w:szCs w:val="24"/>
              </w:rPr>
            </w:pPr>
          </w:p>
        </w:tc>
        <w:tc>
          <w:tcPr>
            <w:tcW w:w="3006" w:type="dxa"/>
            <w:tcBorders>
              <w:tl2br w:val="nil"/>
              <w:tr2bl w:val="nil"/>
            </w:tcBorders>
            <w:shd w:val="clear" w:color="auto" w:fill="FFFFFF"/>
            <w:vAlign w:val="center"/>
          </w:tcPr>
          <w:p w14:paraId="76752B6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专用设备购置数</w:t>
            </w:r>
          </w:p>
        </w:tc>
        <w:tc>
          <w:tcPr>
            <w:tcW w:w="585" w:type="dxa"/>
            <w:tcBorders>
              <w:tl2br w:val="nil"/>
              <w:tr2bl w:val="nil"/>
            </w:tcBorders>
            <w:shd w:val="clear" w:color="000000" w:fill="FFFFFF"/>
            <w:vAlign w:val="center"/>
          </w:tcPr>
          <w:p w14:paraId="6B4C42A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4CF2688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1.85</w:t>
            </w:r>
          </w:p>
        </w:tc>
        <w:tc>
          <w:tcPr>
            <w:tcW w:w="1039" w:type="dxa"/>
            <w:tcBorders>
              <w:tl2br w:val="nil"/>
              <w:tr2bl w:val="nil"/>
            </w:tcBorders>
            <w:shd w:val="clear" w:color="000000" w:fill="FFFFFF"/>
            <w:vAlign w:val="center"/>
          </w:tcPr>
          <w:p w14:paraId="5F81649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61.76%</w:t>
            </w:r>
          </w:p>
        </w:tc>
      </w:tr>
      <w:tr w14:paraId="1EFEB8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6EA25D90">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27265D39">
            <w:pPr>
              <w:widowControl/>
              <w:ind w:firstLine="0" w:firstLineChars="0"/>
              <w:jc w:val="center"/>
              <w:rPr>
                <w:rFonts w:ascii="仿宋_GB2312" w:hAnsi="宋体" w:cs="宋体"/>
                <w:kern w:val="0"/>
                <w:sz w:val="24"/>
                <w:szCs w:val="24"/>
              </w:rPr>
            </w:pPr>
          </w:p>
        </w:tc>
        <w:tc>
          <w:tcPr>
            <w:tcW w:w="3006" w:type="dxa"/>
            <w:tcBorders>
              <w:tl2br w:val="nil"/>
              <w:tr2bl w:val="nil"/>
            </w:tcBorders>
            <w:shd w:val="clear" w:color="auto" w:fill="FFFFFF"/>
            <w:vAlign w:val="center"/>
          </w:tcPr>
          <w:p w14:paraId="40C2DBA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信息网络及软件购置</w:t>
            </w:r>
          </w:p>
        </w:tc>
        <w:tc>
          <w:tcPr>
            <w:tcW w:w="585" w:type="dxa"/>
            <w:tcBorders>
              <w:tl2br w:val="nil"/>
              <w:tr2bl w:val="nil"/>
            </w:tcBorders>
            <w:shd w:val="clear" w:color="000000" w:fill="FFFFFF"/>
            <w:vAlign w:val="center"/>
          </w:tcPr>
          <w:p w14:paraId="31DE167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w:t>
            </w:r>
          </w:p>
        </w:tc>
        <w:tc>
          <w:tcPr>
            <w:tcW w:w="898" w:type="dxa"/>
            <w:tcBorders>
              <w:tl2br w:val="nil"/>
              <w:tr2bl w:val="nil"/>
            </w:tcBorders>
            <w:shd w:val="clear" w:color="000000" w:fill="FFFFFF"/>
            <w:vAlign w:val="center"/>
          </w:tcPr>
          <w:p w14:paraId="62643E4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0</w:t>
            </w:r>
          </w:p>
        </w:tc>
        <w:tc>
          <w:tcPr>
            <w:tcW w:w="1039" w:type="dxa"/>
            <w:tcBorders>
              <w:tl2br w:val="nil"/>
              <w:tr2bl w:val="nil"/>
            </w:tcBorders>
            <w:shd w:val="clear" w:color="000000" w:fill="FFFFFF"/>
            <w:vAlign w:val="center"/>
          </w:tcPr>
          <w:p w14:paraId="7507DAB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0%</w:t>
            </w:r>
          </w:p>
        </w:tc>
      </w:tr>
      <w:tr w14:paraId="639515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78CCB792">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265EA380">
            <w:pPr>
              <w:widowControl/>
              <w:ind w:firstLine="0" w:firstLineChars="0"/>
              <w:jc w:val="center"/>
              <w:rPr>
                <w:rFonts w:ascii="仿宋_GB2312" w:hAnsi="宋体" w:cs="宋体"/>
                <w:kern w:val="0"/>
                <w:sz w:val="24"/>
                <w:szCs w:val="24"/>
              </w:rPr>
            </w:pPr>
          </w:p>
        </w:tc>
        <w:tc>
          <w:tcPr>
            <w:tcW w:w="3006" w:type="dxa"/>
            <w:tcBorders>
              <w:tl2br w:val="nil"/>
              <w:tr2bl w:val="nil"/>
            </w:tcBorders>
            <w:shd w:val="clear" w:color="auto" w:fill="FFFFFF"/>
            <w:vAlign w:val="center"/>
          </w:tcPr>
          <w:p w14:paraId="4D58F92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总务后勤保障服务</w:t>
            </w:r>
          </w:p>
        </w:tc>
        <w:tc>
          <w:tcPr>
            <w:tcW w:w="585" w:type="dxa"/>
            <w:tcBorders>
              <w:tl2br w:val="nil"/>
              <w:tr2bl w:val="nil"/>
            </w:tcBorders>
            <w:shd w:val="clear" w:color="000000" w:fill="FFFFFF"/>
            <w:vAlign w:val="center"/>
          </w:tcPr>
          <w:p w14:paraId="246E0B2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343E64F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2.44</w:t>
            </w:r>
          </w:p>
        </w:tc>
        <w:tc>
          <w:tcPr>
            <w:tcW w:w="1039" w:type="dxa"/>
            <w:tcBorders>
              <w:tl2br w:val="nil"/>
              <w:tr2bl w:val="nil"/>
            </w:tcBorders>
            <w:shd w:val="clear" w:color="000000" w:fill="FFFFFF"/>
            <w:vAlign w:val="center"/>
          </w:tcPr>
          <w:p w14:paraId="745AF56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81.33%</w:t>
            </w:r>
          </w:p>
        </w:tc>
      </w:tr>
      <w:tr w14:paraId="739A13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D36AADC">
            <w:pPr>
              <w:widowControl/>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7EB6C4B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产出质量</w:t>
            </w:r>
          </w:p>
        </w:tc>
        <w:tc>
          <w:tcPr>
            <w:tcW w:w="3006" w:type="dxa"/>
            <w:tcBorders>
              <w:tl2br w:val="nil"/>
              <w:tr2bl w:val="nil"/>
            </w:tcBorders>
            <w:shd w:val="clear" w:color="auto" w:fill="FFFFFF"/>
            <w:vAlign w:val="center"/>
          </w:tcPr>
          <w:p w14:paraId="2ADBDB4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设备购置合格率</w:t>
            </w:r>
          </w:p>
        </w:tc>
        <w:tc>
          <w:tcPr>
            <w:tcW w:w="585" w:type="dxa"/>
            <w:tcBorders>
              <w:tl2br w:val="nil"/>
              <w:tr2bl w:val="nil"/>
            </w:tcBorders>
            <w:shd w:val="clear" w:color="000000" w:fill="FFFFFF"/>
            <w:vAlign w:val="center"/>
          </w:tcPr>
          <w:p w14:paraId="7579829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4C3F30C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tcBorders>
              <w:tl2br w:val="nil"/>
              <w:tr2bl w:val="nil"/>
            </w:tcBorders>
            <w:shd w:val="clear" w:color="000000" w:fill="FFFFFF"/>
            <w:vAlign w:val="center"/>
          </w:tcPr>
          <w:p w14:paraId="7A0EA95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135AF4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E0C1E39">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5FFB7C3F">
            <w:pPr>
              <w:widowControl/>
              <w:ind w:firstLine="0" w:firstLineChars="0"/>
              <w:jc w:val="center"/>
              <w:rPr>
                <w:rFonts w:ascii="仿宋_GB2312" w:hAnsi="宋体" w:cs="宋体"/>
                <w:kern w:val="0"/>
                <w:sz w:val="24"/>
                <w:szCs w:val="24"/>
              </w:rPr>
            </w:pPr>
          </w:p>
        </w:tc>
        <w:tc>
          <w:tcPr>
            <w:tcW w:w="3006" w:type="dxa"/>
            <w:tcBorders>
              <w:tl2br w:val="nil"/>
              <w:tr2bl w:val="nil"/>
            </w:tcBorders>
            <w:shd w:val="clear" w:color="auto" w:fill="FFFFFF"/>
            <w:vAlign w:val="center"/>
          </w:tcPr>
          <w:p w14:paraId="420101A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验收合格率</w:t>
            </w:r>
          </w:p>
        </w:tc>
        <w:tc>
          <w:tcPr>
            <w:tcW w:w="585" w:type="dxa"/>
            <w:tcBorders>
              <w:tl2br w:val="nil"/>
              <w:tr2bl w:val="nil"/>
            </w:tcBorders>
            <w:shd w:val="clear" w:color="000000" w:fill="FFFFFF"/>
            <w:vAlign w:val="center"/>
          </w:tcPr>
          <w:p w14:paraId="3813805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14:paraId="5F6675C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000000" w:fill="FFFFFF"/>
            <w:vAlign w:val="center"/>
          </w:tcPr>
          <w:p w14:paraId="10B9A43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61B778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4AA35341">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2447E226">
            <w:pPr>
              <w:widowControl/>
              <w:ind w:firstLine="0" w:firstLineChars="0"/>
              <w:jc w:val="center"/>
              <w:rPr>
                <w:rFonts w:ascii="仿宋_GB2312" w:hAnsi="宋体" w:cs="宋体"/>
                <w:kern w:val="0"/>
                <w:sz w:val="24"/>
                <w:szCs w:val="24"/>
              </w:rPr>
            </w:pPr>
          </w:p>
        </w:tc>
        <w:tc>
          <w:tcPr>
            <w:tcW w:w="3006" w:type="dxa"/>
            <w:tcBorders>
              <w:tl2br w:val="nil"/>
              <w:tr2bl w:val="nil"/>
            </w:tcBorders>
            <w:shd w:val="clear" w:color="auto" w:fill="FFFFFF"/>
            <w:vAlign w:val="center"/>
          </w:tcPr>
          <w:p w14:paraId="6792669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系统故障率</w:t>
            </w:r>
          </w:p>
        </w:tc>
        <w:tc>
          <w:tcPr>
            <w:tcW w:w="585" w:type="dxa"/>
            <w:tcBorders>
              <w:tl2br w:val="nil"/>
              <w:tr2bl w:val="nil"/>
            </w:tcBorders>
            <w:shd w:val="clear" w:color="000000" w:fill="FFFFFF"/>
            <w:vAlign w:val="center"/>
          </w:tcPr>
          <w:p w14:paraId="654084C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w:t>
            </w:r>
          </w:p>
        </w:tc>
        <w:tc>
          <w:tcPr>
            <w:tcW w:w="898" w:type="dxa"/>
            <w:tcBorders>
              <w:tl2br w:val="nil"/>
              <w:tr2bl w:val="nil"/>
            </w:tcBorders>
            <w:shd w:val="clear" w:color="000000" w:fill="FFFFFF"/>
            <w:vAlign w:val="center"/>
          </w:tcPr>
          <w:p w14:paraId="1D89BBD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w:t>
            </w:r>
          </w:p>
        </w:tc>
        <w:tc>
          <w:tcPr>
            <w:tcW w:w="1039" w:type="dxa"/>
            <w:tcBorders>
              <w:tl2br w:val="nil"/>
              <w:tr2bl w:val="nil"/>
            </w:tcBorders>
            <w:shd w:val="clear" w:color="000000" w:fill="FFFFFF"/>
            <w:vAlign w:val="center"/>
          </w:tcPr>
          <w:p w14:paraId="14F05F7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3B0716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14:paraId="1E2556A5">
            <w:pPr>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14:paraId="0BC38F08">
            <w:pPr>
              <w:ind w:firstLine="0" w:firstLineChars="0"/>
              <w:jc w:val="center"/>
              <w:rPr>
                <w:rFonts w:ascii="仿宋_GB2312" w:hAnsi="宋体" w:cs="宋体"/>
                <w:kern w:val="0"/>
                <w:sz w:val="24"/>
                <w:szCs w:val="24"/>
              </w:rPr>
            </w:pPr>
            <w:r>
              <w:rPr>
                <w:rFonts w:hint="eastAsia" w:ascii="仿宋_GB2312" w:hAnsi="宋体" w:cs="宋体"/>
                <w:kern w:val="0"/>
                <w:sz w:val="24"/>
                <w:szCs w:val="24"/>
              </w:rPr>
              <w:t>产出时效</w:t>
            </w:r>
          </w:p>
        </w:tc>
        <w:tc>
          <w:tcPr>
            <w:tcW w:w="3006" w:type="dxa"/>
            <w:tcBorders>
              <w:tl2br w:val="nil"/>
              <w:tr2bl w:val="nil"/>
            </w:tcBorders>
            <w:shd w:val="clear" w:color="auto" w:fill="FFFFFF"/>
            <w:vAlign w:val="center"/>
          </w:tcPr>
          <w:p w14:paraId="6909569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系统运行维护响应时间</w:t>
            </w:r>
          </w:p>
        </w:tc>
        <w:tc>
          <w:tcPr>
            <w:tcW w:w="585" w:type="dxa"/>
            <w:tcBorders>
              <w:tl2br w:val="nil"/>
              <w:tr2bl w:val="nil"/>
            </w:tcBorders>
            <w:shd w:val="clear" w:color="000000" w:fill="FFFFFF"/>
            <w:vAlign w:val="center"/>
          </w:tcPr>
          <w:p w14:paraId="442EB6F1">
            <w:pPr>
              <w:widowControl/>
              <w:ind w:firstLine="0" w:firstLineChars="0"/>
              <w:jc w:val="center"/>
              <w:rPr>
                <w:rFonts w:ascii="仿宋_GB2312" w:hAnsi="宋体" w:cs="宋体"/>
                <w:kern w:val="0"/>
                <w:sz w:val="24"/>
                <w:szCs w:val="24"/>
              </w:rPr>
            </w:pPr>
            <w:r>
              <w:rPr>
                <w:rFonts w:ascii="仿宋_GB2312" w:hAnsi="宋体" w:cs="宋体"/>
                <w:kern w:val="0"/>
                <w:sz w:val="24"/>
                <w:szCs w:val="24"/>
              </w:rPr>
              <w:t>10</w:t>
            </w:r>
          </w:p>
        </w:tc>
        <w:tc>
          <w:tcPr>
            <w:tcW w:w="898" w:type="dxa"/>
            <w:tcBorders>
              <w:tl2br w:val="nil"/>
              <w:tr2bl w:val="nil"/>
            </w:tcBorders>
            <w:shd w:val="clear" w:color="000000" w:fill="FFFFFF"/>
            <w:vAlign w:val="center"/>
          </w:tcPr>
          <w:p w14:paraId="5FF0CE79">
            <w:pPr>
              <w:widowControl/>
              <w:ind w:firstLine="0" w:firstLineChars="0"/>
              <w:jc w:val="center"/>
              <w:rPr>
                <w:rFonts w:ascii="仿宋_GB2312" w:hAnsi="宋体" w:cs="宋体"/>
                <w:kern w:val="0"/>
                <w:sz w:val="24"/>
                <w:szCs w:val="24"/>
              </w:rPr>
            </w:pPr>
            <w:r>
              <w:rPr>
                <w:rFonts w:ascii="仿宋_GB2312" w:hAnsi="宋体" w:cs="宋体"/>
                <w:kern w:val="0"/>
                <w:sz w:val="24"/>
                <w:szCs w:val="24"/>
              </w:rPr>
              <w:t>10</w:t>
            </w:r>
          </w:p>
        </w:tc>
        <w:tc>
          <w:tcPr>
            <w:tcW w:w="1039" w:type="dxa"/>
            <w:tcBorders>
              <w:tl2br w:val="nil"/>
              <w:tr2bl w:val="nil"/>
            </w:tcBorders>
            <w:shd w:val="clear" w:color="000000" w:fill="FFFFFF"/>
            <w:vAlign w:val="center"/>
          </w:tcPr>
          <w:p w14:paraId="1783A28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111499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4E14665C">
            <w:pPr>
              <w:widowControl/>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733E6EA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产出成本</w:t>
            </w:r>
          </w:p>
        </w:tc>
        <w:tc>
          <w:tcPr>
            <w:tcW w:w="3006" w:type="dxa"/>
            <w:tcBorders>
              <w:tl2br w:val="nil"/>
              <w:tr2bl w:val="nil"/>
            </w:tcBorders>
            <w:shd w:val="clear" w:color="auto" w:fill="FFFFFF"/>
            <w:vAlign w:val="center"/>
          </w:tcPr>
          <w:p w14:paraId="5DC4FD3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办公设备购置额</w:t>
            </w:r>
          </w:p>
        </w:tc>
        <w:tc>
          <w:tcPr>
            <w:tcW w:w="585" w:type="dxa"/>
            <w:tcBorders>
              <w:tl2br w:val="nil"/>
              <w:tr2bl w:val="nil"/>
            </w:tcBorders>
            <w:shd w:val="clear" w:color="000000" w:fill="FFFFFF"/>
            <w:vAlign w:val="center"/>
          </w:tcPr>
          <w:p w14:paraId="387D9C3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176FC65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53A60CA0">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r>
              <w:rPr>
                <w:rFonts w:hint="eastAsia" w:ascii="仿宋_GB2312" w:hAnsi="宋体" w:cs="宋体"/>
                <w:kern w:val="0"/>
                <w:sz w:val="24"/>
                <w:szCs w:val="24"/>
              </w:rPr>
              <w:t>%</w:t>
            </w:r>
          </w:p>
        </w:tc>
      </w:tr>
      <w:tr w14:paraId="1648CA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4D6B13C2">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17CAF723">
            <w:pPr>
              <w:widowControl/>
              <w:ind w:firstLine="0" w:firstLineChars="0"/>
              <w:jc w:val="center"/>
              <w:rPr>
                <w:rFonts w:ascii="仿宋_GB2312" w:hAnsi="宋体" w:cs="宋体"/>
                <w:kern w:val="0"/>
                <w:sz w:val="24"/>
                <w:szCs w:val="24"/>
              </w:rPr>
            </w:pPr>
          </w:p>
        </w:tc>
        <w:tc>
          <w:tcPr>
            <w:tcW w:w="3006" w:type="dxa"/>
            <w:tcBorders>
              <w:tl2br w:val="nil"/>
              <w:tr2bl w:val="nil"/>
            </w:tcBorders>
            <w:shd w:val="clear" w:color="auto" w:fill="FFFFFF"/>
            <w:vAlign w:val="center"/>
          </w:tcPr>
          <w:p w14:paraId="521B98F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专用设备购置额</w:t>
            </w:r>
          </w:p>
        </w:tc>
        <w:tc>
          <w:tcPr>
            <w:tcW w:w="585" w:type="dxa"/>
            <w:tcBorders>
              <w:tl2br w:val="nil"/>
              <w:tr2bl w:val="nil"/>
            </w:tcBorders>
            <w:shd w:val="clear" w:color="000000" w:fill="FFFFFF"/>
            <w:vAlign w:val="center"/>
          </w:tcPr>
          <w:p w14:paraId="1DCA6AF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3A6D495C">
            <w:pPr>
              <w:widowControl/>
              <w:ind w:firstLine="0" w:firstLineChars="0"/>
              <w:jc w:val="center"/>
              <w:rPr>
                <w:rFonts w:ascii="仿宋_GB2312" w:hAnsi="宋体" w:cs="宋体"/>
                <w:kern w:val="0"/>
                <w:sz w:val="24"/>
                <w:szCs w:val="24"/>
              </w:rPr>
            </w:pPr>
            <w:r>
              <w:rPr>
                <w:rFonts w:ascii="仿宋_GB2312" w:hAnsi="宋体" w:cs="宋体"/>
                <w:kern w:val="0"/>
                <w:sz w:val="24"/>
                <w:szCs w:val="24"/>
              </w:rPr>
              <w:t>3</w:t>
            </w:r>
          </w:p>
        </w:tc>
        <w:tc>
          <w:tcPr>
            <w:tcW w:w="1039" w:type="dxa"/>
            <w:tcBorders>
              <w:tl2br w:val="nil"/>
              <w:tr2bl w:val="nil"/>
            </w:tcBorders>
            <w:shd w:val="clear" w:color="000000" w:fill="FFFFFF"/>
            <w:vAlign w:val="center"/>
          </w:tcPr>
          <w:p w14:paraId="65A517D8">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r>
              <w:rPr>
                <w:rFonts w:hint="eastAsia" w:ascii="仿宋_GB2312" w:hAnsi="宋体" w:cs="宋体"/>
                <w:kern w:val="0"/>
                <w:sz w:val="24"/>
                <w:szCs w:val="24"/>
              </w:rPr>
              <w:t>%</w:t>
            </w:r>
          </w:p>
        </w:tc>
      </w:tr>
      <w:tr w14:paraId="3D6CFE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4A5CFB0">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3CB0F14D">
            <w:pPr>
              <w:widowControl/>
              <w:ind w:firstLine="0" w:firstLineChars="0"/>
              <w:jc w:val="center"/>
              <w:rPr>
                <w:rFonts w:ascii="仿宋_GB2312" w:hAnsi="宋体" w:cs="宋体"/>
                <w:kern w:val="0"/>
                <w:sz w:val="24"/>
                <w:szCs w:val="24"/>
              </w:rPr>
            </w:pPr>
          </w:p>
        </w:tc>
        <w:tc>
          <w:tcPr>
            <w:tcW w:w="3006" w:type="dxa"/>
            <w:tcBorders>
              <w:tl2br w:val="nil"/>
              <w:tr2bl w:val="nil"/>
            </w:tcBorders>
            <w:shd w:val="clear" w:color="auto" w:fill="FFFFFF"/>
            <w:vAlign w:val="center"/>
          </w:tcPr>
          <w:p w14:paraId="27C0803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信息网络及软件购置额</w:t>
            </w:r>
          </w:p>
        </w:tc>
        <w:tc>
          <w:tcPr>
            <w:tcW w:w="585" w:type="dxa"/>
            <w:tcBorders>
              <w:tl2br w:val="nil"/>
              <w:tr2bl w:val="nil"/>
            </w:tcBorders>
            <w:shd w:val="clear" w:color="000000" w:fill="FFFFFF"/>
            <w:vAlign w:val="center"/>
          </w:tcPr>
          <w:p w14:paraId="179DA2B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w:t>
            </w:r>
          </w:p>
        </w:tc>
        <w:tc>
          <w:tcPr>
            <w:tcW w:w="898" w:type="dxa"/>
            <w:tcBorders>
              <w:tl2br w:val="nil"/>
              <w:tr2bl w:val="nil"/>
            </w:tcBorders>
            <w:shd w:val="clear" w:color="000000" w:fill="FFFFFF"/>
            <w:vAlign w:val="center"/>
          </w:tcPr>
          <w:p w14:paraId="7DA971E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w:t>
            </w:r>
          </w:p>
        </w:tc>
        <w:tc>
          <w:tcPr>
            <w:tcW w:w="1039" w:type="dxa"/>
            <w:tcBorders>
              <w:tl2br w:val="nil"/>
              <w:tr2bl w:val="nil"/>
            </w:tcBorders>
            <w:shd w:val="clear" w:color="000000" w:fill="FFFFFF"/>
            <w:vAlign w:val="center"/>
          </w:tcPr>
          <w:p w14:paraId="16D74A67">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p>
        </w:tc>
      </w:tr>
      <w:tr w14:paraId="3CCA68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6EC6F05">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12EE223D">
            <w:pPr>
              <w:widowControl/>
              <w:ind w:firstLine="0" w:firstLineChars="0"/>
              <w:jc w:val="center"/>
              <w:rPr>
                <w:rFonts w:ascii="仿宋_GB2312" w:hAnsi="宋体" w:cs="宋体"/>
                <w:kern w:val="0"/>
                <w:sz w:val="24"/>
                <w:szCs w:val="24"/>
              </w:rPr>
            </w:pPr>
          </w:p>
        </w:tc>
        <w:tc>
          <w:tcPr>
            <w:tcW w:w="3006" w:type="dxa"/>
            <w:tcBorders>
              <w:tl2br w:val="nil"/>
              <w:tr2bl w:val="nil"/>
            </w:tcBorders>
            <w:shd w:val="clear" w:color="auto" w:fill="FFFFFF"/>
            <w:vAlign w:val="center"/>
          </w:tcPr>
          <w:p w14:paraId="1FAAFD3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总务后勤保障服务购置额</w:t>
            </w:r>
          </w:p>
        </w:tc>
        <w:tc>
          <w:tcPr>
            <w:tcW w:w="585" w:type="dxa"/>
            <w:tcBorders>
              <w:tl2br w:val="nil"/>
              <w:tr2bl w:val="nil"/>
            </w:tcBorders>
            <w:shd w:val="clear" w:color="000000" w:fill="FFFFFF"/>
            <w:vAlign w:val="center"/>
          </w:tcPr>
          <w:p w14:paraId="1631C68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55C97715">
            <w:pPr>
              <w:widowControl/>
              <w:ind w:firstLine="0" w:firstLineChars="0"/>
              <w:jc w:val="center"/>
              <w:rPr>
                <w:rFonts w:ascii="仿宋_GB2312" w:hAnsi="宋体" w:cs="宋体"/>
                <w:kern w:val="0"/>
                <w:sz w:val="24"/>
                <w:szCs w:val="24"/>
              </w:rPr>
            </w:pPr>
            <w:r>
              <w:rPr>
                <w:rFonts w:ascii="仿宋_GB2312" w:hAnsi="宋体" w:cs="宋体"/>
                <w:kern w:val="0"/>
                <w:sz w:val="24"/>
                <w:szCs w:val="24"/>
              </w:rPr>
              <w:t>3</w:t>
            </w:r>
          </w:p>
        </w:tc>
        <w:tc>
          <w:tcPr>
            <w:tcW w:w="1039" w:type="dxa"/>
            <w:tcBorders>
              <w:tl2br w:val="nil"/>
              <w:tr2bl w:val="nil"/>
            </w:tcBorders>
            <w:shd w:val="clear" w:color="000000" w:fill="FFFFFF"/>
            <w:vAlign w:val="center"/>
          </w:tcPr>
          <w:p w14:paraId="701EF70D">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r>
              <w:rPr>
                <w:rFonts w:hint="eastAsia" w:ascii="仿宋_GB2312" w:hAnsi="宋体" w:cs="宋体"/>
                <w:kern w:val="0"/>
                <w:sz w:val="24"/>
                <w:szCs w:val="24"/>
              </w:rPr>
              <w:t>%</w:t>
            </w:r>
          </w:p>
        </w:tc>
      </w:tr>
      <w:tr w14:paraId="1593AC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01E7C97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效益</w:t>
            </w:r>
          </w:p>
        </w:tc>
        <w:tc>
          <w:tcPr>
            <w:tcW w:w="1984" w:type="dxa"/>
            <w:tcBorders>
              <w:tl2br w:val="nil"/>
              <w:tr2bl w:val="nil"/>
            </w:tcBorders>
            <w:shd w:val="clear" w:color="auto" w:fill="FFFFFF"/>
            <w:vAlign w:val="center"/>
          </w:tcPr>
          <w:p w14:paraId="7D375CE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项目效益</w:t>
            </w:r>
          </w:p>
        </w:tc>
        <w:tc>
          <w:tcPr>
            <w:tcW w:w="3006" w:type="dxa"/>
            <w:tcBorders>
              <w:tl2br w:val="nil"/>
              <w:tr2bl w:val="nil"/>
            </w:tcBorders>
            <w:shd w:val="clear" w:color="auto" w:fill="FFFFFF"/>
            <w:vAlign w:val="center"/>
          </w:tcPr>
          <w:p w14:paraId="5F359FA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提高服务质量</w:t>
            </w:r>
          </w:p>
        </w:tc>
        <w:tc>
          <w:tcPr>
            <w:tcW w:w="585" w:type="dxa"/>
            <w:tcBorders>
              <w:tl2br w:val="nil"/>
              <w:tr2bl w:val="nil"/>
            </w:tcBorders>
            <w:shd w:val="clear" w:color="auto" w:fill="FFFFFF"/>
            <w:vAlign w:val="center"/>
          </w:tcPr>
          <w:p w14:paraId="5C49057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898" w:type="dxa"/>
            <w:tcBorders>
              <w:tl2br w:val="nil"/>
              <w:tr2bl w:val="nil"/>
            </w:tcBorders>
            <w:shd w:val="clear" w:color="auto" w:fill="FFFFFF"/>
            <w:vAlign w:val="center"/>
          </w:tcPr>
          <w:p w14:paraId="4721717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tcBorders>
              <w:tl2br w:val="nil"/>
              <w:tr2bl w:val="nil"/>
            </w:tcBorders>
            <w:shd w:val="clear" w:color="auto" w:fill="FFFFFF"/>
            <w:vAlign w:val="center"/>
          </w:tcPr>
          <w:p w14:paraId="19D7988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1E5A96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55D1792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满意度指标完成情况分析</w:t>
            </w:r>
          </w:p>
        </w:tc>
        <w:tc>
          <w:tcPr>
            <w:tcW w:w="1984" w:type="dxa"/>
            <w:tcBorders>
              <w:tl2br w:val="nil"/>
              <w:tr2bl w:val="nil"/>
            </w:tcBorders>
            <w:shd w:val="clear" w:color="auto" w:fill="FFFFFF"/>
            <w:vAlign w:val="center"/>
          </w:tcPr>
          <w:p w14:paraId="1D443E2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满意度指标</w:t>
            </w:r>
          </w:p>
        </w:tc>
        <w:tc>
          <w:tcPr>
            <w:tcW w:w="3006" w:type="dxa"/>
            <w:tcBorders>
              <w:tl2br w:val="nil"/>
              <w:tr2bl w:val="nil"/>
            </w:tcBorders>
            <w:shd w:val="clear" w:color="auto" w:fill="FFFFFF"/>
            <w:vAlign w:val="center"/>
          </w:tcPr>
          <w:p w14:paraId="29BAD7D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患者满意度</w:t>
            </w:r>
          </w:p>
        </w:tc>
        <w:tc>
          <w:tcPr>
            <w:tcW w:w="585" w:type="dxa"/>
            <w:tcBorders>
              <w:tl2br w:val="nil"/>
              <w:tr2bl w:val="nil"/>
            </w:tcBorders>
            <w:shd w:val="clear" w:color="000000" w:fill="FFFFFF"/>
            <w:vAlign w:val="center"/>
          </w:tcPr>
          <w:p w14:paraId="0527474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898" w:type="dxa"/>
            <w:tcBorders>
              <w:tl2br w:val="nil"/>
              <w:tr2bl w:val="nil"/>
            </w:tcBorders>
            <w:shd w:val="clear" w:color="000000" w:fill="FFFFFF"/>
            <w:vAlign w:val="center"/>
          </w:tcPr>
          <w:p w14:paraId="28396E5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tcBorders>
              <w:tl2br w:val="nil"/>
              <w:tr2bl w:val="nil"/>
            </w:tcBorders>
            <w:shd w:val="clear" w:color="000000" w:fill="FFFFFF"/>
            <w:vAlign w:val="center"/>
          </w:tcPr>
          <w:p w14:paraId="791FB92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bl>
    <w:p w14:paraId="40FE90DB">
      <w:pPr>
        <w:pStyle w:val="3"/>
        <w:ind w:firstLine="643"/>
        <w:rPr>
          <w:rFonts w:ascii="仿宋" w:hAnsi="仿宋" w:eastAsia="仿宋"/>
          <w:lang w:bidi="en-US"/>
        </w:rPr>
      </w:pPr>
      <w:bookmarkStart w:id="31" w:name="_Toc165277239"/>
      <w:bookmarkStart w:id="32" w:name="_Toc67911610"/>
      <w:r>
        <w:rPr>
          <w:rFonts w:hint="eastAsia" w:ascii="仿宋" w:hAnsi="仿宋" w:eastAsia="仿宋"/>
          <w:lang w:bidi="en-US"/>
        </w:rPr>
        <w:t>（二）主要绩效</w:t>
      </w:r>
      <w:bookmarkEnd w:id="31"/>
      <w:bookmarkEnd w:id="32"/>
    </w:p>
    <w:p w14:paraId="6AA871AB">
      <w:pPr>
        <w:spacing w:line="360" w:lineRule="auto"/>
        <w:ind w:firstLine="560"/>
        <w:rPr>
          <w:rFonts w:ascii="仿宋_GB2312"/>
        </w:rPr>
      </w:pPr>
      <w:r>
        <w:rPr>
          <w:rFonts w:hint="eastAsia" w:ascii="仿宋_GB2312"/>
        </w:rPr>
        <w:t>该项目资金为单位自有资金，单位在此次评价期间内，有序完成设定目标的部分工作任务，截至2023年12月末已采购办公设备购置89台、医疗设备采购63台、总务后勤工作的保障服务35项。通过采购先进的医疗设备、信息化建设的提高，不断提升医疗服务水平。通过不断提高</w:t>
      </w:r>
      <w:r>
        <w:rPr>
          <w:rFonts w:ascii="仿宋_GB2312"/>
        </w:rPr>
        <w:t>总务后勤保障服务</w:t>
      </w:r>
      <w:r>
        <w:rPr>
          <w:rFonts w:hint="eastAsia" w:ascii="仿宋_GB2312"/>
        </w:rPr>
        <w:t>，改善就医环境，从而提升医院品牌形象，服务于广大患者，提高患者满意度。</w:t>
      </w:r>
    </w:p>
    <w:p w14:paraId="1511AE46">
      <w:pPr>
        <w:spacing w:line="360" w:lineRule="auto"/>
        <w:ind w:firstLine="548" w:firstLineChars="196"/>
        <w:rPr>
          <w:rFonts w:ascii="仿宋_GB2312"/>
          <w:bCs/>
          <w:szCs w:val="28"/>
          <w:highlight w:val="yellow"/>
        </w:rPr>
      </w:pPr>
    </w:p>
    <w:p w14:paraId="1F36B9D8">
      <w:pPr>
        <w:pStyle w:val="2"/>
        <w:ind w:firstLine="0" w:firstLineChars="0"/>
        <w:jc w:val="left"/>
        <w:rPr>
          <w:rFonts w:ascii="仿宋" w:hAnsi="仿宋" w:eastAsia="仿宋"/>
          <w:sz w:val="36"/>
          <w:szCs w:val="36"/>
          <w:lang w:bidi="en-US"/>
        </w:rPr>
      </w:pPr>
      <w:bookmarkStart w:id="33" w:name="_Toc165277240"/>
      <w:bookmarkStart w:id="34" w:name="_Toc67911611"/>
      <w:r>
        <w:rPr>
          <w:rFonts w:hint="eastAsia" w:ascii="仿宋" w:hAnsi="仿宋" w:eastAsia="仿宋"/>
          <w:sz w:val="36"/>
          <w:szCs w:val="36"/>
          <w:lang w:bidi="en-US"/>
        </w:rPr>
        <w:t>四、绩效评价指标分析</w:t>
      </w:r>
      <w:bookmarkEnd w:id="33"/>
      <w:bookmarkEnd w:id="34"/>
    </w:p>
    <w:p w14:paraId="555AB58A">
      <w:pPr>
        <w:pStyle w:val="3"/>
        <w:ind w:firstLine="643"/>
        <w:rPr>
          <w:rFonts w:ascii="仿宋" w:hAnsi="仿宋" w:eastAsia="仿宋"/>
          <w:lang w:bidi="en-US"/>
        </w:rPr>
      </w:pPr>
      <w:bookmarkStart w:id="35" w:name="_Toc67911612"/>
      <w:bookmarkStart w:id="36" w:name="_Toc165277241"/>
      <w:r>
        <w:rPr>
          <w:rFonts w:hint="eastAsia" w:ascii="仿宋" w:hAnsi="仿宋" w:eastAsia="仿宋"/>
          <w:lang w:bidi="en-US"/>
        </w:rPr>
        <w:t>（一）项目决策情况</w:t>
      </w:r>
      <w:bookmarkEnd w:id="35"/>
      <w:bookmarkEnd w:id="36"/>
    </w:p>
    <w:p w14:paraId="13DD41F5">
      <w:pPr>
        <w:spacing w:line="360" w:lineRule="auto"/>
        <w:ind w:firstLine="560"/>
        <w:rPr>
          <w:rFonts w:ascii="仿宋_GB2312"/>
          <w:szCs w:val="28"/>
        </w:rPr>
      </w:pPr>
      <w:r>
        <w:rPr>
          <w:rFonts w:hint="eastAsia" w:ascii="仿宋_GB2312"/>
          <w:szCs w:val="28"/>
        </w:rPr>
        <w:t>项目决策指标由3个二级指标和6个三级指标构成，权重为</w:t>
      </w:r>
      <w:r>
        <w:rPr>
          <w:rFonts w:ascii="仿宋_GB2312"/>
          <w:szCs w:val="28"/>
        </w:rPr>
        <w:t>20</w:t>
      </w:r>
      <w:r>
        <w:rPr>
          <w:rFonts w:hint="eastAsia" w:ascii="仿宋_GB2312"/>
          <w:szCs w:val="28"/>
        </w:rPr>
        <w:t>分，实际得分20分。</w:t>
      </w:r>
    </w:p>
    <w:p w14:paraId="1C5CA77A">
      <w:pPr>
        <w:pStyle w:val="4"/>
        <w:ind w:firstLine="643"/>
      </w:pPr>
      <w:bookmarkStart w:id="37" w:name="_Toc165277242"/>
      <w:r>
        <w:t>1.</w:t>
      </w:r>
      <w:r>
        <w:rPr>
          <w:rFonts w:hint="eastAsia"/>
        </w:rPr>
        <w:t>项目立项</w:t>
      </w:r>
      <w:bookmarkEnd w:id="37"/>
    </w:p>
    <w:p w14:paraId="23252546">
      <w:pPr>
        <w:spacing w:line="360" w:lineRule="auto"/>
        <w:ind w:firstLine="562"/>
        <w:rPr>
          <w:rFonts w:ascii="仿宋_GB2312" w:hAnsi="仿宋"/>
          <w:szCs w:val="28"/>
        </w:rPr>
      </w:pPr>
      <w:r>
        <w:rPr>
          <w:rFonts w:hint="eastAsia" w:ascii="仿宋_GB2312"/>
          <w:b/>
          <w:bCs/>
          <w:szCs w:val="28"/>
        </w:rPr>
        <w:t>立项依据充分性：</w:t>
      </w:r>
      <w:r>
        <w:rPr>
          <w:rFonts w:hint="eastAsia" w:ascii="仿宋_GB2312"/>
          <w:szCs w:val="28"/>
        </w:rPr>
        <w:t>项目立项符合</w:t>
      </w:r>
      <w:r>
        <w:rPr>
          <w:rFonts w:hint="eastAsia" w:ascii="仿宋_GB2312"/>
        </w:rPr>
        <w:t>《2023年乌鲁木齐市本级部门预算编制管理工作规程》的通知》（乌财预函[2022]15号）、《关于2023年市卫健委所属单位预算的批复》（乌卫财[2023]年2号）、《关于印发《乌鲁木齐市本级政府采购预算管理办法（实行）》的通知》（乌财预[2022]50号）的文件</w:t>
      </w:r>
      <w:r>
        <w:rPr>
          <w:rFonts w:hint="eastAsia" w:ascii="仿宋_GB2312"/>
          <w:szCs w:val="28"/>
        </w:rPr>
        <w:t>要求，</w:t>
      </w:r>
      <w:r>
        <w:rPr>
          <w:rFonts w:hint="eastAsia" w:ascii="仿宋_GB2312" w:hAnsi="仿宋"/>
          <w:szCs w:val="28"/>
        </w:rPr>
        <w:t>此项目为政府采购业务，采购项目为医疗设备购置、信息网络及软件购置、办公设备购置及总务后勤保障服务等。通过采购先进的医疗设备、信息化建设的提高，不断提升医疗服务水平，通过不断提高</w:t>
      </w:r>
      <w:r>
        <w:rPr>
          <w:rFonts w:ascii="仿宋_GB2312" w:hAnsi="仿宋"/>
          <w:szCs w:val="28"/>
        </w:rPr>
        <w:t>总务后勤保障服务</w:t>
      </w:r>
      <w:r>
        <w:rPr>
          <w:rFonts w:hint="eastAsia" w:ascii="仿宋_GB2312" w:hAnsi="仿宋"/>
          <w:szCs w:val="28"/>
        </w:rPr>
        <w:t>，改善就医环境，从而提升医院品牌形象，服务于广大患者，提高患者满意度。</w:t>
      </w:r>
    </w:p>
    <w:p w14:paraId="480D5340">
      <w:pPr>
        <w:spacing w:line="360" w:lineRule="auto"/>
        <w:ind w:firstLine="0" w:firstLineChars="0"/>
        <w:rPr>
          <w:rFonts w:ascii="仿宋_GB2312"/>
          <w:szCs w:val="28"/>
        </w:rPr>
      </w:pPr>
      <w:r>
        <w:rPr>
          <w:rFonts w:hint="eastAsia" w:ascii="仿宋_GB2312"/>
          <w:szCs w:val="28"/>
        </w:rPr>
        <w:t>同时，项目与部门职责范围相符，属于部门履职所需。此外，</w:t>
      </w:r>
      <w:r>
        <w:rPr>
          <w:rFonts w:hint="eastAsia" w:ascii="仿宋_GB2312"/>
        </w:rPr>
        <w:t>本项目资金性质为单位自有资金</w:t>
      </w:r>
      <w:r>
        <w:rPr>
          <w:rFonts w:hint="eastAsia" w:ascii="仿宋_GB2312"/>
          <w:szCs w:val="28"/>
        </w:rPr>
        <w:t>。因此，立项依据充分，得4分。</w:t>
      </w:r>
    </w:p>
    <w:p w14:paraId="3DDCA4E7">
      <w:pPr>
        <w:spacing w:line="360" w:lineRule="auto"/>
        <w:ind w:firstLine="562"/>
        <w:rPr>
          <w:rFonts w:ascii="仿宋_GB2312"/>
          <w:szCs w:val="28"/>
        </w:rPr>
      </w:pPr>
      <w:r>
        <w:rPr>
          <w:rFonts w:hint="eastAsia" w:ascii="仿宋_GB2312"/>
          <w:b/>
          <w:bCs/>
          <w:szCs w:val="28"/>
        </w:rPr>
        <w:t>立项程序规范性</w:t>
      </w:r>
      <w:r>
        <w:rPr>
          <w:rFonts w:ascii="仿宋_GB2312"/>
          <w:b/>
          <w:bCs/>
          <w:szCs w:val="28"/>
        </w:rPr>
        <w:t>:</w:t>
      </w:r>
      <w:r>
        <w:rPr>
          <w:rFonts w:hint="eastAsia"/>
        </w:rPr>
        <w:t xml:space="preserve"> </w:t>
      </w:r>
      <w:r>
        <w:rPr>
          <w:rFonts w:hint="eastAsia" w:ascii="仿宋_GB2312"/>
          <w:szCs w:val="28"/>
        </w:rPr>
        <w:t>项目按照</w:t>
      </w:r>
      <w:r>
        <w:rPr>
          <w:rFonts w:hint="eastAsia" w:ascii="仿宋_GB2312"/>
        </w:rPr>
        <w:t>《2023年乌鲁木齐市本级部门预算编制管理工作规程》的通知》（乌财预函[2022]15号）</w:t>
      </w:r>
      <w:r>
        <w:rPr>
          <w:rFonts w:hint="eastAsia" w:ascii="仿宋_GB2312"/>
          <w:szCs w:val="28"/>
        </w:rPr>
        <w:t>规定的程序申请设立，</w:t>
      </w:r>
      <w:r>
        <w:rPr>
          <w:rFonts w:hint="eastAsia" w:ascii="仿宋_GB2312"/>
        </w:rPr>
        <w:t>《关于2023年市卫健委所属单位预算的批复》（乌卫财[2023]年2号）</w:t>
      </w:r>
      <w:r>
        <w:rPr>
          <w:rFonts w:hint="eastAsia" w:ascii="仿宋_GB2312"/>
          <w:szCs w:val="28"/>
        </w:rPr>
        <w:t>审批，</w:t>
      </w:r>
      <w:r>
        <w:rPr>
          <w:rFonts w:hint="eastAsia" w:ascii="仿宋_GB2312"/>
        </w:rPr>
        <w:t>医院根据2022年实际情况及2023年医院医疗事业发展需要，</w:t>
      </w:r>
      <w:r>
        <w:rPr>
          <w:rFonts w:hint="eastAsia" w:ascii="仿宋_GB2312" w:hAnsi="仿宋"/>
          <w:szCs w:val="28"/>
        </w:rPr>
        <w:t>经过设备委员会、信息委员会、科学技术委员会、预算委员会研究讨论通过，并经过院党委会集体决策，同意进行该项目申报。立项</w:t>
      </w:r>
      <w:r>
        <w:rPr>
          <w:rFonts w:hint="eastAsia" w:ascii="仿宋_GB2312"/>
          <w:szCs w:val="28"/>
        </w:rPr>
        <w:t>符合相关要求，故立项程序规范，得4分。</w:t>
      </w:r>
    </w:p>
    <w:p w14:paraId="6501FE18">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8</w:t>
      </w:r>
      <w:r>
        <w:rPr>
          <w:rFonts w:hint="eastAsia" w:ascii="仿宋_GB2312" w:hAnsi="仿宋" w:cs="宋体"/>
          <w:b/>
          <w:kern w:val="0"/>
          <w:szCs w:val="28"/>
        </w:rPr>
        <w:t>分，得分8分。</w:t>
      </w:r>
    </w:p>
    <w:p w14:paraId="3C51DC4D">
      <w:pPr>
        <w:pStyle w:val="4"/>
        <w:ind w:firstLine="643"/>
      </w:pPr>
      <w:bookmarkStart w:id="38" w:name="_Toc165277243"/>
      <w:r>
        <w:rPr>
          <w:rFonts w:hint="eastAsia"/>
        </w:rPr>
        <w:t>2</w:t>
      </w:r>
      <w:r>
        <w:t>.</w:t>
      </w:r>
      <w:r>
        <w:rPr>
          <w:rFonts w:hint="eastAsia"/>
        </w:rPr>
        <w:t>绩效目标</w:t>
      </w:r>
      <w:bookmarkEnd w:id="38"/>
    </w:p>
    <w:p w14:paraId="7D7CC438">
      <w:pPr>
        <w:spacing w:line="360" w:lineRule="auto"/>
        <w:ind w:firstLine="562"/>
        <w:rPr>
          <w:rFonts w:ascii="仿宋_GB2312"/>
          <w:szCs w:val="28"/>
        </w:rPr>
      </w:pPr>
      <w:r>
        <w:rPr>
          <w:rFonts w:hint="eastAsia" w:ascii="仿宋_GB2312"/>
          <w:b/>
          <w:bCs/>
          <w:szCs w:val="28"/>
        </w:rPr>
        <w:t>绩效目标合理性：</w:t>
      </w:r>
      <w:r>
        <w:rPr>
          <w:rFonts w:hint="eastAsia" w:ascii="仿宋_GB2312"/>
          <w:szCs w:val="28"/>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szCs w:val="28"/>
        </w:rPr>
        <w:t>3</w:t>
      </w:r>
      <w:r>
        <w:rPr>
          <w:rFonts w:hint="eastAsia" w:ascii="仿宋_GB2312"/>
          <w:szCs w:val="28"/>
        </w:rPr>
        <w:t>分。</w:t>
      </w:r>
    </w:p>
    <w:p w14:paraId="56E7274B">
      <w:pPr>
        <w:autoSpaceDE w:val="0"/>
        <w:spacing w:line="600" w:lineRule="exact"/>
        <w:ind w:firstLine="562"/>
        <w:rPr>
          <w:rFonts w:ascii="仿宋_GB2312" w:hAnsi="仿宋" w:cs="宋体"/>
          <w:kern w:val="0"/>
          <w:szCs w:val="28"/>
        </w:rPr>
      </w:pPr>
      <w:r>
        <w:rPr>
          <w:rFonts w:hint="eastAsia" w:ascii="仿宋_GB2312" w:hAnsi="仿宋" w:cs="宋体"/>
          <w:b/>
          <w:kern w:val="0"/>
          <w:szCs w:val="28"/>
        </w:rPr>
        <w:t>绩效目标明确性：</w:t>
      </w:r>
      <w:r>
        <w:rPr>
          <w:rFonts w:hint="eastAsia" w:ascii="仿宋_GB2312"/>
          <w:szCs w:val="28"/>
        </w:rPr>
        <w:t>其中，目标已细化为具体的绩效指标办公设备购置数、专用设备购置数、信息网络及软件购置、总务后勤保障服务，可通过数量指标、质量指标、时效指标和成本指标予以量化，并具有</w:t>
      </w:r>
      <w:r>
        <w:rPr>
          <w:rFonts w:hint="eastAsia" w:ascii="仿宋_GB2312" w:hAnsi="仿宋" w:cs="宋体"/>
          <w:kern w:val="0"/>
          <w:szCs w:val="28"/>
        </w:rPr>
        <w:t>确切的评价标准，且指标设定均与目标相关。各项指标均能过会计凭证档案收集到相关数据进行佐证，并与当年项目年度计划相对应，故绩效目标明确性指标得分</w:t>
      </w:r>
      <w:r>
        <w:rPr>
          <w:rFonts w:ascii="仿宋_GB2312" w:hAnsi="仿宋" w:cs="宋体"/>
          <w:kern w:val="0"/>
          <w:szCs w:val="28"/>
        </w:rPr>
        <w:t>3</w:t>
      </w:r>
      <w:r>
        <w:rPr>
          <w:rFonts w:hint="eastAsia" w:ascii="仿宋_GB2312" w:hAnsi="仿宋" w:cs="宋体"/>
          <w:kern w:val="0"/>
          <w:szCs w:val="28"/>
        </w:rPr>
        <w:t>分。</w:t>
      </w:r>
    </w:p>
    <w:p w14:paraId="19565BAF">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分，得分6分。</w:t>
      </w:r>
    </w:p>
    <w:p w14:paraId="2CA472D3">
      <w:pPr>
        <w:pStyle w:val="4"/>
        <w:ind w:firstLine="643"/>
      </w:pPr>
      <w:bookmarkStart w:id="39" w:name="_Toc165277244"/>
      <w:r>
        <w:rPr>
          <w:rFonts w:hint="eastAsia"/>
        </w:rPr>
        <w:t>3.资金投入</w:t>
      </w:r>
      <w:bookmarkEnd w:id="39"/>
    </w:p>
    <w:p w14:paraId="7E09A1F4">
      <w:pPr>
        <w:spacing w:line="360" w:lineRule="auto"/>
        <w:ind w:firstLine="562"/>
        <w:rPr>
          <w:rFonts w:ascii="仿宋_GB2312" w:hAnsi="仿宋"/>
          <w:szCs w:val="28"/>
        </w:rPr>
      </w:pPr>
      <w:r>
        <w:rPr>
          <w:rFonts w:hint="eastAsia" w:ascii="仿宋_GB2312" w:hAnsi="仿宋" w:cs="宋体"/>
          <w:b/>
          <w:kern w:val="0"/>
          <w:szCs w:val="28"/>
        </w:rPr>
        <w:t>预算编制科学性：</w:t>
      </w:r>
      <w:r>
        <w:rPr>
          <w:rFonts w:hint="eastAsia" w:ascii="仿宋_GB2312"/>
        </w:rPr>
        <w:t>为保障医院医疗业务正常运转，持续提高医疗技术服务水平，医院根据2022年实际情况及2023年医院医疗事业发展需要</w:t>
      </w:r>
      <w:r>
        <w:rPr>
          <w:rFonts w:hint="eastAsia" w:ascii="仿宋_GB2312" w:hAnsi="仿宋"/>
          <w:szCs w:val="28"/>
        </w:rPr>
        <w:t>，经过设备委员会、信息委员会、科学技术委员会、预算委员会研究讨论通过，并经过院党委会集体决策，同意进行该项目申报</w:t>
      </w:r>
      <w:r>
        <w:rPr>
          <w:rFonts w:hint="eastAsia" w:ascii="仿宋_GB2312" w:hAnsi="仿宋" w:cs="宋体"/>
          <w:b/>
          <w:kern w:val="0"/>
          <w:szCs w:val="28"/>
        </w:rPr>
        <w:t>。</w:t>
      </w:r>
      <w:r>
        <w:rPr>
          <w:rFonts w:hint="eastAsia" w:ascii="仿宋_GB2312"/>
        </w:rPr>
        <w:t>本项目系</w:t>
      </w:r>
      <w:r>
        <w:rPr>
          <w:rFonts w:ascii="仿宋_GB2312"/>
        </w:rPr>
        <w:t>2023</w:t>
      </w:r>
      <w:r>
        <w:rPr>
          <w:rFonts w:hint="eastAsia" w:ascii="仿宋_GB2312"/>
        </w:rPr>
        <w:t>年单位其他资金，共安排预算6626.8万元，其中：</w:t>
      </w:r>
      <w:r>
        <w:rPr>
          <w:rFonts w:ascii="仿宋_GB2312" w:hAnsi="仿宋"/>
          <w:szCs w:val="28"/>
        </w:rPr>
        <w:t>①</w:t>
      </w:r>
      <w:r>
        <w:rPr>
          <w:rFonts w:hint="eastAsia" w:ascii="仿宋_GB2312" w:hAnsi="仿宋"/>
          <w:szCs w:val="28"/>
        </w:rPr>
        <w:t>办公设备购置211台，金额合计173.46万元</w:t>
      </w:r>
      <w:r>
        <w:rPr>
          <w:rFonts w:ascii="仿宋_GB2312" w:hAnsi="仿宋"/>
          <w:szCs w:val="28"/>
        </w:rPr>
        <w:t>;②</w:t>
      </w:r>
      <w:r>
        <w:rPr>
          <w:rFonts w:hint="eastAsia" w:ascii="仿宋_GB2312" w:hAnsi="仿宋"/>
          <w:szCs w:val="28"/>
        </w:rPr>
        <w:t>专用设备购置102台，金额合计2227.20万元</w:t>
      </w:r>
      <w:r>
        <w:rPr>
          <w:rFonts w:ascii="仿宋_GB2312" w:hAnsi="仿宋"/>
          <w:szCs w:val="28"/>
        </w:rPr>
        <w:t>;③信息网络及软件购置16套</w:t>
      </w:r>
      <w:r>
        <w:rPr>
          <w:rFonts w:hint="eastAsia" w:ascii="仿宋_GB2312" w:hAnsi="仿宋"/>
          <w:szCs w:val="28"/>
        </w:rPr>
        <w:t>，金额合计1473万元；</w:t>
      </w:r>
      <w:r>
        <w:rPr>
          <w:rFonts w:ascii="仿宋_GB2312" w:hAnsi="仿宋"/>
          <w:szCs w:val="28"/>
        </w:rPr>
        <w:t>④总务后勤保障服务43项</w:t>
      </w:r>
      <w:r>
        <w:rPr>
          <w:rFonts w:hint="eastAsia" w:ascii="仿宋_GB2312" w:hAnsi="仿宋"/>
          <w:szCs w:val="28"/>
        </w:rPr>
        <w:t>，金额合计2753.14万元。</w:t>
      </w:r>
    </w:p>
    <w:p w14:paraId="53468E38">
      <w:pPr>
        <w:autoSpaceDE w:val="0"/>
        <w:spacing w:line="600" w:lineRule="exact"/>
        <w:ind w:firstLine="560"/>
        <w:rPr>
          <w:rFonts w:ascii="仿宋_GB2312" w:hAnsi="仿宋" w:cs="宋体"/>
          <w:bCs/>
          <w:kern w:val="0"/>
          <w:szCs w:val="28"/>
        </w:rPr>
      </w:pPr>
      <w:r>
        <w:rPr>
          <w:rFonts w:hint="eastAsia" w:ascii="仿宋_GB2312" w:hAnsi="仿宋" w:cs="宋体"/>
          <w:kern w:val="0"/>
          <w:szCs w:val="28"/>
        </w:rPr>
        <w:t>故预算编制科学性指标得分</w:t>
      </w:r>
      <w:r>
        <w:rPr>
          <w:rFonts w:ascii="仿宋_GB2312" w:hAnsi="仿宋" w:cs="宋体"/>
          <w:kern w:val="0"/>
          <w:szCs w:val="28"/>
        </w:rPr>
        <w:t>3</w:t>
      </w:r>
      <w:r>
        <w:rPr>
          <w:rFonts w:hint="eastAsia" w:ascii="仿宋_GB2312" w:hAnsi="仿宋" w:cs="宋体"/>
          <w:kern w:val="0"/>
          <w:szCs w:val="28"/>
        </w:rPr>
        <w:t>分。</w:t>
      </w:r>
    </w:p>
    <w:p w14:paraId="31F2911A">
      <w:pPr>
        <w:autoSpaceDE w:val="0"/>
        <w:spacing w:line="600" w:lineRule="exact"/>
        <w:ind w:firstLine="0" w:firstLineChars="0"/>
        <w:rPr>
          <w:rFonts w:ascii="仿宋_GB2312" w:hAnsi="仿宋" w:cs="宋体"/>
          <w:bCs/>
          <w:kern w:val="0"/>
          <w:szCs w:val="28"/>
        </w:rPr>
      </w:pPr>
    </w:p>
    <w:p w14:paraId="150267E1">
      <w:pPr>
        <w:spacing w:line="360" w:lineRule="auto"/>
        <w:ind w:firstLine="562"/>
      </w:pPr>
      <w:r>
        <w:rPr>
          <w:rFonts w:hint="eastAsia"/>
          <w:b/>
          <w:bCs/>
        </w:rPr>
        <w:t>资金分配合理性</w:t>
      </w:r>
      <w:r>
        <w:rPr>
          <w:rFonts w:hint="eastAsia"/>
        </w:rPr>
        <w:t>：</w:t>
      </w:r>
      <w:r>
        <w:rPr>
          <w:rFonts w:hint="eastAsia" w:ascii="仿宋_GB2312"/>
          <w:szCs w:val="28"/>
        </w:rPr>
        <w:t>项目按照</w:t>
      </w:r>
      <w:r>
        <w:rPr>
          <w:rFonts w:hint="eastAsia" w:ascii="仿宋_GB2312"/>
        </w:rPr>
        <w:t>《2023年乌鲁木齐市本级部门预算编制管理工作规程》的通知》（乌财预函[2022]15号）</w:t>
      </w:r>
      <w:r>
        <w:rPr>
          <w:rFonts w:hint="eastAsia" w:ascii="仿宋_GB2312"/>
          <w:szCs w:val="28"/>
        </w:rPr>
        <w:t>规定的程序申请设立，</w:t>
      </w:r>
      <w:r>
        <w:rPr>
          <w:rFonts w:hint="eastAsia" w:ascii="仿宋_GB2312"/>
        </w:rPr>
        <w:t>《关于2023年市卫健委所属单位预算的批复》（乌卫财[2023]年2号）</w:t>
      </w:r>
      <w:r>
        <w:rPr>
          <w:rFonts w:hint="eastAsia" w:ascii="仿宋_GB2312"/>
          <w:szCs w:val="28"/>
        </w:rPr>
        <w:t>审批，</w:t>
      </w:r>
      <w:r>
        <w:rPr>
          <w:rFonts w:hint="eastAsia" w:ascii="仿宋_GB2312"/>
        </w:rPr>
        <w:t>本项目系</w:t>
      </w:r>
      <w:r>
        <w:rPr>
          <w:rFonts w:ascii="仿宋_GB2312"/>
        </w:rPr>
        <w:t>2023</w:t>
      </w:r>
      <w:r>
        <w:rPr>
          <w:rFonts w:hint="eastAsia" w:ascii="仿宋_GB2312"/>
        </w:rPr>
        <w:t>年单位其他资金，共安排预算6626.8万元，其中：</w:t>
      </w:r>
      <w:r>
        <w:rPr>
          <w:rFonts w:ascii="仿宋_GB2312" w:hAnsi="仿宋"/>
          <w:szCs w:val="28"/>
        </w:rPr>
        <w:t>①</w:t>
      </w:r>
      <w:r>
        <w:rPr>
          <w:rFonts w:hint="eastAsia" w:ascii="仿宋_GB2312" w:hAnsi="仿宋"/>
          <w:szCs w:val="28"/>
        </w:rPr>
        <w:t>办公设备购置211台，金额合计173.46万元</w:t>
      </w:r>
      <w:r>
        <w:rPr>
          <w:rFonts w:ascii="仿宋_GB2312" w:hAnsi="仿宋"/>
          <w:szCs w:val="28"/>
        </w:rPr>
        <w:t>;②</w:t>
      </w:r>
      <w:r>
        <w:rPr>
          <w:rFonts w:hint="eastAsia" w:ascii="仿宋_GB2312" w:hAnsi="仿宋"/>
          <w:szCs w:val="28"/>
        </w:rPr>
        <w:t>专用设备购置102台，金额合计2227.20万元</w:t>
      </w:r>
      <w:r>
        <w:rPr>
          <w:rFonts w:ascii="仿宋_GB2312" w:hAnsi="仿宋"/>
          <w:szCs w:val="28"/>
        </w:rPr>
        <w:t>;③信息网络及软件购置16套</w:t>
      </w:r>
      <w:r>
        <w:rPr>
          <w:rFonts w:hint="eastAsia" w:ascii="仿宋_GB2312" w:hAnsi="仿宋"/>
          <w:szCs w:val="28"/>
        </w:rPr>
        <w:t>，金额合计1473万元；</w:t>
      </w:r>
      <w:r>
        <w:rPr>
          <w:rFonts w:ascii="仿宋_GB2312" w:hAnsi="仿宋"/>
          <w:szCs w:val="28"/>
        </w:rPr>
        <w:t>④总务后勤保障服务43项</w:t>
      </w:r>
      <w:r>
        <w:rPr>
          <w:rFonts w:hint="eastAsia" w:ascii="仿宋_GB2312" w:hAnsi="仿宋"/>
          <w:szCs w:val="28"/>
        </w:rPr>
        <w:t>，金额合计2753.14万元</w:t>
      </w:r>
      <w:r>
        <w:rPr>
          <w:rFonts w:hint="eastAsia" w:ascii="仿宋_GB2312" w:hAnsi="仿宋" w:cs="宋体"/>
          <w:b/>
          <w:kern w:val="0"/>
          <w:szCs w:val="28"/>
        </w:rPr>
        <w:t>。</w:t>
      </w:r>
      <w:r>
        <w:rPr>
          <w:rFonts w:hint="eastAsia" w:ascii="仿宋_GB2312" w:hAnsi="仿宋" w:cs="宋体"/>
          <w:kern w:val="0"/>
          <w:szCs w:val="28"/>
        </w:rPr>
        <w:t>故资金分配合理性指标得分</w:t>
      </w:r>
      <w:r>
        <w:rPr>
          <w:rFonts w:ascii="仿宋_GB2312" w:hAnsi="仿宋" w:cs="宋体"/>
          <w:kern w:val="0"/>
          <w:szCs w:val="28"/>
        </w:rPr>
        <w:t>3</w:t>
      </w:r>
      <w:r>
        <w:rPr>
          <w:rFonts w:hint="eastAsia" w:ascii="仿宋_GB2312" w:hAnsi="仿宋" w:cs="宋体"/>
          <w:kern w:val="0"/>
          <w:szCs w:val="28"/>
        </w:rPr>
        <w:t>分。</w:t>
      </w:r>
    </w:p>
    <w:p w14:paraId="02C04E24">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分，得分6分。</w:t>
      </w:r>
    </w:p>
    <w:p w14:paraId="64274BEE">
      <w:pPr>
        <w:pStyle w:val="3"/>
        <w:ind w:firstLine="643"/>
        <w:rPr>
          <w:rFonts w:ascii="仿宋" w:hAnsi="仿宋" w:eastAsia="仿宋"/>
          <w:lang w:bidi="en-US"/>
        </w:rPr>
      </w:pPr>
      <w:bookmarkStart w:id="40" w:name="_Toc165277245"/>
      <w:bookmarkStart w:id="41" w:name="_Toc67911613"/>
      <w:r>
        <w:rPr>
          <w:rFonts w:hint="eastAsia" w:ascii="仿宋" w:hAnsi="仿宋" w:eastAsia="仿宋"/>
          <w:lang w:bidi="en-US"/>
        </w:rPr>
        <w:t>（二）项目过程情况</w:t>
      </w:r>
      <w:bookmarkEnd w:id="40"/>
      <w:bookmarkEnd w:id="41"/>
    </w:p>
    <w:p w14:paraId="703281AE">
      <w:pPr>
        <w:spacing w:line="360" w:lineRule="auto"/>
        <w:ind w:firstLine="560"/>
        <w:rPr>
          <w:rFonts w:ascii="仿宋_GB2312"/>
          <w:szCs w:val="28"/>
        </w:rPr>
      </w:pPr>
      <w:r>
        <w:rPr>
          <w:rFonts w:hint="eastAsia" w:ascii="仿宋_GB2312"/>
          <w:szCs w:val="28"/>
        </w:rPr>
        <w:t>项目过程指标由2个二级指标和</w:t>
      </w:r>
      <w:r>
        <w:rPr>
          <w:rFonts w:ascii="仿宋_GB2312"/>
          <w:szCs w:val="28"/>
        </w:rPr>
        <w:t>5</w:t>
      </w:r>
      <w:r>
        <w:rPr>
          <w:rFonts w:hint="eastAsia" w:ascii="仿宋_GB2312"/>
          <w:szCs w:val="28"/>
        </w:rPr>
        <w:t>个三级指标构成，权重为</w:t>
      </w:r>
      <w:r>
        <w:rPr>
          <w:rFonts w:ascii="仿宋_GB2312"/>
          <w:szCs w:val="28"/>
        </w:rPr>
        <w:t>20</w:t>
      </w:r>
      <w:r>
        <w:rPr>
          <w:rFonts w:hint="eastAsia" w:ascii="仿宋_GB2312"/>
          <w:szCs w:val="28"/>
        </w:rPr>
        <w:t>分，实际得分</w:t>
      </w:r>
      <w:r>
        <w:rPr>
          <w:rFonts w:ascii="仿宋_GB2312"/>
          <w:szCs w:val="28"/>
        </w:rPr>
        <w:t>20</w:t>
      </w:r>
      <w:r>
        <w:rPr>
          <w:rFonts w:hint="eastAsia" w:ascii="仿宋_GB2312"/>
          <w:szCs w:val="28"/>
        </w:rPr>
        <w:t>分。</w:t>
      </w:r>
    </w:p>
    <w:p w14:paraId="4C2D1966">
      <w:pPr>
        <w:pStyle w:val="4"/>
        <w:ind w:firstLine="643"/>
      </w:pPr>
      <w:bookmarkStart w:id="42" w:name="_Toc165277246"/>
      <w:r>
        <w:t>1.</w:t>
      </w:r>
      <w:r>
        <w:rPr>
          <w:rFonts w:hint="eastAsia"/>
        </w:rPr>
        <w:t>资金管理</w:t>
      </w:r>
      <w:bookmarkEnd w:id="42"/>
    </w:p>
    <w:p w14:paraId="6A6A25CF">
      <w:pPr>
        <w:spacing w:line="360" w:lineRule="auto"/>
        <w:ind w:firstLine="562"/>
        <w:rPr>
          <w:rFonts w:ascii="仿宋_GB2312"/>
          <w:szCs w:val="28"/>
        </w:rPr>
      </w:pPr>
      <w:r>
        <w:rPr>
          <w:rFonts w:hint="eastAsia" w:ascii="仿宋_GB2312"/>
          <w:b/>
          <w:bCs/>
          <w:szCs w:val="28"/>
        </w:rPr>
        <w:t>资金到位率：</w:t>
      </w:r>
      <w:r>
        <w:rPr>
          <w:rFonts w:hint="eastAsia" w:ascii="仿宋_GB2312"/>
        </w:rPr>
        <w:t>本项目资金为单位自有资金支付，共安排预算6626.8万元，</w:t>
      </w:r>
      <w:r>
        <w:rPr>
          <w:rFonts w:hint="eastAsia" w:ascii="仿宋_GB2312" w:hAnsi="仿宋" w:cs="宋体"/>
          <w:kern w:val="0"/>
          <w:szCs w:val="28"/>
        </w:rPr>
        <w:t>其中：</w:t>
      </w:r>
      <w:r>
        <w:rPr>
          <w:rFonts w:ascii="仿宋_GB2312" w:hAnsi="仿宋"/>
          <w:szCs w:val="28"/>
        </w:rPr>
        <w:t>①</w:t>
      </w:r>
      <w:r>
        <w:rPr>
          <w:rFonts w:hint="eastAsia" w:ascii="仿宋_GB2312" w:hAnsi="仿宋"/>
          <w:szCs w:val="28"/>
        </w:rPr>
        <w:t>办公设备购置211台，金额合计173.46万元</w:t>
      </w:r>
      <w:r>
        <w:rPr>
          <w:rFonts w:ascii="仿宋_GB2312" w:hAnsi="仿宋"/>
          <w:szCs w:val="28"/>
        </w:rPr>
        <w:t>;②</w:t>
      </w:r>
      <w:r>
        <w:rPr>
          <w:rFonts w:hint="eastAsia" w:ascii="仿宋_GB2312" w:hAnsi="仿宋"/>
          <w:szCs w:val="28"/>
        </w:rPr>
        <w:t>专用设备购置102台，金额合计2227.20万元</w:t>
      </w:r>
      <w:r>
        <w:rPr>
          <w:rFonts w:ascii="仿宋_GB2312" w:hAnsi="仿宋"/>
          <w:szCs w:val="28"/>
        </w:rPr>
        <w:t>;③信息网络及软件购置16套</w:t>
      </w:r>
      <w:r>
        <w:rPr>
          <w:rFonts w:hint="eastAsia" w:ascii="仿宋_GB2312" w:hAnsi="仿宋"/>
          <w:szCs w:val="28"/>
        </w:rPr>
        <w:t>，金额合计1473万元；</w:t>
      </w:r>
      <w:r>
        <w:rPr>
          <w:rFonts w:ascii="仿宋_GB2312" w:hAnsi="仿宋"/>
          <w:szCs w:val="28"/>
        </w:rPr>
        <w:t>④总务后勤保障服务43项</w:t>
      </w:r>
      <w:r>
        <w:rPr>
          <w:rFonts w:hint="eastAsia" w:ascii="仿宋_GB2312" w:hAnsi="仿宋"/>
          <w:szCs w:val="28"/>
        </w:rPr>
        <w:t>，金额合计2753.14万元。</w:t>
      </w:r>
      <w:r>
        <w:rPr>
          <w:rFonts w:hint="eastAsia" w:ascii="仿宋_GB2312" w:hAnsi="仿宋" w:cs="宋体"/>
          <w:kern w:val="0"/>
          <w:szCs w:val="28"/>
        </w:rPr>
        <w:t>故资金到位率指标得分5分。</w:t>
      </w:r>
    </w:p>
    <w:p w14:paraId="7F1C0B7D">
      <w:pPr>
        <w:spacing w:line="360" w:lineRule="auto"/>
        <w:ind w:firstLine="562"/>
        <w:rPr>
          <w:rFonts w:ascii="仿宋_GB2312"/>
          <w:b/>
          <w:bCs/>
          <w:szCs w:val="28"/>
        </w:rPr>
      </w:pPr>
    </w:p>
    <w:p w14:paraId="20DAB0E4">
      <w:pPr>
        <w:spacing w:line="360" w:lineRule="auto"/>
        <w:ind w:firstLine="562"/>
        <w:rPr>
          <w:rFonts w:cs="Calibri"/>
        </w:rPr>
      </w:pPr>
      <w:r>
        <w:rPr>
          <w:rFonts w:hint="eastAsia" w:ascii="仿宋_GB2312"/>
          <w:b/>
          <w:bCs/>
          <w:szCs w:val="28"/>
        </w:rPr>
        <w:t>预算执行率：</w:t>
      </w:r>
      <w:r>
        <w:rPr>
          <w:rFonts w:hint="eastAsia" w:ascii="仿宋_GB2312"/>
        </w:rPr>
        <w:t>本项目资金为单位自有资金支付，共安排预算6626.8万元，其中：</w:t>
      </w:r>
      <w:r>
        <w:rPr>
          <w:rFonts w:ascii="仿宋_GB2312"/>
        </w:rPr>
        <w:t>①</w:t>
      </w:r>
      <w:r>
        <w:rPr>
          <w:rFonts w:hint="eastAsia" w:ascii="仿宋_GB2312"/>
        </w:rPr>
        <w:t>办公设备购置211台：未执行122台（台式计算机60台，UPS1台，便携式计算机9台，激光打印机50台，台式计算机-监控1台，液晶监视器1台）；已执行89台（中标金额117.47万元，实际已付款31.06万元）。</w:t>
      </w:r>
      <w:r>
        <w:rPr>
          <w:rFonts w:ascii="仿宋_GB2312"/>
        </w:rPr>
        <w:t>②</w:t>
      </w:r>
      <w:r>
        <w:rPr>
          <w:rFonts w:hint="eastAsia" w:ascii="仿宋_GB2312"/>
        </w:rPr>
        <w:t>专用设备购置102台：未执行39台；已执行63台（中标金额978.87万元，实际已付款118.19万元）。</w:t>
      </w:r>
      <w:r>
        <w:rPr>
          <w:rFonts w:cs="Calibri"/>
        </w:rPr>
        <w:t>③信息网络及软件购置16套</w:t>
      </w:r>
      <w:r>
        <w:rPr>
          <w:rFonts w:hint="eastAsia" w:cs="Calibri"/>
        </w:rPr>
        <w:t>：未执行5套；11套正在走采购流程，金额658.万元，实际已付款0万元。</w:t>
      </w:r>
      <w:r>
        <w:rPr>
          <w:rFonts w:cs="Calibri"/>
        </w:rPr>
        <w:t>④总务后勤保障服务43项</w:t>
      </w:r>
      <w:r>
        <w:rPr>
          <w:rFonts w:hint="eastAsia" w:cs="Calibri"/>
        </w:rPr>
        <w:t>：未执行8项，已执行35项（中标金额1306.25万元，实际已付款848.67万元）。</w:t>
      </w:r>
      <w:r>
        <w:rPr>
          <w:rFonts w:hint="eastAsia" w:ascii="仿宋_GB2312"/>
        </w:rPr>
        <w:t>实</w:t>
      </w:r>
      <w:r>
        <w:rPr>
          <w:rFonts w:ascii="仿宋_GB2312"/>
        </w:rPr>
        <w:t>际完成情况为：</w:t>
      </w:r>
      <w:r>
        <w:rPr>
          <w:rFonts w:hint="eastAsia" w:ascii="仿宋_GB2312"/>
        </w:rPr>
        <w:t>①办公设备购置89台,金额合计31.06万元</w:t>
      </w:r>
      <w:r>
        <w:rPr>
          <w:rFonts w:ascii="仿宋_GB2312"/>
        </w:rPr>
        <w:t>;②</w:t>
      </w:r>
      <w:r>
        <w:rPr>
          <w:rFonts w:hint="eastAsia" w:ascii="仿宋_GB2312"/>
        </w:rPr>
        <w:t>专用设备购置63台，金额合计118.19万元</w:t>
      </w:r>
      <w:r>
        <w:rPr>
          <w:rFonts w:ascii="仿宋_GB2312"/>
        </w:rPr>
        <w:t>;</w:t>
      </w:r>
      <w:r>
        <w:rPr>
          <w:rFonts w:cs="Calibri"/>
        </w:rPr>
        <w:t>③信息网络及软件购置</w:t>
      </w:r>
      <w:r>
        <w:rPr>
          <w:rFonts w:hint="eastAsia" w:cs="Calibri"/>
        </w:rPr>
        <w:t>0</w:t>
      </w:r>
      <w:r>
        <w:rPr>
          <w:rFonts w:cs="Calibri"/>
        </w:rPr>
        <w:t>套</w:t>
      </w:r>
      <w:r>
        <w:rPr>
          <w:rFonts w:hint="eastAsia" w:cs="Calibri"/>
        </w:rPr>
        <w:t>，金额合计0万元；</w:t>
      </w:r>
      <w:r>
        <w:rPr>
          <w:rFonts w:cs="Calibri"/>
        </w:rPr>
        <w:t>④总务后勤保障服务</w:t>
      </w:r>
      <w:r>
        <w:rPr>
          <w:rFonts w:hint="eastAsia" w:cs="Calibri"/>
        </w:rPr>
        <w:t>35</w:t>
      </w:r>
      <w:r>
        <w:rPr>
          <w:rFonts w:cs="Calibri"/>
        </w:rPr>
        <w:t>项</w:t>
      </w:r>
      <w:r>
        <w:rPr>
          <w:rFonts w:hint="eastAsia" w:cs="Calibri"/>
        </w:rPr>
        <w:t>，金额合计848.47万元。</w:t>
      </w:r>
    </w:p>
    <w:p w14:paraId="6D203345">
      <w:pPr>
        <w:spacing w:line="360" w:lineRule="auto"/>
        <w:ind w:firstLine="560"/>
        <w:rPr>
          <w:rFonts w:hint="eastAsia" w:ascii="仿宋_GB2312"/>
          <w:szCs w:val="28"/>
          <w:highlight w:val="none"/>
        </w:rPr>
      </w:pPr>
      <w:r>
        <w:rPr>
          <w:rFonts w:hint="eastAsia" w:cs="Calibri"/>
          <w:highlight w:val="none"/>
        </w:rPr>
        <w:t>由于</w:t>
      </w:r>
      <w:r>
        <w:rPr>
          <w:rFonts w:cs="Calibri"/>
          <w:highlight w:val="none"/>
        </w:rPr>
        <w:t>此项目为单位自有资金，所有付款无需财政拨款，</w:t>
      </w:r>
      <w:r>
        <w:rPr>
          <w:rFonts w:hint="eastAsia" w:ascii="仿宋_GB2312"/>
          <w:szCs w:val="28"/>
          <w:highlight w:val="none"/>
        </w:rPr>
        <w:t>故预算执行率得分为</w:t>
      </w:r>
      <w:r>
        <w:rPr>
          <w:rFonts w:ascii="仿宋_GB2312"/>
          <w:szCs w:val="28"/>
          <w:highlight w:val="none"/>
        </w:rPr>
        <w:t>5</w:t>
      </w:r>
      <w:r>
        <w:rPr>
          <w:rFonts w:hint="eastAsia" w:ascii="仿宋_GB2312"/>
          <w:szCs w:val="28"/>
          <w:highlight w:val="none"/>
        </w:rPr>
        <w:t>分。</w:t>
      </w:r>
    </w:p>
    <w:p w14:paraId="5BF1D1D6">
      <w:pPr>
        <w:spacing w:line="360" w:lineRule="auto"/>
        <w:ind w:firstLine="562"/>
        <w:rPr>
          <w:rFonts w:ascii="仿宋_GB2312"/>
          <w:b/>
          <w:bCs/>
          <w:szCs w:val="28"/>
        </w:rPr>
      </w:pPr>
    </w:p>
    <w:p w14:paraId="53C6200C">
      <w:pPr>
        <w:spacing w:line="520" w:lineRule="exact"/>
        <w:ind w:firstLine="562"/>
        <w:rPr>
          <w:rFonts w:ascii="仿宋_GB2312"/>
          <w:szCs w:val="28"/>
        </w:rPr>
      </w:pPr>
      <w:r>
        <w:rPr>
          <w:rFonts w:hint="eastAsia" w:ascii="仿宋_GB2312"/>
          <w:b/>
          <w:bCs/>
          <w:szCs w:val="28"/>
        </w:rPr>
        <w:t>资金使用合规性：</w:t>
      </w:r>
      <w:r>
        <w:rPr>
          <w:rFonts w:hint="eastAsia" w:ascii="仿宋_GB2312"/>
          <w:szCs w:val="28"/>
        </w:rPr>
        <w:t>本项目资金的使用符合《关于印发《乌鲁木齐市本级政府采购预算管理办法（实行）》的通知》（乌财预[2022]50号）、《关于进一步加强政府采购预算执行管理的通知》（新财购〔2023〕37号）的规定。同时，根据《新疆贯彻&lt;关于加强公立医院党的建设工作的意见&gt;的实施办法》的规定，结合医院实际，依据《乌鲁木齐市妇幼保健院医院委员会议事规则》相关规定，5万元以下采购项目需经院长办公会讨论通过，5万元以上采购项目需经院党委会会议审议通过，所有项目均由纪检部门、财务部门监督。严格按照制度要求选择组织形式和采购方式。符合项目预算批复或合同规定的用途，不存在截留、挤占、挪用、虚列支出等情况。故资金使用合规性得分为3分。</w:t>
      </w:r>
    </w:p>
    <w:p w14:paraId="4E6FB502">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13</w:t>
      </w:r>
      <w:r>
        <w:rPr>
          <w:rFonts w:hint="eastAsia" w:ascii="仿宋_GB2312" w:hAnsi="仿宋" w:cs="宋体"/>
          <w:b/>
          <w:kern w:val="0"/>
          <w:szCs w:val="28"/>
        </w:rPr>
        <w:t>分，得分</w:t>
      </w:r>
      <w:r>
        <w:rPr>
          <w:rFonts w:ascii="仿宋_GB2312" w:hAnsi="仿宋" w:cs="宋体"/>
          <w:b/>
          <w:kern w:val="0"/>
          <w:szCs w:val="28"/>
        </w:rPr>
        <w:t>13</w:t>
      </w:r>
      <w:r>
        <w:rPr>
          <w:rFonts w:hint="eastAsia" w:ascii="仿宋_GB2312" w:hAnsi="仿宋" w:cs="宋体"/>
          <w:b/>
          <w:kern w:val="0"/>
          <w:szCs w:val="28"/>
        </w:rPr>
        <w:t>分。</w:t>
      </w:r>
    </w:p>
    <w:p w14:paraId="7D469EBF">
      <w:pPr>
        <w:pStyle w:val="4"/>
        <w:ind w:firstLine="643"/>
      </w:pPr>
      <w:bookmarkStart w:id="43" w:name="_Toc165277247"/>
      <w:r>
        <w:t>2.</w:t>
      </w:r>
      <w:r>
        <w:rPr>
          <w:rFonts w:hint="eastAsia"/>
        </w:rPr>
        <w:t>组织实施</w:t>
      </w:r>
      <w:bookmarkEnd w:id="43"/>
    </w:p>
    <w:p w14:paraId="1A6F6DDF">
      <w:pPr>
        <w:keepNext/>
        <w:keepLines/>
        <w:spacing w:line="520" w:lineRule="exact"/>
        <w:ind w:firstLine="562"/>
        <w:jc w:val="left"/>
        <w:outlineLvl w:val="4"/>
        <w:rPr>
          <w:rFonts w:ascii="仿宋_GB2312"/>
          <w:szCs w:val="28"/>
        </w:rPr>
      </w:pPr>
      <w:r>
        <w:rPr>
          <w:rFonts w:hint="eastAsia" w:ascii="仿宋_GB2312"/>
          <w:b/>
          <w:bCs/>
          <w:szCs w:val="28"/>
        </w:rPr>
        <w:t>管理制度健全性</w:t>
      </w:r>
      <w:r>
        <w:rPr>
          <w:rFonts w:hint="eastAsia" w:ascii="仿宋_GB2312"/>
          <w:szCs w:val="28"/>
        </w:rPr>
        <w:t>：我单位已制定相应的《关于印发乌鲁木齐市妇幼保健院预算绩效管理办法的通知》（乌妇幼院[2023]131号）、《乌鲁木齐市妇幼保健院关于印发预算管理制度的通知》(乌妇幼院[2023]139号）、《乌鲁木齐市妇幼保健院招标采购管理办法》等管理制度，且制度合法、合规、完整，为项目顺利实施提供重要保障。故管理制度健全性得分为3分。</w:t>
      </w:r>
    </w:p>
    <w:p w14:paraId="62FFFBC5">
      <w:pPr>
        <w:spacing w:line="360" w:lineRule="auto"/>
        <w:ind w:firstLine="562"/>
        <w:rPr>
          <w:rFonts w:ascii="仿宋_GB2312"/>
          <w:szCs w:val="28"/>
        </w:rPr>
      </w:pPr>
      <w:r>
        <w:rPr>
          <w:rFonts w:hint="eastAsia" w:ascii="仿宋_GB2312"/>
          <w:b/>
          <w:bCs/>
          <w:szCs w:val="28"/>
        </w:rPr>
        <w:t>制度执行有效性：</w:t>
      </w:r>
      <w:r>
        <w:rPr>
          <w:rFonts w:hint="eastAsia" w:ascii="仿宋_GB2312"/>
          <w:szCs w:val="28"/>
        </w:rPr>
        <w:t>根据评价小组核查情况，我单位严格遵守相关法律法规和相关管理规定，项目调整及支出调整手续完备，整体管理合理有序，项目完成后，及时将会计凭证、固定资产入库单、中标通知书、验收报告等相关资料分类归档，制度执行有效。故制度执行有效性指标得分</w:t>
      </w:r>
      <w:r>
        <w:rPr>
          <w:rFonts w:ascii="仿宋_GB2312"/>
          <w:szCs w:val="28"/>
        </w:rPr>
        <w:t>4</w:t>
      </w:r>
      <w:r>
        <w:rPr>
          <w:rFonts w:hint="eastAsia" w:ascii="仿宋_GB2312"/>
          <w:szCs w:val="28"/>
        </w:rPr>
        <w:t>分。</w:t>
      </w:r>
    </w:p>
    <w:p w14:paraId="336A5D86">
      <w:pPr>
        <w:autoSpaceDE w:val="0"/>
        <w:spacing w:line="600" w:lineRule="exact"/>
        <w:ind w:firstLine="562"/>
        <w:rPr>
          <w:rFonts w:ascii="仿宋_GB2312" w:hAnsi="仿宋" w:cs="宋体"/>
          <w:b/>
          <w:kern w:val="0"/>
          <w:szCs w:val="28"/>
        </w:rPr>
      </w:pPr>
      <w:bookmarkStart w:id="44" w:name="_Hlk67670213"/>
      <w:r>
        <w:rPr>
          <w:rFonts w:hint="eastAsia" w:ascii="仿宋_GB2312" w:hAnsi="仿宋" w:cs="宋体"/>
          <w:b/>
          <w:kern w:val="0"/>
          <w:szCs w:val="28"/>
        </w:rPr>
        <w:t>综上，该指标满分</w:t>
      </w:r>
      <w:r>
        <w:rPr>
          <w:rFonts w:ascii="仿宋_GB2312" w:hAnsi="仿宋" w:cs="宋体"/>
          <w:b/>
          <w:kern w:val="0"/>
          <w:szCs w:val="28"/>
        </w:rPr>
        <w:t>7</w:t>
      </w:r>
      <w:r>
        <w:rPr>
          <w:rFonts w:hint="eastAsia" w:ascii="仿宋_GB2312" w:hAnsi="仿宋" w:cs="宋体"/>
          <w:b/>
          <w:kern w:val="0"/>
          <w:szCs w:val="28"/>
        </w:rPr>
        <w:t>分，得分</w:t>
      </w:r>
      <w:r>
        <w:rPr>
          <w:rFonts w:ascii="仿宋_GB2312" w:hAnsi="仿宋" w:cs="宋体"/>
          <w:b/>
          <w:kern w:val="0"/>
          <w:szCs w:val="28"/>
        </w:rPr>
        <w:t>7</w:t>
      </w:r>
      <w:r>
        <w:rPr>
          <w:rFonts w:hint="eastAsia" w:ascii="仿宋_GB2312" w:hAnsi="仿宋" w:cs="宋体"/>
          <w:b/>
          <w:kern w:val="0"/>
          <w:szCs w:val="28"/>
        </w:rPr>
        <w:t>分。</w:t>
      </w:r>
    </w:p>
    <w:bookmarkEnd w:id="44"/>
    <w:p w14:paraId="223A4367">
      <w:pPr>
        <w:pStyle w:val="3"/>
        <w:ind w:firstLine="643"/>
        <w:rPr>
          <w:rFonts w:ascii="仿宋" w:hAnsi="仿宋" w:eastAsia="仿宋"/>
          <w:lang w:bidi="en-US"/>
        </w:rPr>
      </w:pPr>
      <w:bookmarkStart w:id="45" w:name="_Toc67911614"/>
      <w:bookmarkStart w:id="46" w:name="_Toc165277248"/>
      <w:r>
        <w:rPr>
          <w:rFonts w:hint="eastAsia" w:ascii="仿宋" w:hAnsi="仿宋" w:eastAsia="仿宋"/>
          <w:lang w:bidi="en-US"/>
        </w:rPr>
        <w:t>（三）项目产出情况</w:t>
      </w:r>
      <w:bookmarkEnd w:id="45"/>
      <w:bookmarkEnd w:id="46"/>
    </w:p>
    <w:p w14:paraId="7C43C9D6">
      <w:pPr>
        <w:spacing w:line="360" w:lineRule="auto"/>
        <w:ind w:firstLine="560"/>
        <w:rPr>
          <w:rFonts w:ascii="仿宋_GB2312"/>
          <w:szCs w:val="28"/>
        </w:rPr>
      </w:pPr>
      <w:r>
        <w:rPr>
          <w:rFonts w:hint="eastAsia" w:ascii="仿宋_GB2312"/>
          <w:szCs w:val="28"/>
        </w:rPr>
        <w:t>项目产出指标由</w:t>
      </w:r>
      <w:r>
        <w:rPr>
          <w:rFonts w:ascii="仿宋_GB2312"/>
          <w:szCs w:val="28"/>
        </w:rPr>
        <w:t>4</w:t>
      </w:r>
      <w:r>
        <w:rPr>
          <w:rFonts w:hint="eastAsia" w:ascii="仿宋_GB2312"/>
          <w:szCs w:val="28"/>
        </w:rPr>
        <w:t>个二级指标和13个三级指标构成，权重为</w:t>
      </w:r>
      <w:r>
        <w:rPr>
          <w:rFonts w:ascii="仿宋_GB2312"/>
          <w:szCs w:val="28"/>
        </w:rPr>
        <w:t>40</w:t>
      </w:r>
      <w:r>
        <w:rPr>
          <w:rFonts w:hint="eastAsia" w:ascii="仿宋_GB2312"/>
          <w:szCs w:val="28"/>
        </w:rPr>
        <w:t>分，实际得分</w:t>
      </w:r>
      <w:r>
        <w:rPr>
          <w:rFonts w:ascii="仿宋_GB2312"/>
          <w:szCs w:val="28"/>
        </w:rPr>
        <w:t>35.56</w:t>
      </w:r>
      <w:r>
        <w:rPr>
          <w:rFonts w:hint="eastAsia" w:ascii="仿宋_GB2312"/>
          <w:szCs w:val="28"/>
        </w:rPr>
        <w:t>分。</w:t>
      </w:r>
    </w:p>
    <w:p w14:paraId="344A3EAF">
      <w:pPr>
        <w:pStyle w:val="4"/>
        <w:ind w:firstLine="643"/>
      </w:pPr>
      <w:bookmarkStart w:id="47" w:name="_Toc165277249"/>
      <w:r>
        <w:rPr>
          <w:rFonts w:hint="eastAsia"/>
        </w:rPr>
        <w:t>1</w:t>
      </w:r>
      <w:r>
        <w:t>.</w:t>
      </w:r>
      <w:r>
        <w:rPr>
          <w:rFonts w:hint="eastAsia"/>
        </w:rPr>
        <w:t>产出数量</w:t>
      </w:r>
      <w:bookmarkEnd w:id="47"/>
    </w:p>
    <w:p w14:paraId="4E22B14D">
      <w:pPr>
        <w:spacing w:line="360" w:lineRule="auto"/>
        <w:ind w:firstLine="560"/>
        <w:rPr>
          <w:rFonts w:ascii="仿宋_GB2312"/>
          <w:szCs w:val="28"/>
        </w:rPr>
      </w:pPr>
      <w:r>
        <w:rPr>
          <w:rFonts w:hint="eastAsia" w:ascii="仿宋_GB2312"/>
          <w:bCs/>
          <w:szCs w:val="28"/>
        </w:rPr>
        <w:t>数量指标“办公设备购置数”的目标值是211台，2023</w:t>
      </w:r>
      <w:r>
        <w:rPr>
          <w:rFonts w:ascii="仿宋_GB2312"/>
          <w:bCs/>
          <w:szCs w:val="28"/>
        </w:rPr>
        <w:t>年度我单位实际完成</w:t>
      </w:r>
      <w:r>
        <w:rPr>
          <w:rFonts w:hint="eastAsia" w:ascii="仿宋_GB2312"/>
          <w:bCs/>
          <w:szCs w:val="28"/>
        </w:rPr>
        <w:t>89台，完成率42.18%。未执行原因：</w:t>
      </w:r>
      <w:r>
        <w:rPr>
          <w:rFonts w:hint="eastAsia" w:ascii="仿宋_GB2312"/>
          <w:szCs w:val="28"/>
        </w:rPr>
        <w:t>经过党委会审议，不执行122 台,执行89台；</w:t>
      </w:r>
    </w:p>
    <w:p w14:paraId="1460C6E3">
      <w:pPr>
        <w:spacing w:line="360" w:lineRule="auto"/>
        <w:ind w:firstLine="560"/>
        <w:rPr>
          <w:rFonts w:ascii="仿宋_GB2312"/>
          <w:bCs/>
          <w:szCs w:val="28"/>
        </w:rPr>
      </w:pPr>
      <w:r>
        <w:rPr>
          <w:rFonts w:hint="eastAsia" w:ascii="仿宋_GB2312"/>
          <w:bCs/>
          <w:szCs w:val="28"/>
        </w:rPr>
        <w:t>数量指标“专用设备购置数”的目标值是102台，</w:t>
      </w:r>
      <w:r>
        <w:rPr>
          <w:rFonts w:ascii="仿宋_GB2312"/>
          <w:bCs/>
          <w:szCs w:val="28"/>
        </w:rPr>
        <w:t>2023年度我单位实际完成</w:t>
      </w:r>
      <w:r>
        <w:rPr>
          <w:rFonts w:hint="eastAsia" w:ascii="仿宋_GB2312"/>
          <w:bCs/>
          <w:szCs w:val="28"/>
        </w:rPr>
        <w:t>63台，完成率61.76%。未执行原因：</w:t>
      </w:r>
      <w:r>
        <w:rPr>
          <w:rFonts w:hint="eastAsia" w:ascii="仿宋_GB2312"/>
          <w:szCs w:val="28"/>
        </w:rPr>
        <w:t>经过党委会审议，不执行39 台,执行63台；</w:t>
      </w:r>
    </w:p>
    <w:p w14:paraId="3C1C5F67">
      <w:pPr>
        <w:spacing w:line="360" w:lineRule="auto"/>
        <w:ind w:firstLine="560"/>
        <w:rPr>
          <w:rFonts w:ascii="仿宋_GB2312"/>
          <w:bCs/>
          <w:szCs w:val="28"/>
        </w:rPr>
      </w:pPr>
      <w:r>
        <w:rPr>
          <w:rFonts w:hint="eastAsia" w:ascii="仿宋_GB2312"/>
          <w:bCs/>
          <w:szCs w:val="28"/>
        </w:rPr>
        <w:t>数量指标“信息网络及软件购置”的目标值是16套，</w:t>
      </w:r>
      <w:r>
        <w:rPr>
          <w:rFonts w:ascii="仿宋_GB2312"/>
          <w:bCs/>
          <w:szCs w:val="28"/>
        </w:rPr>
        <w:t>2023年度我单位实际完成</w:t>
      </w:r>
      <w:r>
        <w:rPr>
          <w:rFonts w:hint="eastAsia" w:ascii="仿宋_GB2312"/>
          <w:bCs/>
          <w:szCs w:val="28"/>
        </w:rPr>
        <w:t>0套，完成率0%。未执行原因：经过党委会审议，不执行5套，正在执行项目11套。</w:t>
      </w:r>
    </w:p>
    <w:p w14:paraId="73A9B628">
      <w:pPr>
        <w:spacing w:line="360" w:lineRule="auto"/>
        <w:ind w:firstLine="560"/>
        <w:rPr>
          <w:rFonts w:hint="eastAsia" w:ascii="仿宋_GB2312"/>
          <w:bCs/>
          <w:szCs w:val="28"/>
        </w:rPr>
      </w:pPr>
      <w:r>
        <w:rPr>
          <w:rFonts w:hint="eastAsia" w:ascii="仿宋_GB2312"/>
          <w:bCs/>
          <w:szCs w:val="28"/>
        </w:rPr>
        <w:t>数量指标“总务后勤保障服务”的目标值是43项，</w:t>
      </w:r>
      <w:r>
        <w:rPr>
          <w:rFonts w:ascii="仿宋_GB2312"/>
          <w:bCs/>
          <w:szCs w:val="28"/>
        </w:rPr>
        <w:t>2023年度我单位实际完成</w:t>
      </w:r>
      <w:r>
        <w:rPr>
          <w:rFonts w:hint="eastAsia" w:ascii="仿宋_GB2312"/>
          <w:bCs/>
          <w:szCs w:val="28"/>
        </w:rPr>
        <w:t>35项，完成率81.39%。未执行原因：8项未执行（预留项目，截止12月末不需要执行</w:t>
      </w:r>
    </w:p>
    <w:p w14:paraId="57D00A5D">
      <w:pPr>
        <w:spacing w:line="360" w:lineRule="auto"/>
        <w:ind w:firstLine="562"/>
        <w:rPr>
          <w:rFonts w:ascii="仿宋_GB2312"/>
          <w:szCs w:val="28"/>
        </w:rPr>
      </w:pPr>
      <w:r>
        <w:rPr>
          <w:rFonts w:hint="eastAsia" w:ascii="仿宋_GB2312"/>
          <w:b/>
          <w:bCs/>
          <w:szCs w:val="28"/>
        </w:rPr>
        <w:t>实际完成率：</w:t>
      </w:r>
      <w:r>
        <w:rPr>
          <w:rFonts w:hint="eastAsia" w:ascii="仿宋_GB2312"/>
          <w:szCs w:val="28"/>
        </w:rPr>
        <w:t>55.6%，故实际完成率得分为5.56分。</w:t>
      </w:r>
    </w:p>
    <w:p w14:paraId="1D4921DA">
      <w:pPr>
        <w:pStyle w:val="4"/>
        <w:ind w:firstLine="643"/>
      </w:pPr>
      <w:bookmarkStart w:id="48" w:name="_Toc165277250"/>
      <w:r>
        <w:rPr>
          <w:rFonts w:hint="eastAsia"/>
        </w:rPr>
        <w:t>2</w:t>
      </w:r>
      <w:r>
        <w:t>.</w:t>
      </w:r>
      <w:r>
        <w:rPr>
          <w:rFonts w:hint="eastAsia"/>
        </w:rPr>
        <w:t>产出质量</w:t>
      </w:r>
      <w:bookmarkEnd w:id="48"/>
    </w:p>
    <w:p w14:paraId="0919205A">
      <w:pPr>
        <w:spacing w:line="360" w:lineRule="auto"/>
        <w:ind w:firstLine="560"/>
        <w:rPr>
          <w:rFonts w:ascii="仿宋_GB2312"/>
          <w:szCs w:val="28"/>
        </w:rPr>
      </w:pPr>
      <w:r>
        <w:rPr>
          <w:rFonts w:hint="eastAsia" w:ascii="仿宋_GB2312"/>
          <w:bCs/>
          <w:szCs w:val="28"/>
        </w:rPr>
        <w:t>质量指标“设备购置合格率”的</w:t>
      </w:r>
      <w:r>
        <w:rPr>
          <w:rFonts w:hint="eastAsia" w:ascii="仿宋_GB2312"/>
          <w:szCs w:val="28"/>
        </w:rPr>
        <w:t>目标值为≥95%，2023年度我院已采购入库的设备100%合格。</w:t>
      </w:r>
    </w:p>
    <w:p w14:paraId="23692985">
      <w:pPr>
        <w:spacing w:line="360" w:lineRule="auto"/>
        <w:ind w:firstLine="560"/>
        <w:rPr>
          <w:rFonts w:ascii="仿宋_GB2312"/>
          <w:szCs w:val="28"/>
        </w:rPr>
      </w:pPr>
      <w:r>
        <w:rPr>
          <w:rFonts w:hint="eastAsia" w:ascii="仿宋_GB2312"/>
          <w:bCs/>
          <w:szCs w:val="28"/>
        </w:rPr>
        <w:t>质量指标“验收合格率”</w:t>
      </w:r>
      <w:r>
        <w:rPr>
          <w:rFonts w:hint="eastAsia" w:ascii="仿宋_GB2312"/>
          <w:szCs w:val="28"/>
        </w:rPr>
        <w:t>目标值为≥95%，2023年度我院已采购入库的设备均验收合格。</w:t>
      </w:r>
    </w:p>
    <w:p w14:paraId="0A00C299">
      <w:pPr>
        <w:spacing w:line="360" w:lineRule="auto"/>
        <w:ind w:firstLine="560"/>
        <w:rPr>
          <w:rFonts w:ascii="仿宋_GB2312"/>
          <w:szCs w:val="28"/>
        </w:rPr>
      </w:pPr>
      <w:r>
        <w:rPr>
          <w:rFonts w:hint="eastAsia" w:ascii="仿宋_GB2312"/>
          <w:bCs/>
          <w:szCs w:val="28"/>
        </w:rPr>
        <w:t>质量指标“系统故障率”</w:t>
      </w:r>
      <w:r>
        <w:rPr>
          <w:rFonts w:hint="eastAsia" w:ascii="仿宋_GB2312"/>
          <w:szCs w:val="28"/>
        </w:rPr>
        <w:t>目标值为≤5%，2023年度我院系统故障率≤5%。</w:t>
      </w:r>
    </w:p>
    <w:p w14:paraId="6ADCF2C8">
      <w:pPr>
        <w:spacing w:line="360" w:lineRule="auto"/>
        <w:ind w:firstLine="562"/>
        <w:rPr>
          <w:rFonts w:ascii="仿宋_GB2312"/>
          <w:szCs w:val="28"/>
        </w:rPr>
      </w:pPr>
      <w:r>
        <w:rPr>
          <w:rFonts w:hint="eastAsia" w:ascii="仿宋_GB2312"/>
          <w:b/>
          <w:bCs/>
          <w:szCs w:val="28"/>
        </w:rPr>
        <w:t>实际产出质量得分10分。</w:t>
      </w:r>
    </w:p>
    <w:p w14:paraId="4CD76E1A">
      <w:pPr>
        <w:pStyle w:val="4"/>
        <w:ind w:firstLine="0" w:firstLineChars="0"/>
      </w:pPr>
      <w:bookmarkStart w:id="49" w:name="_Toc165277251"/>
      <w:r>
        <w:rPr>
          <w:rFonts w:hint="eastAsia"/>
        </w:rPr>
        <w:t>3</w:t>
      </w:r>
      <w:r>
        <w:t>.</w:t>
      </w:r>
      <w:r>
        <w:rPr>
          <w:rFonts w:hint="eastAsia"/>
        </w:rPr>
        <w:t>产出时效</w:t>
      </w:r>
      <w:bookmarkEnd w:id="49"/>
    </w:p>
    <w:p w14:paraId="189EF259">
      <w:pPr>
        <w:spacing w:line="360" w:lineRule="auto"/>
        <w:ind w:firstLine="420"/>
        <w:rPr>
          <w:rFonts w:ascii="仿宋_GB2312"/>
          <w:bCs/>
          <w:szCs w:val="28"/>
        </w:rPr>
      </w:pPr>
      <w:r>
        <w:rPr>
          <w:rFonts w:hint="eastAsia" w:ascii="仿宋_GB2312"/>
          <w:bCs/>
          <w:szCs w:val="28"/>
        </w:rPr>
        <w:t>时效指标“系统运行维护响应时间”目标值≤24小时，我院维修班和信息科均24小时值班，</w:t>
      </w:r>
      <w:r>
        <w:rPr>
          <w:rFonts w:ascii="仿宋_GB2312"/>
          <w:bCs/>
          <w:szCs w:val="28"/>
        </w:rPr>
        <w:t>完成目标值</w:t>
      </w:r>
      <w:r>
        <w:rPr>
          <w:rFonts w:hint="eastAsia" w:ascii="仿宋_GB2312"/>
          <w:bCs/>
          <w:szCs w:val="28"/>
        </w:rPr>
        <w:t>。</w:t>
      </w:r>
    </w:p>
    <w:p w14:paraId="6B640439">
      <w:pPr>
        <w:spacing w:line="360" w:lineRule="auto"/>
        <w:ind w:firstLine="562"/>
        <w:rPr>
          <w:rFonts w:ascii="仿宋_GB2312"/>
          <w:b/>
          <w:bCs/>
          <w:szCs w:val="28"/>
        </w:rPr>
      </w:pPr>
      <w:r>
        <w:rPr>
          <w:rFonts w:hint="eastAsia" w:ascii="仿宋_GB2312"/>
          <w:b/>
          <w:bCs/>
          <w:szCs w:val="28"/>
        </w:rPr>
        <w:t>实际产出时效得分为10分。</w:t>
      </w:r>
    </w:p>
    <w:p w14:paraId="06A8FD42">
      <w:pPr>
        <w:pStyle w:val="4"/>
        <w:ind w:firstLine="643"/>
      </w:pPr>
      <w:bookmarkStart w:id="50" w:name="_Toc165277252"/>
      <w:r>
        <w:rPr>
          <w:rFonts w:hint="eastAsia"/>
        </w:rPr>
        <w:t>4</w:t>
      </w:r>
      <w:r>
        <w:t>.</w:t>
      </w:r>
      <w:r>
        <w:rPr>
          <w:rFonts w:hint="eastAsia"/>
        </w:rPr>
        <w:t>产出成本</w:t>
      </w:r>
      <w:bookmarkEnd w:id="50"/>
    </w:p>
    <w:p w14:paraId="2BF28078">
      <w:pPr>
        <w:spacing w:line="360" w:lineRule="auto"/>
        <w:ind w:firstLine="560"/>
        <w:rPr>
          <w:rFonts w:ascii="仿宋_GB2312"/>
          <w:bCs/>
          <w:szCs w:val="28"/>
        </w:rPr>
      </w:pPr>
      <w:r>
        <w:rPr>
          <w:rFonts w:hint="eastAsia" w:ascii="仿宋_GB2312"/>
          <w:bCs/>
          <w:szCs w:val="28"/>
        </w:rPr>
        <w:t>成本指标“办公设备购置额”的目标值是173.46万元，2023</w:t>
      </w:r>
      <w:r>
        <w:rPr>
          <w:rFonts w:ascii="仿宋_GB2312"/>
          <w:bCs/>
          <w:szCs w:val="28"/>
        </w:rPr>
        <w:t>年度我单位实际完成</w:t>
      </w:r>
      <w:r>
        <w:rPr>
          <w:rFonts w:hint="eastAsia" w:ascii="仿宋_GB2312"/>
          <w:bCs/>
          <w:szCs w:val="28"/>
        </w:rPr>
        <w:t>31.06万元，未超过</w:t>
      </w:r>
      <w:r>
        <w:rPr>
          <w:rFonts w:ascii="仿宋_GB2312"/>
          <w:bCs/>
          <w:szCs w:val="28"/>
        </w:rPr>
        <w:t>预算</w:t>
      </w:r>
      <w:r>
        <w:rPr>
          <w:rFonts w:hint="eastAsia" w:ascii="仿宋_GB2312"/>
          <w:bCs/>
          <w:szCs w:val="28"/>
        </w:rPr>
        <w:t>。</w:t>
      </w:r>
    </w:p>
    <w:p w14:paraId="5428E469">
      <w:pPr>
        <w:spacing w:line="360" w:lineRule="auto"/>
        <w:ind w:firstLine="560"/>
        <w:rPr>
          <w:rFonts w:ascii="仿宋_GB2312"/>
          <w:bCs/>
          <w:szCs w:val="28"/>
        </w:rPr>
      </w:pPr>
      <w:r>
        <w:rPr>
          <w:rFonts w:hint="eastAsia" w:ascii="仿宋_GB2312"/>
          <w:bCs/>
          <w:szCs w:val="28"/>
        </w:rPr>
        <w:t>成本指标“专用设备购置额”的目标值是2227.2万元，</w:t>
      </w:r>
      <w:r>
        <w:rPr>
          <w:rFonts w:ascii="仿宋_GB2312"/>
          <w:bCs/>
          <w:szCs w:val="28"/>
        </w:rPr>
        <w:t>2023年度我单位实际完成</w:t>
      </w:r>
      <w:r>
        <w:rPr>
          <w:rFonts w:hint="eastAsia" w:ascii="仿宋_GB2312"/>
          <w:bCs/>
          <w:szCs w:val="28"/>
        </w:rPr>
        <w:t>118.19万元，未超过</w:t>
      </w:r>
      <w:r>
        <w:rPr>
          <w:rFonts w:ascii="仿宋_GB2312"/>
          <w:bCs/>
          <w:szCs w:val="28"/>
        </w:rPr>
        <w:t>预算</w:t>
      </w:r>
      <w:r>
        <w:rPr>
          <w:rFonts w:hint="eastAsia" w:ascii="仿宋_GB2312"/>
          <w:bCs/>
          <w:szCs w:val="28"/>
        </w:rPr>
        <w:t>。</w:t>
      </w:r>
    </w:p>
    <w:p w14:paraId="2D9612AA">
      <w:pPr>
        <w:spacing w:line="360" w:lineRule="auto"/>
        <w:ind w:firstLine="560"/>
        <w:rPr>
          <w:rFonts w:ascii="仿宋_GB2312"/>
          <w:bCs/>
          <w:szCs w:val="28"/>
        </w:rPr>
      </w:pPr>
      <w:r>
        <w:rPr>
          <w:rFonts w:hint="eastAsia" w:ascii="仿宋_GB2312"/>
          <w:bCs/>
          <w:szCs w:val="28"/>
        </w:rPr>
        <w:t>成本指标“信息网络及软件购置额”的目标值是1473万元，</w:t>
      </w:r>
      <w:r>
        <w:rPr>
          <w:rFonts w:ascii="仿宋_GB2312"/>
          <w:bCs/>
          <w:szCs w:val="28"/>
        </w:rPr>
        <w:t>2023年度我单位实际完成</w:t>
      </w:r>
      <w:r>
        <w:rPr>
          <w:rFonts w:hint="eastAsia" w:ascii="仿宋_GB2312"/>
          <w:bCs/>
          <w:szCs w:val="28"/>
        </w:rPr>
        <w:t>0万元，未超过</w:t>
      </w:r>
      <w:r>
        <w:rPr>
          <w:rFonts w:ascii="仿宋_GB2312"/>
          <w:bCs/>
          <w:szCs w:val="28"/>
        </w:rPr>
        <w:t>预算</w:t>
      </w:r>
      <w:r>
        <w:rPr>
          <w:rFonts w:hint="eastAsia" w:ascii="仿宋_GB2312"/>
          <w:bCs/>
          <w:szCs w:val="28"/>
        </w:rPr>
        <w:t>。</w:t>
      </w:r>
    </w:p>
    <w:p w14:paraId="6FE8B634">
      <w:pPr>
        <w:spacing w:line="360" w:lineRule="auto"/>
        <w:ind w:firstLine="560"/>
        <w:rPr>
          <w:rFonts w:ascii="仿宋_GB2312"/>
          <w:bCs/>
          <w:szCs w:val="28"/>
        </w:rPr>
      </w:pPr>
      <w:r>
        <w:rPr>
          <w:rFonts w:hint="eastAsia" w:ascii="仿宋_GB2312"/>
          <w:bCs/>
          <w:szCs w:val="28"/>
        </w:rPr>
        <w:t>成本指标“总务后勤保障服务”的目标值是2753.14万元，</w:t>
      </w:r>
      <w:r>
        <w:rPr>
          <w:rFonts w:ascii="仿宋_GB2312"/>
          <w:bCs/>
          <w:szCs w:val="28"/>
        </w:rPr>
        <w:t>2023年度我单位实际完成</w:t>
      </w:r>
      <w:r>
        <w:rPr>
          <w:rFonts w:hint="eastAsia" w:ascii="仿宋_GB2312"/>
          <w:bCs/>
          <w:szCs w:val="28"/>
        </w:rPr>
        <w:t>848.47万元，未超过</w:t>
      </w:r>
      <w:r>
        <w:rPr>
          <w:rFonts w:ascii="仿宋_GB2312"/>
          <w:bCs/>
          <w:szCs w:val="28"/>
        </w:rPr>
        <w:t>预算</w:t>
      </w:r>
      <w:r>
        <w:rPr>
          <w:rFonts w:hint="eastAsia" w:ascii="仿宋_GB2312"/>
          <w:bCs/>
          <w:szCs w:val="28"/>
        </w:rPr>
        <w:t>。</w:t>
      </w:r>
    </w:p>
    <w:p w14:paraId="7593A09B">
      <w:pPr>
        <w:spacing w:line="360" w:lineRule="auto"/>
        <w:ind w:firstLine="560"/>
        <w:rPr>
          <w:rFonts w:ascii="仿宋_GB2312"/>
          <w:bCs/>
          <w:szCs w:val="28"/>
        </w:rPr>
      </w:pPr>
      <w:r>
        <w:rPr>
          <w:rFonts w:hint="eastAsia" w:ascii="仿宋_GB2312"/>
          <w:bCs/>
          <w:szCs w:val="28"/>
        </w:rPr>
        <w:t>实际支出</w:t>
      </w:r>
      <w:r>
        <w:rPr>
          <w:rFonts w:ascii="仿宋_GB2312"/>
          <w:bCs/>
          <w:szCs w:val="28"/>
        </w:rPr>
        <w:t xml:space="preserve"> </w:t>
      </w:r>
      <w:r>
        <w:rPr>
          <w:rFonts w:hint="eastAsia" w:ascii="仿宋_GB2312"/>
          <w:bCs/>
          <w:szCs w:val="28"/>
        </w:rPr>
        <w:t>997.72</w:t>
      </w:r>
      <w:r>
        <w:rPr>
          <w:rFonts w:ascii="仿宋_GB2312"/>
          <w:bCs/>
          <w:szCs w:val="28"/>
        </w:rPr>
        <w:t xml:space="preserve"> </w:t>
      </w:r>
      <w:r>
        <w:rPr>
          <w:rFonts w:hint="eastAsia" w:ascii="仿宋_GB2312"/>
          <w:bCs/>
          <w:szCs w:val="28"/>
        </w:rPr>
        <w:t>万元，无超支情况，项目资金部分未支付完成，原因是：</w:t>
      </w:r>
      <w:r>
        <w:rPr>
          <w:rFonts w:cs="Calibri"/>
          <w:bCs/>
          <w:szCs w:val="28"/>
        </w:rPr>
        <w:t>①</w:t>
      </w:r>
      <w:r>
        <w:rPr>
          <w:rFonts w:hint="eastAsia" w:ascii="仿宋_GB2312"/>
          <w:bCs/>
          <w:szCs w:val="28"/>
        </w:rPr>
        <w:t>部分采购项目经我院党委会研究不执行；</w:t>
      </w:r>
      <w:r>
        <w:rPr>
          <w:rFonts w:cs="Calibri"/>
          <w:bCs/>
          <w:szCs w:val="28"/>
        </w:rPr>
        <w:t>②</w:t>
      </w:r>
      <w:r>
        <w:rPr>
          <w:rFonts w:hint="eastAsia" w:ascii="仿宋_GB2312"/>
          <w:bCs/>
          <w:szCs w:val="28"/>
        </w:rPr>
        <w:t>部分采购项目采购周期长，采购流程未走完，尚未到支付环节。</w:t>
      </w:r>
    </w:p>
    <w:p w14:paraId="583D6CCA">
      <w:pPr>
        <w:spacing w:line="360" w:lineRule="auto"/>
        <w:ind w:firstLine="562"/>
        <w:rPr>
          <w:rFonts w:ascii="仿宋_GB2312"/>
          <w:b/>
          <w:bCs/>
          <w:szCs w:val="28"/>
        </w:rPr>
      </w:pPr>
      <w:r>
        <w:rPr>
          <w:rFonts w:hint="eastAsia" w:ascii="仿宋_GB2312"/>
          <w:b/>
          <w:bCs/>
          <w:szCs w:val="28"/>
        </w:rPr>
        <w:t>实际完成率：</w:t>
      </w:r>
      <w:r>
        <w:rPr>
          <w:rFonts w:ascii="仿宋_GB2312"/>
          <w:szCs w:val="28"/>
        </w:rPr>
        <w:t>100</w:t>
      </w:r>
      <w:r>
        <w:rPr>
          <w:rFonts w:hint="eastAsia" w:ascii="仿宋_GB2312"/>
          <w:szCs w:val="28"/>
        </w:rPr>
        <w:t>%，故实际完成率得分为</w:t>
      </w:r>
      <w:r>
        <w:rPr>
          <w:rFonts w:ascii="仿宋_GB2312"/>
          <w:szCs w:val="28"/>
        </w:rPr>
        <w:t>5</w:t>
      </w:r>
      <w:r>
        <w:rPr>
          <w:rFonts w:hint="eastAsia" w:ascii="仿宋_GB2312"/>
          <w:szCs w:val="28"/>
        </w:rPr>
        <w:t>分。</w:t>
      </w:r>
    </w:p>
    <w:p w14:paraId="7CBC5FA8">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综上，该部分指标满分</w:t>
      </w:r>
      <w:r>
        <w:rPr>
          <w:rFonts w:ascii="仿宋_GB2312" w:hAnsi="仿宋" w:cs="宋体"/>
          <w:b/>
          <w:kern w:val="0"/>
          <w:szCs w:val="28"/>
        </w:rPr>
        <w:t>40</w:t>
      </w:r>
      <w:r>
        <w:rPr>
          <w:rFonts w:hint="eastAsia" w:ascii="仿宋_GB2312" w:hAnsi="仿宋" w:cs="宋体"/>
          <w:b/>
          <w:kern w:val="0"/>
          <w:szCs w:val="28"/>
        </w:rPr>
        <w:t>分，得分</w:t>
      </w:r>
      <w:r>
        <w:rPr>
          <w:rFonts w:ascii="仿宋_GB2312"/>
          <w:szCs w:val="28"/>
        </w:rPr>
        <w:t>35.56</w:t>
      </w:r>
      <w:r>
        <w:rPr>
          <w:rFonts w:hint="eastAsia" w:ascii="仿宋_GB2312" w:hAnsi="仿宋" w:cs="宋体"/>
          <w:b/>
          <w:kern w:val="0"/>
          <w:szCs w:val="28"/>
        </w:rPr>
        <w:t>分。</w:t>
      </w:r>
    </w:p>
    <w:p w14:paraId="4CB458E7">
      <w:pPr>
        <w:pStyle w:val="3"/>
        <w:ind w:firstLine="643"/>
        <w:rPr>
          <w:rFonts w:ascii="仿宋" w:hAnsi="仿宋" w:eastAsia="仿宋"/>
          <w:lang w:bidi="en-US"/>
        </w:rPr>
      </w:pPr>
      <w:bookmarkStart w:id="51" w:name="_Toc165277253"/>
      <w:bookmarkStart w:id="52" w:name="_Toc67911615"/>
      <w:r>
        <w:rPr>
          <w:rFonts w:hint="eastAsia" w:ascii="仿宋" w:hAnsi="仿宋" w:eastAsia="仿宋"/>
          <w:lang w:bidi="en-US"/>
        </w:rPr>
        <w:t>（四）项目效益情况</w:t>
      </w:r>
      <w:bookmarkEnd w:id="51"/>
      <w:bookmarkEnd w:id="52"/>
    </w:p>
    <w:p w14:paraId="3C6E1E1C">
      <w:pPr>
        <w:spacing w:line="360" w:lineRule="auto"/>
        <w:ind w:firstLine="560"/>
        <w:rPr>
          <w:rFonts w:ascii="仿宋_GB2312"/>
          <w:szCs w:val="28"/>
        </w:rPr>
      </w:pPr>
      <w:r>
        <w:rPr>
          <w:rFonts w:hint="eastAsia" w:ascii="仿宋_GB2312"/>
          <w:szCs w:val="28"/>
        </w:rPr>
        <w:t>项目效益指标由</w:t>
      </w:r>
      <w:r>
        <w:rPr>
          <w:rFonts w:ascii="仿宋_GB2312"/>
          <w:szCs w:val="28"/>
        </w:rPr>
        <w:t>2</w:t>
      </w:r>
      <w:r>
        <w:rPr>
          <w:rFonts w:hint="eastAsia" w:ascii="仿宋_GB2312"/>
          <w:szCs w:val="28"/>
        </w:rPr>
        <w:t>个二级指标和</w:t>
      </w:r>
      <w:r>
        <w:rPr>
          <w:rFonts w:ascii="仿宋_GB2312"/>
          <w:szCs w:val="28"/>
        </w:rPr>
        <w:t>2</w:t>
      </w:r>
      <w:r>
        <w:rPr>
          <w:rFonts w:hint="eastAsia" w:ascii="仿宋_GB2312"/>
          <w:szCs w:val="28"/>
        </w:rPr>
        <w:t>个三级指标构成，权重为</w:t>
      </w:r>
      <w:r>
        <w:rPr>
          <w:rFonts w:ascii="仿宋_GB2312"/>
          <w:szCs w:val="28"/>
        </w:rPr>
        <w:t>2</w:t>
      </w:r>
      <w:r>
        <w:rPr>
          <w:rFonts w:hint="eastAsia" w:ascii="仿宋_GB2312"/>
          <w:szCs w:val="28"/>
        </w:rPr>
        <w:t>0分，实际得分</w:t>
      </w:r>
      <w:r>
        <w:rPr>
          <w:rFonts w:ascii="仿宋_GB2312"/>
          <w:szCs w:val="28"/>
        </w:rPr>
        <w:t>2</w:t>
      </w:r>
      <w:r>
        <w:rPr>
          <w:rFonts w:hint="eastAsia" w:ascii="仿宋_GB2312"/>
          <w:szCs w:val="28"/>
        </w:rPr>
        <w:t>0分。</w:t>
      </w:r>
      <w:r>
        <w:rPr>
          <w:rFonts w:ascii="仿宋_GB2312"/>
          <w:szCs w:val="28"/>
        </w:rPr>
        <w:t xml:space="preserve"> </w:t>
      </w:r>
    </w:p>
    <w:p w14:paraId="1F83E11A">
      <w:pPr>
        <w:pStyle w:val="4"/>
        <w:ind w:firstLine="643"/>
      </w:pPr>
      <w:bookmarkStart w:id="53" w:name="_Toc165277254"/>
      <w:r>
        <w:rPr>
          <w:rFonts w:hint="eastAsia"/>
        </w:rPr>
        <w:t>1</w:t>
      </w:r>
      <w:r>
        <w:t>.</w:t>
      </w:r>
      <w:r>
        <w:rPr>
          <w:rFonts w:hint="eastAsia"/>
        </w:rPr>
        <w:t>项目效益</w:t>
      </w:r>
      <w:bookmarkEnd w:id="53"/>
    </w:p>
    <w:p w14:paraId="3979A4C1">
      <w:pPr>
        <w:spacing w:line="360" w:lineRule="auto"/>
        <w:ind w:firstLine="562"/>
        <w:rPr>
          <w:rFonts w:ascii="仿宋_GB2312"/>
          <w:b/>
          <w:bCs/>
          <w:szCs w:val="28"/>
        </w:rPr>
      </w:pPr>
      <w:r>
        <w:rPr>
          <w:rFonts w:hint="eastAsia" w:ascii="仿宋_GB2312"/>
          <w:b/>
          <w:bCs/>
          <w:szCs w:val="28"/>
        </w:rPr>
        <w:t>（1）实施效益</w:t>
      </w:r>
    </w:p>
    <w:p w14:paraId="2892CD00">
      <w:pPr>
        <w:spacing w:line="360" w:lineRule="auto"/>
        <w:ind w:firstLine="562"/>
        <w:rPr>
          <w:rFonts w:ascii="仿宋_GB2312"/>
          <w:szCs w:val="28"/>
        </w:rPr>
      </w:pPr>
      <w:r>
        <w:rPr>
          <w:rFonts w:hint="eastAsia" w:ascii="仿宋_GB2312"/>
          <w:b/>
          <w:bCs/>
          <w:szCs w:val="28"/>
        </w:rPr>
        <w:t>经济效益指标：</w:t>
      </w:r>
      <w:r>
        <w:rPr>
          <w:rFonts w:hint="eastAsia" w:ascii="仿宋_GB2312"/>
          <w:szCs w:val="28"/>
        </w:rPr>
        <w:t>不适用。</w:t>
      </w:r>
      <w:r>
        <w:rPr>
          <w:rFonts w:ascii="仿宋_GB2312"/>
          <w:szCs w:val="28"/>
        </w:rPr>
        <w:t xml:space="preserve"> </w:t>
      </w:r>
    </w:p>
    <w:p w14:paraId="43098AF3">
      <w:pPr>
        <w:spacing w:line="360" w:lineRule="auto"/>
        <w:ind w:firstLine="562"/>
        <w:rPr>
          <w:rFonts w:ascii="仿宋_GB2312" w:hAnsi="仿宋"/>
          <w:szCs w:val="28"/>
        </w:rPr>
      </w:pPr>
      <w:r>
        <w:rPr>
          <w:rFonts w:hint="eastAsia" w:ascii="仿宋_GB2312"/>
          <w:b/>
          <w:bCs/>
          <w:szCs w:val="28"/>
        </w:rPr>
        <w:t>社会效益指标</w:t>
      </w:r>
      <w:r>
        <w:rPr>
          <w:rFonts w:hint="eastAsia" w:ascii="仿宋_GB2312"/>
          <w:szCs w:val="28"/>
        </w:rPr>
        <w:t>：评价指标“提高服务质量”指标值：完全达到预期，实际完成值：达成年度指标。本项目的实施</w:t>
      </w:r>
      <w:r>
        <w:rPr>
          <w:rFonts w:hint="eastAsia" w:ascii="仿宋_GB2312" w:hAnsi="仿宋"/>
          <w:szCs w:val="28"/>
        </w:rPr>
        <w:t>通过采购先进的医疗设备、信息化建设的提高，不断提升医疗服务水平，通过不断提高</w:t>
      </w:r>
      <w:r>
        <w:rPr>
          <w:rFonts w:ascii="仿宋_GB2312" w:hAnsi="仿宋"/>
          <w:szCs w:val="28"/>
        </w:rPr>
        <w:t>总务后勤保障服务</w:t>
      </w:r>
      <w:r>
        <w:rPr>
          <w:rFonts w:hint="eastAsia" w:ascii="仿宋_GB2312" w:hAnsi="仿宋"/>
          <w:szCs w:val="28"/>
        </w:rPr>
        <w:t>，改善就医环境，从而提升医院品牌形象，服务于广大患者，提高患者满意度。</w:t>
      </w:r>
    </w:p>
    <w:p w14:paraId="29E6D743">
      <w:pPr>
        <w:spacing w:line="360" w:lineRule="auto"/>
        <w:ind w:firstLine="560"/>
        <w:rPr>
          <w:rFonts w:ascii="仿宋_GB2312"/>
          <w:szCs w:val="28"/>
        </w:rPr>
      </w:pPr>
    </w:p>
    <w:p w14:paraId="4C4AC5FC">
      <w:pPr>
        <w:spacing w:line="360" w:lineRule="auto"/>
        <w:ind w:firstLine="562"/>
        <w:rPr>
          <w:rFonts w:ascii="仿宋_GB2312"/>
          <w:szCs w:val="28"/>
        </w:rPr>
      </w:pPr>
      <w:r>
        <w:rPr>
          <w:rFonts w:hint="eastAsia" w:ascii="仿宋_GB2312"/>
          <w:b/>
          <w:bCs/>
          <w:szCs w:val="28"/>
        </w:rPr>
        <w:t>生态效益指标</w:t>
      </w:r>
      <w:r>
        <w:rPr>
          <w:rFonts w:hint="eastAsia" w:ascii="仿宋_GB2312"/>
          <w:szCs w:val="28"/>
        </w:rPr>
        <w:t>：不适用。</w:t>
      </w:r>
    </w:p>
    <w:p w14:paraId="322E3FDC">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综上，该指标满分10分，得分10分。</w:t>
      </w:r>
    </w:p>
    <w:p w14:paraId="4EA61ED4">
      <w:pPr>
        <w:pStyle w:val="4"/>
        <w:ind w:firstLine="643"/>
      </w:pPr>
      <w:bookmarkStart w:id="54" w:name="_Toc165277255"/>
      <w:r>
        <w:t>2. 满意度指标完成情况分析</w:t>
      </w:r>
      <w:bookmarkEnd w:id="54"/>
    </w:p>
    <w:p w14:paraId="553FA5E0">
      <w:pPr>
        <w:spacing w:line="360" w:lineRule="auto"/>
        <w:ind w:firstLine="562"/>
        <w:rPr>
          <w:rFonts w:ascii="仿宋_GB2312"/>
          <w:b/>
          <w:bCs/>
          <w:szCs w:val="28"/>
        </w:rPr>
      </w:pPr>
      <w:r>
        <w:rPr>
          <w:rFonts w:hint="eastAsia" w:ascii="仿宋_GB2312"/>
          <w:b/>
          <w:bCs/>
          <w:szCs w:val="28"/>
        </w:rPr>
        <w:t>（</w:t>
      </w:r>
      <w:r>
        <w:rPr>
          <w:rFonts w:ascii="仿宋_GB2312"/>
          <w:b/>
          <w:bCs/>
          <w:szCs w:val="28"/>
        </w:rPr>
        <w:t>1</w:t>
      </w:r>
      <w:r>
        <w:rPr>
          <w:rFonts w:hint="eastAsia" w:ascii="仿宋_GB2312"/>
          <w:b/>
          <w:bCs/>
          <w:szCs w:val="28"/>
        </w:rPr>
        <w:t>）满意度指标</w:t>
      </w:r>
    </w:p>
    <w:p w14:paraId="7F8D7E78">
      <w:pPr>
        <w:spacing w:line="360" w:lineRule="auto"/>
        <w:ind w:firstLine="560"/>
        <w:rPr>
          <w:rFonts w:ascii="仿宋_GB2312"/>
          <w:szCs w:val="28"/>
        </w:rPr>
      </w:pPr>
      <w:r>
        <w:rPr>
          <w:rFonts w:hint="eastAsia" w:ascii="仿宋_GB2312"/>
          <w:szCs w:val="28"/>
        </w:rPr>
        <w:t>评价指标“患者满意度”指标值：</w:t>
      </w:r>
      <w:r>
        <w:rPr>
          <w:rFonts w:hint="eastAsia" w:ascii="华文宋体" w:hAnsi="华文宋体" w:eastAsia="华文宋体"/>
          <w:szCs w:val="28"/>
        </w:rPr>
        <w:t>≥</w:t>
      </w:r>
      <w:r>
        <w:rPr>
          <w:rFonts w:hint="eastAsia" w:ascii="仿宋_GB2312" w:eastAsia="华文宋体"/>
          <w:szCs w:val="28"/>
        </w:rPr>
        <w:t>95</w:t>
      </w:r>
      <w:r>
        <w:rPr>
          <w:rFonts w:hint="eastAsia" w:ascii="仿宋_GB2312"/>
          <w:szCs w:val="28"/>
        </w:rPr>
        <w:t>%，实际完成值：</w:t>
      </w:r>
      <w:r>
        <w:rPr>
          <w:rFonts w:hint="eastAsia" w:ascii="华文宋体" w:hAnsi="华文宋体" w:eastAsia="华文宋体"/>
          <w:szCs w:val="28"/>
        </w:rPr>
        <w:t>≥</w:t>
      </w:r>
      <w:r>
        <w:rPr>
          <w:rFonts w:hint="eastAsia" w:ascii="仿宋_GB2312" w:eastAsia="华文宋体"/>
          <w:szCs w:val="28"/>
        </w:rPr>
        <w:t>98.61</w:t>
      </w:r>
      <w:r>
        <w:rPr>
          <w:rFonts w:hint="eastAsia" w:ascii="仿宋_GB2312"/>
          <w:szCs w:val="28"/>
        </w:rPr>
        <w:t>%。通过设置问卷调查的方式进行考评评价，我院患者通过手机扫二维码在《问卷星》上填写《患者满意度表》。每月由门诊部汇总门诊患者满意度和住院患者满意度。此次填报取2023年4月至12月系统数据（2023年1-3月未上线）。其中，统计“患者满意度”的平均值为98.61%。故满意度指标得分为10分。</w:t>
      </w:r>
    </w:p>
    <w:p w14:paraId="0C428652">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分，得分10分。</w:t>
      </w:r>
    </w:p>
    <w:p w14:paraId="5A11DE2F">
      <w:pPr>
        <w:pStyle w:val="2"/>
        <w:ind w:firstLine="0" w:firstLineChars="0"/>
        <w:jc w:val="left"/>
        <w:rPr>
          <w:rFonts w:ascii="仿宋" w:hAnsi="仿宋" w:eastAsia="仿宋"/>
          <w:sz w:val="36"/>
          <w:szCs w:val="36"/>
          <w:lang w:bidi="en-US"/>
        </w:rPr>
      </w:pPr>
      <w:bookmarkStart w:id="55" w:name="_Toc165277256"/>
      <w:bookmarkStart w:id="56" w:name="_Toc67911617"/>
      <w:r>
        <w:rPr>
          <w:rFonts w:hint="eastAsia" w:ascii="仿宋" w:hAnsi="仿宋" w:eastAsia="仿宋"/>
          <w:sz w:val="36"/>
          <w:szCs w:val="36"/>
          <w:lang w:bidi="en-US"/>
        </w:rPr>
        <w:t>五、主要经验及做法、存在的问题及原因分析</w:t>
      </w:r>
      <w:bookmarkEnd w:id="55"/>
      <w:bookmarkEnd w:id="56"/>
    </w:p>
    <w:p w14:paraId="14EDC655">
      <w:pPr>
        <w:pStyle w:val="3"/>
        <w:ind w:firstLine="643"/>
        <w:rPr>
          <w:rFonts w:ascii="仿宋" w:hAnsi="仿宋" w:eastAsia="仿宋"/>
          <w:lang w:bidi="en-US"/>
        </w:rPr>
      </w:pPr>
      <w:bookmarkStart w:id="57" w:name="_Toc67911618"/>
      <w:bookmarkStart w:id="58" w:name="_Toc165277257"/>
      <w:r>
        <w:rPr>
          <w:rFonts w:hint="eastAsia" w:ascii="仿宋" w:hAnsi="仿宋" w:eastAsia="仿宋"/>
          <w:lang w:bidi="en-US"/>
        </w:rPr>
        <w:t>（一）主要经验及做法</w:t>
      </w:r>
      <w:bookmarkEnd w:id="57"/>
      <w:bookmarkEnd w:id="58"/>
    </w:p>
    <w:p w14:paraId="1C938347">
      <w:pPr>
        <w:autoSpaceDE w:val="0"/>
        <w:spacing w:line="600" w:lineRule="exact"/>
        <w:ind w:firstLine="562"/>
        <w:rPr>
          <w:rFonts w:ascii="仿宋_GB2312"/>
          <w:szCs w:val="28"/>
        </w:rPr>
      </w:pPr>
      <w:r>
        <w:rPr>
          <w:rFonts w:hint="eastAsia" w:ascii="仿宋_GB2312" w:hAnsi="仿宋" w:cs="宋体"/>
          <w:b/>
          <w:kern w:val="0"/>
          <w:szCs w:val="28"/>
        </w:rPr>
        <w:t>1</w:t>
      </w:r>
      <w:bookmarkStart w:id="59" w:name="_Toc165277258"/>
      <w:r>
        <w:rPr>
          <w:rStyle w:val="20"/>
          <w:rFonts w:hint="eastAsia"/>
        </w:rPr>
        <w:t>.</w:t>
      </w:r>
      <w:r>
        <w:rPr>
          <w:rFonts w:hint="eastAsia" w:ascii="仿宋_GB2312"/>
          <w:szCs w:val="28"/>
        </w:rPr>
        <w:t>为保障医院医疗业务正常运转，持续提高医疗技术服务水平，医院根据2022年实际情况及2023年医院医疗事业发展需要，采取一上一下编制办法，由相关科室提出采购预算，根据医院发展需要，按轻重缓急合理制定此政府采购预算项目。经过设备委员会、信息委员会、科学技术委员会、预算委员会研究讨论通过，并经过院党委会集体决策，同意进行该项目申报。本项目自2023年卫</w:t>
      </w:r>
      <w:r>
        <w:rPr>
          <w:rFonts w:hint="eastAsia" w:ascii="仿宋_GB2312"/>
        </w:rPr>
        <w:t>健委所属单位预算的批复</w:t>
      </w:r>
      <w:r>
        <w:rPr>
          <w:rFonts w:hint="eastAsia" w:ascii="仿宋_GB2312"/>
          <w:szCs w:val="28"/>
        </w:rPr>
        <w:t>下达后，各职能科室按预算批复执行此项目，定期召开预算委员会，并将预算执行结果定期通报，查找预算执行率低的原因，督促各相关科室加快预算执行速度。此项目为政府采购业务，采购项目为医疗设备购置、信息网络及软件购置、办公设备购置及总务后勤保障服务等。通过采购先进的医疗设备、信息化建设的提高，不断提升医疗服务水平，通过不断提高</w:t>
      </w:r>
      <w:r>
        <w:rPr>
          <w:rFonts w:ascii="仿宋_GB2312"/>
          <w:szCs w:val="28"/>
        </w:rPr>
        <w:t>总务后勤保障服务</w:t>
      </w:r>
      <w:r>
        <w:rPr>
          <w:rFonts w:hint="eastAsia" w:ascii="仿宋_GB2312"/>
          <w:szCs w:val="28"/>
        </w:rPr>
        <w:t>，改善就医环境，从而提升医院品牌形象，服务于广大患者，提高患者满意度。</w:t>
      </w:r>
    </w:p>
    <w:p w14:paraId="3991D65D">
      <w:pPr>
        <w:pStyle w:val="3"/>
        <w:ind w:firstLine="643"/>
        <w:rPr>
          <w:rFonts w:ascii="仿宋" w:hAnsi="仿宋" w:eastAsia="仿宋"/>
          <w:lang w:bidi="en-US"/>
        </w:rPr>
      </w:pPr>
      <w:r>
        <w:rPr>
          <w:rFonts w:hint="eastAsia" w:ascii="仿宋" w:hAnsi="仿宋" w:eastAsia="仿宋"/>
          <w:lang w:bidi="en-US"/>
        </w:rPr>
        <w:t>（二）存在的问题及原因分析</w:t>
      </w:r>
      <w:bookmarkEnd w:id="59"/>
    </w:p>
    <w:p w14:paraId="16A14C5F">
      <w:pPr>
        <w:spacing w:line="360" w:lineRule="auto"/>
        <w:ind w:firstLine="560"/>
        <w:rPr>
          <w:rFonts w:ascii="仿宋_GB2312"/>
          <w:szCs w:val="28"/>
        </w:rPr>
      </w:pPr>
      <w:bookmarkStart w:id="60" w:name="_Toc67911620"/>
      <w:bookmarkStart w:id="61" w:name="_Toc165277259"/>
      <w:bookmarkStart w:id="62" w:name="_Toc67911619"/>
      <w:r>
        <w:rPr>
          <w:rFonts w:hint="eastAsia" w:ascii="仿宋_GB2312"/>
          <w:szCs w:val="28"/>
        </w:rPr>
        <w:t>该项目属于单位经常性项目，依据医院院主要职能和医疗业务发展方向编制该项目内容，包括医疗设备的购置、信息网络及软件的购置、办公设备的购置及总务后勤保障服务的采购，采购项目涉及货物、服务、工程等方面，项目综合性较强，采购过程流程繁琐，涉及需要协同部门较多，项目耗时较长。又因存在服务周期与会计年度不一致的服务合同，故部分业务未在项目当年完成支付。</w:t>
      </w:r>
    </w:p>
    <w:p w14:paraId="521D650D">
      <w:pPr>
        <w:spacing w:line="360" w:lineRule="auto"/>
        <w:ind w:firstLine="560"/>
        <w:rPr>
          <w:rFonts w:ascii="仿宋_GB2312"/>
          <w:szCs w:val="28"/>
        </w:rPr>
      </w:pPr>
    </w:p>
    <w:p w14:paraId="4903D638">
      <w:pPr>
        <w:pStyle w:val="2"/>
        <w:ind w:firstLine="0" w:firstLineChars="0"/>
        <w:jc w:val="left"/>
        <w:rPr>
          <w:rFonts w:ascii="仿宋" w:hAnsi="仿宋" w:eastAsia="仿宋"/>
          <w:sz w:val="36"/>
          <w:szCs w:val="36"/>
          <w:lang w:bidi="en-US"/>
        </w:rPr>
      </w:pPr>
      <w:r>
        <w:rPr>
          <w:rFonts w:hint="eastAsia" w:ascii="仿宋" w:hAnsi="仿宋" w:eastAsia="仿宋"/>
          <w:sz w:val="36"/>
          <w:szCs w:val="36"/>
          <w:lang w:bidi="en-US"/>
        </w:rPr>
        <w:t>六、有关建议</w:t>
      </w:r>
    </w:p>
    <w:bookmarkEnd w:id="60"/>
    <w:bookmarkEnd w:id="61"/>
    <w:p w14:paraId="668692F3">
      <w:pPr>
        <w:spacing w:line="360" w:lineRule="auto"/>
        <w:ind w:firstLine="0" w:firstLineChars="0"/>
        <w:rPr>
          <w:rFonts w:ascii="仿宋_GB2312"/>
          <w:szCs w:val="28"/>
        </w:rPr>
      </w:pPr>
      <w:r>
        <w:rPr>
          <w:rFonts w:hint="eastAsia" w:ascii="仿宋" w:hAnsi="仿宋" w:eastAsia="仿宋"/>
          <w:sz w:val="36"/>
          <w:szCs w:val="36"/>
          <w:lang w:bidi="en-US"/>
        </w:rPr>
        <w:t xml:space="preserve">  </w:t>
      </w:r>
      <w:r>
        <w:rPr>
          <w:rFonts w:hint="eastAsia" w:ascii="仿宋_GB2312"/>
          <w:szCs w:val="28"/>
        </w:rPr>
        <w:t xml:space="preserve"> 1、完善预算编制的组织管理体制，正确把握预算编制有关政策，确保预算编制相关人员及时掌握相关规定，落实内部各部门的编制责任和相关部门的审核责任，建立部门之间沟通协调和资源共享机制。</w:t>
      </w:r>
    </w:p>
    <w:p w14:paraId="06BF2F51">
      <w:pPr>
        <w:spacing w:line="360" w:lineRule="auto"/>
        <w:ind w:firstLine="560"/>
        <w:rPr>
          <w:rFonts w:ascii="仿宋_GB2312"/>
          <w:szCs w:val="28"/>
        </w:rPr>
      </w:pPr>
      <w:r>
        <w:rPr>
          <w:rFonts w:hint="eastAsia" w:ascii="仿宋_GB2312"/>
          <w:szCs w:val="28"/>
        </w:rPr>
        <w:t>2、今后医院将逐步建立绩效运行跟踪机制，定期采集绩效运行信息并汇总分析，对绩效目标的运行情况进行跟踪管理和督促检查，保障绩效目标的顺利实现。</w:t>
      </w:r>
    </w:p>
    <w:p w14:paraId="490F3225">
      <w:pPr>
        <w:pStyle w:val="2"/>
        <w:ind w:firstLine="0" w:firstLineChars="0"/>
        <w:jc w:val="left"/>
        <w:rPr>
          <w:rFonts w:ascii="仿宋" w:hAnsi="仿宋" w:eastAsia="仿宋"/>
          <w:sz w:val="36"/>
          <w:szCs w:val="36"/>
          <w:lang w:bidi="en-US"/>
        </w:rPr>
      </w:pPr>
      <w:bookmarkStart w:id="63" w:name="_Toc165277260"/>
      <w:r>
        <w:rPr>
          <w:rFonts w:hint="eastAsia" w:ascii="仿宋" w:hAnsi="仿宋" w:eastAsia="仿宋"/>
          <w:sz w:val="36"/>
          <w:szCs w:val="36"/>
          <w:lang w:bidi="en-US"/>
        </w:rPr>
        <w:t>七、其他需要说明的问题</w:t>
      </w:r>
      <w:bookmarkEnd w:id="62"/>
      <w:bookmarkEnd w:id="63"/>
    </w:p>
    <w:p w14:paraId="181521B7">
      <w:pPr>
        <w:spacing w:line="360" w:lineRule="auto"/>
        <w:ind w:firstLine="560"/>
        <w:rPr>
          <w:rFonts w:ascii="仿宋_GB2312"/>
          <w:szCs w:val="28"/>
        </w:rPr>
      </w:pPr>
      <w:r>
        <w:rPr>
          <w:rFonts w:hint="eastAsia" w:ascii="仿宋_GB2312"/>
          <w:szCs w:val="28"/>
        </w:rPr>
        <w:t>无</w:t>
      </w:r>
    </w:p>
    <w:p w14:paraId="4F89B9EA">
      <w:pPr>
        <w:spacing w:line="360" w:lineRule="auto"/>
        <w:ind w:firstLine="560"/>
        <w:rPr>
          <w:rFonts w:ascii="仿宋_GB2312"/>
          <w:szCs w:val="28"/>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Gungsuh">
    <w:altName w:val="Malgun Gothic"/>
    <w:panose1 w:val="02030600000101010101"/>
    <w:charset w:val="81"/>
    <w:family w:val="roman"/>
    <w:pitch w:val="default"/>
    <w:sig w:usb0="00000000" w:usb1="00000000" w:usb2="00000030" w:usb3="00000000" w:csb0="4008009F" w:csb1="DFD70000"/>
  </w:font>
  <w:font w:name="华文宋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8262A0">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3C27CB">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BBDEB">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14:paraId="6C5EE85E">
        <w:pPr>
          <w:pStyle w:val="10"/>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15</w:t>
        </w:r>
        <w:r>
          <w:rPr>
            <w:rFonts w:hint="eastAsia" w:ascii="仿宋_GB2312" w:eastAsia="仿宋_GB2312"/>
            <w:sz w:val="21"/>
            <w:szCs w:val="21"/>
          </w:rPr>
          <w:fldChar w:fldCharType="end"/>
        </w:r>
      </w:p>
    </w:sdtContent>
  </w:sdt>
  <w:p w14:paraId="7AB4E7EB">
    <w:pPr>
      <w:pStyle w:val="10"/>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ascii="仿宋_GB2312" w:eastAsia="仿宋_GB2312"/>
        <w:sz w:val="21"/>
        <w:szCs w:val="21"/>
      </w:rPr>
    </w:sdtEndPr>
    <w:sdtContent>
      <w:p w14:paraId="46CAE1B9">
        <w:pPr>
          <w:pStyle w:val="10"/>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30</w:t>
        </w:r>
        <w:r>
          <w:rPr>
            <w:rFonts w:hint="eastAsia" w:ascii="仿宋_GB2312" w:eastAsia="仿宋_GB2312"/>
            <w:sz w:val="21"/>
            <w:szCs w:val="21"/>
          </w:rPr>
          <w:fldChar w:fldCharType="end"/>
        </w:r>
      </w:p>
    </w:sdtContent>
  </w:sdt>
  <w:p w14:paraId="1BE096A0">
    <w:pPr>
      <w:pStyle w:val="10"/>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14:paraId="03D49944">
      <w:pPr>
        <w:pStyle w:val="13"/>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181137B5">
      <w:pPr>
        <w:pStyle w:val="13"/>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57011A">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A3484">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C1F016">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CA6BCE">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262C9">
    <w:pPr>
      <w:pStyle w:val="11"/>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2"/>
  <w:displayBackgroundShape w:val="1"/>
  <w:documentProtection w:enforcement="0"/>
  <w:defaultTabStop w:val="420"/>
  <w:drawingGridHorizontalSpacing w:val="140"/>
  <w:drawingGridVerticalSpacing w:val="38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E1ZDY0MDI5MTE3YjM0ZGMyMzg4N2EwMDI4ZjJiM2YifQ=="/>
  </w:docVars>
  <w:rsids>
    <w:rsidRoot w:val="00A43A0A"/>
    <w:rsid w:val="0000083D"/>
    <w:rsid w:val="00031A7F"/>
    <w:rsid w:val="00042151"/>
    <w:rsid w:val="000438A0"/>
    <w:rsid w:val="00044956"/>
    <w:rsid w:val="0007002C"/>
    <w:rsid w:val="00071C0F"/>
    <w:rsid w:val="00080A00"/>
    <w:rsid w:val="00086724"/>
    <w:rsid w:val="000A2B58"/>
    <w:rsid w:val="000A3E97"/>
    <w:rsid w:val="000A43E8"/>
    <w:rsid w:val="000B520E"/>
    <w:rsid w:val="000B5483"/>
    <w:rsid w:val="000B6FA0"/>
    <w:rsid w:val="000C22A1"/>
    <w:rsid w:val="000C720A"/>
    <w:rsid w:val="000C77D3"/>
    <w:rsid w:val="000E1EB5"/>
    <w:rsid w:val="000F5DE3"/>
    <w:rsid w:val="00111969"/>
    <w:rsid w:val="001230AC"/>
    <w:rsid w:val="00147D9F"/>
    <w:rsid w:val="001544E6"/>
    <w:rsid w:val="001645EB"/>
    <w:rsid w:val="00187B13"/>
    <w:rsid w:val="001A3189"/>
    <w:rsid w:val="001A79B9"/>
    <w:rsid w:val="001C50BA"/>
    <w:rsid w:val="001D66B5"/>
    <w:rsid w:val="001E754D"/>
    <w:rsid w:val="001E7E9F"/>
    <w:rsid w:val="00201C55"/>
    <w:rsid w:val="002023D4"/>
    <w:rsid w:val="00212817"/>
    <w:rsid w:val="00213964"/>
    <w:rsid w:val="00220DC6"/>
    <w:rsid w:val="0022245F"/>
    <w:rsid w:val="0022294C"/>
    <w:rsid w:val="00225A82"/>
    <w:rsid w:val="002358F7"/>
    <w:rsid w:val="00247354"/>
    <w:rsid w:val="00250131"/>
    <w:rsid w:val="00261F2F"/>
    <w:rsid w:val="00262533"/>
    <w:rsid w:val="00262B75"/>
    <w:rsid w:val="002767C9"/>
    <w:rsid w:val="002810AA"/>
    <w:rsid w:val="002A6E59"/>
    <w:rsid w:val="002B7C09"/>
    <w:rsid w:val="002C63C6"/>
    <w:rsid w:val="002E1E67"/>
    <w:rsid w:val="002E608B"/>
    <w:rsid w:val="00302E15"/>
    <w:rsid w:val="0032183D"/>
    <w:rsid w:val="0032329D"/>
    <w:rsid w:val="00332C71"/>
    <w:rsid w:val="00333EA5"/>
    <w:rsid w:val="00340CED"/>
    <w:rsid w:val="00343485"/>
    <w:rsid w:val="00350839"/>
    <w:rsid w:val="0035163E"/>
    <w:rsid w:val="003578AD"/>
    <w:rsid w:val="003766AB"/>
    <w:rsid w:val="00377BA7"/>
    <w:rsid w:val="003A04ED"/>
    <w:rsid w:val="003C24DB"/>
    <w:rsid w:val="003C4BD9"/>
    <w:rsid w:val="003D611E"/>
    <w:rsid w:val="003D74DE"/>
    <w:rsid w:val="00404C10"/>
    <w:rsid w:val="004249EE"/>
    <w:rsid w:val="00425C1F"/>
    <w:rsid w:val="00434274"/>
    <w:rsid w:val="00437C39"/>
    <w:rsid w:val="00453D4B"/>
    <w:rsid w:val="00455A8C"/>
    <w:rsid w:val="0048142A"/>
    <w:rsid w:val="004925F6"/>
    <w:rsid w:val="004957B3"/>
    <w:rsid w:val="004957E8"/>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9582B"/>
    <w:rsid w:val="006B60FE"/>
    <w:rsid w:val="006C40AE"/>
    <w:rsid w:val="006E6431"/>
    <w:rsid w:val="006F3315"/>
    <w:rsid w:val="007027A1"/>
    <w:rsid w:val="00705854"/>
    <w:rsid w:val="00722A72"/>
    <w:rsid w:val="00724824"/>
    <w:rsid w:val="0073210F"/>
    <w:rsid w:val="00733402"/>
    <w:rsid w:val="0073417E"/>
    <w:rsid w:val="00743F96"/>
    <w:rsid w:val="0076734C"/>
    <w:rsid w:val="007762B5"/>
    <w:rsid w:val="0078063A"/>
    <w:rsid w:val="00783118"/>
    <w:rsid w:val="00794639"/>
    <w:rsid w:val="007A772C"/>
    <w:rsid w:val="007C3F63"/>
    <w:rsid w:val="007F185A"/>
    <w:rsid w:val="007F432F"/>
    <w:rsid w:val="007F6051"/>
    <w:rsid w:val="007F6745"/>
    <w:rsid w:val="007F77F3"/>
    <w:rsid w:val="008123C5"/>
    <w:rsid w:val="0081276A"/>
    <w:rsid w:val="00831695"/>
    <w:rsid w:val="008327EB"/>
    <w:rsid w:val="00835535"/>
    <w:rsid w:val="00845BE2"/>
    <w:rsid w:val="00863F65"/>
    <w:rsid w:val="0086464E"/>
    <w:rsid w:val="00866FB0"/>
    <w:rsid w:val="00884C5F"/>
    <w:rsid w:val="00894E2C"/>
    <w:rsid w:val="008A3394"/>
    <w:rsid w:val="008A476A"/>
    <w:rsid w:val="008C4803"/>
    <w:rsid w:val="008D08B2"/>
    <w:rsid w:val="008D3FFC"/>
    <w:rsid w:val="008D6D96"/>
    <w:rsid w:val="009068E0"/>
    <w:rsid w:val="00907B15"/>
    <w:rsid w:val="00917C57"/>
    <w:rsid w:val="009214DF"/>
    <w:rsid w:val="00923604"/>
    <w:rsid w:val="009258BD"/>
    <w:rsid w:val="00933961"/>
    <w:rsid w:val="00944EB3"/>
    <w:rsid w:val="009546FE"/>
    <w:rsid w:val="0095473C"/>
    <w:rsid w:val="00954936"/>
    <w:rsid w:val="00963948"/>
    <w:rsid w:val="009737F6"/>
    <w:rsid w:val="00980438"/>
    <w:rsid w:val="00981879"/>
    <w:rsid w:val="0098656D"/>
    <w:rsid w:val="00995079"/>
    <w:rsid w:val="00996B5B"/>
    <w:rsid w:val="009A33B6"/>
    <w:rsid w:val="009D4C5C"/>
    <w:rsid w:val="009F1224"/>
    <w:rsid w:val="009F55B0"/>
    <w:rsid w:val="00A00443"/>
    <w:rsid w:val="00A106CE"/>
    <w:rsid w:val="00A2064E"/>
    <w:rsid w:val="00A22963"/>
    <w:rsid w:val="00A2322E"/>
    <w:rsid w:val="00A425B1"/>
    <w:rsid w:val="00A43A0A"/>
    <w:rsid w:val="00A52E6C"/>
    <w:rsid w:val="00A52E72"/>
    <w:rsid w:val="00A675F9"/>
    <w:rsid w:val="00A92F9F"/>
    <w:rsid w:val="00A94E37"/>
    <w:rsid w:val="00AB7184"/>
    <w:rsid w:val="00AD5430"/>
    <w:rsid w:val="00AE1DCD"/>
    <w:rsid w:val="00AE6C31"/>
    <w:rsid w:val="00AE7148"/>
    <w:rsid w:val="00B22F6F"/>
    <w:rsid w:val="00B33073"/>
    <w:rsid w:val="00B373DD"/>
    <w:rsid w:val="00B4167E"/>
    <w:rsid w:val="00B56B1B"/>
    <w:rsid w:val="00B72218"/>
    <w:rsid w:val="00B7711A"/>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4F08"/>
    <w:rsid w:val="00D4562E"/>
    <w:rsid w:val="00D84293"/>
    <w:rsid w:val="00D9228E"/>
    <w:rsid w:val="00DA4BA7"/>
    <w:rsid w:val="00DB316E"/>
    <w:rsid w:val="00DC1EA8"/>
    <w:rsid w:val="00DD54BF"/>
    <w:rsid w:val="00DF643F"/>
    <w:rsid w:val="00E00202"/>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D47D3"/>
    <w:rsid w:val="00ED5F81"/>
    <w:rsid w:val="00EE20A2"/>
    <w:rsid w:val="00EF3B51"/>
    <w:rsid w:val="00F06D23"/>
    <w:rsid w:val="00F36E98"/>
    <w:rsid w:val="00F52C6D"/>
    <w:rsid w:val="00F55451"/>
    <w:rsid w:val="00F73710"/>
    <w:rsid w:val="00F872E7"/>
    <w:rsid w:val="00FA4373"/>
    <w:rsid w:val="00FB09C6"/>
    <w:rsid w:val="00FB2BBD"/>
    <w:rsid w:val="00FC17F5"/>
    <w:rsid w:val="00FD7A36"/>
    <w:rsid w:val="00FD7C5F"/>
    <w:rsid w:val="00FE193C"/>
    <w:rsid w:val="00FE7DCA"/>
    <w:rsid w:val="00FF0452"/>
    <w:rsid w:val="02CD1F13"/>
    <w:rsid w:val="03B86720"/>
    <w:rsid w:val="05AD779D"/>
    <w:rsid w:val="07A7781D"/>
    <w:rsid w:val="07C531B9"/>
    <w:rsid w:val="08701FAF"/>
    <w:rsid w:val="08B0797C"/>
    <w:rsid w:val="09861488"/>
    <w:rsid w:val="0C2C4A34"/>
    <w:rsid w:val="0D382050"/>
    <w:rsid w:val="0D692839"/>
    <w:rsid w:val="131B6A4E"/>
    <w:rsid w:val="13E23345"/>
    <w:rsid w:val="165E4AB8"/>
    <w:rsid w:val="1C5A3E89"/>
    <w:rsid w:val="1D411C70"/>
    <w:rsid w:val="22750350"/>
    <w:rsid w:val="2B52551C"/>
    <w:rsid w:val="2C2866FD"/>
    <w:rsid w:val="2D0D4B37"/>
    <w:rsid w:val="2D7B68A2"/>
    <w:rsid w:val="31F6203D"/>
    <w:rsid w:val="324D32EC"/>
    <w:rsid w:val="370627F3"/>
    <w:rsid w:val="3A3E08DA"/>
    <w:rsid w:val="3A824436"/>
    <w:rsid w:val="3B7A3CDF"/>
    <w:rsid w:val="3C8D2AFF"/>
    <w:rsid w:val="3DDF78AA"/>
    <w:rsid w:val="41413E0A"/>
    <w:rsid w:val="4221027C"/>
    <w:rsid w:val="447667CF"/>
    <w:rsid w:val="451A5BEB"/>
    <w:rsid w:val="46062C57"/>
    <w:rsid w:val="466510E8"/>
    <w:rsid w:val="476046D5"/>
    <w:rsid w:val="49926698"/>
    <w:rsid w:val="4B78366B"/>
    <w:rsid w:val="4C9B4FF5"/>
    <w:rsid w:val="4CE425A3"/>
    <w:rsid w:val="4E641DC7"/>
    <w:rsid w:val="4F732EB5"/>
    <w:rsid w:val="4FFF25AD"/>
    <w:rsid w:val="51085DAC"/>
    <w:rsid w:val="53B45F6A"/>
    <w:rsid w:val="55911EF9"/>
    <w:rsid w:val="57A04181"/>
    <w:rsid w:val="58EC73FA"/>
    <w:rsid w:val="5D670E7B"/>
    <w:rsid w:val="5E6F6B77"/>
    <w:rsid w:val="65B94B91"/>
    <w:rsid w:val="66A122DF"/>
    <w:rsid w:val="674D3EF9"/>
    <w:rsid w:val="67BD0F0D"/>
    <w:rsid w:val="68B57DB0"/>
    <w:rsid w:val="69A711A8"/>
    <w:rsid w:val="6A136D21"/>
    <w:rsid w:val="6AB22065"/>
    <w:rsid w:val="6CD429A0"/>
    <w:rsid w:val="6EF748C6"/>
    <w:rsid w:val="6F242D77"/>
    <w:rsid w:val="6FFE1AE2"/>
    <w:rsid w:val="72141711"/>
    <w:rsid w:val="725024B0"/>
    <w:rsid w:val="75E76FE3"/>
    <w:rsid w:val="77CA0635"/>
    <w:rsid w:val="77E517A1"/>
    <w:rsid w:val="788900D4"/>
    <w:rsid w:val="7A3962AE"/>
    <w:rsid w:val="7A577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autoRedefine/>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1"/>
    <w:autoRedefine/>
    <w:unhideWhenUsed/>
    <w:qFormat/>
    <w:uiPriority w:val="99"/>
    <w:pPr>
      <w:jc w:val="left"/>
    </w:pPr>
  </w:style>
  <w:style w:type="paragraph" w:styleId="6">
    <w:name w:val="Body Text"/>
    <w:basedOn w:val="1"/>
    <w:qFormat/>
    <w:uiPriority w:val="1"/>
    <w:pPr>
      <w:spacing w:before="33"/>
      <w:ind w:left="120" w:firstLine="640"/>
    </w:pPr>
    <w:rPr>
      <w:rFonts w:ascii="宋体" w:hAnsi="宋体" w:eastAsia="宋体" w:cs="宋体"/>
      <w:sz w:val="32"/>
      <w:szCs w:val="32"/>
    </w:rPr>
  </w:style>
  <w:style w:type="paragraph" w:styleId="7">
    <w:name w:val="toc 3"/>
    <w:basedOn w:val="1"/>
    <w:next w:val="1"/>
    <w:autoRedefine/>
    <w:unhideWhenUsed/>
    <w:qFormat/>
    <w:uiPriority w:val="39"/>
    <w:pPr>
      <w:ind w:left="840" w:leftChars="400"/>
    </w:pPr>
  </w:style>
  <w:style w:type="paragraph" w:styleId="8">
    <w:name w:val="Date"/>
    <w:basedOn w:val="1"/>
    <w:next w:val="1"/>
    <w:link w:val="24"/>
    <w:autoRedefine/>
    <w:semiHidden/>
    <w:unhideWhenUsed/>
    <w:qFormat/>
    <w:uiPriority w:val="99"/>
    <w:pPr>
      <w:ind w:left="100" w:leftChars="2500"/>
    </w:pPr>
  </w:style>
  <w:style w:type="paragraph" w:styleId="9">
    <w:name w:val="Balloon Text"/>
    <w:basedOn w:val="1"/>
    <w:link w:val="33"/>
    <w:autoRedefine/>
    <w:semiHidden/>
    <w:unhideWhenUsed/>
    <w:qFormat/>
    <w:uiPriority w:val="99"/>
    <w:rPr>
      <w:sz w:val="18"/>
      <w:szCs w:val="18"/>
    </w:rPr>
  </w:style>
  <w:style w:type="paragraph" w:styleId="10">
    <w:name w:val="footer"/>
    <w:basedOn w:val="1"/>
    <w:link w:val="23"/>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1">
    <w:name w:val="header"/>
    <w:basedOn w:val="1"/>
    <w:link w:val="22"/>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2">
    <w:name w:val="toc 1"/>
    <w:basedOn w:val="1"/>
    <w:next w:val="1"/>
    <w:autoRedefine/>
    <w:unhideWhenUsed/>
    <w:qFormat/>
    <w:uiPriority w:val="39"/>
  </w:style>
  <w:style w:type="paragraph" w:styleId="13">
    <w:name w:val="footnote text"/>
    <w:basedOn w:val="1"/>
    <w:link w:val="26"/>
    <w:autoRedefine/>
    <w:semiHidden/>
    <w:unhideWhenUsed/>
    <w:qFormat/>
    <w:uiPriority w:val="99"/>
    <w:pPr>
      <w:snapToGrid w:val="0"/>
      <w:jc w:val="left"/>
    </w:pPr>
    <w:rPr>
      <w:sz w:val="18"/>
      <w:szCs w:val="18"/>
    </w:rPr>
  </w:style>
  <w:style w:type="paragraph" w:styleId="14">
    <w:name w:val="toc 2"/>
    <w:basedOn w:val="1"/>
    <w:next w:val="1"/>
    <w:autoRedefine/>
    <w:unhideWhenUsed/>
    <w:qFormat/>
    <w:uiPriority w:val="39"/>
    <w:pPr>
      <w:ind w:left="420" w:leftChars="200"/>
    </w:pPr>
  </w:style>
  <w:style w:type="paragraph" w:styleId="15">
    <w:name w:val="annotation subject"/>
    <w:basedOn w:val="5"/>
    <w:next w:val="5"/>
    <w:link w:val="32"/>
    <w:autoRedefine/>
    <w:semiHidden/>
    <w:unhideWhenUsed/>
    <w:qFormat/>
    <w:uiPriority w:val="99"/>
    <w:rPr>
      <w:b/>
      <w:bCs/>
    </w:rPr>
  </w:style>
  <w:style w:type="table" w:styleId="17">
    <w:name w:val="Table Grid"/>
    <w:basedOn w:val="1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Hyperlink"/>
    <w:basedOn w:val="18"/>
    <w:autoRedefine/>
    <w:unhideWhenUsed/>
    <w:qFormat/>
    <w:uiPriority w:val="99"/>
    <w:rPr>
      <w:color w:val="0563C1" w:themeColor="hyperlink"/>
      <w:u w:val="single"/>
      <w14:textFill>
        <w14:solidFill>
          <w14:schemeClr w14:val="hlink"/>
        </w14:solidFill>
      </w14:textFill>
    </w:rPr>
  </w:style>
  <w:style w:type="character" w:styleId="20">
    <w:name w:val="annotation reference"/>
    <w:basedOn w:val="18"/>
    <w:autoRedefine/>
    <w:semiHidden/>
    <w:unhideWhenUsed/>
    <w:qFormat/>
    <w:uiPriority w:val="99"/>
    <w:rPr>
      <w:sz w:val="21"/>
      <w:szCs w:val="21"/>
    </w:rPr>
  </w:style>
  <w:style w:type="character" w:styleId="21">
    <w:name w:val="footnote reference"/>
    <w:basedOn w:val="18"/>
    <w:autoRedefine/>
    <w:semiHidden/>
    <w:unhideWhenUsed/>
    <w:qFormat/>
    <w:uiPriority w:val="99"/>
    <w:rPr>
      <w:vertAlign w:val="superscript"/>
    </w:rPr>
  </w:style>
  <w:style w:type="character" w:customStyle="1" w:styleId="22">
    <w:name w:val="页眉 Char"/>
    <w:basedOn w:val="18"/>
    <w:link w:val="11"/>
    <w:autoRedefine/>
    <w:qFormat/>
    <w:uiPriority w:val="99"/>
    <w:rPr>
      <w:sz w:val="18"/>
      <w:szCs w:val="18"/>
    </w:rPr>
  </w:style>
  <w:style w:type="character" w:customStyle="1" w:styleId="23">
    <w:name w:val="页脚 Char"/>
    <w:basedOn w:val="18"/>
    <w:link w:val="10"/>
    <w:autoRedefine/>
    <w:qFormat/>
    <w:uiPriority w:val="99"/>
    <w:rPr>
      <w:sz w:val="18"/>
      <w:szCs w:val="18"/>
    </w:rPr>
  </w:style>
  <w:style w:type="character" w:customStyle="1" w:styleId="24">
    <w:name w:val="日期 Char"/>
    <w:basedOn w:val="18"/>
    <w:link w:val="8"/>
    <w:autoRedefine/>
    <w:semiHidden/>
    <w:qFormat/>
    <w:uiPriority w:val="99"/>
    <w:rPr>
      <w:rFonts w:ascii="Calibri" w:hAnsi="Calibri" w:eastAsia="仿宋_GB2312" w:cs="黑体"/>
      <w:sz w:val="28"/>
    </w:rPr>
  </w:style>
  <w:style w:type="character" w:customStyle="1" w:styleId="25">
    <w:name w:val="标题 2 Char"/>
    <w:basedOn w:val="18"/>
    <w:link w:val="3"/>
    <w:autoRedefine/>
    <w:qFormat/>
    <w:uiPriority w:val="9"/>
    <w:rPr>
      <w:rFonts w:asciiTheme="majorHAnsi" w:hAnsiTheme="majorHAnsi" w:eastAsiaTheme="majorEastAsia" w:cstheme="majorBidi"/>
      <w:b/>
      <w:bCs/>
      <w:sz w:val="32"/>
      <w:szCs w:val="32"/>
    </w:rPr>
  </w:style>
  <w:style w:type="character" w:customStyle="1" w:styleId="26">
    <w:name w:val="脚注文本 Char"/>
    <w:basedOn w:val="18"/>
    <w:link w:val="13"/>
    <w:autoRedefine/>
    <w:semiHidden/>
    <w:qFormat/>
    <w:uiPriority w:val="99"/>
    <w:rPr>
      <w:rFonts w:ascii="Calibri" w:hAnsi="Calibri" w:eastAsia="仿宋_GB2312" w:cs="黑体"/>
      <w:sz w:val="18"/>
      <w:szCs w:val="18"/>
    </w:rPr>
  </w:style>
  <w:style w:type="paragraph" w:styleId="27">
    <w:name w:val="List Paragraph"/>
    <w:basedOn w:val="1"/>
    <w:autoRedefine/>
    <w:qFormat/>
    <w:uiPriority w:val="34"/>
    <w:pPr>
      <w:ind w:firstLine="420"/>
    </w:pPr>
  </w:style>
  <w:style w:type="table" w:customStyle="1" w:styleId="28">
    <w:name w:val="网格型1"/>
    <w:basedOn w:val="1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8"/>
    <w:link w:val="2"/>
    <w:autoRedefine/>
    <w:qFormat/>
    <w:uiPriority w:val="9"/>
    <w:rPr>
      <w:rFonts w:ascii="Calibri" w:hAnsi="Calibri" w:eastAsia="仿宋_GB2312" w:cs="黑体"/>
      <w:b/>
      <w:bCs/>
      <w:kern w:val="44"/>
      <w:sz w:val="44"/>
      <w:szCs w:val="44"/>
    </w:rPr>
  </w:style>
  <w:style w:type="paragraph" w:customStyle="1" w:styleId="30">
    <w:name w:val="TOC 标题1"/>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8"/>
    <w:link w:val="5"/>
    <w:autoRedefine/>
    <w:qFormat/>
    <w:uiPriority w:val="99"/>
    <w:rPr>
      <w:rFonts w:ascii="Calibri" w:hAnsi="Calibri" w:eastAsia="仿宋_GB2312" w:cs="黑体"/>
      <w:sz w:val="28"/>
    </w:rPr>
  </w:style>
  <w:style w:type="character" w:customStyle="1" w:styleId="32">
    <w:name w:val="批注主题 Char"/>
    <w:basedOn w:val="31"/>
    <w:link w:val="15"/>
    <w:autoRedefine/>
    <w:semiHidden/>
    <w:qFormat/>
    <w:uiPriority w:val="99"/>
    <w:rPr>
      <w:rFonts w:ascii="Calibri" w:hAnsi="Calibri" w:eastAsia="仿宋_GB2312" w:cs="黑体"/>
      <w:b/>
      <w:bCs/>
      <w:sz w:val="28"/>
    </w:rPr>
  </w:style>
  <w:style w:type="character" w:customStyle="1" w:styleId="33">
    <w:name w:val="批注框文本 Char"/>
    <w:basedOn w:val="18"/>
    <w:link w:val="9"/>
    <w:autoRedefine/>
    <w:semiHidden/>
    <w:qFormat/>
    <w:uiPriority w:val="99"/>
    <w:rPr>
      <w:rFonts w:ascii="Calibri" w:hAnsi="Calibri" w:eastAsia="仿宋_GB2312" w:cs="黑体"/>
      <w:sz w:val="18"/>
      <w:szCs w:val="18"/>
    </w:rPr>
  </w:style>
  <w:style w:type="character" w:customStyle="1" w:styleId="34">
    <w:name w:val="标题 3 Char"/>
    <w:basedOn w:val="18"/>
    <w:link w:val="4"/>
    <w:autoRedefine/>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B3F08-D113-4A0D-B6C4-9E80831E8036}">
  <ds:schemaRefs/>
</ds:datastoreItem>
</file>

<file path=docProps/app.xml><?xml version="1.0" encoding="utf-8"?>
<Properties xmlns="http://schemas.openxmlformats.org/officeDocument/2006/extended-properties" xmlns:vt="http://schemas.openxmlformats.org/officeDocument/2006/docPropsVTypes">
  <Template>Normal</Template>
  <Pages>33</Pages>
  <Words>13284</Words>
  <Characters>14309</Characters>
  <Lines>125</Lines>
  <Paragraphs>35</Paragraphs>
  <TotalTime>7</TotalTime>
  <ScaleCrop>false</ScaleCrop>
  <LinksUpToDate>false</LinksUpToDate>
  <CharactersWithSpaces>14455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2024-05-16T05:13:00Z</dcterms:created>
  <dc:creator>张 宇</dc:creator>
  <cp:lastModifiedBy>白羊</cp:lastModifiedBy>
  <cp:lastPrinted>2024-05-14T11:45:00Z</cp:lastPrinted>
  <dcterms:modified xsi:type="dcterms:W3CDTF">2024-08-29T10:52:04Z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959493853A384FC898EF21039BDF9B48_12</vt:lpwstr>
  </property>
</Properties>
</file>