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2023年度自治区人才发展基金第一批重大人才计划项目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卢耀勤</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该项目实施背景：为贯彻落实《自治区党委办公厅 自治区人民政府办公厅关于印发《新疆维吾尔自治区高层次人才选拔培养暂行办法一等四个文件的通知》(新党办发(2012)16号)精神和《新疆维吾尔自治区中长期人才发展规划纲要(20102020年)》，切实加强我区高层次人才队伍建设，鼓励其更好地投身于自治区经济建设，乌鲁木齐市疾病预防控制中心2023年获得自治区天山创新团队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1）.培养硕士研究生&gt;=1人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2）.发表论文数（篇&gt;=1篇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3）.申报软著&gt;=2项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4）.专业培训场次&gt;=5次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5.）实验室备案完成率&gt;=50%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实际完成情况为：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（1）培养硕士研究生&gt;=1人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项目培养研究生1名。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（2）发表论文数（篇）&gt;=1篇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目前已发表学术论文2篇。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（3）申报软著&gt;=2项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目前已获得计算机软件著作权两项。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（4）专业培训场次&gt;=5次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备案培训已完成5次，按照《中华人民共和国生物安全法》、《新疆维吾尔自治区病原微生物实验室及实验活动备案管理办法》、《乌鲁木齐市二级生物安全实验室备案规范》等相关法律与规范的要求，搭建完成新疆地区的“生物安全实验室备案管理网络系统”，并在全疆范围内进行了初步应用。2023年3月，团队在塔城地区、伊犁哈萨克自治州、昌吉回族自治州开展备案培训3次，培训以线下结合线上方式开展，共计424人参加培训，其中线下123人。培训结束对学员进行考核，考核通过313人，通过率达74.00%，学员培训满意度达97.30%。通过培训考核，为进一步构建新疆科学规范统一的病原微生物实验室备案管理体系奠定坚实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7月，举办病原微生物实验室生物安全管理与备案培训2场次，共计1468人参加培训，培训以线下结合线上方式开展。其中第一期生物安全培训班共培训605人，线上467人，线下138人，第二期生物安全培训班共培训863人，线上673人，线下190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（5）实验室备案完成率&gt;=50%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新疆维吾尔自治区在“生物安全实验室备案系统”上现有注册单位为1151家，备案并审核通过的生物安全实验室设立单位为836家，836家单位备案的生物安全实验室共2189个，其中生物安全防护水平为一级的生物安全实验室（BSL-1）为1056个，生物安全防护水平为二级的生物安全实验室（BSL-2）为1133个，全疆备案完成率为65.46%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（6）备案单位满意度&gt;=85%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培训结束后，现场针对参培人员进行填写满意度调查表，学员培训满意度大于90.00%。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关于下达2023年度新疆人才发展基金第一批重大人才计划》（乌财行【223】48号）批准，项目系2023自治区资金，共安排预算200万元，于2023年年中追加部分预算批复项目，资金200万元，其中：咨询费1万元，差旅费12万元，专用材料5万元，劳务费8.5万元，委托业务费126万元，其他商品2.5万元，信息网络购置及软件购置更新45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拨付经费200万元，全年执行金额179.24万元，资金执行资金执行进度达89.62%，支出情况详见表1。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 经费执行情况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支出经济分类科目</w:t>
      </w:r>
      <w:r>
        <w:rPr>
          <w:rStyle w:val="18"/>
          <w:rFonts w:hint="eastAsia" w:ascii="楷体" w:hAnsi="楷体" w:eastAsia="楷体"/>
          <w:b w:val="0"/>
          <w:bCs w:val="0"/>
          <w:spacing w:val="-4"/>
          <w:sz w:val="32"/>
          <w:szCs w:val="32"/>
        </w:rPr>
        <w:tab/>
        <w:t>拨付金额</w:t>
      </w:r>
      <w:r>
        <w:rPr>
          <w:rStyle w:val="18"/>
          <w:rFonts w:hint="eastAsia" w:ascii="楷体" w:hAnsi="楷体" w:eastAsia="楷体"/>
          <w:b w:val="0"/>
          <w:bCs w:val="0"/>
          <w:spacing w:val="-4"/>
          <w:sz w:val="32"/>
          <w:szCs w:val="32"/>
        </w:rPr>
        <w:tab/>
        <w:t>2023年支付</w:t>
      </w:r>
      <w:r>
        <w:rPr>
          <w:rStyle w:val="18"/>
          <w:rFonts w:hint="eastAsia" w:ascii="楷体" w:hAnsi="楷体" w:eastAsia="楷体"/>
          <w:b w:val="0"/>
          <w:bCs w:val="0"/>
          <w:spacing w:val="-4"/>
          <w:sz w:val="32"/>
          <w:szCs w:val="32"/>
        </w:rPr>
        <w:tab/>
        <w:t>2023年余额</w:t>
      </w:r>
      <w:r>
        <w:rPr>
          <w:rStyle w:val="18"/>
          <w:rFonts w:hint="eastAsia" w:ascii="楷体" w:hAnsi="楷体" w:eastAsia="楷体"/>
          <w:b w:val="0"/>
          <w:bCs w:val="0"/>
          <w:spacing w:val="-4"/>
          <w:sz w:val="32"/>
          <w:szCs w:val="32"/>
        </w:rPr>
        <w:tab/>
        <w:t>资金执行率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2,000,000.00</w:t>
      </w:r>
      <w:r>
        <w:rPr>
          <w:rStyle w:val="18"/>
          <w:rFonts w:hint="eastAsia" w:ascii="楷体" w:hAnsi="楷体" w:eastAsia="楷体"/>
          <w:b w:val="0"/>
          <w:bCs w:val="0"/>
          <w:spacing w:val="-4"/>
          <w:sz w:val="32"/>
          <w:szCs w:val="32"/>
        </w:rPr>
        <w:tab/>
        <w:t>1,792,401.00</w:t>
      </w:r>
      <w:r>
        <w:rPr>
          <w:rStyle w:val="18"/>
          <w:rFonts w:hint="eastAsia" w:ascii="楷体" w:hAnsi="楷体" w:eastAsia="楷体"/>
          <w:b w:val="0"/>
          <w:bCs w:val="0"/>
          <w:spacing w:val="-4"/>
          <w:sz w:val="32"/>
          <w:szCs w:val="32"/>
        </w:rPr>
        <w:tab/>
        <w:t xml:space="preserve">207,599.00 </w:t>
      </w:r>
      <w:r>
        <w:rPr>
          <w:rStyle w:val="18"/>
          <w:rFonts w:hint="eastAsia" w:ascii="楷体" w:hAnsi="楷体" w:eastAsia="楷体"/>
          <w:b w:val="0"/>
          <w:bCs w:val="0"/>
          <w:spacing w:val="-4"/>
          <w:sz w:val="32"/>
          <w:szCs w:val="32"/>
        </w:rPr>
        <w:tab/>
        <w:t>89.62%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30203-咨询费</w:t>
      </w:r>
      <w:r>
        <w:rPr>
          <w:rStyle w:val="18"/>
          <w:rFonts w:hint="eastAsia" w:ascii="楷体" w:hAnsi="楷体" w:eastAsia="楷体"/>
          <w:b w:val="0"/>
          <w:bCs w:val="0"/>
          <w:spacing w:val="-4"/>
          <w:sz w:val="32"/>
          <w:szCs w:val="32"/>
        </w:rPr>
        <w:tab/>
        <w:t xml:space="preserve">10,000.00 </w:t>
      </w:r>
      <w:r>
        <w:rPr>
          <w:rStyle w:val="18"/>
          <w:rFonts w:hint="eastAsia" w:ascii="楷体" w:hAnsi="楷体" w:eastAsia="楷体"/>
          <w:b w:val="0"/>
          <w:bCs w:val="0"/>
          <w:spacing w:val="-4"/>
          <w:sz w:val="32"/>
          <w:szCs w:val="32"/>
        </w:rPr>
        <w:tab/>
        <w:t xml:space="preserve">9,900.00 </w:t>
      </w:r>
      <w:r>
        <w:rPr>
          <w:rStyle w:val="18"/>
          <w:rFonts w:hint="eastAsia" w:ascii="楷体" w:hAnsi="楷体" w:eastAsia="楷体"/>
          <w:b w:val="0"/>
          <w:bCs w:val="0"/>
          <w:spacing w:val="-4"/>
          <w:sz w:val="32"/>
          <w:szCs w:val="32"/>
        </w:rPr>
        <w:tab/>
        <w:t xml:space="preserve">100.00 </w:t>
      </w:r>
      <w:r>
        <w:rPr>
          <w:rStyle w:val="18"/>
          <w:rFonts w:hint="eastAsia" w:ascii="楷体" w:hAnsi="楷体" w:eastAsia="楷体"/>
          <w:b w:val="0"/>
          <w:bCs w:val="0"/>
          <w:spacing w:val="-4"/>
          <w:sz w:val="32"/>
          <w:szCs w:val="32"/>
        </w:rPr>
        <w:tab/>
        <w:t>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30211-差旅费</w:t>
      </w:r>
      <w:r>
        <w:rPr>
          <w:rStyle w:val="18"/>
          <w:rFonts w:hint="eastAsia" w:ascii="楷体" w:hAnsi="楷体" w:eastAsia="楷体"/>
          <w:b w:val="0"/>
          <w:bCs w:val="0"/>
          <w:spacing w:val="-4"/>
          <w:sz w:val="32"/>
          <w:szCs w:val="32"/>
        </w:rPr>
        <w:tab/>
        <w:t xml:space="preserve">120,000.00 </w:t>
      </w:r>
      <w:r>
        <w:rPr>
          <w:rStyle w:val="18"/>
          <w:rFonts w:hint="eastAsia" w:ascii="楷体" w:hAnsi="楷体" w:eastAsia="楷体"/>
          <w:b w:val="0"/>
          <w:bCs w:val="0"/>
          <w:spacing w:val="-4"/>
          <w:sz w:val="32"/>
          <w:szCs w:val="32"/>
        </w:rPr>
        <w:tab/>
        <w:t xml:space="preserve">64,001.00 </w:t>
      </w:r>
      <w:r>
        <w:rPr>
          <w:rStyle w:val="18"/>
          <w:rFonts w:hint="eastAsia" w:ascii="楷体" w:hAnsi="楷体" w:eastAsia="楷体"/>
          <w:b w:val="0"/>
          <w:bCs w:val="0"/>
          <w:spacing w:val="-4"/>
          <w:sz w:val="32"/>
          <w:szCs w:val="32"/>
        </w:rPr>
        <w:tab/>
        <w:t xml:space="preserve">55,999.00 </w:t>
      </w:r>
      <w:r>
        <w:rPr>
          <w:rStyle w:val="18"/>
          <w:rFonts w:hint="eastAsia" w:ascii="楷体" w:hAnsi="楷体" w:eastAsia="楷体"/>
          <w:b w:val="0"/>
          <w:bCs w:val="0"/>
          <w:spacing w:val="-4"/>
          <w:sz w:val="32"/>
          <w:szCs w:val="32"/>
        </w:rPr>
        <w:tab/>
        <w:t>53%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30218-专用材料费</w:t>
      </w:r>
      <w:r>
        <w:rPr>
          <w:rStyle w:val="18"/>
          <w:rFonts w:hint="eastAsia" w:ascii="楷体" w:hAnsi="楷体" w:eastAsia="楷体"/>
          <w:b w:val="0"/>
          <w:bCs w:val="0"/>
          <w:spacing w:val="-4"/>
          <w:sz w:val="32"/>
          <w:szCs w:val="32"/>
        </w:rPr>
        <w:tab/>
        <w:t xml:space="preserve">50,000.00 </w:t>
      </w:r>
      <w:r>
        <w:rPr>
          <w:rStyle w:val="18"/>
          <w:rFonts w:hint="eastAsia" w:ascii="楷体" w:hAnsi="楷体" w:eastAsia="楷体"/>
          <w:b w:val="0"/>
          <w:bCs w:val="0"/>
          <w:spacing w:val="-4"/>
          <w:sz w:val="32"/>
          <w:szCs w:val="32"/>
        </w:rPr>
        <w:tab/>
        <w:t xml:space="preserve">4,500.00 </w:t>
      </w:r>
      <w:r>
        <w:rPr>
          <w:rStyle w:val="18"/>
          <w:rFonts w:hint="eastAsia" w:ascii="楷体" w:hAnsi="楷体" w:eastAsia="楷体"/>
          <w:b w:val="0"/>
          <w:bCs w:val="0"/>
          <w:spacing w:val="-4"/>
          <w:sz w:val="32"/>
          <w:szCs w:val="32"/>
        </w:rPr>
        <w:tab/>
        <w:t xml:space="preserve">45,500.00 </w:t>
      </w:r>
      <w:r>
        <w:rPr>
          <w:rStyle w:val="18"/>
          <w:rFonts w:hint="eastAsia" w:ascii="楷体" w:hAnsi="楷体" w:eastAsia="楷体"/>
          <w:b w:val="0"/>
          <w:bCs w:val="0"/>
          <w:spacing w:val="-4"/>
          <w:sz w:val="32"/>
          <w:szCs w:val="32"/>
        </w:rPr>
        <w:tab/>
        <w:t>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30226-劳务费</w:t>
      </w:r>
      <w:r>
        <w:rPr>
          <w:rStyle w:val="18"/>
          <w:rFonts w:hint="eastAsia" w:ascii="楷体" w:hAnsi="楷体" w:eastAsia="楷体"/>
          <w:b w:val="0"/>
          <w:bCs w:val="0"/>
          <w:spacing w:val="-4"/>
          <w:sz w:val="32"/>
          <w:szCs w:val="32"/>
        </w:rPr>
        <w:tab/>
        <w:t xml:space="preserve">85,000.00 </w:t>
      </w:r>
      <w:r>
        <w:rPr>
          <w:rStyle w:val="18"/>
          <w:rFonts w:hint="eastAsia" w:ascii="楷体" w:hAnsi="楷体" w:eastAsia="楷体"/>
          <w:b w:val="0"/>
          <w:bCs w:val="0"/>
          <w:spacing w:val="-4"/>
          <w:sz w:val="32"/>
          <w:szCs w:val="32"/>
        </w:rPr>
        <w:tab/>
        <w:t xml:space="preserve">85,000.00 </w:t>
      </w:r>
      <w:r>
        <w:rPr>
          <w:rStyle w:val="18"/>
          <w:rFonts w:hint="eastAsia" w:ascii="楷体" w:hAnsi="楷体" w:eastAsia="楷体"/>
          <w:b w:val="0"/>
          <w:bCs w:val="0"/>
          <w:spacing w:val="-4"/>
          <w:sz w:val="32"/>
          <w:szCs w:val="32"/>
        </w:rPr>
        <w:tab/>
        <w:t xml:space="preserve">0.00 </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30227-委托业务费</w:t>
      </w:r>
      <w:r>
        <w:rPr>
          <w:rStyle w:val="18"/>
          <w:rFonts w:hint="eastAsia" w:ascii="楷体" w:hAnsi="楷体" w:eastAsia="楷体"/>
          <w:b w:val="0"/>
          <w:bCs w:val="0"/>
          <w:spacing w:val="-4"/>
          <w:sz w:val="32"/>
          <w:szCs w:val="32"/>
        </w:rPr>
        <w:tab/>
        <w:t xml:space="preserve">1,260,000.00 </w:t>
      </w:r>
      <w:r>
        <w:rPr>
          <w:rStyle w:val="18"/>
          <w:rFonts w:hint="eastAsia" w:ascii="楷体" w:hAnsi="楷体" w:eastAsia="楷体"/>
          <w:b w:val="0"/>
          <w:bCs w:val="0"/>
          <w:spacing w:val="-4"/>
          <w:sz w:val="32"/>
          <w:szCs w:val="32"/>
        </w:rPr>
        <w:tab/>
        <w:t xml:space="preserve">1,259,000.00 </w:t>
      </w:r>
      <w:r>
        <w:rPr>
          <w:rStyle w:val="18"/>
          <w:rFonts w:hint="eastAsia" w:ascii="楷体" w:hAnsi="楷体" w:eastAsia="楷体"/>
          <w:b w:val="0"/>
          <w:bCs w:val="0"/>
          <w:spacing w:val="-4"/>
          <w:sz w:val="32"/>
          <w:szCs w:val="32"/>
        </w:rPr>
        <w:tab/>
        <w:t xml:space="preserve">1,000.00 </w:t>
      </w:r>
      <w:r>
        <w:rPr>
          <w:rStyle w:val="18"/>
          <w:rFonts w:hint="eastAsia" w:ascii="楷体" w:hAnsi="楷体" w:eastAsia="楷体"/>
          <w:b w:val="0"/>
          <w:bCs w:val="0"/>
          <w:spacing w:val="-4"/>
          <w:sz w:val="32"/>
          <w:szCs w:val="32"/>
        </w:rPr>
        <w:tab/>
        <w:t>99.92%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30299-其他商品和服务支出</w:t>
      </w:r>
      <w:r>
        <w:rPr>
          <w:rStyle w:val="18"/>
          <w:rFonts w:hint="eastAsia" w:ascii="楷体" w:hAnsi="楷体" w:eastAsia="楷体"/>
          <w:b w:val="0"/>
          <w:bCs w:val="0"/>
          <w:spacing w:val="-4"/>
          <w:sz w:val="32"/>
          <w:szCs w:val="32"/>
        </w:rPr>
        <w:tab/>
        <w:t xml:space="preserve">25,000.00 </w:t>
      </w:r>
      <w:r>
        <w:rPr>
          <w:rStyle w:val="18"/>
          <w:rFonts w:hint="eastAsia" w:ascii="楷体" w:hAnsi="楷体" w:eastAsia="楷体"/>
          <w:b w:val="0"/>
          <w:bCs w:val="0"/>
          <w:spacing w:val="-4"/>
          <w:sz w:val="32"/>
          <w:szCs w:val="32"/>
        </w:rPr>
        <w:tab/>
        <w:t xml:space="preserve">25,000.00 </w:t>
      </w:r>
      <w:r>
        <w:rPr>
          <w:rStyle w:val="18"/>
          <w:rFonts w:hint="eastAsia" w:ascii="楷体" w:hAnsi="楷体" w:eastAsia="楷体"/>
          <w:b w:val="0"/>
          <w:bCs w:val="0"/>
          <w:spacing w:val="-4"/>
          <w:sz w:val="32"/>
          <w:szCs w:val="32"/>
        </w:rPr>
        <w:tab/>
        <w:t xml:space="preserve">0.00 </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31007-信息网络及软件购置更新</w:t>
      </w:r>
      <w:r>
        <w:rPr>
          <w:rStyle w:val="18"/>
          <w:rFonts w:hint="eastAsia" w:ascii="楷体" w:hAnsi="楷体" w:eastAsia="楷体"/>
          <w:b w:val="0"/>
          <w:bCs w:val="0"/>
          <w:spacing w:val="-4"/>
          <w:sz w:val="32"/>
          <w:szCs w:val="32"/>
        </w:rPr>
        <w:tab/>
        <w:t xml:space="preserve">450,000.00 </w:t>
      </w:r>
      <w:r>
        <w:rPr>
          <w:rStyle w:val="18"/>
          <w:rFonts w:hint="eastAsia" w:ascii="楷体" w:hAnsi="楷体" w:eastAsia="楷体"/>
          <w:b w:val="0"/>
          <w:bCs w:val="0"/>
          <w:spacing w:val="-4"/>
          <w:sz w:val="32"/>
          <w:szCs w:val="32"/>
        </w:rPr>
        <w:tab/>
        <w:t xml:space="preserve">345,000.00 </w:t>
      </w:r>
      <w:r>
        <w:rPr>
          <w:rStyle w:val="18"/>
          <w:rFonts w:hint="eastAsia" w:ascii="楷体" w:hAnsi="楷体" w:eastAsia="楷体"/>
          <w:b w:val="0"/>
          <w:bCs w:val="0"/>
          <w:spacing w:val="-4"/>
          <w:sz w:val="32"/>
          <w:szCs w:val="32"/>
        </w:rPr>
        <w:tab/>
        <w:t xml:space="preserve">105,000.00 </w:t>
      </w:r>
      <w:r>
        <w:rPr>
          <w:rStyle w:val="18"/>
          <w:rFonts w:hint="eastAsia" w:ascii="楷体" w:hAnsi="楷体" w:eastAsia="楷体"/>
          <w:b w:val="0"/>
          <w:bCs w:val="0"/>
          <w:spacing w:val="-4"/>
          <w:sz w:val="32"/>
          <w:szCs w:val="32"/>
        </w:rPr>
        <w:tab/>
        <w:t>77%</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该项目为跨年项目。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该项目总体绩效目标：建立科学规范的新疆病原微生物实验室备案管理体系。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该项目阶段性目标为：2023年生物安全实验室备案完成率达50%以上；项目申请获得计算机软件著作权2项；组织开展生物安全的全员培训5场次；发表高质量学术论文1篇。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新疆人才发展基金第一批重大人才计划项目为我单位跨年项目，项目周期三年，主要目标是建立科学规范的新疆病原微生物实验室备案管理体系。根据项目目标，我单位设置了完整得绩效评价体系，从产出、成本、效益和满意度四个角度对项目绩效进行评价，构建了4个数量指标、1个质量指标，1个时效指标、1个成本指标、1个社会效益指标和1个满意度指标组成得绩效评价体系，完整得体现了项目绩效成果及项目绩效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新疆人才发展基金第一批重大人才计划项目由项目负责人和科研团队执行，科教科管理和财务参与资金执行，与5月和8月分别进行了绩效监控、阶段性检查项目执行进度。由项目负责人和项目团队成员提供监控节点得实际完成情况得数值及相关佐证材料，由财务科汇总上报，保证数据得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2023年度新疆人才发展基金第一批重大人才计划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（1）绩效评价的对象：2023年度新疆人才发展基金第一批重大人才计划项目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2023年度新疆人才发展基金第一批重大人才计划项目按照《中华人民共和国生物安全法》、《新疆维吾尔自治区病原微生物实验室及实验活动备案管理办法》、《乌鲁木齐市二级生物安全实验室备案规范》等相关法律与规范的要求，搭建完成新疆地区的“生物安全实验室备案管理网络系统”，有效规范了生物安全实验室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新疆人才发展基金第一批重大人才计划项目，培养硕士研究生1名，完成率100%、发表论文数（篇）2篇，完成率100%、申报软著2项，完成率100%、专用培训场次5次，完成率100%、实验室备案完成率，100%完成、当年实验室备案完成时间12月前完成，完成率100%、当年科研项目支出成本179.24万元，、实验室备案覆盖率任务完成100%、备案单位满意度达到90%以上，此次评价期间内，有序完成设定目标的部分工作任务， 按照项目实施计划及科研团队统一部署安排，且如约支付项目开展资金。评价得分99.48。</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培养硕士研究生</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发表论文数（篇）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申报软著</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专用培训场次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实验室备案完成率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当年实验室备案完成时间</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当年科研项目支出成本</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实验室备案覆盖率</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备案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2023年度新疆人才发展基金第一批重大人才计划项目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·《关于印发&lt;新疆维吾尔自治区财政科研项目资金管理办法&gt;的通知》（新财规〔2022〕8号）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·《关于印发&lt;关于进一步激发科研人员创新业积极性的实施方案&gt;的通知》（新科政字〔2022〕11号）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度新疆人才发展基金第一批重大人才计划项目进行客观评价，最终评分结果为：总分为99.48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4.48</w:t>
      </w:r>
      <w:r>
        <w:rPr>
          <w:rStyle w:val="18"/>
          <w:rFonts w:hint="eastAsia" w:ascii="楷体" w:hAnsi="楷体" w:eastAsia="楷体"/>
          <w:b w:val="0"/>
          <w:bCs w:val="0"/>
          <w:spacing w:val="-4"/>
          <w:sz w:val="32"/>
          <w:szCs w:val="32"/>
        </w:rPr>
        <w:tab/>
        <w:t>89.6%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培养硕士研究生</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发表论文数（篇）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申报软著</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专业培训场次</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实验室备案完成率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当年实验室备案完成时间</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当年科研项目支出成本</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项目效益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群众满意度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市财政及时拨付资金200万元，单位在此次评价期间内，有序完成设定目标的部分工作任务，培养硕士研究生1人，目前已发表学术论文2篇。目前已获得计算机软件著作权2项。专业培训场次5次，按照《中华人民共和国生物安全法》、《新疆维吾尔自治区病原微生物实验室及实验活动备案管理办法》、《乌鲁木齐市二级生物安全实验室备案规范》等相关法律与规范的要求，搭建完成新疆地区的“生物安全实验室备案管理网络系统”，并在全疆范围内进行了初步应用。2023年3月，团队在塔城地区、伊犁哈萨克自治州、昌吉回族自治州开展备案培训3次，培训以线下结合线上方式开展，共计424人参加培训，其中线下123人。培训结束对学员进行考核，考核通过313人，通过率达74.00%，学员培训满意度达97.30%。通过培训考核，为进一步构建新疆科学规范统一的病原微生物实验室备案管理体系奠定坚实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7月，举办病原微生物实验室生物安全管理与备案培训2场次，共计1468人参加培训，培训以线下结合线上方式开展。其中第一期生物安全培训班共培训605人，线上467人，线下138人，第二期生物安全培训班共培训863人，线上673人，线下190人。实验室备案完成率65.46%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新疆维吾尔自治区在“生物安全实验室备案系统”上现有注册单位为1151家，备案并审核通过的生物安全实验室设立单位为836家，836家单位备案的生物安全实验室共2189个，其中生物安全防护水平为一级的生物安全实验室（BSL-1）为1056个，生物安全防护水平为二级的生物安全实验室（BSL-2）为1133个，全疆备案完成率为65.46%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培训结束后，现场针对参培人员进行填写满意度调查表，学员培训满意度93.30%。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2023年已圆满完成了项目得目标。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生物安全法》、《新疆维吾尔自治区病原微生物实验室及实验活动备案管理办法》、《乌鲁木齐市二级生物安全实验室备案规范》、《自治区“天山英才”培养计划管理办法》等国家法律法规、政策要求。同时，项目与部门职责范围相符，属于部门履职所需。此外，本项目属于自治区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乌鲁木齐市疾病预防控制中心按照“三大一重”议事规则，经党总支上会讨论、决策，上报卫生健康委员会党组审议，卫健委机关按照规定的程序上报政府申请设立项目。自治区科技厅2023年批复此项目，乌鲁木齐市疾病预防控制中心严格按照自治区科技厅立项审批文件报、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该项目主要任务是立科学规范的新疆病原微生物实验室备案管理体系。确保我区生物安全实验室安全。目标已细化为具体的绩效指标，可通过数量指标、质量指标、时效指标和成本指标予以量化，。目标已细化为具体的绩效指标，可通过4个数量指标、1个质量指标、1个时效指标和1个成本指标、1个效益指标、1个满意度指标给予以量化。并具有确切的评价标准，且指标设定均与目标相关。各项指标均能在现实条件下收到相关数据进行佐证。相关科技团队可以提供数量指标、质量指标的完成情况进行佐证，成本支出由财务科提供原始凭证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科技项目合同书，科技项目负责人实际工作情况与当年的科技项目工作计划，合理确定本年的需求，本年项目资金200万，其中：咨询费1万元（科研项目专家咨询费），差旅费12万元（项目推广、研究调研等外出差费），专用材料5万元（课题需要材料），劳务费8.5万元（课题无收入人员劳务费），委托业务费126万元（项目团结委托方和非本单位合作方），其他商品2.5万元（间接费用），信息网络购置及软件购置更新45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由此编制项目所需的总金额以及需要达成的绩效目标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科研项目2023年开展，该资金保障科研项目得正常开展，各项费用支出分配，其中：委托业务事项支付126万元、专家咨询费支付1万元，外出培训及推广差费12万元、专用材料购置5万元、科研团队无工作收入学生劳务费支出8.5万元、论文发表等费用2.5万元、服务器购置45万元。符合“天山英才”计划——科技创新领军人才（团队）科研项目进行得分配，项目运作完全能覆盖需求，故资金分配合理性指标得分3分。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 该项目资金由财政拨付，预算数200万元，在2023年4月3日到位，实际到位资金200万元。故资金到位率指标得分5分。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预算执行率：该项目实际到位资金200万元，实际共支付179.24万元，预算执行率89.62%，故预算执行率得分为4.48分。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资金使用合规性：本项目资金的使用符合国家财经法规和乌鲁木齐市疾病预防控制中心财务管理制度、《 关于进一步加强政府采购预算管理工作有关事项的通知》（新财购〔2018〕6号）以及乌财行【2023】48号《关于下达2023年新疆人才发展基金第一批重大人才计划项目支持资金的通知》批复资金的规定。同时，每笔资金的申请乌鲁木齐市疾病预防控制中心党总支上会审议通过后报主管部门审核，主管局审核后报市财政局申请资金的支付，疾病病预防控制中心严格按照资金的用途申请财政支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综上，该指标满分13分，得分12.48分。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疾病预防中心制定相应的财务和科研项目管理制度，如：《市疾病预防中心落实“三重一大”制度实施细则》，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疾病预防控制中心严格遵守相关法律法规和相关管理规定，项目调整及支出调整手续完备，整体管理合理有序，项目完成后，及时将会计凭证、固定资产入库单、合同等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项目产出指标由4个二级指标和8个三级指标构成，权重为50分，实际得分50分。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数量指标“培养硕士研究生”的目标值是&gt;=1人，2023年度我单位实际完成1人。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数量指标“发表论文数（篇）”的目标值是&gt;=1篇，2023年度我单位实际完成2篇。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数量指标“申报软著”的目标值是&gt;=2项，2023年度我单位实际完成2项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数量指标“专业培训场次”的目标值是&gt;=5次，2023年度我单位实际完成5次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实际完成率：100%，故实际完成率得分为32分。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实验室备案完成率的目标值是&gt;=50%，2023年度我单位实际完成65.46%。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当年实验室备案完成时间：项目于2023年12月完当年实验室备案，已100%完成。得分5分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当年科研项目支出成本小于或等于200万元，当年支付179.24万元，未超支，得分5分。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综上，该部分指标满分50分，得分50分。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项目效益指标由1个二级指标和1个三级指标构成，权重为5分，实际得分5分。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验室备案覆盖率”，指标值：逐步提升，实际完成值：达成年度指标。本项目的实施新疆维吾尔自治区在“生物安全实验室备案系统”上现有注册单位为1151家，备案并审核通过的生物安全实验室设立单位为836家，836家单位备案的生物安全实验室共2189个，其中生物安全防护水平为一级的生物安全实验室（BSL-1）为1056个，生物安全防护水平为二级的生物安全实验室（BSL-2）为1133个，全疆备案完成率为65.46%。有效得提升了生物实验室的安全防护水平，该项工作圆满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备案单位满意度”，指标值：≥85%，实际完成值：≥93.3%。通过设置问卷调查的方式进行考评评价，共计调查样本总量为20个样本，有效调查问卷20份。其中，统计“备案单位满意度”的平均值为93.3%。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符合法律法规、相关政策、发展规划以及部门职责，立项程序要规范，预算额度测算依据要充分，资金分配额度要合理，严格按照文件规定的支出功能分类科目，支出经济分类科目执行资金，做到专款专用，同时加快项目执行进度。做好绩效全过程监督，保证项目顺利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2.加强领导，落实责任，明确各部门的工作职责。确保项目建设中存在的问题得到及时解决。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落实资金问题，严格程序，确保资金效益。项目建设坚持层层审批原则，做到操作程序规范，严格按照上级审批项目建设规模等相关要求开展工作，并严格按照资金使用的相关管理要求执行，严格资金使用范围，保证项目资金专款专用。杜绝截留、挪用、滞留、浪费资金等现象的发生，确保资金使用安全和最大效益的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1.项目绩效实施，业务人员培训和绩效考核制度不够完善，项目实施人和绩效填报人员培训学习更新滞后。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2.项目支出绩效指标应该是反映项目执行的核心指标，而不是反映内部实施或内部产出的指标。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构建专业、客观、独立、多样的绩效评价主体。在可能的条件下，引入社会绩效评价组织，专家，高效研究人员等。还应加强对外公开的效率，促使公众参与到部门支出绩效评价执行的过程中，重视社会公众对绩效评价的监督。最后，要加强部门内部绩效评价人员的培训，提高其指标设计和绩效评价的专业技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提高部门项目支出绩效目标设定的合理性。部门设定的绩效目标要与项目支出和项目贯穿全程的相关性，这样便于后续的评价的情况，同样能使得部门在运用预算资金的过程中能始终牢记项目完成情况，不偏离社会责任，可以兼顾好重要性和综合性原则。对于项目支出工作的反映，尽量采用综合性指标；对于具体项目的反映，尽量采用有代表性的重要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重视部门项目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23027F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ZJ</cp:lastModifiedBy>
  <cp:lastPrinted>2018-12-31T10:56:00Z</cp:lastPrinted>
  <dcterms:modified xsi:type="dcterms:W3CDTF">2024-08-14T12:54:19Z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89E26628E00E4BE09B11918C2153EE50</vt:lpwstr>
  </property>
</Properties>
</file>