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color w:val="auto"/>
          <w:kern w:val="0"/>
          <w:sz w:val="50"/>
          <w:szCs w:val="50"/>
          <w:highlight w:val="none"/>
          <w:lang w:bidi="en-US"/>
        </w:rPr>
      </w:pPr>
    </w:p>
    <w:p>
      <w:pPr>
        <w:spacing w:line="480" w:lineRule="auto"/>
        <w:ind w:firstLine="0" w:firstLineChars="0"/>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before="120" w:after="120" w:line="480" w:lineRule="auto"/>
        <w:ind w:firstLine="0" w:firstLineChars="0"/>
        <w:jc w:val="center"/>
        <w:rPr>
          <w:rFonts w:ascii="仿宋_GB2312" w:hAnsi="Arial"/>
          <w:b/>
          <w:color w:val="auto"/>
          <w:sz w:val="44"/>
          <w:szCs w:val="44"/>
          <w:highlight w:val="none"/>
        </w:rPr>
      </w:pPr>
      <w:r>
        <w:rPr>
          <w:rFonts w:hint="eastAsia" w:ascii="仿宋_GB2312" w:hAnsi="Arial"/>
          <w:b/>
          <w:color w:val="auto"/>
          <w:sz w:val="44"/>
          <w:szCs w:val="44"/>
          <w:highlight w:val="none"/>
        </w:rPr>
        <w:t>财政项目支出绩效评价报告</w:t>
      </w: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仿宋_GB2312" w:hAnsi="Times New Roman" w:cs="Times New Roman"/>
          <w:color w:val="auto"/>
          <w:kern w:val="0"/>
          <w:sz w:val="30"/>
          <w:szCs w:val="30"/>
          <w:highlight w:val="none"/>
          <w:lang w:bidi="en-US"/>
        </w:rPr>
      </w:pPr>
    </w:p>
    <w:p>
      <w:pPr>
        <w:spacing w:line="480" w:lineRule="auto"/>
        <w:ind w:left="3196" w:leftChars="570" w:hanging="1600" w:hangingChars="500"/>
        <w:jc w:val="left"/>
        <w:rPr>
          <w:rFonts w:ascii="仿宋_GB2312" w:hAnsi="Times New Roman" w:cs="Times New Roman"/>
          <w:color w:val="auto"/>
          <w:kern w:val="0"/>
          <w:sz w:val="32"/>
          <w:szCs w:val="32"/>
          <w:highlight w:val="none"/>
          <w:lang w:bidi="en-US"/>
        </w:rPr>
      </w:pPr>
      <w:r>
        <w:rPr>
          <w:rFonts w:hint="eastAsia" w:ascii="仿宋_GB2312" w:hAnsi="Times New Roman" w:cs="Times New Roman"/>
          <w:color w:val="auto"/>
          <w:kern w:val="0"/>
          <w:sz w:val="32"/>
          <w:szCs w:val="32"/>
          <w:highlight w:val="none"/>
          <w:lang w:bidi="en-US"/>
        </w:rPr>
        <w:t>项目名称：关于拨付2023年第二批疫情防控补助资金（二级以上医疗机构新冠肺炎医疗设备储备）的通知</w:t>
      </w:r>
      <w:r>
        <w:rPr>
          <w:rFonts w:ascii="仿宋_GB2312" w:hAnsi="Times New Roman" w:cs="Times New Roman"/>
          <w:color w:val="auto"/>
          <w:kern w:val="0"/>
          <w:sz w:val="32"/>
          <w:szCs w:val="32"/>
          <w:highlight w:val="none"/>
          <w:lang w:bidi="en-US"/>
        </w:rPr>
        <w:t xml:space="preserve"> </w:t>
      </w:r>
    </w:p>
    <w:p>
      <w:pPr>
        <w:spacing w:line="480" w:lineRule="auto"/>
        <w:ind w:left="280" w:leftChars="100" w:firstLine="1091" w:firstLineChars="341"/>
        <w:jc w:val="left"/>
        <w:rPr>
          <w:rFonts w:ascii="仿宋_GB2312" w:hAnsi="Times New Roman" w:cs="Times New Roman"/>
          <w:color w:val="auto"/>
          <w:kern w:val="0"/>
          <w:sz w:val="32"/>
          <w:szCs w:val="32"/>
          <w:highlight w:val="none"/>
          <w:lang w:bidi="en-US"/>
        </w:rPr>
      </w:pPr>
      <w:r>
        <w:rPr>
          <w:rFonts w:hint="eastAsia" w:ascii="仿宋_GB2312" w:hAnsi="Times New Roman" w:cs="Times New Roman"/>
          <w:color w:val="auto"/>
          <w:kern w:val="0"/>
          <w:sz w:val="32"/>
          <w:szCs w:val="32"/>
          <w:highlight w:val="none"/>
          <w:lang w:bidi="en-US"/>
        </w:rPr>
        <w:t>项目单位：乌鲁木齐市第四人民医院</w:t>
      </w:r>
    </w:p>
    <w:p>
      <w:pPr>
        <w:spacing w:line="480" w:lineRule="auto"/>
        <w:ind w:left="280" w:leftChars="100" w:firstLine="1091" w:firstLineChars="341"/>
        <w:jc w:val="left"/>
        <w:rPr>
          <w:rFonts w:ascii="仿宋_GB2312" w:hAnsi="Times New Roman" w:cs="Times New Roman"/>
          <w:color w:val="auto"/>
          <w:kern w:val="0"/>
          <w:sz w:val="32"/>
          <w:szCs w:val="32"/>
          <w:highlight w:val="none"/>
          <w:lang w:bidi="en-US"/>
        </w:rPr>
      </w:pPr>
      <w:r>
        <w:rPr>
          <w:rFonts w:hint="eastAsia" w:ascii="仿宋_GB2312" w:hAnsi="Times New Roman" w:cs="Times New Roman"/>
          <w:color w:val="auto"/>
          <w:kern w:val="0"/>
          <w:sz w:val="32"/>
          <w:szCs w:val="32"/>
          <w:highlight w:val="none"/>
          <w:lang w:bidi="en-US"/>
        </w:rPr>
        <w:t>主管部门：乌鲁木齐市卫生健康委员会</w:t>
      </w:r>
    </w:p>
    <w:p>
      <w:pPr>
        <w:spacing w:line="480" w:lineRule="auto"/>
        <w:ind w:firstLine="1411" w:firstLineChars="441"/>
        <w:jc w:val="left"/>
        <w:rPr>
          <w:rFonts w:ascii="仿宋_GB2312" w:hAnsi="Times New Roman" w:cs="Times New Roman"/>
          <w:color w:val="auto"/>
          <w:kern w:val="0"/>
          <w:sz w:val="32"/>
          <w:szCs w:val="32"/>
          <w:highlight w:val="none"/>
          <w:lang w:bidi="en-US"/>
        </w:rPr>
      </w:pPr>
    </w:p>
    <w:p>
      <w:pPr>
        <w:spacing w:line="480" w:lineRule="auto"/>
        <w:ind w:firstLine="0" w:firstLineChars="0"/>
        <w:rPr>
          <w:rFonts w:ascii="黑体" w:hAnsi="Times New Roman" w:eastAsia="黑体" w:cs="Times New Roman"/>
          <w:b/>
          <w:color w:val="auto"/>
          <w:kern w:val="0"/>
          <w:sz w:val="32"/>
          <w:szCs w:val="32"/>
          <w:highlight w:val="none"/>
          <w:lang w:bidi="en-US"/>
        </w:rPr>
      </w:pPr>
    </w:p>
    <w:p>
      <w:pPr>
        <w:spacing w:line="480" w:lineRule="auto"/>
        <w:ind w:firstLine="0" w:firstLineChars="0"/>
        <w:rPr>
          <w:rFonts w:ascii="黑体" w:hAnsi="Times New Roman" w:eastAsia="黑体" w:cs="Times New Roman"/>
          <w:b/>
          <w:color w:val="auto"/>
          <w:kern w:val="0"/>
          <w:sz w:val="32"/>
          <w:szCs w:val="32"/>
          <w:highlight w:val="none"/>
          <w:lang w:bidi="en-US"/>
        </w:rPr>
      </w:pPr>
    </w:p>
    <w:p>
      <w:pPr>
        <w:spacing w:line="480" w:lineRule="auto"/>
        <w:ind w:firstLine="0" w:firstLineChars="0"/>
        <w:jc w:val="center"/>
        <w:rPr>
          <w:rFonts w:ascii="仿宋_GB2312" w:hAnsi="Times New Roman" w:cs="Times New Roman"/>
          <w:color w:val="auto"/>
          <w:kern w:val="0"/>
          <w:sz w:val="32"/>
          <w:szCs w:val="32"/>
          <w:highlight w:val="none"/>
          <w:lang w:bidi="en-US"/>
        </w:rPr>
      </w:pPr>
      <w:r>
        <w:rPr>
          <w:rFonts w:hint="eastAsia" w:ascii="仿宋_GB2312" w:hAnsi="Times New Roman" w:cs="Times New Roman"/>
          <w:color w:val="auto"/>
          <w:kern w:val="0"/>
          <w:sz w:val="32"/>
          <w:szCs w:val="32"/>
          <w:highlight w:val="none"/>
          <w:lang w:bidi="en-US"/>
        </w:rPr>
        <w:t>2023年05月</w:t>
      </w:r>
    </w:p>
    <w:p>
      <w:pPr>
        <w:spacing w:line="480" w:lineRule="auto"/>
        <w:ind w:firstLine="0" w:firstLineChars="0"/>
        <w:jc w:val="center"/>
        <w:rPr>
          <w:rFonts w:ascii="仿宋_GB2312" w:hAnsi="Times New Roman" w:cs="Times New Roman"/>
          <w:color w:val="auto"/>
          <w:kern w:val="0"/>
          <w:sz w:val="32"/>
          <w:szCs w:val="32"/>
          <w:highlight w:val="none"/>
          <w:lang w:bidi="en-US"/>
        </w:rPr>
      </w:pPr>
    </w:p>
    <w:p>
      <w:pPr>
        <w:tabs>
          <w:tab w:val="left" w:pos="3324"/>
        </w:tabs>
        <w:spacing w:line="480" w:lineRule="auto"/>
        <w:ind w:firstLine="0" w:firstLineChars="0"/>
        <w:rPr>
          <w:rFonts w:ascii="仿宋_GB2312" w:hAnsi="Times New Roman" w:cs="Times New Roman"/>
          <w:color w:val="auto"/>
          <w:kern w:val="0"/>
          <w:sz w:val="32"/>
          <w:szCs w:val="32"/>
          <w:highlight w:val="none"/>
          <w:lang w:bidi="en-US"/>
        </w:rPr>
      </w:pPr>
      <w:r>
        <w:rPr>
          <w:rFonts w:ascii="仿宋_GB2312" w:hAnsi="Times New Roman" w:cs="Times New Roman"/>
          <w:color w:val="auto"/>
          <w:kern w:val="0"/>
          <w:sz w:val="32"/>
          <w:szCs w:val="32"/>
          <w:highlight w:val="none"/>
          <w:lang w:bidi="en-US"/>
        </w:rPr>
        <w:tab/>
      </w:r>
    </w:p>
    <w:p>
      <w:pPr>
        <w:ind w:firstLine="640"/>
        <w:rPr>
          <w:rFonts w:ascii="仿宋_GB2312" w:hAnsi="Times New Roman" w:cs="Times New Roman"/>
          <w:color w:val="auto"/>
          <w:kern w:val="0"/>
          <w:sz w:val="32"/>
          <w:szCs w:val="32"/>
          <w:highlight w:val="none"/>
          <w:lang w:bidi="en-US"/>
        </w:rPr>
      </w:pPr>
    </w:p>
    <w:sdt>
      <w:sdtPr>
        <w:rPr>
          <w:rFonts w:ascii="Calibri" w:hAnsi="Calibri" w:eastAsia="仿宋_GB2312" w:cs="黑体"/>
          <w:color w:val="auto"/>
          <w:kern w:val="2"/>
          <w:sz w:val="28"/>
          <w:szCs w:val="22"/>
          <w:highlight w:val="none"/>
          <w:lang w:val="zh-CN"/>
        </w:rPr>
        <w:id w:val="-1"/>
        <w:docPartObj>
          <w:docPartGallery w:val="Table of Contents"/>
          <w:docPartUnique/>
        </w:docPartObj>
      </w:sdtPr>
      <w:sdtEndPr>
        <w:rPr>
          <w:rFonts w:ascii="Calibri" w:hAnsi="Calibri" w:eastAsia="仿宋_GB2312" w:cs="黑体"/>
          <w:b/>
          <w:bCs/>
          <w:color w:val="auto"/>
          <w:kern w:val="2"/>
          <w:sz w:val="28"/>
          <w:szCs w:val="22"/>
          <w:highlight w:val="none"/>
          <w:lang w:val="zh-CN"/>
        </w:rPr>
      </w:sdtEndPr>
      <w:sdtContent>
        <w:p>
          <w:pPr>
            <w:pStyle w:val="31"/>
            <w:ind w:firstLine="560"/>
            <w:jc w:val="center"/>
            <w:rPr>
              <w:color w:val="auto"/>
              <w:highlight w:val="none"/>
            </w:rPr>
          </w:pPr>
          <w:r>
            <w:rPr>
              <w:color w:val="auto"/>
              <w:highlight w:val="none"/>
              <w:lang w:val="zh-CN"/>
            </w:rPr>
            <w:t>目录</w:t>
          </w:r>
        </w:p>
        <w:p>
          <w:pPr>
            <w:pStyle w:val="13"/>
            <w:tabs>
              <w:tab w:val="right" w:leader="dot" w:pos="8296"/>
            </w:tabs>
            <w:ind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TOC \o "1-3" \h \z \u </w:instrText>
          </w:r>
          <w:r>
            <w:rPr>
              <w:color w:val="auto"/>
              <w:highlight w:val="none"/>
            </w:rPr>
            <w:fldChar w:fldCharType="separate"/>
          </w:r>
          <w:r>
            <w:rPr>
              <w:color w:val="auto"/>
              <w:highlight w:val="none"/>
            </w:rPr>
            <w:fldChar w:fldCharType="begin"/>
          </w:r>
          <w:r>
            <w:rPr>
              <w:color w:val="auto"/>
              <w:highlight w:val="none"/>
            </w:rPr>
            <w:instrText xml:space="preserve"> HYPERLINK \l "_Toc165277220" </w:instrText>
          </w:r>
          <w:r>
            <w:rPr>
              <w:color w:val="auto"/>
              <w:highlight w:val="none"/>
            </w:rPr>
            <w:fldChar w:fldCharType="separate"/>
          </w:r>
          <w:r>
            <w:rPr>
              <w:rStyle w:val="20"/>
              <w:rFonts w:hint="eastAsia" w:ascii="仿宋" w:hAnsi="仿宋" w:eastAsia="仿宋"/>
              <w:color w:val="auto"/>
              <w:highlight w:val="none"/>
              <w:lang w:bidi="en-US"/>
            </w:rPr>
            <w:t>一、基本情况</w:t>
          </w:r>
          <w:r>
            <w:rPr>
              <w:color w:val="auto"/>
              <w:highlight w:val="none"/>
            </w:rPr>
            <w:tab/>
          </w:r>
          <w:r>
            <w:rPr>
              <w:color w:val="auto"/>
              <w:highlight w:val="none"/>
            </w:rPr>
            <w:fldChar w:fldCharType="begin"/>
          </w:r>
          <w:r>
            <w:rPr>
              <w:color w:val="auto"/>
              <w:highlight w:val="none"/>
            </w:rPr>
            <w:instrText xml:space="preserve"> PAGEREF _Toc165277220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pPr>
            <w:pStyle w:val="15"/>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"_Toc165277221" </w:instrText>
          </w:r>
          <w:r>
            <w:rPr>
              <w:color w:val="auto"/>
              <w:highlight w:val="none"/>
            </w:rPr>
            <w:fldChar w:fldCharType="separate"/>
          </w:r>
          <w:r>
            <w:rPr>
              <w:rStyle w:val="20"/>
              <w:rFonts w:hint="eastAsia" w:ascii="仿宋" w:hAnsi="仿宋" w:eastAsia="仿宋"/>
              <w:color w:val="auto"/>
              <w:highlight w:val="none"/>
              <w:lang w:bidi="en-US"/>
            </w:rPr>
            <w:t>（一）项目概况：</w:t>
          </w:r>
          <w:r>
            <w:rPr>
              <w:color w:val="auto"/>
              <w:highlight w:val="none"/>
            </w:rPr>
            <w:tab/>
          </w:r>
          <w:r>
            <w:rPr>
              <w:color w:val="auto"/>
              <w:highlight w:val="none"/>
            </w:rPr>
            <w:fldChar w:fldCharType="begin"/>
          </w:r>
          <w:r>
            <w:rPr>
              <w:color w:val="auto"/>
              <w:highlight w:val="none"/>
            </w:rPr>
            <w:instrText xml:space="preserve"> PAGEREF _Toc165277221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"_Toc165277222" </w:instrText>
          </w:r>
          <w:r>
            <w:rPr>
              <w:color w:val="auto"/>
              <w:highlight w:val="none"/>
            </w:rPr>
            <w:fldChar w:fldCharType="separate"/>
          </w:r>
          <w:r>
            <w:rPr>
              <w:rStyle w:val="20"/>
              <w:color w:val="auto"/>
              <w:highlight w:val="none"/>
            </w:rPr>
            <w:t>1</w:t>
          </w:r>
          <w:r>
            <w:rPr>
              <w:rStyle w:val="20"/>
              <w:rFonts w:hint="eastAsia"/>
              <w:color w:val="auto"/>
              <w:highlight w:val="none"/>
            </w:rPr>
            <w:t>．项目背景、主要内容及实施情况</w:t>
          </w:r>
          <w:r>
            <w:rPr>
              <w:color w:val="auto"/>
              <w:highlight w:val="none"/>
            </w:rPr>
            <w:tab/>
          </w:r>
          <w:r>
            <w:rPr>
              <w:color w:val="auto"/>
              <w:highlight w:val="none"/>
            </w:rPr>
            <w:fldChar w:fldCharType="begin"/>
          </w:r>
          <w:r>
            <w:rPr>
              <w:color w:val="auto"/>
              <w:highlight w:val="none"/>
            </w:rPr>
            <w:instrText xml:space="preserve"> PAGEREF _Toc165277222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"_Toc165277223" </w:instrText>
          </w:r>
          <w:r>
            <w:rPr>
              <w:color w:val="auto"/>
              <w:highlight w:val="none"/>
            </w:rPr>
            <w:fldChar w:fldCharType="separate"/>
          </w:r>
          <w:r>
            <w:rPr>
              <w:rStyle w:val="20"/>
              <w:color w:val="auto"/>
              <w:highlight w:val="none"/>
            </w:rPr>
            <w:t>2.</w:t>
          </w:r>
          <w:r>
            <w:rPr>
              <w:rStyle w:val="20"/>
              <w:rFonts w:hint="eastAsia"/>
              <w:color w:val="auto"/>
              <w:highlight w:val="none"/>
            </w:rPr>
            <w:t>资金投入和使用情况</w:t>
          </w:r>
          <w:r>
            <w:rPr>
              <w:color w:val="auto"/>
              <w:highlight w:val="none"/>
            </w:rPr>
            <w:tab/>
          </w:r>
          <w:r>
            <w:rPr>
              <w:color w:val="auto"/>
              <w:highlight w:val="none"/>
            </w:rPr>
            <w:fldChar w:fldCharType="begin"/>
          </w:r>
          <w:r>
            <w:rPr>
              <w:color w:val="auto"/>
              <w:highlight w:val="none"/>
            </w:rPr>
            <w:instrText xml:space="preserve"> PAGEREF _Toc165277223 \h </w:instrText>
          </w:r>
          <w:r>
            <w:rPr>
              <w:color w:val="auto"/>
              <w:highlight w:val="none"/>
            </w:rPr>
            <w:fldChar w:fldCharType="separate"/>
          </w:r>
          <w:r>
            <w:rPr>
              <w:color w:val="auto"/>
              <w:highlight w:val="none"/>
            </w:rPr>
            <w:t>3</w:t>
          </w:r>
          <w:r>
            <w:rPr>
              <w:color w:val="auto"/>
              <w:highlight w:val="none"/>
            </w:rPr>
            <w:fldChar w:fldCharType="end"/>
          </w:r>
          <w:r>
            <w:rPr>
              <w:color w:val="auto"/>
              <w:highlight w:val="none"/>
            </w:rPr>
            <w:fldChar w:fldCharType="end"/>
          </w:r>
        </w:p>
        <w:p>
          <w:pPr>
            <w:pStyle w:val="15"/>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"_Toc165277224" </w:instrText>
          </w:r>
          <w:r>
            <w:rPr>
              <w:color w:val="auto"/>
              <w:highlight w:val="none"/>
            </w:rPr>
            <w:fldChar w:fldCharType="separate"/>
          </w:r>
          <w:r>
            <w:rPr>
              <w:rStyle w:val="20"/>
              <w:rFonts w:hint="eastAsia" w:ascii="仿宋" w:hAnsi="仿宋" w:eastAsia="仿宋"/>
              <w:color w:val="auto"/>
              <w:highlight w:val="none"/>
              <w:lang w:bidi="en-US"/>
            </w:rPr>
            <w:t>（二）项目绩效目标：</w:t>
          </w:r>
          <w:r>
            <w:rPr>
              <w:color w:val="auto"/>
              <w:highlight w:val="none"/>
            </w:rPr>
            <w:tab/>
          </w:r>
          <w:r>
            <w:rPr>
              <w:color w:val="auto"/>
              <w:highlight w:val="none"/>
            </w:rPr>
            <w:fldChar w:fldCharType="begin"/>
          </w:r>
          <w:r>
            <w:rPr>
              <w:color w:val="auto"/>
              <w:highlight w:val="none"/>
            </w:rPr>
            <w:instrText xml:space="preserve"> PAGEREF _Toc165277224 \h </w:instrText>
          </w:r>
          <w:r>
            <w:rPr>
              <w:color w:val="auto"/>
              <w:highlight w:val="none"/>
            </w:rPr>
            <w:fldChar w:fldCharType="separate"/>
          </w:r>
          <w:r>
            <w:rPr>
              <w:color w:val="auto"/>
              <w:highlight w:val="none"/>
            </w:rPr>
            <w:t>3</w:t>
          </w:r>
          <w:r>
            <w:rPr>
              <w:color w:val="auto"/>
              <w:highlight w:val="none"/>
            </w:rPr>
            <w:fldChar w:fldCharType="end"/>
          </w:r>
          <w:r>
            <w:rPr>
              <w:color w:val="auto"/>
              <w:highlight w:val="none"/>
            </w:rPr>
            <w:fldChar w:fldCharType="end"/>
          </w:r>
        </w:p>
        <w:p>
          <w:pPr>
            <w:pStyle w:val="13"/>
            <w:tabs>
              <w:tab w:val="right" w:leader="dot" w:pos="8296"/>
            </w:tabs>
            <w:ind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"_Toc165277225" </w:instrText>
          </w:r>
          <w:r>
            <w:rPr>
              <w:color w:val="auto"/>
              <w:highlight w:val="none"/>
            </w:rPr>
            <w:fldChar w:fldCharType="separate"/>
          </w:r>
          <w:r>
            <w:rPr>
              <w:rStyle w:val="20"/>
              <w:rFonts w:hint="eastAsia" w:ascii="仿宋" w:hAnsi="仿宋" w:eastAsia="仿宋"/>
              <w:color w:val="auto"/>
              <w:highlight w:val="none"/>
              <w:lang w:bidi="en-US"/>
            </w:rPr>
            <w:t>二、绩效评价工作开展情况</w:t>
          </w:r>
          <w:r>
            <w:rPr>
              <w:color w:val="auto"/>
              <w:highlight w:val="none"/>
            </w:rPr>
            <w:tab/>
          </w:r>
          <w:r>
            <w:rPr>
              <w:color w:val="auto"/>
              <w:highlight w:val="none"/>
            </w:rPr>
            <w:fldChar w:fldCharType="begin"/>
          </w:r>
          <w:r>
            <w:rPr>
              <w:color w:val="auto"/>
              <w:highlight w:val="none"/>
            </w:rPr>
            <w:instrText xml:space="preserve"> PAGEREF _Toc165277225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pPr>
            <w:pStyle w:val="15"/>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"_Toc165277226" </w:instrText>
          </w:r>
          <w:r>
            <w:rPr>
              <w:color w:val="auto"/>
              <w:highlight w:val="none"/>
            </w:rPr>
            <w:fldChar w:fldCharType="separate"/>
          </w:r>
          <w:r>
            <w:rPr>
              <w:rStyle w:val="20"/>
              <w:rFonts w:hint="eastAsia" w:ascii="仿宋" w:hAnsi="仿宋" w:eastAsia="仿宋"/>
              <w:color w:val="auto"/>
              <w:highlight w:val="none"/>
              <w:lang w:bidi="en-US"/>
            </w:rPr>
            <w:t>（一）绩效评价目的、对象和范围</w:t>
          </w:r>
          <w:r>
            <w:rPr>
              <w:color w:val="auto"/>
              <w:highlight w:val="none"/>
            </w:rPr>
            <w:tab/>
          </w:r>
          <w:r>
            <w:rPr>
              <w:color w:val="auto"/>
              <w:highlight w:val="none"/>
            </w:rPr>
            <w:fldChar w:fldCharType="begin"/>
          </w:r>
          <w:r>
            <w:rPr>
              <w:color w:val="auto"/>
              <w:highlight w:val="none"/>
            </w:rPr>
            <w:instrText xml:space="preserve"> PAGEREF _Toc165277226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"_Toc165277227" </w:instrText>
          </w:r>
          <w:r>
            <w:rPr>
              <w:color w:val="auto"/>
              <w:highlight w:val="none"/>
            </w:rPr>
            <w:fldChar w:fldCharType="separate"/>
          </w:r>
          <w:r>
            <w:rPr>
              <w:rStyle w:val="20"/>
              <w:color w:val="auto"/>
              <w:highlight w:val="none"/>
            </w:rPr>
            <w:t>1.</w:t>
          </w:r>
          <w:r>
            <w:rPr>
              <w:rStyle w:val="20"/>
              <w:rFonts w:hint="eastAsia"/>
              <w:color w:val="auto"/>
              <w:highlight w:val="none"/>
            </w:rPr>
            <w:t>绩效评价完整性</w:t>
          </w:r>
          <w:r>
            <w:rPr>
              <w:color w:val="auto"/>
              <w:highlight w:val="none"/>
            </w:rPr>
            <w:tab/>
          </w:r>
          <w:r>
            <w:rPr>
              <w:color w:val="auto"/>
              <w:highlight w:val="none"/>
            </w:rPr>
            <w:fldChar w:fldCharType="begin"/>
          </w:r>
          <w:r>
            <w:rPr>
              <w:color w:val="auto"/>
              <w:highlight w:val="none"/>
            </w:rPr>
            <w:instrText xml:space="preserve"> PAGEREF _Toc165277227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"_Toc165277228" </w:instrText>
          </w:r>
          <w:r>
            <w:rPr>
              <w:color w:val="auto"/>
              <w:highlight w:val="none"/>
            </w:rPr>
            <w:fldChar w:fldCharType="separate"/>
          </w:r>
          <w:r>
            <w:rPr>
              <w:rStyle w:val="20"/>
              <w:color w:val="auto"/>
              <w:highlight w:val="none"/>
            </w:rPr>
            <w:t>2.</w:t>
          </w:r>
          <w:r>
            <w:rPr>
              <w:rStyle w:val="20"/>
              <w:rFonts w:hint="eastAsia"/>
              <w:color w:val="auto"/>
              <w:highlight w:val="none"/>
            </w:rPr>
            <w:t>评价目的</w:t>
          </w:r>
          <w:r>
            <w:rPr>
              <w:color w:val="auto"/>
              <w:highlight w:val="none"/>
            </w:rPr>
            <w:tab/>
          </w:r>
          <w:r>
            <w:rPr>
              <w:color w:val="auto"/>
              <w:highlight w:val="none"/>
            </w:rPr>
            <w:fldChar w:fldCharType="begin"/>
          </w:r>
          <w:r>
            <w:rPr>
              <w:color w:val="auto"/>
              <w:highlight w:val="none"/>
            </w:rPr>
            <w:instrText xml:space="preserve"> PAGEREF _Toc165277228 \h </w:instrText>
          </w:r>
          <w:r>
            <w:rPr>
              <w:color w:val="auto"/>
              <w:highlight w:val="none"/>
            </w:rPr>
            <w:fldChar w:fldCharType="separate"/>
          </w:r>
          <w:r>
            <w:rPr>
              <w:color w:val="auto"/>
              <w:highlight w:val="none"/>
            </w:rPr>
            <w:t>6</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"_Toc165277229" </w:instrText>
          </w:r>
          <w:r>
            <w:rPr>
              <w:color w:val="auto"/>
              <w:highlight w:val="none"/>
            </w:rPr>
            <w:fldChar w:fldCharType="separate"/>
          </w:r>
          <w:r>
            <w:rPr>
              <w:rStyle w:val="20"/>
              <w:color w:val="auto"/>
              <w:highlight w:val="none"/>
            </w:rPr>
            <w:t>3.</w:t>
          </w:r>
          <w:r>
            <w:rPr>
              <w:rStyle w:val="20"/>
              <w:rFonts w:hint="eastAsia"/>
              <w:color w:val="auto"/>
              <w:highlight w:val="none"/>
            </w:rPr>
            <w:t>评价对象</w:t>
          </w:r>
          <w:r>
            <w:rPr>
              <w:color w:val="auto"/>
              <w:highlight w:val="none"/>
            </w:rPr>
            <w:tab/>
          </w:r>
          <w:r>
            <w:rPr>
              <w:color w:val="auto"/>
              <w:highlight w:val="none"/>
            </w:rPr>
            <w:fldChar w:fldCharType="begin"/>
          </w:r>
          <w:r>
            <w:rPr>
              <w:color w:val="auto"/>
              <w:highlight w:val="none"/>
            </w:rPr>
            <w:instrText xml:space="preserve"> PAGEREF _Toc165277229 \h </w:instrText>
          </w:r>
          <w:r>
            <w:rPr>
              <w:color w:val="auto"/>
              <w:highlight w:val="none"/>
            </w:rPr>
            <w:fldChar w:fldCharType="separate"/>
          </w:r>
          <w:r>
            <w:rPr>
              <w:color w:val="auto"/>
              <w:highlight w:val="none"/>
            </w:rPr>
            <w:t>6</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"_Toc165277230" </w:instrText>
          </w:r>
          <w:r>
            <w:rPr>
              <w:color w:val="auto"/>
              <w:highlight w:val="none"/>
            </w:rPr>
            <w:fldChar w:fldCharType="separate"/>
          </w:r>
          <w:r>
            <w:rPr>
              <w:rStyle w:val="20"/>
              <w:color w:val="auto"/>
              <w:highlight w:val="none"/>
            </w:rPr>
            <w:t>4.</w:t>
          </w:r>
          <w:r>
            <w:rPr>
              <w:rStyle w:val="20"/>
              <w:rFonts w:hint="eastAsia"/>
              <w:color w:val="auto"/>
              <w:highlight w:val="none"/>
            </w:rPr>
            <w:t>绩效评价范围</w:t>
          </w:r>
          <w:r>
            <w:rPr>
              <w:color w:val="auto"/>
              <w:highlight w:val="none"/>
            </w:rPr>
            <w:tab/>
          </w:r>
          <w:r>
            <w:rPr>
              <w:color w:val="auto"/>
              <w:highlight w:val="none"/>
            </w:rPr>
            <w:fldChar w:fldCharType="begin"/>
          </w:r>
          <w:r>
            <w:rPr>
              <w:color w:val="auto"/>
              <w:highlight w:val="none"/>
            </w:rPr>
            <w:instrText xml:space="preserve"> PAGEREF _Toc165277230 \h </w:instrText>
          </w:r>
          <w:r>
            <w:rPr>
              <w:color w:val="auto"/>
              <w:highlight w:val="none"/>
            </w:rPr>
            <w:fldChar w:fldCharType="separate"/>
          </w:r>
          <w:r>
            <w:rPr>
              <w:color w:val="auto"/>
              <w:highlight w:val="none"/>
            </w:rPr>
            <w:t>7</w:t>
          </w:r>
          <w:r>
            <w:rPr>
              <w:color w:val="auto"/>
              <w:highlight w:val="none"/>
            </w:rPr>
            <w:fldChar w:fldCharType="end"/>
          </w:r>
          <w:r>
            <w:rPr>
              <w:color w:val="auto"/>
              <w:highlight w:val="none"/>
            </w:rPr>
            <w:fldChar w:fldCharType="end"/>
          </w:r>
        </w:p>
        <w:p>
          <w:pPr>
            <w:pStyle w:val="15"/>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"_Toc165277231" </w:instrText>
          </w:r>
          <w:r>
            <w:rPr>
              <w:color w:val="auto"/>
              <w:highlight w:val="none"/>
            </w:rPr>
            <w:fldChar w:fldCharType="separate"/>
          </w:r>
          <w:r>
            <w:rPr>
              <w:rStyle w:val="20"/>
              <w:rFonts w:hint="eastAsia" w:ascii="仿宋" w:hAnsi="仿宋" w:eastAsia="仿宋"/>
              <w:color w:val="auto"/>
              <w:highlight w:val="none"/>
              <w:lang w:bidi="en-US"/>
            </w:rPr>
            <w:t>（二）绩效评价原则、指标体系、方法及标准</w:t>
          </w:r>
          <w:r>
            <w:rPr>
              <w:color w:val="auto"/>
              <w:highlight w:val="none"/>
            </w:rPr>
            <w:tab/>
          </w:r>
          <w:r>
            <w:rPr>
              <w:color w:val="auto"/>
              <w:highlight w:val="none"/>
            </w:rPr>
            <w:fldChar w:fldCharType="begin"/>
          </w:r>
          <w:r>
            <w:rPr>
              <w:color w:val="auto"/>
              <w:highlight w:val="none"/>
            </w:rPr>
            <w:instrText xml:space="preserve"> PAGEREF _Toc165277231 \h </w:instrText>
          </w:r>
          <w:r>
            <w:rPr>
              <w:color w:val="auto"/>
              <w:highlight w:val="none"/>
            </w:rPr>
            <w:fldChar w:fldCharType="separate"/>
          </w:r>
          <w:r>
            <w:rPr>
              <w:color w:val="auto"/>
              <w:highlight w:val="none"/>
            </w:rPr>
            <w:t>8</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"_Toc165277232" </w:instrText>
          </w:r>
          <w:r>
            <w:rPr>
              <w:color w:val="auto"/>
              <w:highlight w:val="none"/>
            </w:rPr>
            <w:fldChar w:fldCharType="separate"/>
          </w:r>
          <w:r>
            <w:rPr>
              <w:rStyle w:val="20"/>
              <w:color w:val="auto"/>
              <w:highlight w:val="none"/>
            </w:rPr>
            <w:t>1.</w:t>
          </w:r>
          <w:r>
            <w:rPr>
              <w:rStyle w:val="20"/>
              <w:rFonts w:hint="eastAsia"/>
              <w:color w:val="auto"/>
              <w:highlight w:val="none"/>
            </w:rPr>
            <w:t>评价原则</w:t>
          </w:r>
          <w:r>
            <w:rPr>
              <w:color w:val="auto"/>
              <w:highlight w:val="none"/>
            </w:rPr>
            <w:tab/>
          </w:r>
          <w:r>
            <w:rPr>
              <w:color w:val="auto"/>
              <w:highlight w:val="none"/>
            </w:rPr>
            <w:fldChar w:fldCharType="begin"/>
          </w:r>
          <w:r>
            <w:rPr>
              <w:color w:val="auto"/>
              <w:highlight w:val="none"/>
            </w:rPr>
            <w:instrText xml:space="preserve"> PAGEREF _Toc165277232 \h </w:instrText>
          </w:r>
          <w:r>
            <w:rPr>
              <w:color w:val="auto"/>
              <w:highlight w:val="none"/>
            </w:rPr>
            <w:fldChar w:fldCharType="separate"/>
          </w:r>
          <w:r>
            <w:rPr>
              <w:color w:val="auto"/>
              <w:highlight w:val="none"/>
            </w:rPr>
            <w:t>8</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"_Toc165277233" </w:instrText>
          </w:r>
          <w:r>
            <w:rPr>
              <w:color w:val="auto"/>
              <w:highlight w:val="none"/>
            </w:rPr>
            <w:fldChar w:fldCharType="separate"/>
          </w:r>
          <w:r>
            <w:rPr>
              <w:rStyle w:val="20"/>
              <w:color w:val="auto"/>
              <w:highlight w:val="none"/>
            </w:rPr>
            <w:t>2.</w:t>
          </w:r>
          <w:r>
            <w:rPr>
              <w:rStyle w:val="20"/>
              <w:rFonts w:hint="eastAsia"/>
              <w:color w:val="auto"/>
              <w:highlight w:val="none"/>
            </w:rPr>
            <w:t>评价指标体系</w:t>
          </w:r>
          <w:r>
            <w:rPr>
              <w:color w:val="auto"/>
              <w:highlight w:val="none"/>
            </w:rPr>
            <w:tab/>
          </w:r>
          <w:r>
            <w:rPr>
              <w:color w:val="auto"/>
              <w:highlight w:val="none"/>
            </w:rPr>
            <w:fldChar w:fldCharType="begin"/>
          </w:r>
          <w:r>
            <w:rPr>
              <w:color w:val="auto"/>
              <w:highlight w:val="none"/>
            </w:rPr>
            <w:instrText xml:space="preserve"> PAGEREF _Toc165277233 \h </w:instrText>
          </w:r>
          <w:r>
            <w:rPr>
              <w:color w:val="auto"/>
              <w:highlight w:val="none"/>
            </w:rPr>
            <w:fldChar w:fldCharType="separate"/>
          </w:r>
          <w:r>
            <w:rPr>
              <w:color w:val="auto"/>
              <w:highlight w:val="none"/>
            </w:rPr>
            <w:t>8</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"_Toc165277234" </w:instrText>
          </w:r>
          <w:r>
            <w:rPr>
              <w:color w:val="auto"/>
              <w:highlight w:val="none"/>
            </w:rPr>
            <w:fldChar w:fldCharType="separate"/>
          </w:r>
          <w:r>
            <w:rPr>
              <w:rStyle w:val="20"/>
              <w:color w:val="auto"/>
              <w:highlight w:val="none"/>
            </w:rPr>
            <w:t>3.</w:t>
          </w:r>
          <w:r>
            <w:rPr>
              <w:rStyle w:val="20"/>
              <w:rFonts w:hint="eastAsia"/>
              <w:color w:val="auto"/>
              <w:highlight w:val="none"/>
            </w:rPr>
            <w:t>评价方法</w:t>
          </w:r>
          <w:r>
            <w:rPr>
              <w:color w:val="auto"/>
              <w:highlight w:val="none"/>
            </w:rPr>
            <w:tab/>
          </w:r>
          <w:r>
            <w:rPr>
              <w:color w:val="auto"/>
              <w:highlight w:val="none"/>
            </w:rPr>
            <w:fldChar w:fldCharType="begin"/>
          </w:r>
          <w:r>
            <w:rPr>
              <w:color w:val="auto"/>
              <w:highlight w:val="none"/>
            </w:rPr>
            <w:instrText xml:space="preserve"> PAGEREF _Toc165277234 \h </w:instrText>
          </w:r>
          <w:r>
            <w:rPr>
              <w:color w:val="auto"/>
              <w:highlight w:val="none"/>
            </w:rPr>
            <w:fldChar w:fldCharType="separate"/>
          </w:r>
          <w:r>
            <w:rPr>
              <w:color w:val="auto"/>
              <w:highlight w:val="none"/>
            </w:rPr>
            <w:t>18</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"_Toc165277235" </w:instrText>
          </w:r>
          <w:r>
            <w:rPr>
              <w:color w:val="auto"/>
              <w:highlight w:val="none"/>
            </w:rPr>
            <w:fldChar w:fldCharType="separate"/>
          </w:r>
          <w:r>
            <w:rPr>
              <w:rStyle w:val="20"/>
              <w:color w:val="auto"/>
              <w:highlight w:val="none"/>
            </w:rPr>
            <w:t>4.</w:t>
          </w:r>
          <w:r>
            <w:rPr>
              <w:rStyle w:val="20"/>
              <w:rFonts w:hint="eastAsia"/>
              <w:color w:val="auto"/>
              <w:highlight w:val="none"/>
            </w:rPr>
            <w:t>评价标准</w:t>
          </w:r>
          <w:r>
            <w:rPr>
              <w:color w:val="auto"/>
              <w:highlight w:val="none"/>
            </w:rPr>
            <w:tab/>
          </w:r>
          <w:r>
            <w:rPr>
              <w:color w:val="auto"/>
              <w:highlight w:val="none"/>
            </w:rPr>
            <w:fldChar w:fldCharType="begin"/>
          </w:r>
          <w:r>
            <w:rPr>
              <w:color w:val="auto"/>
              <w:highlight w:val="none"/>
            </w:rPr>
            <w:instrText xml:space="preserve"> PAGEREF _Toc165277235 \h </w:instrText>
          </w:r>
          <w:r>
            <w:rPr>
              <w:color w:val="auto"/>
              <w:highlight w:val="none"/>
            </w:rPr>
            <w:fldChar w:fldCharType="separate"/>
          </w:r>
          <w:r>
            <w:rPr>
              <w:color w:val="auto"/>
              <w:highlight w:val="none"/>
            </w:rPr>
            <w:t>19</w:t>
          </w:r>
          <w:r>
            <w:rPr>
              <w:color w:val="auto"/>
              <w:highlight w:val="none"/>
            </w:rPr>
            <w:fldChar w:fldCharType="end"/>
          </w:r>
          <w:r>
            <w:rPr>
              <w:color w:val="auto"/>
              <w:highlight w:val="none"/>
            </w:rPr>
            <w:fldChar w:fldCharType="end"/>
          </w:r>
        </w:p>
        <w:p>
          <w:pPr>
            <w:pStyle w:val="15"/>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"_Toc165277236" </w:instrText>
          </w:r>
          <w:r>
            <w:rPr>
              <w:color w:val="auto"/>
              <w:highlight w:val="none"/>
            </w:rPr>
            <w:fldChar w:fldCharType="separate"/>
          </w:r>
          <w:r>
            <w:rPr>
              <w:rStyle w:val="20"/>
              <w:rFonts w:hint="eastAsia" w:ascii="仿宋" w:hAnsi="仿宋" w:eastAsia="仿宋"/>
              <w:color w:val="auto"/>
              <w:highlight w:val="none"/>
              <w:lang w:bidi="en-US"/>
            </w:rPr>
            <w:t>（三）绩效评价工作过程</w:t>
          </w:r>
          <w:r>
            <w:rPr>
              <w:color w:val="auto"/>
              <w:highlight w:val="none"/>
            </w:rPr>
            <w:tab/>
          </w:r>
          <w:r>
            <w:rPr>
              <w:color w:val="auto"/>
              <w:highlight w:val="none"/>
            </w:rPr>
            <w:fldChar w:fldCharType="begin"/>
          </w:r>
          <w:r>
            <w:rPr>
              <w:color w:val="auto"/>
              <w:highlight w:val="none"/>
            </w:rPr>
            <w:instrText xml:space="preserve"> PAGEREF _Toc165277236 \h </w:instrText>
          </w:r>
          <w:r>
            <w:rPr>
              <w:color w:val="auto"/>
              <w:highlight w:val="none"/>
            </w:rPr>
            <w:fldChar w:fldCharType="separate"/>
          </w:r>
          <w:r>
            <w:rPr>
              <w:color w:val="auto"/>
              <w:highlight w:val="none"/>
            </w:rPr>
            <w:t>20</w:t>
          </w:r>
          <w:r>
            <w:rPr>
              <w:color w:val="auto"/>
              <w:highlight w:val="none"/>
            </w:rPr>
            <w:fldChar w:fldCharType="end"/>
          </w:r>
          <w:r>
            <w:rPr>
              <w:color w:val="auto"/>
              <w:highlight w:val="none"/>
            </w:rPr>
            <w:fldChar w:fldCharType="end"/>
          </w:r>
        </w:p>
        <w:p>
          <w:pPr>
            <w:pStyle w:val="13"/>
            <w:tabs>
              <w:tab w:val="right" w:leader="dot" w:pos="8296"/>
            </w:tabs>
            <w:ind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"_Toc165277237" </w:instrText>
          </w:r>
          <w:r>
            <w:rPr>
              <w:color w:val="auto"/>
              <w:highlight w:val="none"/>
            </w:rPr>
            <w:fldChar w:fldCharType="separate"/>
          </w:r>
          <w:r>
            <w:rPr>
              <w:rStyle w:val="20"/>
              <w:rFonts w:hint="eastAsia" w:ascii="仿宋" w:hAnsi="仿宋" w:eastAsia="仿宋"/>
              <w:color w:val="auto"/>
              <w:highlight w:val="none"/>
              <w:lang w:bidi="en-US"/>
            </w:rPr>
            <w:t>三、综合评价情况及评价结论</w:t>
          </w:r>
          <w:r>
            <w:rPr>
              <w:color w:val="auto"/>
              <w:highlight w:val="none"/>
            </w:rPr>
            <w:tab/>
          </w:r>
          <w:r>
            <w:rPr>
              <w:color w:val="auto"/>
              <w:highlight w:val="none"/>
            </w:rPr>
            <w:fldChar w:fldCharType="begin"/>
          </w:r>
          <w:r>
            <w:rPr>
              <w:color w:val="auto"/>
              <w:highlight w:val="none"/>
            </w:rPr>
            <w:instrText xml:space="preserve"> PAGEREF _Toc165277237 \h </w:instrText>
          </w:r>
          <w:r>
            <w:rPr>
              <w:color w:val="auto"/>
              <w:highlight w:val="none"/>
            </w:rPr>
            <w:fldChar w:fldCharType="separate"/>
          </w:r>
          <w:r>
            <w:rPr>
              <w:color w:val="auto"/>
              <w:highlight w:val="none"/>
            </w:rPr>
            <w:t>20</w:t>
          </w:r>
          <w:r>
            <w:rPr>
              <w:color w:val="auto"/>
              <w:highlight w:val="none"/>
            </w:rPr>
            <w:fldChar w:fldCharType="end"/>
          </w:r>
          <w:r>
            <w:rPr>
              <w:color w:val="auto"/>
              <w:highlight w:val="none"/>
            </w:rPr>
            <w:fldChar w:fldCharType="end"/>
          </w:r>
        </w:p>
        <w:p>
          <w:pPr>
            <w:pStyle w:val="15"/>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"_Toc165277238" </w:instrText>
          </w:r>
          <w:r>
            <w:rPr>
              <w:color w:val="auto"/>
              <w:highlight w:val="none"/>
            </w:rPr>
            <w:fldChar w:fldCharType="separate"/>
          </w:r>
          <w:r>
            <w:rPr>
              <w:rStyle w:val="20"/>
              <w:rFonts w:hint="eastAsia" w:ascii="仿宋" w:hAnsi="仿宋" w:eastAsia="仿宋"/>
              <w:color w:val="auto"/>
              <w:highlight w:val="none"/>
              <w:lang w:bidi="en-US"/>
            </w:rPr>
            <w:t>（一）评价结论</w:t>
          </w:r>
          <w:r>
            <w:rPr>
              <w:color w:val="auto"/>
              <w:highlight w:val="none"/>
            </w:rPr>
            <w:tab/>
          </w:r>
          <w:r>
            <w:rPr>
              <w:color w:val="auto"/>
              <w:highlight w:val="none"/>
            </w:rPr>
            <w:fldChar w:fldCharType="begin"/>
          </w:r>
          <w:r>
            <w:rPr>
              <w:color w:val="auto"/>
              <w:highlight w:val="none"/>
            </w:rPr>
            <w:instrText xml:space="preserve"> PAGEREF _Toc165277238 \h </w:instrText>
          </w:r>
          <w:r>
            <w:rPr>
              <w:color w:val="auto"/>
              <w:highlight w:val="none"/>
            </w:rPr>
            <w:fldChar w:fldCharType="separate"/>
          </w:r>
          <w:r>
            <w:rPr>
              <w:color w:val="auto"/>
              <w:highlight w:val="none"/>
            </w:rPr>
            <w:t>20</w:t>
          </w:r>
          <w:r>
            <w:rPr>
              <w:color w:val="auto"/>
              <w:highlight w:val="none"/>
            </w:rPr>
            <w:fldChar w:fldCharType="end"/>
          </w:r>
          <w:r>
            <w:rPr>
              <w:color w:val="auto"/>
              <w:highlight w:val="none"/>
            </w:rPr>
            <w:fldChar w:fldCharType="end"/>
          </w:r>
        </w:p>
        <w:p>
          <w:pPr>
            <w:pStyle w:val="15"/>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"_Toc165277239" </w:instrText>
          </w:r>
          <w:r>
            <w:rPr>
              <w:color w:val="auto"/>
              <w:highlight w:val="none"/>
            </w:rPr>
            <w:fldChar w:fldCharType="separate"/>
          </w:r>
          <w:r>
            <w:rPr>
              <w:rStyle w:val="20"/>
              <w:rFonts w:hint="eastAsia" w:ascii="仿宋" w:hAnsi="仿宋" w:eastAsia="仿宋"/>
              <w:color w:val="auto"/>
              <w:highlight w:val="none"/>
              <w:lang w:bidi="en-US"/>
            </w:rPr>
            <w:t>（二）主要绩效</w:t>
          </w:r>
          <w:r>
            <w:rPr>
              <w:color w:val="auto"/>
              <w:highlight w:val="none"/>
            </w:rPr>
            <w:tab/>
          </w:r>
          <w:r>
            <w:rPr>
              <w:color w:val="auto"/>
              <w:highlight w:val="none"/>
            </w:rPr>
            <w:fldChar w:fldCharType="begin"/>
          </w:r>
          <w:r>
            <w:rPr>
              <w:color w:val="auto"/>
              <w:highlight w:val="none"/>
            </w:rPr>
            <w:instrText xml:space="preserve"> PAGEREF _Toc165277239 \h </w:instrText>
          </w:r>
          <w:r>
            <w:rPr>
              <w:color w:val="auto"/>
              <w:highlight w:val="none"/>
            </w:rPr>
            <w:fldChar w:fldCharType="separate"/>
          </w:r>
          <w:r>
            <w:rPr>
              <w:color w:val="auto"/>
              <w:highlight w:val="none"/>
            </w:rPr>
            <w:t>22</w:t>
          </w:r>
          <w:r>
            <w:rPr>
              <w:color w:val="auto"/>
              <w:highlight w:val="none"/>
            </w:rPr>
            <w:fldChar w:fldCharType="end"/>
          </w:r>
          <w:r>
            <w:rPr>
              <w:color w:val="auto"/>
              <w:highlight w:val="none"/>
            </w:rPr>
            <w:fldChar w:fldCharType="end"/>
          </w:r>
        </w:p>
        <w:p>
          <w:pPr>
            <w:pStyle w:val="13"/>
            <w:tabs>
              <w:tab w:val="right" w:leader="dot" w:pos="8296"/>
            </w:tabs>
            <w:ind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"_Toc165277240" </w:instrText>
          </w:r>
          <w:r>
            <w:rPr>
              <w:color w:val="auto"/>
              <w:highlight w:val="none"/>
            </w:rPr>
            <w:fldChar w:fldCharType="separate"/>
          </w:r>
          <w:r>
            <w:rPr>
              <w:rStyle w:val="20"/>
              <w:rFonts w:hint="eastAsia" w:ascii="仿宋" w:hAnsi="仿宋" w:eastAsia="仿宋"/>
              <w:color w:val="auto"/>
              <w:highlight w:val="none"/>
              <w:lang w:bidi="en-US"/>
            </w:rPr>
            <w:t>四、绩效评价指标分析</w:t>
          </w:r>
          <w:r>
            <w:rPr>
              <w:color w:val="auto"/>
              <w:highlight w:val="none"/>
            </w:rPr>
            <w:tab/>
          </w:r>
          <w:r>
            <w:rPr>
              <w:color w:val="auto"/>
              <w:highlight w:val="none"/>
            </w:rPr>
            <w:fldChar w:fldCharType="begin"/>
          </w:r>
          <w:r>
            <w:rPr>
              <w:color w:val="auto"/>
              <w:highlight w:val="none"/>
            </w:rPr>
            <w:instrText xml:space="preserve"> PAGEREF _Toc165277240 \h </w:instrText>
          </w:r>
          <w:r>
            <w:rPr>
              <w:color w:val="auto"/>
              <w:highlight w:val="none"/>
            </w:rPr>
            <w:fldChar w:fldCharType="separate"/>
          </w:r>
          <w:r>
            <w:rPr>
              <w:color w:val="auto"/>
              <w:highlight w:val="none"/>
            </w:rPr>
            <w:t>22</w:t>
          </w:r>
          <w:r>
            <w:rPr>
              <w:color w:val="auto"/>
              <w:highlight w:val="none"/>
            </w:rPr>
            <w:fldChar w:fldCharType="end"/>
          </w:r>
          <w:r>
            <w:rPr>
              <w:color w:val="auto"/>
              <w:highlight w:val="none"/>
            </w:rPr>
            <w:fldChar w:fldCharType="end"/>
          </w:r>
        </w:p>
        <w:p>
          <w:pPr>
            <w:pStyle w:val="15"/>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"_Toc165277241" </w:instrText>
          </w:r>
          <w:r>
            <w:rPr>
              <w:color w:val="auto"/>
              <w:highlight w:val="none"/>
            </w:rPr>
            <w:fldChar w:fldCharType="separate"/>
          </w:r>
          <w:r>
            <w:rPr>
              <w:rStyle w:val="20"/>
              <w:rFonts w:hint="eastAsia" w:ascii="仿宋" w:hAnsi="仿宋" w:eastAsia="仿宋"/>
              <w:color w:val="auto"/>
              <w:highlight w:val="none"/>
              <w:lang w:bidi="en-US"/>
            </w:rPr>
            <w:t>（一）项目决策情况</w:t>
          </w:r>
          <w:r>
            <w:rPr>
              <w:color w:val="auto"/>
              <w:highlight w:val="none"/>
            </w:rPr>
            <w:tab/>
          </w:r>
          <w:r>
            <w:rPr>
              <w:color w:val="auto"/>
              <w:highlight w:val="none"/>
            </w:rPr>
            <w:fldChar w:fldCharType="begin"/>
          </w:r>
          <w:r>
            <w:rPr>
              <w:color w:val="auto"/>
              <w:highlight w:val="none"/>
            </w:rPr>
            <w:instrText xml:space="preserve"> PAGEREF _Toc165277241 \h </w:instrText>
          </w:r>
          <w:r>
            <w:rPr>
              <w:color w:val="auto"/>
              <w:highlight w:val="none"/>
            </w:rPr>
            <w:fldChar w:fldCharType="separate"/>
          </w:r>
          <w:r>
            <w:rPr>
              <w:color w:val="auto"/>
              <w:highlight w:val="none"/>
            </w:rPr>
            <w:t>22</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"_Toc165277242" </w:instrText>
          </w:r>
          <w:r>
            <w:rPr>
              <w:color w:val="auto"/>
              <w:highlight w:val="none"/>
            </w:rPr>
            <w:fldChar w:fldCharType="separate"/>
          </w:r>
          <w:r>
            <w:rPr>
              <w:rStyle w:val="20"/>
              <w:color w:val="auto"/>
              <w:highlight w:val="none"/>
            </w:rPr>
            <w:t>1.</w:t>
          </w:r>
          <w:r>
            <w:rPr>
              <w:rStyle w:val="20"/>
              <w:rFonts w:hint="eastAsia"/>
              <w:color w:val="auto"/>
              <w:highlight w:val="none"/>
            </w:rPr>
            <w:t>项目立项</w:t>
          </w:r>
          <w:r>
            <w:rPr>
              <w:color w:val="auto"/>
              <w:highlight w:val="none"/>
            </w:rPr>
            <w:tab/>
          </w:r>
          <w:r>
            <w:rPr>
              <w:color w:val="auto"/>
              <w:highlight w:val="none"/>
            </w:rPr>
            <w:fldChar w:fldCharType="begin"/>
          </w:r>
          <w:r>
            <w:rPr>
              <w:color w:val="auto"/>
              <w:highlight w:val="none"/>
            </w:rPr>
            <w:instrText xml:space="preserve"> PAGEREF _Toc165277242 \h </w:instrText>
          </w:r>
          <w:r>
            <w:rPr>
              <w:color w:val="auto"/>
              <w:highlight w:val="none"/>
            </w:rPr>
            <w:fldChar w:fldCharType="separate"/>
          </w:r>
          <w:r>
            <w:rPr>
              <w:color w:val="auto"/>
              <w:highlight w:val="none"/>
            </w:rPr>
            <w:t>23</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"_Toc165277243" </w:instrText>
          </w:r>
          <w:r>
            <w:rPr>
              <w:color w:val="auto"/>
              <w:highlight w:val="none"/>
            </w:rPr>
            <w:fldChar w:fldCharType="separate"/>
          </w:r>
          <w:r>
            <w:rPr>
              <w:rStyle w:val="20"/>
              <w:color w:val="auto"/>
              <w:highlight w:val="none"/>
            </w:rPr>
            <w:t>2.</w:t>
          </w:r>
          <w:r>
            <w:rPr>
              <w:rStyle w:val="20"/>
              <w:rFonts w:hint="eastAsia"/>
              <w:color w:val="auto"/>
              <w:highlight w:val="none"/>
            </w:rPr>
            <w:t>绩效目标</w:t>
          </w:r>
          <w:r>
            <w:rPr>
              <w:color w:val="auto"/>
              <w:highlight w:val="none"/>
            </w:rPr>
            <w:tab/>
          </w:r>
          <w:r>
            <w:rPr>
              <w:color w:val="auto"/>
              <w:highlight w:val="none"/>
            </w:rPr>
            <w:fldChar w:fldCharType="begin"/>
          </w:r>
          <w:r>
            <w:rPr>
              <w:color w:val="auto"/>
              <w:highlight w:val="none"/>
            </w:rPr>
            <w:instrText xml:space="preserve"> PAGEREF _Toc165277243 \h </w:instrText>
          </w:r>
          <w:r>
            <w:rPr>
              <w:color w:val="auto"/>
              <w:highlight w:val="none"/>
            </w:rPr>
            <w:fldChar w:fldCharType="separate"/>
          </w:r>
          <w:r>
            <w:rPr>
              <w:color w:val="auto"/>
              <w:highlight w:val="none"/>
            </w:rPr>
            <w:t>23</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"_Toc165277244" </w:instrText>
          </w:r>
          <w:r>
            <w:rPr>
              <w:color w:val="auto"/>
              <w:highlight w:val="none"/>
            </w:rPr>
            <w:fldChar w:fldCharType="separate"/>
          </w:r>
          <w:r>
            <w:rPr>
              <w:rStyle w:val="20"/>
              <w:color w:val="auto"/>
              <w:highlight w:val="none"/>
            </w:rPr>
            <w:t>3.</w:t>
          </w:r>
          <w:r>
            <w:rPr>
              <w:rStyle w:val="20"/>
              <w:rFonts w:hint="eastAsia"/>
              <w:color w:val="auto"/>
              <w:highlight w:val="none"/>
            </w:rPr>
            <w:t>资金投入</w:t>
          </w:r>
          <w:r>
            <w:rPr>
              <w:color w:val="auto"/>
              <w:highlight w:val="none"/>
            </w:rPr>
            <w:tab/>
          </w:r>
          <w:r>
            <w:rPr>
              <w:color w:val="auto"/>
              <w:highlight w:val="none"/>
            </w:rPr>
            <w:fldChar w:fldCharType="begin"/>
          </w:r>
          <w:r>
            <w:rPr>
              <w:color w:val="auto"/>
              <w:highlight w:val="none"/>
            </w:rPr>
            <w:instrText xml:space="preserve"> PAGEREF _Toc165277244 \h </w:instrText>
          </w:r>
          <w:r>
            <w:rPr>
              <w:color w:val="auto"/>
              <w:highlight w:val="none"/>
            </w:rPr>
            <w:fldChar w:fldCharType="separate"/>
          </w:r>
          <w:r>
            <w:rPr>
              <w:color w:val="auto"/>
              <w:highlight w:val="none"/>
            </w:rPr>
            <w:t>24</w:t>
          </w:r>
          <w:r>
            <w:rPr>
              <w:color w:val="auto"/>
              <w:highlight w:val="none"/>
            </w:rPr>
            <w:fldChar w:fldCharType="end"/>
          </w:r>
          <w:r>
            <w:rPr>
              <w:color w:val="auto"/>
              <w:highlight w:val="none"/>
            </w:rPr>
            <w:fldChar w:fldCharType="end"/>
          </w:r>
        </w:p>
        <w:p>
          <w:pPr>
            <w:pStyle w:val="15"/>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"_Toc165277245" </w:instrText>
          </w:r>
          <w:r>
            <w:rPr>
              <w:color w:val="auto"/>
              <w:highlight w:val="none"/>
            </w:rPr>
            <w:fldChar w:fldCharType="separate"/>
          </w:r>
          <w:r>
            <w:rPr>
              <w:rStyle w:val="20"/>
              <w:rFonts w:hint="eastAsia" w:ascii="仿宋" w:hAnsi="仿宋" w:eastAsia="仿宋"/>
              <w:color w:val="auto"/>
              <w:highlight w:val="none"/>
              <w:lang w:bidi="en-US"/>
            </w:rPr>
            <w:t>（二）项目过程情况</w:t>
          </w:r>
          <w:r>
            <w:rPr>
              <w:color w:val="auto"/>
              <w:highlight w:val="none"/>
            </w:rPr>
            <w:tab/>
          </w:r>
          <w:r>
            <w:rPr>
              <w:color w:val="auto"/>
              <w:highlight w:val="none"/>
            </w:rPr>
            <w:fldChar w:fldCharType="begin"/>
          </w:r>
          <w:r>
            <w:rPr>
              <w:color w:val="auto"/>
              <w:highlight w:val="none"/>
            </w:rPr>
            <w:instrText xml:space="preserve"> PAGEREF _Toc165277245 \h </w:instrText>
          </w:r>
          <w:r>
            <w:rPr>
              <w:color w:val="auto"/>
              <w:highlight w:val="none"/>
            </w:rPr>
            <w:fldChar w:fldCharType="separate"/>
          </w:r>
          <w:r>
            <w:rPr>
              <w:color w:val="auto"/>
              <w:highlight w:val="none"/>
            </w:rPr>
            <w:t>25</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"_Toc165277246" </w:instrText>
          </w:r>
          <w:r>
            <w:rPr>
              <w:color w:val="auto"/>
              <w:highlight w:val="none"/>
            </w:rPr>
            <w:fldChar w:fldCharType="separate"/>
          </w:r>
          <w:r>
            <w:rPr>
              <w:rStyle w:val="20"/>
              <w:color w:val="auto"/>
              <w:highlight w:val="none"/>
            </w:rPr>
            <w:t>1.</w:t>
          </w:r>
          <w:r>
            <w:rPr>
              <w:rStyle w:val="20"/>
              <w:rFonts w:hint="eastAsia"/>
              <w:color w:val="auto"/>
              <w:highlight w:val="none"/>
            </w:rPr>
            <w:t>资金管理</w:t>
          </w:r>
          <w:r>
            <w:rPr>
              <w:color w:val="auto"/>
              <w:highlight w:val="none"/>
            </w:rPr>
            <w:tab/>
          </w:r>
          <w:r>
            <w:rPr>
              <w:color w:val="auto"/>
              <w:highlight w:val="none"/>
            </w:rPr>
            <w:fldChar w:fldCharType="begin"/>
          </w:r>
          <w:r>
            <w:rPr>
              <w:color w:val="auto"/>
              <w:highlight w:val="none"/>
            </w:rPr>
            <w:instrText xml:space="preserve"> PAGEREF _Toc165277246 \h </w:instrText>
          </w:r>
          <w:r>
            <w:rPr>
              <w:color w:val="auto"/>
              <w:highlight w:val="none"/>
            </w:rPr>
            <w:fldChar w:fldCharType="separate"/>
          </w:r>
          <w:r>
            <w:rPr>
              <w:color w:val="auto"/>
              <w:highlight w:val="none"/>
            </w:rPr>
            <w:t>25</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"_Toc165277247" </w:instrText>
          </w:r>
          <w:r>
            <w:rPr>
              <w:color w:val="auto"/>
              <w:highlight w:val="none"/>
            </w:rPr>
            <w:fldChar w:fldCharType="separate"/>
          </w:r>
          <w:r>
            <w:rPr>
              <w:rStyle w:val="20"/>
              <w:color w:val="auto"/>
              <w:highlight w:val="none"/>
            </w:rPr>
            <w:t>2.</w:t>
          </w:r>
          <w:r>
            <w:rPr>
              <w:rStyle w:val="20"/>
              <w:rFonts w:hint="eastAsia"/>
              <w:color w:val="auto"/>
              <w:highlight w:val="none"/>
            </w:rPr>
            <w:t>组织实施</w:t>
          </w:r>
          <w:r>
            <w:rPr>
              <w:color w:val="auto"/>
              <w:highlight w:val="none"/>
            </w:rPr>
            <w:tab/>
          </w:r>
          <w:r>
            <w:rPr>
              <w:color w:val="auto"/>
              <w:highlight w:val="none"/>
            </w:rPr>
            <w:fldChar w:fldCharType="begin"/>
          </w:r>
          <w:r>
            <w:rPr>
              <w:color w:val="auto"/>
              <w:highlight w:val="none"/>
            </w:rPr>
            <w:instrText xml:space="preserve"> PAGEREF _Toc165277247 \h </w:instrText>
          </w:r>
          <w:r>
            <w:rPr>
              <w:color w:val="auto"/>
              <w:highlight w:val="none"/>
            </w:rPr>
            <w:fldChar w:fldCharType="separate"/>
          </w:r>
          <w:r>
            <w:rPr>
              <w:color w:val="auto"/>
              <w:highlight w:val="none"/>
            </w:rPr>
            <w:t>26</w:t>
          </w:r>
          <w:r>
            <w:rPr>
              <w:color w:val="auto"/>
              <w:highlight w:val="none"/>
            </w:rPr>
            <w:fldChar w:fldCharType="end"/>
          </w:r>
          <w:r>
            <w:rPr>
              <w:color w:val="auto"/>
              <w:highlight w:val="none"/>
            </w:rPr>
            <w:fldChar w:fldCharType="end"/>
          </w:r>
        </w:p>
        <w:p>
          <w:pPr>
            <w:pStyle w:val="15"/>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"_Toc165277248" </w:instrText>
          </w:r>
          <w:r>
            <w:rPr>
              <w:color w:val="auto"/>
              <w:highlight w:val="none"/>
            </w:rPr>
            <w:fldChar w:fldCharType="separate"/>
          </w:r>
          <w:r>
            <w:rPr>
              <w:rStyle w:val="20"/>
              <w:rFonts w:hint="eastAsia" w:ascii="仿宋" w:hAnsi="仿宋" w:eastAsia="仿宋"/>
              <w:color w:val="auto"/>
              <w:highlight w:val="none"/>
              <w:lang w:bidi="en-US"/>
            </w:rPr>
            <w:t>（三）项目产出情况</w:t>
          </w:r>
          <w:r>
            <w:rPr>
              <w:color w:val="auto"/>
              <w:highlight w:val="none"/>
            </w:rPr>
            <w:tab/>
          </w:r>
          <w:r>
            <w:rPr>
              <w:color w:val="auto"/>
              <w:highlight w:val="none"/>
            </w:rPr>
            <w:fldChar w:fldCharType="begin"/>
          </w:r>
          <w:r>
            <w:rPr>
              <w:color w:val="auto"/>
              <w:highlight w:val="none"/>
            </w:rPr>
            <w:instrText xml:space="preserve"> PAGEREF _Toc165277248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"_Toc165277249" </w:instrText>
          </w:r>
          <w:r>
            <w:rPr>
              <w:color w:val="auto"/>
              <w:highlight w:val="none"/>
            </w:rPr>
            <w:fldChar w:fldCharType="separate"/>
          </w:r>
          <w:r>
            <w:rPr>
              <w:rStyle w:val="20"/>
              <w:color w:val="auto"/>
              <w:highlight w:val="none"/>
            </w:rPr>
            <w:t>1.</w:t>
          </w:r>
          <w:r>
            <w:rPr>
              <w:rStyle w:val="20"/>
              <w:rFonts w:hint="eastAsia"/>
              <w:color w:val="auto"/>
              <w:highlight w:val="none"/>
            </w:rPr>
            <w:t>产出数量</w:t>
          </w:r>
          <w:r>
            <w:rPr>
              <w:color w:val="auto"/>
              <w:highlight w:val="none"/>
            </w:rPr>
            <w:tab/>
          </w:r>
          <w:r>
            <w:rPr>
              <w:color w:val="auto"/>
              <w:highlight w:val="none"/>
            </w:rPr>
            <w:fldChar w:fldCharType="begin"/>
          </w:r>
          <w:r>
            <w:rPr>
              <w:color w:val="auto"/>
              <w:highlight w:val="none"/>
            </w:rPr>
            <w:instrText xml:space="preserve"> PAGEREF _Toc165277249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"_Toc165277250" </w:instrText>
          </w:r>
          <w:r>
            <w:rPr>
              <w:color w:val="auto"/>
              <w:highlight w:val="none"/>
            </w:rPr>
            <w:fldChar w:fldCharType="separate"/>
          </w:r>
          <w:r>
            <w:rPr>
              <w:rStyle w:val="20"/>
              <w:color w:val="auto"/>
              <w:highlight w:val="none"/>
            </w:rPr>
            <w:t>2.</w:t>
          </w:r>
          <w:r>
            <w:rPr>
              <w:rStyle w:val="20"/>
              <w:rFonts w:hint="eastAsia"/>
              <w:color w:val="auto"/>
              <w:highlight w:val="none"/>
            </w:rPr>
            <w:t>产出质量</w:t>
          </w:r>
          <w:r>
            <w:rPr>
              <w:color w:val="auto"/>
              <w:highlight w:val="none"/>
            </w:rPr>
            <w:tab/>
          </w:r>
          <w:r>
            <w:rPr>
              <w:color w:val="auto"/>
              <w:highlight w:val="none"/>
            </w:rPr>
            <w:fldChar w:fldCharType="begin"/>
          </w:r>
          <w:r>
            <w:rPr>
              <w:color w:val="auto"/>
              <w:highlight w:val="none"/>
            </w:rPr>
            <w:instrText xml:space="preserve"> PAGEREF _Toc165277250 \h </w:instrText>
          </w:r>
          <w:r>
            <w:rPr>
              <w:color w:val="auto"/>
              <w:highlight w:val="none"/>
            </w:rPr>
            <w:fldChar w:fldCharType="separate"/>
          </w:r>
          <w:r>
            <w:rPr>
              <w:color w:val="auto"/>
              <w:highlight w:val="none"/>
            </w:rPr>
            <w:t>28</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"_Toc165277251" </w:instrText>
          </w:r>
          <w:r>
            <w:rPr>
              <w:color w:val="auto"/>
              <w:highlight w:val="none"/>
            </w:rPr>
            <w:fldChar w:fldCharType="separate"/>
          </w:r>
          <w:r>
            <w:rPr>
              <w:rStyle w:val="20"/>
              <w:color w:val="auto"/>
              <w:highlight w:val="none"/>
            </w:rPr>
            <w:t>3.</w:t>
          </w:r>
          <w:r>
            <w:rPr>
              <w:rStyle w:val="20"/>
              <w:rFonts w:hint="eastAsia"/>
              <w:color w:val="auto"/>
              <w:highlight w:val="none"/>
            </w:rPr>
            <w:t>产出时效</w:t>
          </w:r>
          <w:r>
            <w:rPr>
              <w:color w:val="auto"/>
              <w:highlight w:val="none"/>
            </w:rPr>
            <w:tab/>
          </w:r>
          <w:r>
            <w:rPr>
              <w:color w:val="auto"/>
              <w:highlight w:val="none"/>
            </w:rPr>
            <w:fldChar w:fldCharType="begin"/>
          </w:r>
          <w:r>
            <w:rPr>
              <w:color w:val="auto"/>
              <w:highlight w:val="none"/>
            </w:rPr>
            <w:instrText xml:space="preserve"> PAGEREF _Toc165277251 \h </w:instrText>
          </w:r>
          <w:r>
            <w:rPr>
              <w:color w:val="auto"/>
              <w:highlight w:val="none"/>
            </w:rPr>
            <w:fldChar w:fldCharType="separate"/>
          </w:r>
          <w:r>
            <w:rPr>
              <w:color w:val="auto"/>
              <w:highlight w:val="none"/>
            </w:rPr>
            <w:t>28</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"_Toc165277252" </w:instrText>
          </w:r>
          <w:r>
            <w:rPr>
              <w:color w:val="auto"/>
              <w:highlight w:val="none"/>
            </w:rPr>
            <w:fldChar w:fldCharType="separate"/>
          </w:r>
          <w:r>
            <w:rPr>
              <w:rStyle w:val="20"/>
              <w:color w:val="auto"/>
              <w:highlight w:val="none"/>
            </w:rPr>
            <w:t>4.</w:t>
          </w:r>
          <w:r>
            <w:rPr>
              <w:rStyle w:val="20"/>
              <w:rFonts w:hint="eastAsia"/>
              <w:color w:val="auto"/>
              <w:highlight w:val="none"/>
            </w:rPr>
            <w:t>产出成本</w:t>
          </w:r>
          <w:r>
            <w:rPr>
              <w:color w:val="auto"/>
              <w:highlight w:val="none"/>
            </w:rPr>
            <w:tab/>
          </w:r>
          <w:r>
            <w:rPr>
              <w:color w:val="auto"/>
              <w:highlight w:val="none"/>
            </w:rPr>
            <w:fldChar w:fldCharType="begin"/>
          </w:r>
          <w:r>
            <w:rPr>
              <w:color w:val="auto"/>
              <w:highlight w:val="none"/>
            </w:rPr>
            <w:instrText xml:space="preserve"> PAGEREF _Toc165277252 \h </w:instrText>
          </w:r>
          <w:r>
            <w:rPr>
              <w:color w:val="auto"/>
              <w:highlight w:val="none"/>
            </w:rPr>
            <w:fldChar w:fldCharType="separate"/>
          </w:r>
          <w:r>
            <w:rPr>
              <w:color w:val="auto"/>
              <w:highlight w:val="none"/>
            </w:rPr>
            <w:t>28</w:t>
          </w:r>
          <w:r>
            <w:rPr>
              <w:color w:val="auto"/>
              <w:highlight w:val="none"/>
            </w:rPr>
            <w:fldChar w:fldCharType="end"/>
          </w:r>
          <w:r>
            <w:rPr>
              <w:color w:val="auto"/>
              <w:highlight w:val="none"/>
            </w:rPr>
            <w:fldChar w:fldCharType="end"/>
          </w:r>
        </w:p>
        <w:p>
          <w:pPr>
            <w:pStyle w:val="15"/>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"_Toc165277253" </w:instrText>
          </w:r>
          <w:r>
            <w:rPr>
              <w:color w:val="auto"/>
              <w:highlight w:val="none"/>
            </w:rPr>
            <w:fldChar w:fldCharType="separate"/>
          </w:r>
          <w:r>
            <w:rPr>
              <w:rStyle w:val="20"/>
              <w:rFonts w:hint="eastAsia" w:ascii="仿宋" w:hAnsi="仿宋" w:eastAsia="仿宋"/>
              <w:color w:val="auto"/>
              <w:highlight w:val="none"/>
              <w:lang w:bidi="en-US"/>
            </w:rPr>
            <w:t>（四）项目效益情况</w:t>
          </w:r>
          <w:r>
            <w:rPr>
              <w:color w:val="auto"/>
              <w:highlight w:val="none"/>
            </w:rPr>
            <w:tab/>
          </w:r>
          <w:r>
            <w:rPr>
              <w:color w:val="auto"/>
              <w:highlight w:val="none"/>
            </w:rPr>
            <w:fldChar w:fldCharType="begin"/>
          </w:r>
          <w:r>
            <w:rPr>
              <w:color w:val="auto"/>
              <w:highlight w:val="none"/>
            </w:rPr>
            <w:instrText xml:space="preserve"> PAGEREF _Toc165277253 \h </w:instrText>
          </w:r>
          <w:r>
            <w:rPr>
              <w:color w:val="auto"/>
              <w:highlight w:val="none"/>
            </w:rPr>
            <w:fldChar w:fldCharType="separate"/>
          </w:r>
          <w:r>
            <w:rPr>
              <w:color w:val="auto"/>
              <w:highlight w:val="none"/>
            </w:rPr>
            <w:t>29</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"_Toc165277254" </w:instrText>
          </w:r>
          <w:r>
            <w:rPr>
              <w:color w:val="auto"/>
              <w:highlight w:val="none"/>
            </w:rPr>
            <w:fldChar w:fldCharType="separate"/>
          </w:r>
          <w:r>
            <w:rPr>
              <w:rStyle w:val="20"/>
              <w:color w:val="auto"/>
              <w:highlight w:val="none"/>
            </w:rPr>
            <w:t>1.</w:t>
          </w:r>
          <w:r>
            <w:rPr>
              <w:rStyle w:val="20"/>
              <w:rFonts w:hint="eastAsia"/>
              <w:color w:val="auto"/>
              <w:highlight w:val="none"/>
            </w:rPr>
            <w:t>项目效益</w:t>
          </w:r>
          <w:r>
            <w:rPr>
              <w:color w:val="auto"/>
              <w:highlight w:val="none"/>
            </w:rPr>
            <w:tab/>
          </w:r>
          <w:r>
            <w:rPr>
              <w:color w:val="auto"/>
              <w:highlight w:val="none"/>
            </w:rPr>
            <w:fldChar w:fldCharType="begin"/>
          </w:r>
          <w:r>
            <w:rPr>
              <w:color w:val="auto"/>
              <w:highlight w:val="none"/>
            </w:rPr>
            <w:instrText xml:space="preserve"> PAGEREF _Toc165277254 \h </w:instrText>
          </w:r>
          <w:r>
            <w:rPr>
              <w:color w:val="auto"/>
              <w:highlight w:val="none"/>
            </w:rPr>
            <w:fldChar w:fldCharType="separate"/>
          </w:r>
          <w:r>
            <w:rPr>
              <w:color w:val="auto"/>
              <w:highlight w:val="none"/>
            </w:rPr>
            <w:t>29</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"_Toc165277255" </w:instrText>
          </w:r>
          <w:r>
            <w:rPr>
              <w:color w:val="auto"/>
              <w:highlight w:val="none"/>
            </w:rPr>
            <w:fldChar w:fldCharType="separate"/>
          </w:r>
          <w:r>
            <w:rPr>
              <w:rStyle w:val="20"/>
              <w:color w:val="auto"/>
              <w:highlight w:val="none"/>
            </w:rPr>
            <w:t xml:space="preserve">2. </w:t>
          </w:r>
          <w:r>
            <w:rPr>
              <w:rStyle w:val="20"/>
              <w:rFonts w:hint="eastAsia"/>
              <w:color w:val="auto"/>
              <w:highlight w:val="none"/>
            </w:rPr>
            <w:t>满意度指标完成情况分析</w:t>
          </w:r>
          <w:r>
            <w:rPr>
              <w:color w:val="auto"/>
              <w:highlight w:val="none"/>
            </w:rPr>
            <w:tab/>
          </w:r>
          <w:r>
            <w:rPr>
              <w:color w:val="auto"/>
              <w:highlight w:val="none"/>
            </w:rPr>
            <w:fldChar w:fldCharType="begin"/>
          </w:r>
          <w:r>
            <w:rPr>
              <w:color w:val="auto"/>
              <w:highlight w:val="none"/>
            </w:rPr>
            <w:instrText xml:space="preserve"> PAGEREF _Toc165277255 \h </w:instrText>
          </w:r>
          <w:r>
            <w:rPr>
              <w:color w:val="auto"/>
              <w:highlight w:val="none"/>
            </w:rPr>
            <w:fldChar w:fldCharType="separate"/>
          </w:r>
          <w:r>
            <w:rPr>
              <w:color w:val="auto"/>
              <w:highlight w:val="none"/>
            </w:rPr>
            <w:t>30</w:t>
          </w:r>
          <w:r>
            <w:rPr>
              <w:color w:val="auto"/>
              <w:highlight w:val="none"/>
            </w:rPr>
            <w:fldChar w:fldCharType="end"/>
          </w:r>
          <w:r>
            <w:rPr>
              <w:color w:val="auto"/>
              <w:highlight w:val="none"/>
            </w:rPr>
            <w:fldChar w:fldCharType="end"/>
          </w:r>
        </w:p>
        <w:p>
          <w:pPr>
            <w:pStyle w:val="13"/>
            <w:tabs>
              <w:tab w:val="right" w:leader="dot" w:pos="8296"/>
            </w:tabs>
            <w:ind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"_Toc165277256" </w:instrText>
          </w:r>
          <w:r>
            <w:rPr>
              <w:color w:val="auto"/>
              <w:highlight w:val="none"/>
            </w:rPr>
            <w:fldChar w:fldCharType="separate"/>
          </w:r>
          <w:r>
            <w:rPr>
              <w:rStyle w:val="20"/>
              <w:rFonts w:hint="eastAsia" w:ascii="仿宋" w:hAnsi="仿宋" w:eastAsia="仿宋"/>
              <w:color w:val="auto"/>
              <w:highlight w:val="none"/>
              <w:lang w:bidi="en-US"/>
            </w:rPr>
            <w:t>五、主要经验及做法、存在的问题及原因分析</w:t>
          </w:r>
          <w:r>
            <w:rPr>
              <w:color w:val="auto"/>
              <w:highlight w:val="none"/>
            </w:rPr>
            <w:tab/>
          </w:r>
          <w:r>
            <w:rPr>
              <w:color w:val="auto"/>
              <w:highlight w:val="none"/>
            </w:rPr>
            <w:fldChar w:fldCharType="begin"/>
          </w:r>
          <w:r>
            <w:rPr>
              <w:color w:val="auto"/>
              <w:highlight w:val="none"/>
            </w:rPr>
            <w:instrText xml:space="preserve"> PAGEREF _Toc165277256 \h </w:instrText>
          </w:r>
          <w:r>
            <w:rPr>
              <w:color w:val="auto"/>
              <w:highlight w:val="none"/>
            </w:rPr>
            <w:fldChar w:fldCharType="separate"/>
          </w:r>
          <w:r>
            <w:rPr>
              <w:color w:val="auto"/>
              <w:highlight w:val="none"/>
            </w:rPr>
            <w:t>30</w:t>
          </w:r>
          <w:r>
            <w:rPr>
              <w:color w:val="auto"/>
              <w:highlight w:val="none"/>
            </w:rPr>
            <w:fldChar w:fldCharType="end"/>
          </w:r>
          <w:r>
            <w:rPr>
              <w:color w:val="auto"/>
              <w:highlight w:val="none"/>
            </w:rPr>
            <w:fldChar w:fldCharType="end"/>
          </w:r>
        </w:p>
        <w:p>
          <w:pPr>
            <w:pStyle w:val="15"/>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"_Toc165277257" </w:instrText>
          </w:r>
          <w:r>
            <w:rPr>
              <w:color w:val="auto"/>
              <w:highlight w:val="none"/>
            </w:rPr>
            <w:fldChar w:fldCharType="separate"/>
          </w:r>
          <w:r>
            <w:rPr>
              <w:rStyle w:val="20"/>
              <w:rFonts w:hint="eastAsia" w:ascii="仿宋" w:hAnsi="仿宋" w:eastAsia="仿宋"/>
              <w:color w:val="auto"/>
              <w:highlight w:val="none"/>
              <w:lang w:bidi="en-US"/>
            </w:rPr>
            <w:t>（一）主要经验及做法</w:t>
          </w:r>
          <w:r>
            <w:rPr>
              <w:color w:val="auto"/>
              <w:highlight w:val="none"/>
            </w:rPr>
            <w:tab/>
          </w:r>
          <w:r>
            <w:rPr>
              <w:color w:val="auto"/>
              <w:highlight w:val="none"/>
            </w:rPr>
            <w:fldChar w:fldCharType="begin"/>
          </w:r>
          <w:r>
            <w:rPr>
              <w:color w:val="auto"/>
              <w:highlight w:val="none"/>
            </w:rPr>
            <w:instrText xml:space="preserve"> PAGEREF _Toc165277257 \h </w:instrText>
          </w:r>
          <w:r>
            <w:rPr>
              <w:color w:val="auto"/>
              <w:highlight w:val="none"/>
            </w:rPr>
            <w:fldChar w:fldCharType="separate"/>
          </w:r>
          <w:r>
            <w:rPr>
              <w:color w:val="auto"/>
              <w:highlight w:val="none"/>
            </w:rPr>
            <w:t>30</w:t>
          </w:r>
          <w:r>
            <w:rPr>
              <w:color w:val="auto"/>
              <w:highlight w:val="none"/>
            </w:rPr>
            <w:fldChar w:fldCharType="end"/>
          </w:r>
          <w:r>
            <w:rPr>
              <w:color w:val="auto"/>
              <w:highlight w:val="none"/>
            </w:rPr>
            <w:fldChar w:fldCharType="end"/>
          </w:r>
        </w:p>
        <w:p>
          <w:pPr>
            <w:pStyle w:val="15"/>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"_Toc165277258" </w:instrText>
          </w:r>
          <w:r>
            <w:rPr>
              <w:color w:val="auto"/>
              <w:highlight w:val="none"/>
            </w:rPr>
            <w:fldChar w:fldCharType="separate"/>
          </w:r>
          <w:r>
            <w:rPr>
              <w:rStyle w:val="20"/>
              <w:rFonts w:hint="eastAsia" w:ascii="仿宋" w:hAnsi="仿宋" w:eastAsia="仿宋"/>
              <w:color w:val="auto"/>
              <w:highlight w:val="none"/>
              <w:lang w:bidi="en-US"/>
            </w:rPr>
            <w:t>（二）存在的问题及原因分析</w:t>
          </w:r>
          <w:r>
            <w:rPr>
              <w:color w:val="auto"/>
              <w:highlight w:val="none"/>
            </w:rPr>
            <w:tab/>
          </w:r>
          <w:r>
            <w:rPr>
              <w:color w:val="auto"/>
              <w:highlight w:val="none"/>
            </w:rPr>
            <w:fldChar w:fldCharType="begin"/>
          </w:r>
          <w:r>
            <w:rPr>
              <w:color w:val="auto"/>
              <w:highlight w:val="none"/>
            </w:rPr>
            <w:instrText xml:space="preserve"> PAGEREF _Toc165277258 \h </w:instrText>
          </w:r>
          <w:r>
            <w:rPr>
              <w:color w:val="auto"/>
              <w:highlight w:val="none"/>
            </w:rPr>
            <w:fldChar w:fldCharType="separate"/>
          </w:r>
          <w:r>
            <w:rPr>
              <w:color w:val="auto"/>
              <w:highlight w:val="none"/>
            </w:rPr>
            <w:t>30</w:t>
          </w:r>
          <w:r>
            <w:rPr>
              <w:color w:val="auto"/>
              <w:highlight w:val="none"/>
            </w:rPr>
            <w:fldChar w:fldCharType="end"/>
          </w:r>
          <w:r>
            <w:rPr>
              <w:color w:val="auto"/>
              <w:highlight w:val="none"/>
            </w:rPr>
            <w:fldChar w:fldCharType="end"/>
          </w:r>
        </w:p>
        <w:p>
          <w:pPr>
            <w:pStyle w:val="13"/>
            <w:tabs>
              <w:tab w:val="right" w:leader="dot" w:pos="8296"/>
            </w:tabs>
            <w:ind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"_Toc165277259" </w:instrText>
          </w:r>
          <w:r>
            <w:rPr>
              <w:color w:val="auto"/>
              <w:highlight w:val="none"/>
            </w:rPr>
            <w:fldChar w:fldCharType="separate"/>
          </w:r>
          <w:r>
            <w:rPr>
              <w:rStyle w:val="20"/>
              <w:rFonts w:hint="eastAsia" w:ascii="仿宋" w:hAnsi="仿宋" w:eastAsia="仿宋"/>
              <w:color w:val="auto"/>
              <w:highlight w:val="none"/>
              <w:lang w:bidi="en-US"/>
            </w:rPr>
            <w:t>六、有关建议</w:t>
          </w:r>
          <w:r>
            <w:rPr>
              <w:color w:val="auto"/>
              <w:highlight w:val="none"/>
            </w:rPr>
            <w:tab/>
          </w:r>
          <w:r>
            <w:rPr>
              <w:color w:val="auto"/>
              <w:highlight w:val="none"/>
            </w:rPr>
            <w:fldChar w:fldCharType="begin"/>
          </w:r>
          <w:r>
            <w:rPr>
              <w:color w:val="auto"/>
              <w:highlight w:val="none"/>
            </w:rPr>
            <w:instrText xml:space="preserve"> PAGEREF _Toc165277259 \h </w:instrText>
          </w:r>
          <w:r>
            <w:rPr>
              <w:color w:val="auto"/>
              <w:highlight w:val="none"/>
            </w:rPr>
            <w:fldChar w:fldCharType="separate"/>
          </w:r>
          <w:r>
            <w:rPr>
              <w:color w:val="auto"/>
              <w:highlight w:val="none"/>
            </w:rPr>
            <w:t>31</w:t>
          </w:r>
          <w:r>
            <w:rPr>
              <w:color w:val="auto"/>
              <w:highlight w:val="none"/>
            </w:rPr>
            <w:fldChar w:fldCharType="end"/>
          </w:r>
          <w:r>
            <w:rPr>
              <w:color w:val="auto"/>
              <w:highlight w:val="none"/>
            </w:rPr>
            <w:fldChar w:fldCharType="end"/>
          </w:r>
        </w:p>
        <w:p>
          <w:pPr>
            <w:pStyle w:val="13"/>
            <w:tabs>
              <w:tab w:val="right" w:leader="dot" w:pos="8296"/>
            </w:tabs>
            <w:ind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"_Toc165277260" </w:instrText>
          </w:r>
          <w:r>
            <w:rPr>
              <w:color w:val="auto"/>
              <w:highlight w:val="none"/>
            </w:rPr>
            <w:fldChar w:fldCharType="separate"/>
          </w:r>
          <w:r>
            <w:rPr>
              <w:rStyle w:val="20"/>
              <w:rFonts w:hint="eastAsia" w:ascii="仿宋" w:hAnsi="仿宋" w:eastAsia="仿宋"/>
              <w:color w:val="auto"/>
              <w:highlight w:val="none"/>
              <w:lang w:bidi="en-US"/>
            </w:rPr>
            <w:t>七、其他需要说明的问题</w:t>
          </w:r>
          <w:r>
            <w:rPr>
              <w:color w:val="auto"/>
              <w:highlight w:val="none"/>
            </w:rPr>
            <w:tab/>
          </w:r>
          <w:r>
            <w:rPr>
              <w:color w:val="auto"/>
              <w:highlight w:val="none"/>
            </w:rPr>
            <w:fldChar w:fldCharType="begin"/>
          </w:r>
          <w:r>
            <w:rPr>
              <w:color w:val="auto"/>
              <w:highlight w:val="none"/>
            </w:rPr>
            <w:instrText xml:space="preserve"> PAGEREF _Toc165277260 \h </w:instrText>
          </w:r>
          <w:r>
            <w:rPr>
              <w:color w:val="auto"/>
              <w:highlight w:val="none"/>
            </w:rPr>
            <w:fldChar w:fldCharType="separate"/>
          </w:r>
          <w:r>
            <w:rPr>
              <w:color w:val="auto"/>
              <w:highlight w:val="none"/>
            </w:rPr>
            <w:t>32</w:t>
          </w:r>
          <w:r>
            <w:rPr>
              <w:color w:val="auto"/>
              <w:highlight w:val="none"/>
            </w:rPr>
            <w:fldChar w:fldCharType="end"/>
          </w:r>
          <w:r>
            <w:rPr>
              <w:color w:val="auto"/>
              <w:highlight w:val="none"/>
            </w:rPr>
            <w:fldChar w:fldCharType="end"/>
          </w:r>
        </w:p>
        <w:p>
          <w:pPr>
            <w:ind w:firstLine="562"/>
            <w:rPr>
              <w:color w:val="auto"/>
              <w:highlight w:val="none"/>
            </w:rPr>
          </w:pPr>
          <w:r>
            <w:rPr>
              <w:b/>
              <w:bCs/>
              <w:color w:val="auto"/>
              <w:highlight w:val="none"/>
              <w:lang w:val="zh-CN"/>
            </w:rPr>
            <w:fldChar w:fldCharType="end"/>
          </w:r>
        </w:p>
      </w:sdtContent>
    </w:sdt>
    <w:p>
      <w:pPr>
        <w:ind w:firstLine="598" w:firstLineChars="187"/>
        <w:rPr>
          <w:rFonts w:ascii="仿宋_GB2312" w:hAnsi="Times New Roman" w:cs="Times New Roman"/>
          <w:color w:val="auto"/>
          <w:sz w:val="32"/>
          <w:szCs w:val="32"/>
          <w:highlight w:val="none"/>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pStyle w:val="4"/>
        <w:ind w:firstLine="0" w:firstLineChars="0"/>
        <w:jc w:val="left"/>
        <w:rPr>
          <w:rFonts w:ascii="仿宋" w:hAnsi="仿宋" w:eastAsia="仿宋"/>
          <w:color w:val="auto"/>
          <w:sz w:val="36"/>
          <w:szCs w:val="36"/>
          <w:highlight w:val="none"/>
          <w:lang w:bidi="en-US"/>
        </w:rPr>
      </w:pPr>
      <w:bookmarkStart w:id="0" w:name="_Toc165277220"/>
      <w:bookmarkStart w:id="1" w:name="_Toc67911601"/>
      <w:r>
        <w:rPr>
          <w:rFonts w:hint="eastAsia" w:ascii="仿宋" w:hAnsi="仿宋" w:eastAsia="仿宋"/>
          <w:color w:val="auto"/>
          <w:sz w:val="36"/>
          <w:szCs w:val="36"/>
          <w:highlight w:val="none"/>
          <w:lang w:bidi="en-US"/>
        </w:rPr>
        <w:t>一、基本情况</w:t>
      </w:r>
      <w:bookmarkEnd w:id="0"/>
      <w:bookmarkEnd w:id="1"/>
    </w:p>
    <w:p>
      <w:pPr>
        <w:pStyle w:val="5"/>
        <w:ind w:firstLine="643"/>
        <w:rPr>
          <w:rFonts w:ascii="仿宋_GB2312" w:hAnsi="Calibri" w:eastAsia="仿宋_GB2312" w:cs="黑体"/>
          <w:b w:val="0"/>
          <w:bCs w:val="0"/>
          <w:color w:val="auto"/>
          <w:sz w:val="28"/>
          <w:szCs w:val="22"/>
          <w:highlight w:val="none"/>
        </w:rPr>
      </w:pPr>
      <w:bookmarkStart w:id="2" w:name="_Toc165277221"/>
      <w:bookmarkStart w:id="3" w:name="_Toc67911602"/>
      <w:r>
        <w:rPr>
          <w:rFonts w:hint="eastAsia" w:ascii="仿宋" w:hAnsi="仿宋" w:eastAsia="仿宋"/>
          <w:color w:val="auto"/>
          <w:highlight w:val="none"/>
          <w:lang w:bidi="en-US"/>
        </w:rPr>
        <w:t>（一）项目概况：</w:t>
      </w:r>
      <w:bookmarkEnd w:id="2"/>
      <w:bookmarkEnd w:id="3"/>
      <w:r>
        <w:rPr>
          <w:rFonts w:hint="eastAsia" w:ascii="仿宋_GB2312" w:hAnsi="Calibri" w:eastAsia="仿宋_GB2312" w:cs="黑体"/>
          <w:b w:val="0"/>
          <w:bCs w:val="0"/>
          <w:color w:val="auto"/>
          <w:sz w:val="28"/>
          <w:szCs w:val="22"/>
          <w:highlight w:val="none"/>
        </w:rPr>
        <w:t>根据国务院联防联控机制综合组《关于印发做好医疗资源准备工作方案的通知》（联防联控机制综发〔2022〕112号）文件要求和乌鲁木齐市人民政府在市防控指挥部《关于申请乌鲁木齐市二级以上医疗机构新冠肺炎医疗设备储备采购经费的请示》（乌防指函〔2022</w:t>
      </w:r>
      <w:r>
        <w:rPr>
          <w:rFonts w:hint="eastAsia" w:ascii="仿宋_GB2312"/>
          <w:b w:val="0"/>
          <w:bCs w:val="0"/>
          <w:color w:val="auto"/>
          <w:highlight w:val="none"/>
        </w:rPr>
        <w:t>〕</w:t>
      </w:r>
      <w:r>
        <w:rPr>
          <w:rFonts w:hint="eastAsia" w:ascii="仿宋_GB2312" w:hAnsi="Calibri" w:eastAsia="仿宋_GB2312" w:cs="黑体"/>
          <w:b w:val="0"/>
          <w:bCs w:val="0"/>
          <w:color w:val="auto"/>
          <w:sz w:val="28"/>
          <w:szCs w:val="22"/>
          <w:highlight w:val="none"/>
        </w:rPr>
        <w:t>1545号）、《关于拨付2023年第二批疫情防控补助资金的通知》（乌财社〔2023〕19号）上的批示，为切实做好新冠病毒感染疫情防控工作，按照《关于拨付2023年第二批疫情防控补助资金（二级以上医疗机构新冠肺炎医疗设备储备）的通知》乌财社〔2023〕19号文精神，乌鲁木齐市财政下达给我单位该项目资金共计511.69万元用于新冠肺炎医疗设备储备采购支出。根据《关于乌鲁木齐市疫情防控期间政府采购事宜的通知》（乌财购〔2020〕6号）文件精神，为切实做好新冠肺炎防控工作，由乌鲁木齐市卫健委相关科室紧急采购专用医疗设备一批。采购金额共计：4585239元（人民币肆佰伍拾捌万伍仟贰佰叁拾玖元整）。</w:t>
      </w:r>
    </w:p>
    <w:p>
      <w:pPr>
        <w:pStyle w:val="6"/>
        <w:ind w:firstLine="643"/>
        <w:rPr>
          <w:color w:val="auto"/>
          <w:highlight w:val="none"/>
        </w:rPr>
      </w:pPr>
      <w:bookmarkStart w:id="4" w:name="_Toc165277222"/>
      <w:r>
        <w:rPr>
          <w:rFonts w:hint="eastAsia"/>
          <w:color w:val="auto"/>
          <w:highlight w:val="none"/>
        </w:rPr>
        <w:t>1．项目背景、主要内容及实施情况</w:t>
      </w:r>
      <w:bookmarkEnd w:id="4"/>
    </w:p>
    <w:p>
      <w:pPr>
        <w:spacing w:line="360" w:lineRule="auto"/>
        <w:ind w:firstLine="560"/>
        <w:rPr>
          <w:rFonts w:ascii="仿宋_GB2312"/>
          <w:color w:val="auto"/>
          <w:highlight w:val="none"/>
        </w:rPr>
      </w:pPr>
      <w:r>
        <w:rPr>
          <w:rFonts w:hint="eastAsia" w:ascii="仿宋_GB2312"/>
          <w:color w:val="auto"/>
          <w:highlight w:val="none"/>
        </w:rPr>
        <w:t>该项目实施背景：根据国务院联防联控机制综合组《关于印发做好医疗资源准备工作方案的通知》（联防联控机制综发〔2022〕112号）文件要求和乌鲁木齐市人民政府在市防控指挥部《关于申请乌鲁木齐市二级以上医疗机构新冠肺炎医疗设备储备采购经费的请示》（乌防指函</w:t>
      </w:r>
      <w:r>
        <w:rPr>
          <w:rFonts w:hint="eastAsia" w:ascii="仿宋_GB2312" w:hAnsi="Calibri" w:eastAsia="仿宋_GB2312" w:cs="黑体"/>
          <w:b w:val="0"/>
          <w:bCs w:val="0"/>
          <w:color w:val="auto"/>
          <w:sz w:val="28"/>
          <w:szCs w:val="22"/>
          <w:highlight w:val="none"/>
        </w:rPr>
        <w:t>〔</w:t>
      </w:r>
      <w:r>
        <w:rPr>
          <w:rFonts w:hint="eastAsia" w:ascii="仿宋_GB2312"/>
          <w:color w:val="auto"/>
          <w:highlight w:val="none"/>
        </w:rPr>
        <w:t>2022〕1545号）、《关于拨付2023年第二批疫情防控补助资金的通知》（乌财社〔2023〕19号）上的批示，为切实做好新冠病毒感染疫情防控工作，拨付我单位设备购置款</w:t>
      </w:r>
      <w:r>
        <w:rPr>
          <w:rFonts w:hint="eastAsia" w:ascii="仿宋_GB2312"/>
          <w:color w:val="auto"/>
          <w:highlight w:val="none"/>
          <w:lang w:val="en-US" w:eastAsia="zh-CN"/>
        </w:rPr>
        <w:t>511.69</w:t>
      </w:r>
      <w:r>
        <w:rPr>
          <w:rFonts w:hint="eastAsia" w:ascii="仿宋_GB2312"/>
          <w:color w:val="auto"/>
          <w:highlight w:val="none"/>
        </w:rPr>
        <w:t>万元。</w:t>
      </w:r>
    </w:p>
    <w:p>
      <w:pPr>
        <w:spacing w:line="360" w:lineRule="auto"/>
        <w:ind w:firstLine="560"/>
        <w:rPr>
          <w:rFonts w:ascii="仿宋_GB2312"/>
          <w:color w:val="auto"/>
          <w:highlight w:val="none"/>
        </w:rPr>
      </w:pPr>
    </w:p>
    <w:p>
      <w:pPr>
        <w:spacing w:line="360" w:lineRule="auto"/>
        <w:ind w:firstLine="560"/>
        <w:rPr>
          <w:rFonts w:ascii="仿宋_GB2312"/>
          <w:color w:val="auto"/>
          <w:highlight w:val="none"/>
        </w:rPr>
      </w:pPr>
      <w:r>
        <w:rPr>
          <w:rFonts w:ascii="仿宋_GB2312"/>
          <w:color w:val="auto"/>
          <w:highlight w:val="none"/>
        </w:rPr>
        <w:t>项目</w:t>
      </w:r>
      <w:r>
        <w:rPr>
          <w:rFonts w:hint="eastAsia" w:ascii="仿宋_GB2312"/>
          <w:color w:val="auto"/>
          <w:highlight w:val="none"/>
        </w:rPr>
        <w:t>2</w:t>
      </w:r>
      <w:r>
        <w:rPr>
          <w:rFonts w:ascii="仿宋_GB2312"/>
          <w:color w:val="auto"/>
          <w:highlight w:val="none"/>
        </w:rPr>
        <w:t>023年的主要实施内容：</w:t>
      </w:r>
      <w:r>
        <w:rPr>
          <w:rFonts w:hint="eastAsia" w:ascii="仿宋_GB2312" w:hAnsi="Calibri" w:eastAsia="仿宋_GB2312" w:cs="黑体"/>
          <w:b w:val="0"/>
          <w:bCs w:val="0"/>
          <w:color w:val="auto"/>
          <w:sz w:val="28"/>
          <w:szCs w:val="22"/>
          <w:highlight w:val="none"/>
        </w:rPr>
        <w:t>根据国务院联防联控机制综合组《关于印发做好医疗资源准备工作方案的通知》（联防联控机制综发〔2022〕112号）文件要求和乌鲁木齐市人民政府在市防控指挥部《关于申请乌鲁木齐市二级以上医疗机构新冠肺炎医疗设备储备采购经费的请示》（乌防指函〔2022〕1545号）、《关于拨付2023年第二批疫情防控补助资金的通知》（乌财社〔2023〕19号）上的批示，为切实做好新冠病毒感染疫情防控工作，按照《关于拨付2023年第二批疫情防控补助资金（二级以上医疗机构新冠肺炎医疗设备储备）的通知》乌财社〔2023〕19号文精神，乌鲁木齐市财政下达给我单位该项目资金共计511.69万元用于新冠肺炎医疗设备储备采购支出。</w:t>
      </w:r>
      <w:r>
        <w:rPr>
          <w:rFonts w:ascii="仿宋_GB2312"/>
          <w:color w:val="auto"/>
          <w:highlight w:val="none"/>
        </w:rPr>
        <w:t>①</w:t>
      </w:r>
      <w:r>
        <w:rPr>
          <w:rFonts w:hint="eastAsia" w:ascii="仿宋_GB2312"/>
          <w:color w:val="auto"/>
          <w:highlight w:val="none"/>
        </w:rPr>
        <w:t>此项目医疗设备的采购执行为乌鲁木齐市市属四家医院（乌鲁木齐市第一人民医院、乌鲁木齐市友谊医院、乌鲁木齐市第四人民医院、乌鲁木齐市眼耳鼻喉专科医院）联合采购。</w:t>
      </w:r>
    </w:p>
    <w:p>
      <w:pPr>
        <w:spacing w:line="360" w:lineRule="auto"/>
        <w:ind w:firstLine="560"/>
        <w:rPr>
          <w:rFonts w:ascii="仿宋_GB2312"/>
          <w:color w:val="auto"/>
          <w:highlight w:val="none"/>
        </w:rPr>
      </w:pPr>
      <w:r>
        <w:rPr>
          <w:rFonts w:ascii="仿宋_GB2312"/>
          <w:color w:val="auto"/>
          <w:highlight w:val="none"/>
        </w:rPr>
        <w:t>②</w:t>
      </w:r>
      <w:r>
        <w:rPr>
          <w:rFonts w:hint="eastAsia" w:ascii="仿宋_GB2312"/>
          <w:color w:val="auto"/>
          <w:highlight w:val="none"/>
        </w:rPr>
        <w:t>根据财政部门下达相关资金计划后，设备采购科室与医院项目相关科室沟通合作，制定采购计划；安排好采购人员、纪检监察人员、项目具体实施人员、设备使用临床科室负责人共同参与完成项目。</w:t>
      </w:r>
    </w:p>
    <w:p>
      <w:pPr>
        <w:spacing w:line="360" w:lineRule="auto"/>
        <w:ind w:firstLine="560"/>
        <w:rPr>
          <w:rFonts w:ascii="仿宋_GB2312"/>
          <w:color w:val="auto"/>
          <w:highlight w:val="none"/>
        </w:rPr>
      </w:pPr>
      <w:r>
        <w:rPr>
          <w:rFonts w:hint="eastAsia" w:ascii="仿宋_GB2312"/>
          <w:color w:val="auto"/>
          <w:highlight w:val="none"/>
        </w:rPr>
        <w:t>2</w:t>
      </w:r>
      <w:r>
        <w:rPr>
          <w:rFonts w:ascii="仿宋_GB2312"/>
          <w:color w:val="auto"/>
          <w:highlight w:val="none"/>
        </w:rPr>
        <w:t>023年当年完成情况。 2。实际完成情况为：</w:t>
      </w:r>
      <w:r>
        <w:rPr>
          <w:rFonts w:hint="eastAsia" w:ascii="仿宋_GB2312"/>
          <w:color w:val="auto"/>
          <w:highlight w:val="none"/>
        </w:rPr>
        <w:t>①</w:t>
      </w:r>
      <w:r>
        <w:rPr>
          <w:rFonts w:hint="eastAsia" w:ascii="仿宋_GB2312" w:hAnsi="Calibri" w:eastAsia="仿宋_GB2312" w:cs="黑体"/>
          <w:b w:val="0"/>
          <w:bCs w:val="0"/>
          <w:color w:val="auto"/>
          <w:sz w:val="28"/>
          <w:szCs w:val="22"/>
          <w:highlight w:val="none"/>
        </w:rPr>
        <w:t>该项目资金</w:t>
      </w:r>
      <w:r>
        <w:rPr>
          <w:rFonts w:hint="eastAsia" w:ascii="仿宋_GB2312" w:cs="黑体"/>
          <w:b w:val="0"/>
          <w:bCs w:val="0"/>
          <w:color w:val="auto"/>
          <w:sz w:val="28"/>
          <w:szCs w:val="22"/>
          <w:highlight w:val="none"/>
          <w:lang w:eastAsia="zh-CN"/>
        </w:rPr>
        <w:t>预算</w:t>
      </w:r>
      <w:r>
        <w:rPr>
          <w:rFonts w:hint="eastAsia" w:ascii="仿宋_GB2312" w:hAnsi="Calibri" w:eastAsia="仿宋_GB2312" w:cs="黑体"/>
          <w:b w:val="0"/>
          <w:bCs w:val="0"/>
          <w:color w:val="auto"/>
          <w:sz w:val="28"/>
          <w:szCs w:val="22"/>
          <w:highlight w:val="none"/>
        </w:rPr>
        <w:t>共计511.69万元</w:t>
      </w:r>
      <w:r>
        <w:rPr>
          <w:rFonts w:hint="eastAsia" w:ascii="仿宋_GB2312" w:cs="黑体"/>
          <w:b w:val="0"/>
          <w:bCs w:val="0"/>
          <w:color w:val="auto"/>
          <w:sz w:val="28"/>
          <w:szCs w:val="22"/>
          <w:highlight w:val="none"/>
          <w:lang w:eastAsia="zh-CN"/>
        </w:rPr>
        <w:t>，</w:t>
      </w:r>
      <w:r>
        <w:rPr>
          <w:rFonts w:hint="eastAsia" w:ascii="仿宋_GB2312"/>
          <w:color w:val="auto"/>
          <w:highlight w:val="none"/>
        </w:rPr>
        <w:t>我院2023年3月9日完成合同签订，4月19日完成安装、验收102台（套）；所购置的医疗设备中标价格458.52万元，已及时投入我院相关科室使用</w:t>
      </w:r>
      <w:r>
        <w:rPr>
          <w:rFonts w:ascii="仿宋_GB2312"/>
          <w:color w:val="auto"/>
          <w:highlight w:val="none"/>
        </w:rPr>
        <w:t>;②</w:t>
      </w:r>
      <w:bookmarkStart w:id="5" w:name="_Toc165277223"/>
      <w:r>
        <w:rPr>
          <w:rFonts w:hint="eastAsia" w:ascii="仿宋_GB2312"/>
          <w:color w:val="auto"/>
          <w:highlight w:val="none"/>
        </w:rPr>
        <w:t>截</w:t>
      </w:r>
      <w:r>
        <w:rPr>
          <w:rFonts w:hint="eastAsia" w:ascii="仿宋_GB2312"/>
          <w:color w:val="auto"/>
          <w:highlight w:val="none"/>
          <w:lang w:eastAsia="zh-CN"/>
        </w:rPr>
        <w:t>至</w:t>
      </w:r>
      <w:r>
        <w:rPr>
          <w:rFonts w:hint="eastAsia" w:ascii="仿宋_GB2312"/>
          <w:color w:val="auto"/>
          <w:highlight w:val="none"/>
        </w:rPr>
        <w:t>2023年12月31日：乌鲁木齐天钰祥诚医疗器械有限公司已结款：27</w:t>
      </w:r>
      <w:r>
        <w:rPr>
          <w:rFonts w:ascii="仿宋_GB2312"/>
          <w:color w:val="auto"/>
          <w:highlight w:val="none"/>
        </w:rPr>
        <w:t>.</w:t>
      </w:r>
      <w:r>
        <w:rPr>
          <w:rFonts w:hint="eastAsia" w:ascii="仿宋_GB2312"/>
          <w:color w:val="auto"/>
          <w:highlight w:val="none"/>
        </w:rPr>
        <w:t>79万元；国药集团新疆新特药业有限公司已结款：31</w:t>
      </w:r>
      <w:r>
        <w:rPr>
          <w:rFonts w:ascii="仿宋_GB2312"/>
          <w:color w:val="auto"/>
          <w:highlight w:val="none"/>
        </w:rPr>
        <w:t>.</w:t>
      </w:r>
      <w:r>
        <w:rPr>
          <w:rFonts w:hint="eastAsia" w:ascii="仿宋_GB2312"/>
          <w:color w:val="auto"/>
          <w:highlight w:val="none"/>
        </w:rPr>
        <w:t>62万元。以上二家设备中标公司总计支付59.41万元，</w:t>
      </w:r>
      <w:r>
        <w:rPr>
          <w:rFonts w:hint="eastAsia" w:ascii="仿宋_GB2312"/>
          <w:color w:val="auto"/>
          <w:highlight w:val="none"/>
          <w:lang w:eastAsia="zh-CN"/>
        </w:rPr>
        <w:t>因支付权限在财政，故</w:t>
      </w:r>
      <w:r>
        <w:rPr>
          <w:rFonts w:hint="eastAsia" w:ascii="仿宋_GB2312"/>
          <w:color w:val="auto"/>
          <w:highlight w:val="none"/>
        </w:rPr>
        <w:t>资金</w:t>
      </w:r>
      <w:r>
        <w:rPr>
          <w:rFonts w:hint="eastAsia" w:ascii="仿宋_GB2312"/>
          <w:color w:val="auto"/>
          <w:highlight w:val="none"/>
          <w:lang w:eastAsia="zh-CN"/>
        </w:rPr>
        <w:t>到位</w:t>
      </w:r>
      <w:r>
        <w:rPr>
          <w:rFonts w:hint="eastAsia" w:ascii="仿宋_GB2312"/>
          <w:color w:val="auto"/>
          <w:highlight w:val="none"/>
        </w:rPr>
        <w:t>率11.61%，剩余：399.11万元未付。</w:t>
      </w:r>
    </w:p>
    <w:p>
      <w:pPr>
        <w:spacing w:line="360" w:lineRule="auto"/>
        <w:ind w:firstLine="560"/>
        <w:rPr>
          <w:color w:val="auto"/>
          <w:highlight w:val="none"/>
        </w:rPr>
      </w:pPr>
      <w:r>
        <w:rPr>
          <w:rFonts w:hint="eastAsia"/>
          <w:color w:val="auto"/>
          <w:highlight w:val="none"/>
        </w:rPr>
        <w:t>2</w:t>
      </w:r>
      <w:r>
        <w:rPr>
          <w:color w:val="auto"/>
          <w:highlight w:val="none"/>
        </w:rPr>
        <w:t>.资金投入和使用情况</w:t>
      </w:r>
      <w:bookmarkEnd w:id="5"/>
    </w:p>
    <w:p>
      <w:pPr>
        <w:spacing w:line="360" w:lineRule="auto"/>
        <w:ind w:firstLine="560"/>
        <w:rPr>
          <w:rFonts w:ascii="仿宋_GB2312"/>
          <w:color w:val="auto"/>
          <w:highlight w:val="none"/>
        </w:rPr>
      </w:pPr>
      <w:r>
        <w:rPr>
          <w:rFonts w:hint="eastAsia" w:ascii="仿宋_GB2312"/>
          <w:color w:val="auto"/>
          <w:highlight w:val="none"/>
        </w:rPr>
        <w:t>该项目资金投入情况：经《关于拨付2023年第二批疫情防控补助资金（二级以上医疗机构新冠肺炎医疗设备储备）的通知》（乌财社〔2023〕19号）文件批准，项目系2023年自治区资金，共安排预算511.69万元，于202</w:t>
      </w:r>
      <w:r>
        <w:rPr>
          <w:rFonts w:ascii="仿宋_GB2312"/>
          <w:color w:val="auto"/>
          <w:highlight w:val="none"/>
        </w:rPr>
        <w:t>3</w:t>
      </w:r>
      <w:r>
        <w:rPr>
          <w:rFonts w:hint="eastAsia" w:ascii="仿宋_GB2312"/>
          <w:color w:val="auto"/>
          <w:highlight w:val="none"/>
        </w:rPr>
        <w:t>年年中追加预算项目，年中资金无调整。</w:t>
      </w:r>
    </w:p>
    <w:p>
      <w:pPr>
        <w:adjustRightInd w:val="0"/>
        <w:snapToGrid w:val="0"/>
        <w:spacing w:line="520" w:lineRule="exact"/>
        <w:ind w:firstLine="560"/>
        <w:jc w:val="left"/>
        <w:rPr>
          <w:rFonts w:ascii="仿宋_GB2312"/>
          <w:color w:val="auto"/>
          <w:highlight w:val="none"/>
        </w:rPr>
      </w:pPr>
      <w:r>
        <w:rPr>
          <w:rFonts w:hint="eastAsia" w:ascii="仿宋_GB2312"/>
          <w:color w:val="auto"/>
          <w:highlight w:val="none"/>
        </w:rPr>
        <w:t>该项目资金使用情况：</w:t>
      </w:r>
      <w:r>
        <w:rPr>
          <w:rFonts w:ascii="仿宋_GB2312"/>
          <w:color w:val="auto"/>
          <w:highlight w:val="none"/>
        </w:rPr>
        <w:t>根据《关于乌鲁木齐市疫情防控期间政府采购事宜的通知》（乌财购〔2020〕6号）文件精神，为切实做好新冠肺炎防控工作，由乌鲁木齐市卫健委相关科室紧急采购专用医疗设备一批</w:t>
      </w:r>
      <w:r>
        <w:rPr>
          <w:rFonts w:hint="eastAsia" w:ascii="仿宋_GB2312"/>
          <w:color w:val="auto"/>
          <w:highlight w:val="none"/>
        </w:rPr>
        <w:t>，</w:t>
      </w:r>
      <w:r>
        <w:rPr>
          <w:rFonts w:ascii="仿宋_GB2312"/>
          <w:color w:val="auto"/>
          <w:highlight w:val="none"/>
        </w:rPr>
        <w:t>用于新冠肺炎医疗设备储备。</w:t>
      </w:r>
      <w:r>
        <w:rPr>
          <w:rFonts w:hint="eastAsia" w:ascii="仿宋_GB2312"/>
          <w:color w:val="auto"/>
          <w:highlight w:val="none"/>
        </w:rPr>
        <w:t>我单位采购中标</w:t>
      </w:r>
      <w:r>
        <w:rPr>
          <w:rFonts w:ascii="仿宋_GB2312"/>
          <w:color w:val="auto"/>
          <w:highlight w:val="none"/>
        </w:rPr>
        <w:t>金额共计：4585239元（人民币肆佰伍拾捌万伍仟贰佰叁拾玖元整），</w:t>
      </w:r>
      <w:r>
        <w:rPr>
          <w:rFonts w:hint="eastAsia" w:ascii="仿宋_GB2312"/>
          <w:color w:val="auto"/>
          <w:highlight w:val="none"/>
        </w:rPr>
        <w:t>其中：1、国药集团新疆新特药业有限公司中标合计金额：3537239元，该单位已支付316200元，剩余3221039元。2、乌鲁木齐天钰祥诚医疗器械有限公司中标合计金额：1048000元，该单位已支付277900元，剩余770100元。两家公司总计剩余3991139元未支付</w:t>
      </w:r>
      <w:r>
        <w:rPr>
          <w:rFonts w:hint="eastAsia" w:ascii="仿宋_GB2312"/>
          <w:color w:val="auto"/>
          <w:highlight w:val="none"/>
          <w:lang w:eastAsia="zh-CN"/>
        </w:rPr>
        <w:t>，</w:t>
      </w:r>
      <w:r>
        <w:rPr>
          <w:rFonts w:hint="eastAsia" w:ascii="仿宋_GB2312"/>
          <w:color w:val="auto"/>
          <w:highlight w:val="none"/>
          <w:lang w:val="en-US" w:eastAsia="zh-CN"/>
        </w:rPr>
        <w:t>预算执行率100%</w:t>
      </w:r>
      <w:r>
        <w:rPr>
          <w:rFonts w:hint="eastAsia" w:ascii="仿宋_GB2312"/>
          <w:color w:val="auto"/>
          <w:highlight w:val="none"/>
        </w:rPr>
        <w:t>。</w:t>
      </w:r>
    </w:p>
    <w:p>
      <w:pPr>
        <w:spacing w:line="360" w:lineRule="auto"/>
        <w:ind w:firstLine="560"/>
        <w:rPr>
          <w:rFonts w:ascii="仿宋_GB2312"/>
          <w:color w:val="auto"/>
          <w:highlight w:val="none"/>
        </w:rPr>
      </w:pPr>
    </w:p>
    <w:p>
      <w:pPr>
        <w:pStyle w:val="5"/>
        <w:ind w:firstLine="643"/>
        <w:rPr>
          <w:rFonts w:ascii="仿宋_GB2312" w:hAnsi="Calibri" w:eastAsia="仿宋_GB2312" w:cs="黑体"/>
          <w:b w:val="0"/>
          <w:bCs w:val="0"/>
          <w:color w:val="auto"/>
          <w:sz w:val="28"/>
          <w:szCs w:val="22"/>
          <w:highlight w:val="none"/>
        </w:rPr>
      </w:pPr>
      <w:bookmarkStart w:id="6" w:name="_Toc67911603"/>
      <w:bookmarkStart w:id="7" w:name="_Toc165277224"/>
      <w:r>
        <w:rPr>
          <w:rFonts w:hint="eastAsia" w:ascii="仿宋" w:hAnsi="仿宋" w:eastAsia="仿宋"/>
          <w:color w:val="auto"/>
          <w:highlight w:val="none"/>
          <w:lang w:bidi="en-US"/>
        </w:rPr>
        <w:t>（二）项目绩效目标：</w:t>
      </w:r>
      <w:bookmarkEnd w:id="6"/>
      <w:bookmarkEnd w:id="7"/>
    </w:p>
    <w:p>
      <w:pPr>
        <w:spacing w:line="360" w:lineRule="auto"/>
        <w:ind w:firstLine="560"/>
        <w:rPr>
          <w:rFonts w:ascii="仿宋_GB2312" w:hAnsi="仿宋"/>
          <w:color w:val="auto"/>
          <w:szCs w:val="28"/>
          <w:highlight w:val="none"/>
        </w:rPr>
      </w:pPr>
      <w:r>
        <w:rPr>
          <w:rFonts w:hint="eastAsia" w:ascii="仿宋_GB2312" w:hAnsi="仿宋"/>
          <w:color w:val="auto"/>
          <w:szCs w:val="28"/>
          <w:highlight w:val="none"/>
        </w:rPr>
        <w:t>本项目依据《中共中央 国务院关于全面实施预算绩效管理的意见》（中发〔2018〕</w:t>
      </w:r>
      <w:r>
        <w:rPr>
          <w:rFonts w:ascii="仿宋_GB2312" w:hAnsi="仿宋"/>
          <w:color w:val="auto"/>
          <w:szCs w:val="28"/>
          <w:highlight w:val="none"/>
        </w:rPr>
        <w:t>34</w:t>
      </w:r>
      <w:r>
        <w:rPr>
          <w:rFonts w:hint="eastAsia" w:ascii="仿宋_GB2312" w:hAnsi="仿宋"/>
          <w:color w:val="auto"/>
          <w:szCs w:val="28"/>
          <w:highlight w:val="none"/>
        </w:rPr>
        <w:t>号）、《关于印发&lt;乌鲁木齐市本级部门预算绩效目标管理暂行办法</w:t>
      </w:r>
      <w:r>
        <w:rPr>
          <w:rFonts w:ascii="仿宋_GB2312" w:hAnsi="仿宋"/>
          <w:color w:val="auto"/>
          <w:szCs w:val="28"/>
          <w:highlight w:val="none"/>
        </w:rPr>
        <w:t>&gt;</w:t>
      </w:r>
      <w:r>
        <w:rPr>
          <w:rFonts w:hint="eastAsia" w:ascii="仿宋_GB2312" w:hAnsi="仿宋"/>
          <w:color w:val="auto"/>
          <w:szCs w:val="28"/>
          <w:highlight w:val="none"/>
        </w:rPr>
        <w:t>的通知》（乌财预</w:t>
      </w:r>
      <w:bookmarkStart w:id="8" w:name="_Hlk67566397"/>
      <w:r>
        <w:rPr>
          <w:rFonts w:hint="eastAsia" w:ascii="仿宋_GB2312" w:hAnsi="仿宋"/>
          <w:color w:val="auto"/>
          <w:szCs w:val="28"/>
          <w:highlight w:val="none"/>
        </w:rPr>
        <w:t>〔2018〕</w:t>
      </w:r>
      <w:r>
        <w:rPr>
          <w:rFonts w:ascii="仿宋_GB2312" w:hAnsi="仿宋"/>
          <w:color w:val="auto"/>
          <w:szCs w:val="28"/>
          <w:highlight w:val="none"/>
        </w:rPr>
        <w:t>5</w:t>
      </w:r>
      <w:r>
        <w:rPr>
          <w:rFonts w:hint="eastAsia" w:ascii="仿宋_GB2312" w:hAnsi="仿宋"/>
          <w:color w:val="auto"/>
          <w:szCs w:val="28"/>
          <w:highlight w:val="none"/>
        </w:rPr>
        <w:t>6号</w:t>
      </w:r>
      <w:bookmarkEnd w:id="8"/>
      <w:r>
        <w:rPr>
          <w:rFonts w:hint="eastAsia" w:ascii="仿宋_GB2312" w:hAnsi="仿宋"/>
          <w:color w:val="auto"/>
          <w:szCs w:val="28"/>
          <w:highlight w:val="none"/>
        </w:rPr>
        <w:t>）、《关于做好2</w:t>
      </w:r>
      <w:r>
        <w:rPr>
          <w:rFonts w:ascii="仿宋_GB2312" w:hAnsi="仿宋"/>
          <w:color w:val="auto"/>
          <w:szCs w:val="28"/>
          <w:highlight w:val="none"/>
        </w:rPr>
        <w:t>019</w:t>
      </w:r>
      <w:r>
        <w:rPr>
          <w:rFonts w:hint="eastAsia" w:ascii="仿宋_GB2312" w:hAnsi="仿宋"/>
          <w:color w:val="auto"/>
          <w:szCs w:val="28"/>
          <w:highlight w:val="none"/>
        </w:rPr>
        <w:t>年部门预算项目支出绩效目标管理有关事宜的通知》（乌财预〔20</w:t>
      </w:r>
      <w:r>
        <w:rPr>
          <w:rFonts w:ascii="仿宋_GB2312" w:hAnsi="仿宋"/>
          <w:color w:val="auto"/>
          <w:szCs w:val="28"/>
          <w:highlight w:val="none"/>
        </w:rPr>
        <w:t>18</w:t>
      </w:r>
      <w:r>
        <w:rPr>
          <w:rFonts w:hint="eastAsia" w:ascii="仿宋_GB2312" w:hAnsi="仿宋"/>
          <w:color w:val="auto"/>
          <w:szCs w:val="28"/>
          <w:highlight w:val="none"/>
        </w:rPr>
        <w:t>〕</w:t>
      </w:r>
      <w:r>
        <w:rPr>
          <w:rFonts w:ascii="仿宋_GB2312" w:hAnsi="仿宋"/>
          <w:color w:val="auto"/>
          <w:szCs w:val="28"/>
          <w:highlight w:val="none"/>
        </w:rPr>
        <w:t>76</w:t>
      </w:r>
      <w:r>
        <w:rPr>
          <w:rFonts w:hint="eastAsia" w:ascii="仿宋_GB2312" w:hAnsi="仿宋"/>
          <w:color w:val="auto"/>
          <w:szCs w:val="28"/>
          <w:highlight w:val="none"/>
        </w:rPr>
        <w:t>号）和《项目支出绩效评价管理办法》（财预〔20</w:t>
      </w:r>
      <w:r>
        <w:rPr>
          <w:rFonts w:ascii="仿宋_GB2312" w:hAnsi="仿宋"/>
          <w:color w:val="auto"/>
          <w:szCs w:val="28"/>
          <w:highlight w:val="none"/>
        </w:rPr>
        <w:t>20</w:t>
      </w:r>
      <w:r>
        <w:rPr>
          <w:rFonts w:hint="eastAsia" w:ascii="仿宋_GB2312" w:hAnsi="仿宋"/>
          <w:color w:val="auto"/>
          <w:szCs w:val="28"/>
          <w:highlight w:val="none"/>
        </w:rPr>
        <w:t>〕</w:t>
      </w:r>
      <w:r>
        <w:rPr>
          <w:rFonts w:ascii="仿宋_GB2312" w:hAnsi="仿宋"/>
          <w:color w:val="auto"/>
          <w:szCs w:val="28"/>
          <w:highlight w:val="none"/>
        </w:rPr>
        <w:t>10</w:t>
      </w:r>
      <w:r>
        <w:rPr>
          <w:rFonts w:hint="eastAsia" w:ascii="仿宋_GB2312" w:hAnsi="仿宋"/>
          <w:color w:val="auto"/>
          <w:szCs w:val="28"/>
          <w:highlight w:val="none"/>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ascii="仿宋_GB2312" w:hAnsi="仿宋"/>
          <w:color w:val="auto"/>
          <w:szCs w:val="28"/>
          <w:highlight w:val="none"/>
        </w:rPr>
      </w:pPr>
      <w:r>
        <w:rPr>
          <w:rFonts w:hint="eastAsia" w:ascii="仿宋_GB2312" w:hAnsi="仿宋"/>
          <w:color w:val="auto"/>
          <w:szCs w:val="28"/>
          <w:highlight w:val="none"/>
        </w:rPr>
        <w:t>该项目</w:t>
      </w:r>
      <w:r>
        <w:rPr>
          <w:rFonts w:ascii="仿宋_GB2312" w:hAnsi="仿宋"/>
          <w:color w:val="auto"/>
          <w:szCs w:val="28"/>
          <w:highlight w:val="none"/>
        </w:rPr>
        <w:t>当年一次性项目。</w:t>
      </w:r>
    </w:p>
    <w:p>
      <w:pPr>
        <w:spacing w:line="360" w:lineRule="auto"/>
        <w:ind w:firstLine="560"/>
        <w:rPr>
          <w:rFonts w:hint="eastAsia" w:ascii="仿宋_GB2312" w:hAnsi="仿宋"/>
          <w:color w:val="auto"/>
          <w:szCs w:val="28"/>
          <w:highlight w:val="none"/>
        </w:rPr>
      </w:pPr>
      <w:r>
        <w:rPr>
          <w:rFonts w:hint="eastAsia" w:ascii="仿宋_GB2312" w:hAnsi="仿宋"/>
          <w:color w:val="auto"/>
          <w:szCs w:val="28"/>
          <w:highlight w:val="none"/>
        </w:rPr>
        <w:t>该项目总体绩效目标：</w:t>
      </w:r>
      <w:r>
        <w:rPr>
          <w:rFonts w:hint="eastAsia" w:ascii="仿宋_GB2312" w:hAnsi="仿宋"/>
          <w:color w:val="auto"/>
          <w:szCs w:val="28"/>
          <w:highlight w:val="none"/>
          <w:lang w:eastAsia="zh-CN"/>
        </w:rPr>
        <w:t>严格</w:t>
      </w:r>
      <w:r>
        <w:rPr>
          <w:rFonts w:hint="eastAsia" w:ascii="仿宋_GB2312" w:hAnsi="仿宋"/>
          <w:color w:val="auto"/>
          <w:szCs w:val="28"/>
          <w:highlight w:val="none"/>
        </w:rPr>
        <w:t>按计划采购</w:t>
      </w:r>
      <w:r>
        <w:rPr>
          <w:rFonts w:hint="eastAsia" w:ascii="仿宋_GB2312" w:hAnsi="仿宋"/>
          <w:color w:val="auto"/>
          <w:szCs w:val="28"/>
          <w:highlight w:val="none"/>
          <w:lang w:eastAsia="zh-CN"/>
        </w:rPr>
        <w:t>用于</w:t>
      </w:r>
      <w:r>
        <w:rPr>
          <w:rFonts w:hint="eastAsia" w:ascii="仿宋_GB2312" w:hAnsi="仿宋"/>
          <w:color w:val="auto"/>
          <w:szCs w:val="28"/>
          <w:highlight w:val="none"/>
        </w:rPr>
        <w:t>新冠肺炎</w:t>
      </w:r>
      <w:r>
        <w:rPr>
          <w:rFonts w:hint="eastAsia" w:ascii="仿宋_GB2312" w:hAnsi="仿宋"/>
          <w:color w:val="auto"/>
          <w:szCs w:val="28"/>
          <w:highlight w:val="none"/>
          <w:lang w:eastAsia="zh-CN"/>
        </w:rPr>
        <w:t>的储备</w:t>
      </w:r>
      <w:r>
        <w:rPr>
          <w:rFonts w:hint="eastAsia" w:ascii="仿宋_GB2312" w:hAnsi="仿宋"/>
          <w:color w:val="auto"/>
          <w:szCs w:val="28"/>
          <w:highlight w:val="none"/>
        </w:rPr>
        <w:t>医疗设备，切实做好新冠病毒感染疫情防控工作</w:t>
      </w:r>
      <w:r>
        <w:rPr>
          <w:rFonts w:hint="eastAsia" w:ascii="仿宋_GB2312" w:hAnsi="仿宋"/>
          <w:color w:val="auto"/>
          <w:szCs w:val="28"/>
          <w:highlight w:val="none"/>
          <w:lang w:eastAsia="zh-CN"/>
        </w:rPr>
        <w:t>，</w:t>
      </w:r>
      <w:r>
        <w:rPr>
          <w:rFonts w:hint="eastAsia" w:ascii="仿宋_GB2312" w:hAnsi="仿宋"/>
          <w:color w:val="auto"/>
          <w:szCs w:val="28"/>
          <w:highlight w:val="none"/>
        </w:rPr>
        <w:t>设备</w:t>
      </w:r>
      <w:r>
        <w:rPr>
          <w:rFonts w:hint="eastAsia" w:ascii="仿宋_GB2312" w:hAnsi="仿宋"/>
          <w:color w:val="auto"/>
          <w:szCs w:val="28"/>
          <w:highlight w:val="none"/>
          <w:lang w:eastAsia="zh-CN"/>
        </w:rPr>
        <w:t>安装、验收</w:t>
      </w:r>
      <w:r>
        <w:rPr>
          <w:rFonts w:hint="eastAsia" w:ascii="仿宋_GB2312" w:hAnsi="仿宋"/>
          <w:color w:val="auto"/>
          <w:szCs w:val="28"/>
          <w:highlight w:val="none"/>
        </w:rPr>
        <w:t>及时到位</w:t>
      </w:r>
      <w:r>
        <w:rPr>
          <w:rFonts w:hint="eastAsia" w:ascii="仿宋_GB2312" w:hAnsi="仿宋"/>
          <w:color w:val="auto"/>
          <w:szCs w:val="28"/>
          <w:highlight w:val="none"/>
          <w:lang w:eastAsia="zh-CN"/>
        </w:rPr>
        <w:t>，</w:t>
      </w:r>
      <w:r>
        <w:rPr>
          <w:rFonts w:hint="eastAsia" w:ascii="仿宋_GB2312" w:hAnsi="仿宋"/>
          <w:color w:val="auto"/>
          <w:szCs w:val="28"/>
          <w:highlight w:val="none"/>
        </w:rPr>
        <w:t>合理分配设备至各临床科室，加强合理资源配置，切实做好新冠病毒感染疫情防控工作。</w:t>
      </w:r>
    </w:p>
    <w:p>
      <w:pPr>
        <w:spacing w:line="360" w:lineRule="auto"/>
        <w:ind w:firstLine="560"/>
        <w:rPr>
          <w:rFonts w:ascii="仿宋_GB2312"/>
          <w:color w:val="auto"/>
          <w:szCs w:val="28"/>
          <w:highlight w:val="none"/>
        </w:rPr>
      </w:pPr>
    </w:p>
    <w:p>
      <w:pPr>
        <w:spacing w:line="360" w:lineRule="auto"/>
        <w:ind w:firstLine="560"/>
        <w:rPr>
          <w:rFonts w:ascii="仿宋_GB2312" w:hAnsi="仿宋"/>
          <w:color w:val="auto"/>
          <w:szCs w:val="28"/>
          <w:highlight w:val="none"/>
        </w:rPr>
      </w:pPr>
    </w:p>
    <w:p>
      <w:pPr>
        <w:pStyle w:val="4"/>
        <w:ind w:firstLine="0" w:firstLineChars="0"/>
        <w:jc w:val="left"/>
        <w:rPr>
          <w:rFonts w:ascii="仿宋" w:hAnsi="仿宋" w:eastAsia="仿宋"/>
          <w:color w:val="auto"/>
          <w:sz w:val="36"/>
          <w:szCs w:val="36"/>
          <w:highlight w:val="none"/>
          <w:lang w:bidi="en-US"/>
        </w:rPr>
      </w:pPr>
      <w:bookmarkStart w:id="9" w:name="_Toc67911604"/>
      <w:bookmarkStart w:id="10" w:name="_Toc165277225"/>
      <w:r>
        <w:rPr>
          <w:rFonts w:hint="eastAsia" w:ascii="仿宋" w:hAnsi="仿宋" w:eastAsia="仿宋"/>
          <w:color w:val="auto"/>
          <w:sz w:val="36"/>
          <w:szCs w:val="36"/>
          <w:highlight w:val="none"/>
          <w:lang w:bidi="en-US"/>
        </w:rPr>
        <w:t>二、绩效评价工作开展情况</w:t>
      </w:r>
      <w:bookmarkEnd w:id="9"/>
      <w:bookmarkEnd w:id="10"/>
    </w:p>
    <w:p>
      <w:pPr>
        <w:pStyle w:val="5"/>
        <w:ind w:firstLine="643"/>
        <w:rPr>
          <w:rFonts w:ascii="仿宋" w:hAnsi="仿宋" w:eastAsia="仿宋"/>
          <w:color w:val="auto"/>
          <w:highlight w:val="none"/>
          <w:lang w:bidi="en-US"/>
        </w:rPr>
      </w:pPr>
      <w:bookmarkStart w:id="11" w:name="_Toc165277226"/>
      <w:bookmarkStart w:id="12" w:name="_Toc67911605"/>
      <w:r>
        <w:rPr>
          <w:rFonts w:hint="eastAsia" w:ascii="仿宋" w:hAnsi="仿宋" w:eastAsia="仿宋"/>
          <w:color w:val="auto"/>
          <w:highlight w:val="none"/>
          <w:lang w:bidi="en-US"/>
        </w:rPr>
        <w:t>（一）绩效评价目的、对象和范围</w:t>
      </w:r>
      <w:bookmarkEnd w:id="11"/>
      <w:bookmarkEnd w:id="12"/>
    </w:p>
    <w:p>
      <w:pPr>
        <w:pStyle w:val="6"/>
        <w:ind w:firstLine="643"/>
        <w:rPr>
          <w:color w:val="auto"/>
          <w:highlight w:val="none"/>
        </w:rPr>
      </w:pPr>
      <w:bookmarkStart w:id="13" w:name="_Toc165277227"/>
      <w:r>
        <w:rPr>
          <w:rFonts w:hint="eastAsia"/>
          <w:color w:val="auto"/>
          <w:highlight w:val="none"/>
        </w:rPr>
        <w:t>1</w:t>
      </w:r>
      <w:r>
        <w:rPr>
          <w:color w:val="auto"/>
          <w:highlight w:val="none"/>
        </w:rPr>
        <w:t>.绩效评价完整性</w:t>
      </w:r>
      <w:bookmarkEnd w:id="13"/>
    </w:p>
    <w:p>
      <w:pPr>
        <w:spacing w:line="360" w:lineRule="auto"/>
        <w:ind w:firstLine="560"/>
        <w:rPr>
          <w:rFonts w:hint="eastAsia" w:ascii="仿宋_GB2312" w:hAnsi="仿宋"/>
          <w:color w:val="auto"/>
          <w:szCs w:val="28"/>
          <w:highlight w:val="none"/>
        </w:rPr>
      </w:pPr>
      <w:r>
        <w:rPr>
          <w:rFonts w:hint="eastAsia" w:ascii="仿宋_GB2312" w:hAnsi="仿宋"/>
          <w:color w:val="auto"/>
          <w:szCs w:val="28"/>
          <w:highlight w:val="none"/>
        </w:rPr>
        <w:t>该项目总目标：</w:t>
      </w:r>
      <w:r>
        <w:rPr>
          <w:rFonts w:hint="eastAsia" w:ascii="仿宋_GB2312" w:hAnsi="仿宋"/>
          <w:color w:val="auto"/>
          <w:szCs w:val="28"/>
          <w:highlight w:val="none"/>
          <w:lang w:eastAsia="zh-CN"/>
        </w:rPr>
        <w:t>我院</w:t>
      </w:r>
      <w:r>
        <w:rPr>
          <w:rFonts w:hint="eastAsia" w:ascii="仿宋_GB2312" w:hAnsi="仿宋"/>
          <w:color w:val="auto"/>
          <w:szCs w:val="28"/>
          <w:highlight w:val="none"/>
        </w:rPr>
        <w:t>为更好地应对新冠肺炎医疗救治工作，</w:t>
      </w:r>
      <w:r>
        <w:rPr>
          <w:rFonts w:hint="eastAsia" w:ascii="仿宋_GB2312" w:hAnsi="仿宋"/>
          <w:color w:val="auto"/>
          <w:szCs w:val="28"/>
          <w:highlight w:val="none"/>
          <w:lang w:eastAsia="zh-CN"/>
        </w:rPr>
        <w:t>快速补充</w:t>
      </w:r>
      <w:r>
        <w:rPr>
          <w:rFonts w:hint="eastAsia" w:ascii="仿宋_GB2312" w:hAnsi="仿宋"/>
          <w:color w:val="auto"/>
          <w:szCs w:val="28"/>
          <w:highlight w:val="none"/>
        </w:rPr>
        <w:t>重症医疗资源，降低重症率和病亡率，加快推动三级医院重症医疗资源准备速度，加快完成综合ICU监护单元建设和升级改造，确保需要时，随时可投入新冠肺炎重症患者医疗救治，</w:t>
      </w:r>
      <w:r>
        <w:rPr>
          <w:rFonts w:hint="eastAsia" w:ascii="仿宋_GB2312" w:hAnsi="仿宋"/>
          <w:color w:val="auto"/>
          <w:szCs w:val="28"/>
          <w:highlight w:val="none"/>
          <w:lang w:eastAsia="zh-CN"/>
        </w:rPr>
        <w:t>此项目</w:t>
      </w:r>
      <w:r>
        <w:rPr>
          <w:rFonts w:hint="eastAsia" w:ascii="仿宋_GB2312" w:hAnsi="仿宋"/>
          <w:color w:val="auto"/>
          <w:szCs w:val="28"/>
          <w:highlight w:val="none"/>
        </w:rPr>
        <w:t>重症救治设备</w:t>
      </w:r>
      <w:r>
        <w:rPr>
          <w:rFonts w:hint="eastAsia" w:ascii="仿宋_GB2312" w:hAnsi="仿宋"/>
          <w:color w:val="auto"/>
          <w:szCs w:val="28"/>
          <w:highlight w:val="none"/>
          <w:lang w:eastAsia="zh-CN"/>
        </w:rPr>
        <w:t>投入我院：内科、老年精神一科、老年精神二科、老年精神三科、临床心理三科</w:t>
      </w:r>
      <w:r>
        <w:rPr>
          <w:rFonts w:hint="eastAsia" w:ascii="仿宋_GB2312" w:hAnsi="仿宋"/>
          <w:color w:val="auto"/>
          <w:szCs w:val="28"/>
          <w:highlight w:val="none"/>
        </w:rPr>
        <w:t>使用，该项目按照指向明确、细化量化、合理可行和相应匹配的要求，设定三级绩效目标（数量指标、质量指标、时效指标、成本指标、效益指标</w:t>
      </w:r>
      <w:r>
        <w:rPr>
          <w:rFonts w:hint="eastAsia" w:ascii="仿宋_GB2312" w:hAnsi="仿宋"/>
          <w:color w:val="auto"/>
          <w:szCs w:val="28"/>
          <w:highlight w:val="none"/>
          <w:lang w:eastAsia="zh-CN"/>
        </w:rPr>
        <w:t>、满意度指标</w:t>
      </w:r>
      <w:r>
        <w:rPr>
          <w:rFonts w:hint="eastAsia" w:ascii="仿宋_GB2312" w:hAnsi="仿宋"/>
          <w:color w:val="auto"/>
          <w:szCs w:val="28"/>
          <w:highlight w:val="none"/>
        </w:rPr>
        <w:t>)，</w:t>
      </w:r>
      <w:r>
        <w:rPr>
          <w:rFonts w:hint="eastAsia" w:ascii="仿宋_GB2312" w:hAnsi="仿宋"/>
          <w:color w:val="auto"/>
          <w:szCs w:val="28"/>
          <w:highlight w:val="none"/>
          <w:lang w:eastAsia="zh-CN"/>
        </w:rPr>
        <w:t>用</w:t>
      </w:r>
      <w:r>
        <w:rPr>
          <w:rFonts w:hint="eastAsia" w:ascii="仿宋_GB2312" w:hAnsi="仿宋"/>
          <w:color w:val="auto"/>
          <w:szCs w:val="28"/>
          <w:highlight w:val="none"/>
        </w:rPr>
        <w:t>以准确、清晰地反映财政资金在使用期所能达到的预期产出和效果。</w:t>
      </w:r>
    </w:p>
    <w:p>
      <w:pPr>
        <w:spacing w:line="360" w:lineRule="auto"/>
        <w:ind w:firstLine="560"/>
        <w:rPr>
          <w:rFonts w:ascii="仿宋_GB2312" w:hAnsi="仿宋"/>
          <w:color w:val="auto"/>
          <w:szCs w:val="28"/>
          <w:highlight w:val="none"/>
        </w:rPr>
      </w:pPr>
      <w:r>
        <w:rPr>
          <w:rFonts w:hint="eastAsia" w:ascii="仿宋_GB2312" w:hAnsi="仿宋"/>
          <w:color w:val="auto"/>
          <w:szCs w:val="28"/>
          <w:highlight w:val="none"/>
        </w:rPr>
        <w:t>根据国务院联防联控机制综合组《关于印发做好医疗资源准备工作方案的通知》（联防联控机制综发(2022）112号)、《关于拨付2023年第二批疫情防控补助资金（二级以上医疗机构新冠肺炎医疗设备储备)的通知》（乌财社〔2023）19号)文件要求，依照《关于</w:t>
      </w:r>
      <w:r>
        <w:rPr>
          <w:rFonts w:hint="eastAsia" w:ascii="仿宋_GB2312" w:hAnsi="仿宋"/>
          <w:color w:val="auto"/>
          <w:szCs w:val="28"/>
          <w:highlight w:val="none"/>
          <w:lang w:eastAsia="zh-CN"/>
        </w:rPr>
        <w:t>乌</w:t>
      </w:r>
      <w:r>
        <w:rPr>
          <w:rFonts w:hint="eastAsia" w:ascii="仿宋_GB2312" w:hAnsi="仿宋"/>
          <w:color w:val="auto"/>
          <w:szCs w:val="28"/>
          <w:highlight w:val="none"/>
        </w:rPr>
        <w:t>鲁木齐市疫情防控期</w:t>
      </w:r>
      <w:r>
        <w:rPr>
          <w:rFonts w:hint="eastAsia" w:ascii="仿宋_GB2312" w:hAnsi="仿宋"/>
          <w:color w:val="auto"/>
          <w:szCs w:val="28"/>
          <w:highlight w:val="none"/>
          <w:lang w:eastAsia="zh-CN"/>
        </w:rPr>
        <w:t>间</w:t>
      </w:r>
      <w:r>
        <w:rPr>
          <w:rFonts w:hint="eastAsia" w:ascii="仿宋_GB2312" w:hAnsi="仿宋"/>
          <w:color w:val="auto"/>
          <w:szCs w:val="28"/>
          <w:highlight w:val="none"/>
        </w:rPr>
        <w:t>政府采购事宜的通知》（乌财购(2020）6</w:t>
      </w:r>
      <w:r>
        <w:rPr>
          <w:rFonts w:hint="eastAsia" w:ascii="仿宋_GB2312" w:hAnsi="仿宋"/>
          <w:color w:val="auto"/>
          <w:szCs w:val="28"/>
          <w:highlight w:val="none"/>
          <w:lang w:eastAsia="zh-CN"/>
        </w:rPr>
        <w:t>号）文件，</w:t>
      </w:r>
      <w:r>
        <w:rPr>
          <w:rFonts w:hint="eastAsia" w:ascii="仿宋_GB2312" w:hAnsi="仿宋"/>
          <w:color w:val="auto"/>
          <w:szCs w:val="28"/>
          <w:highlight w:val="none"/>
        </w:rPr>
        <w:t>购置用于治疗新冠肺炎的设备102台（套），并于2023年12月31日前完成设备采购、安装验收及调试工作。绩效目标包含数量指标、质量指标、时效指标、经济成本指标、社会效益指标和满意度指标，能够通过所设绩效评价指标体系完整体现项目的完成情况。</w:t>
      </w:r>
    </w:p>
    <w:p>
      <w:pPr>
        <w:spacing w:line="360" w:lineRule="auto"/>
        <w:ind w:firstLine="560"/>
        <w:rPr>
          <w:rFonts w:ascii="仿宋_GB2312" w:hAnsi="仿宋"/>
          <w:color w:val="auto"/>
          <w:szCs w:val="28"/>
          <w:highlight w:val="none"/>
        </w:rPr>
      </w:pPr>
      <w:r>
        <w:rPr>
          <w:rFonts w:hint="eastAsia" w:ascii="仿宋_GB2312" w:hAnsi="仿宋"/>
          <w:color w:val="auto"/>
          <w:szCs w:val="28"/>
          <w:highlight w:val="none"/>
        </w:rPr>
        <w:t>项目计划12月31日前完成采购和调试，实际4月19日完成采购调试；采购数量计划102台（套），实际采购102台（套）；成本计划小于等于511.69万元，实际中标458.52万元；项目资金应支付458.52万元，实际支付59.41万元。</w:t>
      </w:r>
    </w:p>
    <w:p>
      <w:pPr>
        <w:spacing w:line="360" w:lineRule="auto"/>
        <w:ind w:firstLine="560"/>
        <w:rPr>
          <w:rFonts w:ascii="仿宋_GB2312" w:hAnsi="仿宋"/>
          <w:color w:val="auto"/>
          <w:szCs w:val="28"/>
          <w:highlight w:val="none"/>
        </w:rPr>
      </w:pPr>
      <w:r>
        <w:rPr>
          <w:rFonts w:hint="eastAsia" w:ascii="仿宋_GB2312" w:hAnsi="仿宋"/>
          <w:color w:val="auto"/>
          <w:szCs w:val="28"/>
          <w:highlight w:val="none"/>
        </w:rPr>
        <w:t>绩效评价数据来源于具体实物、相关合同、财务凭证及报表以及验收单及满意度调查表，所有绩效评价数据准确、完整。</w:t>
      </w:r>
    </w:p>
    <w:p>
      <w:pPr>
        <w:pStyle w:val="6"/>
        <w:ind w:firstLine="643"/>
        <w:rPr>
          <w:color w:val="auto"/>
          <w:highlight w:val="none"/>
        </w:rPr>
      </w:pPr>
      <w:bookmarkStart w:id="14" w:name="_Toc165277228"/>
      <w:r>
        <w:rPr>
          <w:color w:val="auto"/>
          <w:highlight w:val="none"/>
        </w:rPr>
        <w:t>2</w:t>
      </w:r>
      <w:r>
        <w:rPr>
          <w:rFonts w:hint="eastAsia"/>
          <w:color w:val="auto"/>
          <w:highlight w:val="none"/>
        </w:rPr>
        <w:t>.评价目的</w:t>
      </w:r>
      <w:bookmarkEnd w:id="14"/>
    </w:p>
    <w:p>
      <w:pPr>
        <w:spacing w:line="360" w:lineRule="auto"/>
        <w:ind w:firstLine="560"/>
        <w:rPr>
          <w:rFonts w:ascii="仿宋_GB2312"/>
          <w:b/>
          <w:bCs/>
          <w:color w:val="auto"/>
          <w:highlight w:val="none"/>
        </w:rPr>
      </w:pPr>
      <w:r>
        <w:rPr>
          <w:rFonts w:hint="eastAsia" w:ascii="仿宋_GB2312"/>
          <w:color w:val="auto"/>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6"/>
        <w:ind w:firstLine="643"/>
        <w:rPr>
          <w:color w:val="auto"/>
          <w:highlight w:val="none"/>
        </w:rPr>
      </w:pPr>
      <w:bookmarkStart w:id="15" w:name="_Toc165277229"/>
      <w:r>
        <w:rPr>
          <w:color w:val="auto"/>
          <w:highlight w:val="none"/>
        </w:rPr>
        <w:t>3</w:t>
      </w:r>
      <w:r>
        <w:rPr>
          <w:rFonts w:hint="eastAsia"/>
          <w:color w:val="auto"/>
          <w:highlight w:val="none"/>
        </w:rPr>
        <w:t>.评价对象</w:t>
      </w:r>
      <w:bookmarkEnd w:id="15"/>
    </w:p>
    <w:p>
      <w:pPr>
        <w:spacing w:line="360" w:lineRule="auto"/>
        <w:ind w:firstLine="560"/>
        <w:rPr>
          <w:rFonts w:ascii="仿宋_GB2312"/>
          <w:color w:val="auto"/>
          <w:highlight w:val="none"/>
        </w:rPr>
      </w:pPr>
      <w:r>
        <w:rPr>
          <w:rFonts w:hint="eastAsia" w:ascii="仿宋_GB2312"/>
          <w:color w:val="auto"/>
          <w:highlight w:val="none"/>
        </w:rPr>
        <w:t>（1）绩效评价的对象：《关于拨付2023年第二批疫情防控补助资金（二级以上医疗机构新冠肺炎医疗设备储备）的通知》项目</w:t>
      </w:r>
      <w:r>
        <w:rPr>
          <w:rFonts w:ascii="仿宋_GB2312"/>
          <w:color w:val="auto"/>
          <w:highlight w:val="none"/>
        </w:rPr>
        <w:t xml:space="preserve"> </w:t>
      </w:r>
    </w:p>
    <w:p>
      <w:pPr>
        <w:pStyle w:val="6"/>
        <w:ind w:firstLine="643"/>
        <w:rPr>
          <w:color w:val="auto"/>
          <w:highlight w:val="none"/>
        </w:rPr>
      </w:pPr>
      <w:bookmarkStart w:id="16" w:name="_Toc165277230"/>
      <w:r>
        <w:rPr>
          <w:rFonts w:hint="eastAsia"/>
          <w:color w:val="auto"/>
          <w:highlight w:val="none"/>
        </w:rPr>
        <w:t>4</w:t>
      </w:r>
      <w:r>
        <w:rPr>
          <w:color w:val="auto"/>
          <w:highlight w:val="none"/>
        </w:rPr>
        <w:t>.</w:t>
      </w:r>
      <w:r>
        <w:rPr>
          <w:rFonts w:hint="eastAsia"/>
          <w:color w:val="auto"/>
          <w:highlight w:val="none"/>
        </w:rPr>
        <w:t>绩效评价范围</w:t>
      </w:r>
      <w:bookmarkEnd w:id="16"/>
    </w:p>
    <w:p>
      <w:pPr>
        <w:spacing w:line="360" w:lineRule="auto"/>
        <w:ind w:firstLine="560"/>
        <w:rPr>
          <w:rFonts w:ascii="仿宋_GB2312"/>
          <w:color w:val="auto"/>
          <w:highlight w:val="none"/>
        </w:rPr>
      </w:pPr>
      <w:r>
        <w:rPr>
          <w:rFonts w:ascii="仿宋_GB2312"/>
          <w:color w:val="auto"/>
          <w:highlight w:val="none"/>
        </w:rPr>
        <w:t>1.</w:t>
      </w:r>
      <w:r>
        <w:rPr>
          <w:rFonts w:hint="eastAsia" w:ascii="仿宋_GB2312"/>
          <w:color w:val="auto"/>
          <w:highlight w:val="none"/>
        </w:rPr>
        <w:t>时间范围：2</w:t>
      </w:r>
      <w:r>
        <w:rPr>
          <w:rFonts w:ascii="仿宋_GB2312"/>
          <w:color w:val="auto"/>
          <w:highlight w:val="none"/>
        </w:rPr>
        <w:t>023</w:t>
      </w:r>
      <w:r>
        <w:rPr>
          <w:rFonts w:hint="eastAsia" w:ascii="仿宋_GB2312"/>
          <w:color w:val="auto"/>
          <w:highlight w:val="none"/>
        </w:rPr>
        <w:t>年1月1日至2</w:t>
      </w:r>
      <w:r>
        <w:rPr>
          <w:rFonts w:ascii="仿宋_GB2312"/>
          <w:color w:val="auto"/>
          <w:highlight w:val="none"/>
        </w:rPr>
        <w:t>023</w:t>
      </w:r>
      <w:r>
        <w:rPr>
          <w:rFonts w:hint="eastAsia" w:ascii="仿宋_GB2312"/>
          <w:color w:val="auto"/>
          <w:highlight w:val="none"/>
        </w:rPr>
        <w:t>年1</w:t>
      </w:r>
      <w:r>
        <w:rPr>
          <w:rFonts w:ascii="仿宋_GB2312"/>
          <w:color w:val="auto"/>
          <w:highlight w:val="none"/>
        </w:rPr>
        <w:t>2</w:t>
      </w:r>
      <w:r>
        <w:rPr>
          <w:rFonts w:hint="eastAsia" w:ascii="仿宋_GB2312"/>
          <w:color w:val="auto"/>
          <w:highlight w:val="none"/>
        </w:rPr>
        <w:t>月3</w:t>
      </w:r>
      <w:r>
        <w:rPr>
          <w:rFonts w:ascii="仿宋_GB2312"/>
          <w:color w:val="auto"/>
          <w:highlight w:val="none"/>
        </w:rPr>
        <w:t>1</w:t>
      </w:r>
      <w:r>
        <w:rPr>
          <w:rFonts w:hint="eastAsia" w:ascii="仿宋_GB2312"/>
          <w:color w:val="auto"/>
          <w:highlight w:val="none"/>
        </w:rPr>
        <w:t>日。</w:t>
      </w:r>
    </w:p>
    <w:p>
      <w:pPr>
        <w:spacing w:line="360" w:lineRule="auto"/>
        <w:ind w:firstLine="560"/>
        <w:rPr>
          <w:rFonts w:hint="eastAsia" w:ascii="仿宋_GB2312"/>
          <w:color w:val="auto"/>
          <w:highlight w:val="none"/>
        </w:rPr>
      </w:pPr>
      <w:r>
        <w:rPr>
          <w:rFonts w:ascii="仿宋_GB2312"/>
          <w:color w:val="auto"/>
          <w:highlight w:val="none"/>
        </w:rPr>
        <w:t>2.</w:t>
      </w:r>
      <w:r>
        <w:rPr>
          <w:rFonts w:hint="eastAsia" w:ascii="仿宋_GB2312"/>
          <w:color w:val="auto"/>
          <w:highlight w:val="none"/>
        </w:rPr>
        <w:t>项目范围：</w:t>
      </w:r>
      <w:r>
        <w:rPr>
          <w:rFonts w:hint="eastAsia" w:ascii="仿宋_GB2312" w:hAnsi="仿宋"/>
          <w:color w:val="auto"/>
          <w:szCs w:val="28"/>
          <w:highlight w:val="none"/>
          <w:lang w:eastAsia="zh-CN"/>
        </w:rPr>
        <w:t>我院</w:t>
      </w:r>
      <w:r>
        <w:rPr>
          <w:rFonts w:hint="eastAsia" w:ascii="仿宋_GB2312" w:hAnsi="仿宋"/>
          <w:color w:val="auto"/>
          <w:szCs w:val="28"/>
          <w:highlight w:val="none"/>
        </w:rPr>
        <w:t>为更好地应对新冠肺炎医疗救治工作，</w:t>
      </w:r>
      <w:r>
        <w:rPr>
          <w:rFonts w:hint="eastAsia" w:ascii="仿宋_GB2312" w:hAnsi="仿宋"/>
          <w:color w:val="auto"/>
          <w:szCs w:val="28"/>
          <w:highlight w:val="none"/>
          <w:lang w:eastAsia="zh-CN"/>
        </w:rPr>
        <w:t>快速补充</w:t>
      </w:r>
      <w:r>
        <w:rPr>
          <w:rFonts w:hint="eastAsia" w:ascii="仿宋_GB2312" w:hAnsi="仿宋"/>
          <w:color w:val="auto"/>
          <w:szCs w:val="28"/>
          <w:highlight w:val="none"/>
        </w:rPr>
        <w:t>重症医疗资源，降低重症率和病亡率，加快推动三级医院重症医疗资源准备速度，加快完成综合ICU监护单元建设和升级改造，确保需要时，随时可投入新冠肺炎重症患者医疗救治，</w:t>
      </w:r>
      <w:r>
        <w:rPr>
          <w:rFonts w:hint="eastAsia" w:ascii="仿宋_GB2312" w:hAnsi="仿宋"/>
          <w:color w:val="auto"/>
          <w:szCs w:val="28"/>
          <w:highlight w:val="none"/>
          <w:lang w:eastAsia="zh-CN"/>
        </w:rPr>
        <w:t>此项目</w:t>
      </w:r>
      <w:r>
        <w:rPr>
          <w:rFonts w:hint="eastAsia" w:ascii="仿宋_GB2312" w:hAnsi="仿宋"/>
          <w:color w:val="auto"/>
          <w:szCs w:val="28"/>
          <w:highlight w:val="none"/>
        </w:rPr>
        <w:t>重症救治设备</w:t>
      </w:r>
      <w:r>
        <w:rPr>
          <w:rFonts w:hint="eastAsia" w:ascii="仿宋_GB2312" w:hAnsi="仿宋"/>
          <w:color w:val="auto"/>
          <w:szCs w:val="28"/>
          <w:highlight w:val="none"/>
          <w:lang w:eastAsia="zh-CN"/>
        </w:rPr>
        <w:t>投入我院：内科、老年精神一科、老年精神二科、老年精神三科、临床心理三科</w:t>
      </w:r>
      <w:r>
        <w:rPr>
          <w:rFonts w:hint="eastAsia" w:ascii="仿宋_GB2312" w:hAnsi="仿宋"/>
          <w:color w:val="auto"/>
          <w:szCs w:val="28"/>
          <w:highlight w:val="none"/>
        </w:rPr>
        <w:t>使用，该项目按照指向明确、细化量化、合理可行和相应匹配的要求，设定三级绩效目标（数量指标、质量指标、时效指标、成本指标、效益指标</w:t>
      </w:r>
      <w:r>
        <w:rPr>
          <w:rFonts w:hint="eastAsia" w:ascii="仿宋_GB2312" w:hAnsi="仿宋"/>
          <w:color w:val="auto"/>
          <w:szCs w:val="28"/>
          <w:highlight w:val="none"/>
          <w:lang w:eastAsia="zh-CN"/>
        </w:rPr>
        <w:t>、满意度指标</w:t>
      </w:r>
      <w:r>
        <w:rPr>
          <w:rFonts w:hint="eastAsia" w:ascii="仿宋_GB2312" w:hAnsi="仿宋"/>
          <w:color w:val="auto"/>
          <w:szCs w:val="28"/>
          <w:highlight w:val="none"/>
        </w:rPr>
        <w:t>)，</w:t>
      </w:r>
      <w:r>
        <w:rPr>
          <w:rFonts w:hint="eastAsia" w:ascii="仿宋_GB2312" w:hAnsi="仿宋"/>
          <w:color w:val="auto"/>
          <w:szCs w:val="28"/>
          <w:highlight w:val="none"/>
          <w:lang w:eastAsia="zh-CN"/>
        </w:rPr>
        <w:t>用</w:t>
      </w:r>
      <w:r>
        <w:rPr>
          <w:rFonts w:hint="eastAsia" w:ascii="仿宋_GB2312" w:hAnsi="仿宋"/>
          <w:color w:val="auto"/>
          <w:szCs w:val="28"/>
          <w:highlight w:val="none"/>
        </w:rPr>
        <w:t>以准确、清晰地反映财政资金在使用期所能达到的预期产出和效果。</w:t>
      </w:r>
      <w:r>
        <w:rPr>
          <w:rFonts w:hint="eastAsia" w:ascii="仿宋_GB2312" w:hAnsi="仿宋"/>
          <w:color w:val="auto"/>
          <w:szCs w:val="28"/>
          <w:highlight w:val="none"/>
          <w:lang w:eastAsia="zh-CN"/>
        </w:rPr>
        <w:t>我院</w:t>
      </w:r>
      <w:r>
        <w:rPr>
          <w:rFonts w:hint="eastAsia" w:ascii="仿宋_GB2312" w:hAnsi="仿宋"/>
          <w:color w:val="auto"/>
          <w:szCs w:val="28"/>
          <w:highlight w:val="none"/>
        </w:rPr>
        <w:t>购置用于治疗新冠肺炎的设备102台（套），并于2023年12月31日前完成设备采购、安装验收及调试工作。绩效目标包含</w:t>
      </w:r>
      <w:r>
        <w:rPr>
          <w:rFonts w:hint="eastAsia" w:ascii="仿宋_GB2312" w:hAnsi="仿宋"/>
          <w:color w:val="auto"/>
          <w:szCs w:val="28"/>
          <w:highlight w:val="none"/>
          <w:lang w:eastAsia="zh-CN"/>
        </w:rPr>
        <w:t>：</w:t>
      </w:r>
      <w:r>
        <w:rPr>
          <w:rFonts w:hint="eastAsia" w:ascii="仿宋_GB2312" w:hAnsi="仿宋"/>
          <w:color w:val="auto"/>
          <w:szCs w:val="28"/>
          <w:highlight w:val="none"/>
        </w:rPr>
        <w:t>数量指标、质量指标、时效指标、经济成本指标、社会效益指标和满意度指标，能够通过所设绩效评价指标体系完整体现项目的完成情况</w:t>
      </w:r>
      <w:r>
        <w:rPr>
          <w:rFonts w:hint="eastAsia" w:ascii="仿宋_GB2312" w:hAnsi="仿宋"/>
          <w:color w:val="auto"/>
          <w:szCs w:val="28"/>
          <w:highlight w:val="none"/>
          <w:lang w:eastAsia="zh-CN"/>
        </w:rPr>
        <w:t>；</w:t>
      </w:r>
      <w:r>
        <w:rPr>
          <w:rFonts w:hint="eastAsia" w:ascii="仿宋_GB2312" w:hAnsi="仿宋" w:cs="宋体"/>
          <w:color w:val="auto"/>
          <w:kern w:val="0"/>
          <w:szCs w:val="28"/>
          <w:highlight w:val="none"/>
        </w:rPr>
        <w:t>项目执行过程中</w:t>
      </w:r>
      <w:r>
        <w:rPr>
          <w:rFonts w:ascii="仿宋_GB2312" w:hAnsi="仿宋" w:cs="宋体"/>
          <w:color w:val="auto"/>
          <w:kern w:val="0"/>
          <w:szCs w:val="28"/>
          <w:highlight w:val="none"/>
        </w:rPr>
        <w:t>，</w:t>
      </w:r>
      <w:r>
        <w:rPr>
          <w:rFonts w:hint="eastAsia" w:ascii="仿宋_GB2312" w:hAnsi="仿宋" w:cs="宋体"/>
          <w:color w:val="auto"/>
          <w:kern w:val="0"/>
          <w:szCs w:val="28"/>
          <w:highlight w:val="none"/>
        </w:rPr>
        <w:t>除设备询价与设备合同实际成本出现差额，项目资金未使用完毕，</w:t>
      </w:r>
      <w:r>
        <w:rPr>
          <w:rFonts w:ascii="仿宋_GB2312" w:hAnsi="仿宋" w:cs="宋体"/>
          <w:color w:val="auto"/>
          <w:kern w:val="0"/>
          <w:szCs w:val="28"/>
          <w:highlight w:val="none"/>
        </w:rPr>
        <w:t>无其他问题。</w:t>
      </w:r>
      <w:r>
        <w:rPr>
          <w:rFonts w:hint="eastAsia" w:ascii="仿宋_GB2312" w:hAnsi="仿宋" w:cs="宋体"/>
          <w:color w:val="auto"/>
          <w:kern w:val="0"/>
          <w:szCs w:val="28"/>
          <w:highlight w:val="none"/>
        </w:rPr>
        <w:t>从项目决策、项目管理、项目绩效三方面进行分析，</w:t>
      </w:r>
      <w:r>
        <w:rPr>
          <w:rFonts w:ascii="仿宋_GB2312" w:hAnsi="仿宋" w:cs="宋体"/>
          <w:color w:val="auto"/>
          <w:kern w:val="0"/>
          <w:szCs w:val="28"/>
          <w:highlight w:val="none"/>
        </w:rPr>
        <w:t>项目圆满完成</w:t>
      </w:r>
      <w:r>
        <w:rPr>
          <w:rFonts w:hint="eastAsia" w:ascii="仿宋_GB2312" w:hAnsi="仿宋" w:cs="宋体"/>
          <w:color w:val="auto"/>
          <w:kern w:val="0"/>
          <w:szCs w:val="28"/>
          <w:highlight w:val="none"/>
        </w:rPr>
        <w:t>，按计划保障疫情防控工作稳步推进，坚守我市百姓健康防线。</w:t>
      </w:r>
    </w:p>
    <w:p>
      <w:pPr>
        <w:pStyle w:val="2"/>
        <w:rPr>
          <w:rFonts w:hint="eastAsia"/>
          <w:color w:val="auto"/>
          <w:highlight w:val="none"/>
        </w:rPr>
      </w:pPr>
    </w:p>
    <w:p>
      <w:pPr>
        <w:pStyle w:val="5"/>
        <w:ind w:firstLine="643"/>
        <w:rPr>
          <w:rFonts w:ascii="仿宋" w:hAnsi="仿宋" w:eastAsia="仿宋"/>
          <w:color w:val="auto"/>
          <w:highlight w:val="none"/>
          <w:lang w:bidi="en-US"/>
        </w:rPr>
      </w:pPr>
      <w:bookmarkStart w:id="17" w:name="_Toc67911606"/>
      <w:bookmarkStart w:id="18" w:name="_Toc165277231"/>
      <w:bookmarkStart w:id="19" w:name="_Hlk67586765"/>
      <w:r>
        <w:rPr>
          <w:rFonts w:hint="eastAsia" w:ascii="仿宋" w:hAnsi="仿宋" w:eastAsia="仿宋"/>
          <w:color w:val="auto"/>
          <w:highlight w:val="none"/>
          <w:lang w:bidi="en-US"/>
        </w:rPr>
        <w:t>（二）绩效评价原则、指标体系、方法及标准</w:t>
      </w:r>
      <w:bookmarkEnd w:id="17"/>
      <w:bookmarkEnd w:id="18"/>
    </w:p>
    <w:bookmarkEnd w:id="19"/>
    <w:p>
      <w:pPr>
        <w:pStyle w:val="6"/>
        <w:ind w:firstLine="643"/>
        <w:rPr>
          <w:color w:val="auto"/>
          <w:highlight w:val="none"/>
        </w:rPr>
      </w:pPr>
      <w:bookmarkStart w:id="20" w:name="_Toc165277232"/>
      <w:r>
        <w:rPr>
          <w:rFonts w:hint="eastAsia"/>
          <w:color w:val="auto"/>
          <w:highlight w:val="none"/>
        </w:rPr>
        <w:t>1</w:t>
      </w:r>
      <w:r>
        <w:rPr>
          <w:color w:val="auto"/>
          <w:highlight w:val="none"/>
        </w:rPr>
        <w:t>.</w:t>
      </w:r>
      <w:r>
        <w:rPr>
          <w:rFonts w:hint="eastAsia"/>
          <w:color w:val="auto"/>
          <w:highlight w:val="none"/>
        </w:rPr>
        <w:t>评价原则</w:t>
      </w:r>
      <w:bookmarkEnd w:id="20"/>
    </w:p>
    <w:p>
      <w:pPr>
        <w:spacing w:line="600" w:lineRule="exact"/>
        <w:ind w:firstLine="640"/>
        <w:rPr>
          <w:rFonts w:ascii="仿宋_GB2312"/>
          <w:bCs/>
          <w:color w:val="auto"/>
          <w:sz w:val="32"/>
          <w:szCs w:val="32"/>
          <w:highlight w:val="none"/>
        </w:rPr>
      </w:pPr>
      <w:r>
        <w:rPr>
          <w:rFonts w:hint="eastAsia" w:ascii="仿宋_GB2312"/>
          <w:bCs/>
          <w:color w:val="auto"/>
          <w:sz w:val="32"/>
          <w:szCs w:val="32"/>
          <w:highlight w:val="none"/>
        </w:rPr>
        <w:t>（一）科学公正。绩效评价应当运用科学合理的方法，按照规范的程序，对项目绩效进行客观、公正的反映。</w:t>
      </w:r>
    </w:p>
    <w:p>
      <w:pPr>
        <w:spacing w:line="600" w:lineRule="exact"/>
        <w:ind w:firstLine="640"/>
        <w:rPr>
          <w:rFonts w:ascii="仿宋_GB2312"/>
          <w:bCs/>
          <w:color w:val="auto"/>
          <w:sz w:val="32"/>
          <w:szCs w:val="32"/>
          <w:highlight w:val="none"/>
        </w:rPr>
      </w:pPr>
      <w:r>
        <w:rPr>
          <w:rFonts w:hint="eastAsia" w:ascii="仿宋_GB2312"/>
          <w:bCs/>
          <w:color w:val="auto"/>
          <w:sz w:val="32"/>
          <w:szCs w:val="32"/>
          <w:highlight w:val="none"/>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640"/>
        <w:rPr>
          <w:rFonts w:ascii="仿宋_GB2312"/>
          <w:bCs/>
          <w:color w:val="auto"/>
          <w:sz w:val="32"/>
          <w:szCs w:val="32"/>
          <w:highlight w:val="none"/>
        </w:rPr>
      </w:pPr>
      <w:r>
        <w:rPr>
          <w:rFonts w:hint="eastAsia" w:ascii="仿宋_GB2312"/>
          <w:bCs/>
          <w:color w:val="auto"/>
          <w:sz w:val="32"/>
          <w:szCs w:val="32"/>
          <w:highlight w:val="none"/>
        </w:rPr>
        <w:t>（三）激励约束。绩效评价结果应与预算安排、政策调整、改进管理实质性挂钩，体现奖优罚劣和激励相容导向，有效要安排、低效要压减、无效要问责。</w:t>
      </w:r>
    </w:p>
    <w:p>
      <w:pPr>
        <w:spacing w:line="600" w:lineRule="exact"/>
        <w:ind w:firstLine="640"/>
        <w:rPr>
          <w:rFonts w:ascii="仿宋_GB2312"/>
          <w:bCs/>
          <w:color w:val="auto"/>
          <w:sz w:val="32"/>
          <w:szCs w:val="32"/>
          <w:highlight w:val="none"/>
        </w:rPr>
      </w:pPr>
      <w:r>
        <w:rPr>
          <w:rFonts w:hint="eastAsia" w:ascii="仿宋_GB2312"/>
          <w:bCs/>
          <w:color w:val="auto"/>
          <w:sz w:val="32"/>
          <w:szCs w:val="32"/>
          <w:highlight w:val="none"/>
        </w:rPr>
        <w:t>（四）公开透明。绩效评价结果应依法依规公开，并自觉接受社会监督。</w:t>
      </w:r>
    </w:p>
    <w:p>
      <w:pPr>
        <w:pStyle w:val="6"/>
        <w:ind w:firstLine="643"/>
        <w:rPr>
          <w:color w:val="auto"/>
          <w:highlight w:val="none"/>
        </w:rPr>
      </w:pPr>
      <w:bookmarkStart w:id="21" w:name="_Toc165277233"/>
      <w:r>
        <w:rPr>
          <w:color w:val="auto"/>
          <w:highlight w:val="none"/>
        </w:rPr>
        <w:t>2.</w:t>
      </w:r>
      <w:r>
        <w:rPr>
          <w:rFonts w:hint="eastAsia"/>
          <w:color w:val="auto"/>
          <w:highlight w:val="none"/>
        </w:rPr>
        <w:t>评价指标体系</w:t>
      </w:r>
      <w:bookmarkEnd w:id="21"/>
    </w:p>
    <w:p>
      <w:pPr>
        <w:spacing w:line="360" w:lineRule="auto"/>
        <w:ind w:firstLine="560"/>
        <w:rPr>
          <w:rFonts w:ascii="仿宋_GB2312"/>
          <w:color w:val="auto"/>
          <w:highlight w:val="none"/>
        </w:rPr>
      </w:pPr>
      <w:r>
        <w:rPr>
          <w:rFonts w:hint="eastAsia" w:ascii="仿宋_GB2312"/>
          <w:color w:val="auto"/>
          <w:highlight w:val="none"/>
        </w:rPr>
        <w:t>绩效评价指标体系作为衡量绩效目标实现程度的考核工具，一般遵循以下原则：</w:t>
      </w:r>
    </w:p>
    <w:p>
      <w:pPr>
        <w:spacing w:line="360" w:lineRule="auto"/>
        <w:ind w:firstLine="560"/>
        <w:rPr>
          <w:rFonts w:ascii="仿宋_GB2312"/>
          <w:color w:val="auto"/>
          <w:highlight w:val="none"/>
        </w:rPr>
      </w:pPr>
      <w:r>
        <w:rPr>
          <w:rFonts w:hint="eastAsia" w:ascii="仿宋_GB2312"/>
          <w:color w:val="auto"/>
          <w:highlight w:val="none"/>
        </w:rPr>
        <w:t>（1）相关性原则：绩效评价指标应当与绩效目标有直接的联系，能够恰当反映目标的实现程度。</w:t>
      </w:r>
    </w:p>
    <w:p>
      <w:pPr>
        <w:spacing w:line="360" w:lineRule="auto"/>
        <w:ind w:firstLine="560"/>
        <w:rPr>
          <w:rFonts w:ascii="仿宋_GB2312"/>
          <w:color w:val="auto"/>
          <w:highlight w:val="none"/>
        </w:rPr>
      </w:pPr>
      <w:r>
        <w:rPr>
          <w:rFonts w:hint="eastAsia" w:ascii="仿宋_GB2312"/>
          <w:color w:val="auto"/>
          <w:highlight w:val="none"/>
        </w:rPr>
        <w:t>（2）重要性原则：应当优先使用最具评价对象代表性、最能反映评价要求的核心指标。</w:t>
      </w:r>
    </w:p>
    <w:p>
      <w:pPr>
        <w:spacing w:line="360" w:lineRule="auto"/>
        <w:ind w:firstLine="560"/>
        <w:rPr>
          <w:rFonts w:ascii="仿宋_GB2312"/>
          <w:color w:val="auto"/>
          <w:highlight w:val="none"/>
        </w:rPr>
      </w:pPr>
      <w:r>
        <w:rPr>
          <w:rFonts w:hint="eastAsia" w:ascii="仿宋_GB2312"/>
          <w:color w:val="auto"/>
          <w:highlight w:val="none"/>
        </w:rPr>
        <w:t>（3）可比性原则：对同类评价对象要设定共性的绩效评价指标，以便于评价结果可以相互比较。</w:t>
      </w:r>
    </w:p>
    <w:p>
      <w:pPr>
        <w:spacing w:line="360" w:lineRule="auto"/>
        <w:ind w:firstLine="560"/>
        <w:rPr>
          <w:rFonts w:ascii="仿宋_GB2312"/>
          <w:color w:val="auto"/>
          <w:highlight w:val="none"/>
        </w:rPr>
      </w:pPr>
      <w:r>
        <w:rPr>
          <w:rFonts w:hint="eastAsia" w:ascii="仿宋_GB2312"/>
          <w:color w:val="auto"/>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ascii="仿宋_GB2312"/>
          <w:color w:val="auto"/>
          <w:highlight w:val="none"/>
        </w:rPr>
      </w:pPr>
      <w:r>
        <w:rPr>
          <w:rFonts w:hint="eastAsia" w:ascii="仿宋_GB2312"/>
          <w:color w:val="auto"/>
          <w:highlight w:val="none"/>
        </w:rPr>
        <w:t>（5）经济性原则：绩效评价指标设计应当通俗易懂、简便易行，数据的获得应当考虑现实条件和可操作性，符合成本效益原则。</w:t>
      </w:r>
    </w:p>
    <w:p>
      <w:pPr>
        <w:spacing w:line="360" w:lineRule="auto"/>
        <w:ind w:firstLine="560"/>
        <w:rPr>
          <w:rFonts w:ascii="仿宋_GB2312"/>
          <w:color w:val="auto"/>
          <w:highlight w:val="none"/>
        </w:rPr>
      </w:pPr>
      <w:r>
        <w:rPr>
          <w:rFonts w:hint="eastAsia" w:ascii="仿宋_GB2312"/>
          <w:color w:val="auto"/>
          <w:highlight w:val="none"/>
        </w:rPr>
        <w:t>本项目的评价指标体系建立如下表所示。</w:t>
      </w:r>
    </w:p>
    <w:p>
      <w:pPr>
        <w:spacing w:line="360" w:lineRule="auto"/>
        <w:ind w:firstLine="560"/>
        <w:rPr>
          <w:rFonts w:ascii="仿宋_GB2312"/>
          <w:color w:val="auto"/>
          <w:highlight w:val="none"/>
        </w:rPr>
      </w:pPr>
    </w:p>
    <w:p>
      <w:pPr>
        <w:spacing w:line="360" w:lineRule="auto"/>
        <w:ind w:firstLine="560"/>
        <w:rPr>
          <w:rFonts w:ascii="仿宋_GB2312"/>
          <w:color w:val="auto"/>
          <w:highlight w:val="none"/>
        </w:rPr>
      </w:pPr>
    </w:p>
    <w:p>
      <w:pPr>
        <w:spacing w:line="360" w:lineRule="auto"/>
        <w:ind w:firstLine="560"/>
        <w:rPr>
          <w:rFonts w:ascii="仿宋_GB2312"/>
          <w:color w:val="auto"/>
          <w:highlight w:val="none"/>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仿宋_GB2312"/>
          <w:b/>
          <w:bCs/>
          <w:color w:val="auto"/>
          <w:highlight w:val="none"/>
        </w:rPr>
      </w:pPr>
      <w:r>
        <w:rPr>
          <w:rFonts w:ascii="仿宋_GB2312"/>
          <w:b/>
          <w:bCs/>
          <w:color w:val="auto"/>
          <w:highlight w:val="none"/>
        </w:rPr>
        <w:t xml:space="preserve">  </w:t>
      </w:r>
      <w:r>
        <w:rPr>
          <w:rFonts w:hint="eastAsia" w:ascii="仿宋_GB2312"/>
          <w:b/>
          <w:bCs/>
          <w:color w:val="auto"/>
          <w:highlight w:val="none"/>
        </w:rPr>
        <w:t>项目支出绩效评价指标体系</w:t>
      </w:r>
    </w:p>
    <w:tbl>
      <w:tblPr>
        <w:tblStyle w:val="17"/>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立项依据</w:t>
            </w:r>
          </w:p>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①项目立项是否符合国家法律法规、国民经济发展规划和相关政策；</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②项目立项是否符合行业发展规划和政策要求；</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③项目立项是否与部门职责范围相符，属于部门履职所需；</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④项目是否属于公共财政支持范围，是否符合中央、地方事权支出责任划分原则；</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立项程序</w:t>
            </w:r>
          </w:p>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①项目是否按照规定的程序申请设立；</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②审批文件、材料是否符合相关要求；</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绩效目标</w:t>
            </w:r>
          </w:p>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（如未设定预算绩效目标，也可考核其他工作任务目标）</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①项目是否有绩效目标；</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②项目绩效目标与实际工作内容是否具有相关性；</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③项目预期产出效益和效果是否符合正常的业绩水平；</w:t>
            </w:r>
          </w:p>
          <w:p>
            <w:pPr>
              <w:widowControl/>
              <w:ind w:firstLine="0" w:firstLineChars="0"/>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绩效指标</w:t>
            </w:r>
          </w:p>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①是否将项目绩效目标细化分解为具体的绩效指标；</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②是否通过清晰、可衡量的指标值予以体现；</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③是否与项目目标任务数或计划数相对应。</w:t>
            </w:r>
            <w:r>
              <w:rPr>
                <w:rFonts w:hint="eastAsia" w:ascii="宋体" w:hAnsi="宋体" w:eastAsia="宋体" w:cs="宋体"/>
                <w:color w:val="auto"/>
                <w:kern w:val="0"/>
                <w:sz w:val="22"/>
                <w:highlight w:val="none"/>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预算编制</w:t>
            </w:r>
          </w:p>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①预算编制是否经过科学论证；</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②预算内容与项目内容是否匹配；</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③预算额度测算依据是否充分，是否按照标准编制；</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资金分配</w:t>
            </w:r>
          </w:p>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①预算资金分配依据是否充分；</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资金到位率=（实际到位资金/预算资金）×100%。</w:t>
            </w:r>
          </w:p>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实际到位资金：一定时期（本年度或项目期）内落实到具体项目的资金。</w:t>
            </w:r>
          </w:p>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预算执行率=（实际支出资金/实际到位资金）×100%。</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资金使用</w:t>
            </w:r>
          </w:p>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①是否符合国家财经法规和财务管理制度以及有关专项资金管理办法的规定；</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②资金的拨付是否有完整的审批程序和手续；</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③是否符合项目预算批复或合同规定的用途；</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管理制度</w:t>
            </w:r>
          </w:p>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①是否已制定或具有相应的财务和业务管理制度；</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制度执行</w:t>
            </w:r>
          </w:p>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①是否遵守相关法律法规和相关管理规定；</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②项目调整及支出调整手续是否完备；</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③项目合同书、验收报告、技术鉴定等资料是否齐全并及时归档；</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产出指标</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数量指标</w:t>
            </w:r>
          </w:p>
        </w:tc>
        <w:tc>
          <w:tcPr>
            <w:tcW w:w="1411" w:type="dxa"/>
            <w:tcBorders>
              <w:tl2br w:val="nil"/>
              <w:tr2bl w:val="nil"/>
            </w:tcBorders>
            <w:shd w:val="clear" w:color="auto" w:fill="FFFFFF"/>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医疗服务收入（不含药品、耗材、检查、化验收入）占比情况</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项目实施所产生的效益。</w:t>
            </w:r>
          </w:p>
        </w:tc>
        <w:tc>
          <w:tcPr>
            <w:tcW w:w="7341" w:type="dxa"/>
            <w:tcBorders>
              <w:tl2br w:val="nil"/>
              <w:tr2bl w:val="nil"/>
            </w:tcBorders>
            <w:shd w:val="clear" w:color="000000" w:fill="FFFFFF"/>
            <w:vAlign w:val="center"/>
          </w:tcPr>
          <w:p>
            <w:pPr>
              <w:widowControl/>
              <w:ind w:firstLine="0" w:firstLineChars="0"/>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医疗服务收入占比=（</w:t>
            </w:r>
            <w:r>
              <w:rPr>
                <w:rFonts w:hint="eastAsia" w:ascii="宋体" w:hAnsi="宋体" w:eastAsia="宋体" w:cs="宋体"/>
                <w:color w:val="auto"/>
                <w:kern w:val="0"/>
                <w:sz w:val="22"/>
                <w:highlight w:val="none"/>
                <w:lang w:val="en-US" w:eastAsia="zh-CN"/>
              </w:rPr>
              <w:t>医疗服务收入</w:t>
            </w:r>
            <w:r>
              <w:rPr>
                <w:rFonts w:hint="eastAsia" w:ascii="宋体" w:hAnsi="宋体" w:eastAsia="宋体" w:cs="宋体"/>
                <w:color w:val="auto"/>
                <w:kern w:val="0"/>
                <w:sz w:val="22"/>
                <w:highlight w:val="none"/>
              </w:rPr>
              <w:t>/</w:t>
            </w:r>
            <w:r>
              <w:rPr>
                <w:rFonts w:hint="eastAsia" w:ascii="宋体" w:hAnsi="宋体" w:eastAsia="宋体" w:cs="宋体"/>
                <w:color w:val="auto"/>
                <w:kern w:val="0"/>
                <w:sz w:val="22"/>
                <w:highlight w:val="none"/>
                <w:lang w:val="en-US" w:eastAsia="zh-CN"/>
              </w:rPr>
              <w:t>医疗收入</w:t>
            </w:r>
            <w:r>
              <w:rPr>
                <w:rFonts w:hint="eastAsia" w:ascii="宋体" w:hAnsi="宋体" w:eastAsia="宋体" w:cs="宋体"/>
                <w:color w:val="auto"/>
                <w:kern w:val="0"/>
                <w:sz w:val="22"/>
                <w:highlight w:val="none"/>
              </w:rPr>
              <w:t>）×100%。</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lang w:eastAsia="zh-CN"/>
              </w:rPr>
              <w:t>医疗服务收入</w:t>
            </w:r>
            <w:r>
              <w:rPr>
                <w:rFonts w:hint="eastAsia" w:ascii="宋体" w:hAnsi="宋体" w:eastAsia="宋体" w:cs="宋体"/>
                <w:color w:val="auto"/>
                <w:kern w:val="0"/>
                <w:sz w:val="22"/>
                <w:highlight w:val="none"/>
              </w:rPr>
              <w:t>：一定时期（本年度或项目期）内项目</w:t>
            </w:r>
            <w:r>
              <w:rPr>
                <w:rFonts w:hint="eastAsia" w:ascii="宋体" w:hAnsi="宋体" w:eastAsia="宋体" w:cs="宋体"/>
                <w:color w:val="auto"/>
                <w:kern w:val="0"/>
                <w:sz w:val="22"/>
                <w:highlight w:val="none"/>
                <w:lang w:eastAsia="zh-CN"/>
              </w:rPr>
              <w:t>医疗收入扣除</w:t>
            </w:r>
            <w:r>
              <w:rPr>
                <w:rFonts w:hint="eastAsia" w:ascii="宋体" w:hAnsi="宋体" w:eastAsia="宋体" w:cs="宋体"/>
                <w:color w:val="auto"/>
                <w:kern w:val="0"/>
                <w:sz w:val="22"/>
                <w:highlight w:val="none"/>
              </w:rPr>
              <w:t>药品、耗材、检查、化验收入。</w:t>
            </w:r>
          </w:p>
          <w:p>
            <w:pPr>
              <w:widowControl/>
              <w:ind w:firstLine="0" w:firstLineChars="0"/>
              <w:rPr>
                <w:rFonts w:hint="eastAsia" w:ascii="宋体" w:hAnsi="宋体" w:eastAsia="宋体" w:cs="宋体"/>
                <w:color w:val="auto"/>
                <w:kern w:val="0"/>
                <w:sz w:val="22"/>
                <w:highlight w:val="none"/>
                <w:lang w:eastAsia="zh-CN"/>
              </w:rPr>
            </w:pPr>
            <w:r>
              <w:rPr>
                <w:rFonts w:hint="eastAsia" w:ascii="宋体" w:hAnsi="宋体" w:eastAsia="宋体" w:cs="宋体"/>
                <w:color w:val="auto"/>
                <w:kern w:val="0"/>
                <w:sz w:val="22"/>
                <w:highlight w:val="none"/>
                <w:lang w:eastAsia="zh-CN"/>
              </w:rPr>
              <w:t>医疗收入</w:t>
            </w:r>
            <w:r>
              <w:rPr>
                <w:rFonts w:hint="eastAsia" w:ascii="宋体" w:hAnsi="宋体" w:eastAsia="宋体" w:cs="宋体"/>
                <w:color w:val="auto"/>
                <w:kern w:val="0"/>
                <w:sz w:val="22"/>
                <w:highlight w:val="none"/>
              </w:rPr>
              <w:t>：一定时期（本年度或项目期）内</w:t>
            </w:r>
            <w:r>
              <w:rPr>
                <w:rFonts w:hint="eastAsia" w:ascii="宋体" w:hAnsi="宋体" w:eastAsia="宋体" w:cs="宋体"/>
                <w:color w:val="auto"/>
                <w:kern w:val="0"/>
                <w:sz w:val="22"/>
                <w:highlight w:val="none"/>
                <w:lang w:eastAsia="zh-CN"/>
              </w:rPr>
              <w:t>项目全部医疗收入</w:t>
            </w:r>
          </w:p>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实际产出数：一定时期（本年度或项目期）内项目实际产出的产品或提供的服务数量。</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计划产出数：项目绩效目标确定的在一定时期（本年度或项目期）内计划产出的产品或提供的服务数量。</w:t>
            </w:r>
            <w:r>
              <w:rPr>
                <w:rFonts w:hint="eastAsia" w:ascii="宋体" w:hAnsi="宋体" w:eastAsia="宋体" w:cs="宋体"/>
                <w:color w:val="auto"/>
                <w:kern w:val="0"/>
                <w:sz w:val="22"/>
                <w:highlight w:val="none"/>
                <w:lang w:val="en-US" w:eastAsia="zh-CN"/>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tcPr>
          <w:p>
            <w:pPr>
              <w:ind w:firstLine="0" w:firstLineChars="0"/>
              <w:jc w:val="left"/>
              <w:rPr>
                <w:color w:val="auto"/>
                <w:highlight w:val="none"/>
              </w:rPr>
            </w:pPr>
            <w:r>
              <w:rPr>
                <w:rFonts w:hint="eastAsia" w:ascii="宋体" w:hAnsi="宋体" w:eastAsia="宋体" w:cs="宋体"/>
                <w:color w:val="auto"/>
                <w:kern w:val="0"/>
                <w:sz w:val="22"/>
                <w:highlight w:val="none"/>
              </w:rPr>
              <w:t>购置基础设备数量</w:t>
            </w:r>
          </w:p>
        </w:tc>
        <w:tc>
          <w:tcPr>
            <w:tcW w:w="2789" w:type="dxa"/>
            <w:vMerge w:val="restart"/>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实际完成率=（实际产出数/计划产出数）×100%。</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实际产出数：一定时期（本年度或项目期）内项目实际产出的产品或提供的服务数量。</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购置呼吸治疗设备数量</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购置抢救设备数量</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购置转运设备数量</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购置消毒设备数量</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93"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质量指标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设备验收通过率</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项目采购的质量达标数与实际采购数的比率，用以反映和考核项目产出质量目标的实现程度。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设备验收通过率=（达标</w:t>
            </w:r>
            <w:r>
              <w:rPr>
                <w:rFonts w:hint="eastAsia" w:ascii="宋体" w:hAnsi="宋体" w:eastAsia="宋体" w:cs="宋体"/>
                <w:color w:val="auto"/>
                <w:kern w:val="0"/>
                <w:sz w:val="22"/>
                <w:highlight w:val="none"/>
                <w:lang w:val="en-US" w:eastAsia="zh-CN"/>
              </w:rPr>
              <w:t>设备</w:t>
            </w:r>
            <w:r>
              <w:rPr>
                <w:rFonts w:hint="eastAsia" w:ascii="宋体" w:hAnsi="宋体" w:eastAsia="宋体" w:cs="宋体"/>
                <w:color w:val="auto"/>
                <w:kern w:val="0"/>
                <w:sz w:val="22"/>
                <w:highlight w:val="none"/>
              </w:rPr>
              <w:t>数/</w:t>
            </w:r>
            <w:r>
              <w:rPr>
                <w:rFonts w:hint="eastAsia" w:ascii="宋体" w:hAnsi="宋体" w:eastAsia="宋体" w:cs="宋体"/>
                <w:color w:val="auto"/>
                <w:kern w:val="0"/>
                <w:sz w:val="22"/>
                <w:highlight w:val="none"/>
                <w:lang w:val="en-US" w:eastAsia="zh-CN"/>
              </w:rPr>
              <w:t>购置设备</w:t>
            </w:r>
            <w:r>
              <w:rPr>
                <w:rFonts w:hint="eastAsia" w:ascii="宋体" w:hAnsi="宋体" w:eastAsia="宋体" w:cs="宋体"/>
                <w:color w:val="auto"/>
                <w:kern w:val="0"/>
                <w:sz w:val="22"/>
                <w:highlight w:val="none"/>
              </w:rPr>
              <w:t>数）×100%。</w:t>
            </w:r>
          </w:p>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91"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auto"/>
                <w:kern w:val="0"/>
                <w:sz w:val="22"/>
                <w:highlight w:val="none"/>
              </w:rPr>
            </w:pPr>
          </w:p>
        </w:tc>
        <w:tc>
          <w:tcPr>
            <w:tcW w:w="1199" w:type="dxa"/>
            <w:tcBorders>
              <w:tl2br w:val="nil"/>
              <w:tr2bl w:val="nil"/>
            </w:tcBorders>
            <w:shd w:val="clear" w:color="auto" w:fill="FFFFFF"/>
            <w:vAlign w:val="center"/>
          </w:tcPr>
          <w:p>
            <w:pPr>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时效指标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设备采购完成时间</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实际完成时间：项目实施单位完成该项目实际所耗用的时间。</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经济成本指标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购置基础设备成本</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采购医疗设备中标价格</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预算控制率=（计划成本/实际成本）×100%。</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实际成本：项目实施单位如期、保质、保量完成既定工作目标实际所耗费的支出。</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经济成本指标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购置呼吸治疗设备成本</w:t>
            </w:r>
          </w:p>
        </w:tc>
        <w:tc>
          <w:tcPr>
            <w:tcW w:w="2789" w:type="dxa"/>
            <w:tcBorders>
              <w:tl2br w:val="nil"/>
              <w:tr2bl w:val="nil"/>
            </w:tcBorders>
            <w:shd w:val="clear" w:color="000000" w:fill="FFFFFF"/>
            <w:vAlign w:val="center"/>
          </w:tcPr>
          <w:p>
            <w:pPr>
              <w:widowControl/>
              <w:ind w:firstLine="0" w:firstLineChars="0"/>
              <w:rPr>
                <w:rFonts w:hint="default" w:ascii="宋体" w:hAnsi="宋体" w:eastAsia="宋体" w:cs="宋体"/>
                <w:color w:val="auto"/>
                <w:kern w:val="0"/>
                <w:sz w:val="22"/>
                <w:highlight w:val="none"/>
                <w:lang w:val="en-US" w:eastAsia="zh-CN"/>
              </w:rPr>
            </w:pPr>
            <w:r>
              <w:rPr>
                <w:rFonts w:hint="eastAsia" w:ascii="宋体" w:hAnsi="宋体" w:eastAsia="宋体" w:cs="宋体"/>
                <w:color w:val="auto"/>
                <w:kern w:val="0"/>
                <w:sz w:val="22"/>
                <w:highlight w:val="none"/>
                <w:lang w:val="en-US" w:eastAsia="zh-CN"/>
              </w:rPr>
              <w:t xml:space="preserve">  </w:t>
            </w:r>
            <w:r>
              <w:rPr>
                <w:rFonts w:hint="eastAsia" w:ascii="宋体" w:hAnsi="宋体" w:eastAsia="宋体" w:cs="宋体"/>
                <w:color w:val="auto"/>
                <w:kern w:val="0"/>
                <w:sz w:val="22"/>
                <w:highlight w:val="none"/>
              </w:rPr>
              <w:t>完成项目计划工作目标的实际成本与计划成本的比率，用以反映和考核项目的成本执行</w:t>
            </w:r>
            <w:r>
              <w:rPr>
                <w:rFonts w:ascii="宋体" w:hAnsi="宋体" w:eastAsia="宋体" w:cs="宋体"/>
                <w:color w:val="auto"/>
                <w:kern w:val="0"/>
                <w:sz w:val="22"/>
                <w:highlight w:val="none"/>
              </w:rPr>
              <w:t>情况</w:t>
            </w:r>
            <w:r>
              <w:rPr>
                <w:rFonts w:hint="eastAsia" w:ascii="宋体" w:hAnsi="宋体" w:eastAsia="宋体" w:cs="宋体"/>
                <w:color w:val="auto"/>
                <w:kern w:val="0"/>
                <w:sz w:val="22"/>
                <w:highlight w:val="none"/>
              </w:rPr>
              <w:t>。</w:t>
            </w:r>
            <w:r>
              <w:rPr>
                <w:rFonts w:hint="eastAsia" w:ascii="宋体" w:hAnsi="宋体" w:eastAsia="宋体" w:cs="宋体"/>
                <w:color w:val="auto"/>
                <w:kern w:val="0"/>
                <w:sz w:val="22"/>
                <w:highlight w:val="none"/>
                <w:lang w:val="en-US" w:eastAsia="zh-CN"/>
              </w:rPr>
              <w:t xml:space="preserve">          </w:t>
            </w:r>
            <w:r>
              <w:rPr>
                <w:rFonts w:hint="eastAsia" w:ascii="宋体" w:hAnsi="宋体" w:eastAsia="宋体" w:cs="宋体"/>
                <w:color w:val="auto"/>
                <w:kern w:val="0"/>
                <w:sz w:val="22"/>
                <w:highlight w:val="none"/>
              </w:rPr>
              <w:t>采购医疗设备中标价格</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预算控制率=（计划成本/实际成本）×100%。</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实际成本：项目实施单位如期、保质、保量完成既定工作目标实际所耗费的支出。</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经济成本指标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购置抢救设备成本</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完成项目计划工作目标的实际成本与计划成本的比率，用以反映和考核项目的成本执行</w:t>
            </w:r>
            <w:r>
              <w:rPr>
                <w:rFonts w:ascii="宋体" w:hAnsi="宋体" w:eastAsia="宋体" w:cs="宋体"/>
                <w:color w:val="auto"/>
                <w:kern w:val="0"/>
                <w:sz w:val="22"/>
                <w:highlight w:val="none"/>
              </w:rPr>
              <w:t>情况</w:t>
            </w:r>
            <w:r>
              <w:rPr>
                <w:rFonts w:hint="eastAsia" w:ascii="宋体" w:hAnsi="宋体" w:eastAsia="宋体" w:cs="宋体"/>
                <w:color w:val="auto"/>
                <w:kern w:val="0"/>
                <w:sz w:val="22"/>
                <w:highlight w:val="none"/>
              </w:rPr>
              <w:t>。</w:t>
            </w:r>
            <w:r>
              <w:rPr>
                <w:rFonts w:hint="eastAsia" w:ascii="宋体" w:hAnsi="宋体" w:eastAsia="宋体" w:cs="宋体"/>
                <w:color w:val="auto"/>
                <w:kern w:val="0"/>
                <w:sz w:val="22"/>
                <w:highlight w:val="none"/>
                <w:lang w:val="en-US" w:eastAsia="zh-CN"/>
              </w:rPr>
              <w:t xml:space="preserve">          </w:t>
            </w:r>
            <w:r>
              <w:rPr>
                <w:rFonts w:hint="eastAsia" w:ascii="宋体" w:hAnsi="宋体" w:eastAsia="宋体" w:cs="宋体"/>
                <w:color w:val="auto"/>
                <w:kern w:val="0"/>
                <w:sz w:val="22"/>
                <w:highlight w:val="none"/>
              </w:rPr>
              <w:t>采购医疗设备中标价格</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预算控制率=（计划成本/实际成本）×100%。</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实际成本：项目实施单位如期、保质、保量完成既定工作目标实际所耗费的支出。</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经济成本指标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购置转运设备成本</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完成项目计划工作目标的实际成本与计划成本的比率，用以反映和考核项目的成本执行</w:t>
            </w:r>
            <w:r>
              <w:rPr>
                <w:rFonts w:ascii="宋体" w:hAnsi="宋体" w:eastAsia="宋体" w:cs="宋体"/>
                <w:color w:val="auto"/>
                <w:kern w:val="0"/>
                <w:sz w:val="22"/>
                <w:highlight w:val="none"/>
              </w:rPr>
              <w:t>情况</w:t>
            </w:r>
            <w:r>
              <w:rPr>
                <w:rFonts w:hint="eastAsia" w:ascii="宋体" w:hAnsi="宋体" w:eastAsia="宋体" w:cs="宋体"/>
                <w:color w:val="auto"/>
                <w:kern w:val="0"/>
                <w:sz w:val="22"/>
                <w:highlight w:val="none"/>
              </w:rPr>
              <w:t>。</w:t>
            </w:r>
            <w:r>
              <w:rPr>
                <w:rFonts w:hint="eastAsia" w:ascii="宋体" w:hAnsi="宋体" w:eastAsia="宋体" w:cs="宋体"/>
                <w:color w:val="auto"/>
                <w:kern w:val="0"/>
                <w:sz w:val="22"/>
                <w:highlight w:val="none"/>
                <w:lang w:val="en-US" w:eastAsia="zh-CN"/>
              </w:rPr>
              <w:t xml:space="preserve">          </w:t>
            </w:r>
            <w:r>
              <w:rPr>
                <w:rFonts w:hint="eastAsia" w:ascii="宋体" w:hAnsi="宋体" w:eastAsia="宋体" w:cs="宋体"/>
                <w:color w:val="auto"/>
                <w:kern w:val="0"/>
                <w:sz w:val="22"/>
                <w:highlight w:val="none"/>
              </w:rPr>
              <w:t>采购医疗设备中标价格</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预算控制率=（计划成本/实际成本）×100%。</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实际成本：项目实施单位如期、保质、保量完成既定工作目标实际所耗费的支出。</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计划成本：项目实施单位为完成工作目标计划安排的支出，一般以项目预算为参考。预算控制率=（计划成本/实际成本）×100%。</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实际成本：项目实施单位如期、保质、保量完成既定工作目标实际所耗费的支出。</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经济成本指标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购置消毒设备成本</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完成项目计划工作目标的实际成本与计划成本的比率，用以反映和考核项目的成本执行</w:t>
            </w:r>
            <w:r>
              <w:rPr>
                <w:rFonts w:ascii="宋体" w:hAnsi="宋体" w:eastAsia="宋体" w:cs="宋体"/>
                <w:color w:val="auto"/>
                <w:kern w:val="0"/>
                <w:sz w:val="22"/>
                <w:highlight w:val="none"/>
              </w:rPr>
              <w:t>情况</w:t>
            </w:r>
            <w:r>
              <w:rPr>
                <w:rFonts w:hint="eastAsia" w:ascii="宋体" w:hAnsi="宋体" w:eastAsia="宋体" w:cs="宋体"/>
                <w:color w:val="auto"/>
                <w:kern w:val="0"/>
                <w:sz w:val="22"/>
                <w:highlight w:val="none"/>
              </w:rPr>
              <w:t>。</w:t>
            </w:r>
            <w:r>
              <w:rPr>
                <w:rFonts w:hint="eastAsia" w:ascii="宋体" w:hAnsi="宋体" w:eastAsia="宋体" w:cs="宋体"/>
                <w:color w:val="auto"/>
                <w:kern w:val="0"/>
                <w:sz w:val="22"/>
                <w:highlight w:val="none"/>
                <w:lang w:val="en-US" w:eastAsia="zh-CN"/>
              </w:rPr>
              <w:t xml:space="preserve">          </w:t>
            </w:r>
            <w:r>
              <w:rPr>
                <w:rFonts w:hint="eastAsia" w:ascii="宋体" w:hAnsi="宋体" w:eastAsia="宋体" w:cs="宋体"/>
                <w:color w:val="auto"/>
                <w:kern w:val="0"/>
                <w:sz w:val="22"/>
                <w:highlight w:val="none"/>
              </w:rPr>
              <w:t>采购医疗设备中标价格</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成本节约率=[（计划成本-实际成本）/计划成本]×100%。</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实际成本：项目实施单位如期、保质、保量完成既定工作目标实际所耗费的支出。</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公立医院医疗服务能力</w:t>
            </w:r>
          </w:p>
        </w:tc>
        <w:tc>
          <w:tcPr>
            <w:tcW w:w="2789" w:type="dxa"/>
            <w:tcBorders>
              <w:tl2br w:val="nil"/>
              <w:tr2bl w:val="nil"/>
            </w:tcBorders>
            <w:shd w:val="clear" w:color="auto" w:fill="FFFFFF"/>
            <w:vAlign w:val="center"/>
          </w:tcPr>
          <w:p>
            <w:pPr>
              <w:widowControl/>
              <w:ind w:firstLine="0" w:firstLineChars="0"/>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项目所采购医疗设备对医院医疗服务能力的效果</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ascii="宋体" w:hAnsi="宋体" w:eastAsia="宋体" w:cs="宋体"/>
                <w:color w:val="auto"/>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设备使用科室满意度</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医疗设备使用科室对所采购设备投入临床使用的满意度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社会公众或服务对象是指因该项目实施而受到影响的部门（单位）、群体或个人。一般采取社会调查的方式。</w:t>
            </w:r>
          </w:p>
        </w:tc>
      </w:tr>
    </w:tbl>
    <w:p>
      <w:pPr>
        <w:ind w:firstLine="0" w:firstLineChars="0"/>
        <w:jc w:val="center"/>
        <w:rPr>
          <w:rFonts w:ascii="仿宋_GB2312"/>
          <w:color w:val="auto"/>
          <w:highlight w:val="none"/>
        </w:rPr>
      </w:pPr>
    </w:p>
    <w:p>
      <w:pPr>
        <w:ind w:firstLine="0" w:firstLineChars="0"/>
        <w:jc w:val="center"/>
        <w:rPr>
          <w:rFonts w:ascii="仿宋_GB2312"/>
          <w:color w:val="auto"/>
          <w:highlight w:val="none"/>
        </w:rPr>
      </w:pPr>
    </w:p>
    <w:p>
      <w:pPr>
        <w:ind w:firstLine="0" w:firstLineChars="0"/>
        <w:jc w:val="center"/>
        <w:rPr>
          <w:rFonts w:ascii="仿宋_GB2312"/>
          <w:color w:val="auto"/>
          <w:highlight w:val="none"/>
        </w:rPr>
      </w:pPr>
    </w:p>
    <w:p>
      <w:pPr>
        <w:ind w:firstLine="0" w:firstLineChars="0"/>
        <w:jc w:val="center"/>
        <w:rPr>
          <w:rFonts w:ascii="仿宋_GB2312"/>
          <w:color w:val="auto"/>
          <w:highlight w:val="none"/>
        </w:rPr>
      </w:pPr>
    </w:p>
    <w:p>
      <w:pPr>
        <w:ind w:firstLine="0" w:firstLineChars="0"/>
        <w:jc w:val="center"/>
        <w:rPr>
          <w:rFonts w:ascii="仿宋_GB2312"/>
          <w:color w:val="auto"/>
          <w:highlight w:val="none"/>
        </w:rPr>
      </w:pPr>
    </w:p>
    <w:p>
      <w:pPr>
        <w:ind w:firstLine="0" w:firstLineChars="0"/>
        <w:jc w:val="center"/>
        <w:rPr>
          <w:rFonts w:ascii="仿宋_GB2312"/>
          <w:color w:val="auto"/>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6"/>
        <w:ind w:firstLine="643"/>
        <w:rPr>
          <w:color w:val="auto"/>
          <w:highlight w:val="none"/>
        </w:rPr>
      </w:pPr>
      <w:bookmarkStart w:id="22" w:name="_Toc165277234"/>
      <w:bookmarkStart w:id="23" w:name="_Hlk67586038"/>
      <w:r>
        <w:rPr>
          <w:color w:val="auto"/>
          <w:highlight w:val="none"/>
        </w:rPr>
        <w:t>3.</w:t>
      </w:r>
      <w:r>
        <w:rPr>
          <w:rFonts w:hint="eastAsia"/>
          <w:color w:val="auto"/>
          <w:highlight w:val="none"/>
        </w:rPr>
        <w:t>评价方法</w:t>
      </w:r>
      <w:bookmarkEnd w:id="22"/>
    </w:p>
    <w:bookmarkEnd w:id="23"/>
    <w:p>
      <w:pPr>
        <w:spacing w:line="360" w:lineRule="auto"/>
        <w:ind w:firstLine="560"/>
        <w:rPr>
          <w:rFonts w:ascii="仿宋_GB2312"/>
          <w:color w:val="auto"/>
          <w:highlight w:val="none"/>
        </w:rPr>
      </w:pPr>
      <w:r>
        <w:rPr>
          <w:rFonts w:hint="eastAsia" w:ascii="仿宋_GB2312"/>
          <w:color w:val="auto"/>
          <w:highlight w:val="none"/>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ascii="仿宋_GB2312"/>
          <w:color w:val="auto"/>
          <w:highlight w:val="none"/>
        </w:rPr>
      </w:pPr>
      <w:r>
        <w:rPr>
          <w:rFonts w:hint="eastAsia" w:ascii="仿宋_GB2312"/>
          <w:color w:val="auto"/>
          <w:highlight w:val="none"/>
        </w:rPr>
        <w:t>（1）成本效益分析法。是指将投入与产出、效益进行关联性分析的方法。</w:t>
      </w:r>
    </w:p>
    <w:p>
      <w:pPr>
        <w:spacing w:line="360" w:lineRule="auto"/>
        <w:ind w:firstLine="560"/>
        <w:rPr>
          <w:rFonts w:ascii="仿宋_GB2312"/>
          <w:color w:val="auto"/>
          <w:highlight w:val="none"/>
        </w:rPr>
      </w:pPr>
      <w:r>
        <w:rPr>
          <w:rFonts w:hint="eastAsia" w:ascii="仿宋_GB2312"/>
          <w:color w:val="auto"/>
          <w:highlight w:val="none"/>
        </w:rPr>
        <w:t>（2）比较法。是指将实施情况与绩效目标、历史情况、不同部门和地区同类支出情况进行比较的方法。</w:t>
      </w:r>
    </w:p>
    <w:p>
      <w:pPr>
        <w:spacing w:line="360" w:lineRule="auto"/>
        <w:ind w:firstLine="560"/>
        <w:rPr>
          <w:rFonts w:ascii="仿宋_GB2312"/>
          <w:color w:val="auto"/>
          <w:highlight w:val="none"/>
        </w:rPr>
      </w:pPr>
      <w:r>
        <w:rPr>
          <w:rFonts w:hint="eastAsia" w:ascii="仿宋_GB2312"/>
          <w:color w:val="auto"/>
          <w:highlight w:val="none"/>
        </w:rPr>
        <w:t>（3）因素分析法。是指综合分析影响绩效目标实现、实施效果的内外部因素的方法。</w:t>
      </w:r>
    </w:p>
    <w:p>
      <w:pPr>
        <w:spacing w:line="360" w:lineRule="auto"/>
        <w:ind w:firstLine="560"/>
        <w:rPr>
          <w:rFonts w:ascii="仿宋_GB2312"/>
          <w:color w:val="auto"/>
          <w:highlight w:val="none"/>
        </w:rPr>
      </w:pPr>
      <w:r>
        <w:rPr>
          <w:rFonts w:hint="eastAsia" w:ascii="仿宋_GB2312"/>
          <w:color w:val="auto"/>
          <w:highlight w:val="none"/>
        </w:rPr>
        <w:t>（4）最低成本法。是指在绩效目标确定的前提下，成本最小者为优的方法。</w:t>
      </w:r>
    </w:p>
    <w:p>
      <w:pPr>
        <w:spacing w:line="360" w:lineRule="auto"/>
        <w:ind w:firstLine="560"/>
        <w:rPr>
          <w:rFonts w:ascii="仿宋_GB2312"/>
          <w:color w:val="auto"/>
          <w:highlight w:val="none"/>
        </w:rPr>
      </w:pPr>
      <w:r>
        <w:rPr>
          <w:rFonts w:hint="eastAsia" w:ascii="仿宋_GB2312"/>
          <w:color w:val="auto"/>
          <w:highlight w:val="none"/>
        </w:rPr>
        <w:t>（5）公众评判法。是指通过专家评估、公众问卷及抽样调查等方式进行评判的方法。</w:t>
      </w:r>
    </w:p>
    <w:p>
      <w:pPr>
        <w:spacing w:line="360" w:lineRule="auto"/>
        <w:ind w:firstLine="560"/>
        <w:rPr>
          <w:rFonts w:ascii="仿宋_GB2312"/>
          <w:color w:val="auto"/>
          <w:highlight w:val="none"/>
        </w:rPr>
      </w:pPr>
      <w:r>
        <w:rPr>
          <w:rFonts w:hint="eastAsia" w:ascii="仿宋_GB2312"/>
          <w:color w:val="auto"/>
          <w:highlight w:val="none"/>
        </w:rPr>
        <w:t>（6）标杆管理法。是指以国内外同行业中较高的绩效水平为标杆进行评判的方法。</w:t>
      </w:r>
    </w:p>
    <w:p>
      <w:pPr>
        <w:spacing w:line="360" w:lineRule="auto"/>
        <w:ind w:firstLine="560"/>
        <w:rPr>
          <w:rFonts w:ascii="仿宋_GB2312"/>
          <w:color w:val="auto"/>
          <w:highlight w:val="none"/>
        </w:rPr>
      </w:pPr>
      <w:r>
        <w:rPr>
          <w:rFonts w:hint="eastAsia" w:ascii="仿宋_GB2312"/>
          <w:color w:val="auto"/>
          <w:highlight w:val="none"/>
        </w:rPr>
        <w:t>（7）其他评价方法。</w:t>
      </w:r>
    </w:p>
    <w:p>
      <w:pPr>
        <w:spacing w:line="360" w:lineRule="auto"/>
        <w:ind w:firstLine="560"/>
        <w:rPr>
          <w:rFonts w:ascii="仿宋_GB2312"/>
          <w:color w:val="auto"/>
          <w:highlight w:val="none"/>
        </w:rPr>
      </w:pPr>
      <w:r>
        <w:rPr>
          <w:rFonts w:hint="eastAsia" w:ascii="仿宋_GB2312"/>
          <w:color w:val="auto"/>
          <w:highlight w:val="none"/>
        </w:rPr>
        <w:t>根据本项目《关于拨付2023年第二批疫情防控补助资金（二级以上医疗机构新冠肺炎医疗设备储备）的通知》的特点，本次评价主要采用最低成本法，对项目总预算和明细预算的内容、标准、计划是否经济合理进行深入分析，以考察实际产出和效益是否达到预期。</w:t>
      </w:r>
    </w:p>
    <w:p>
      <w:pPr>
        <w:pStyle w:val="6"/>
        <w:ind w:firstLine="643"/>
        <w:rPr>
          <w:color w:val="auto"/>
          <w:highlight w:val="none"/>
        </w:rPr>
      </w:pPr>
      <w:bookmarkStart w:id="24" w:name="_Toc165277235"/>
      <w:r>
        <w:rPr>
          <w:color w:val="auto"/>
          <w:highlight w:val="none"/>
        </w:rPr>
        <w:t>4.</w:t>
      </w:r>
      <w:r>
        <w:rPr>
          <w:rFonts w:hint="eastAsia"/>
          <w:color w:val="auto"/>
          <w:highlight w:val="none"/>
        </w:rPr>
        <w:t>评价标准</w:t>
      </w:r>
      <w:bookmarkEnd w:id="24"/>
    </w:p>
    <w:p>
      <w:pPr>
        <w:spacing w:line="360" w:lineRule="auto"/>
        <w:ind w:firstLine="560"/>
        <w:rPr>
          <w:rFonts w:ascii="仿宋_GB2312"/>
          <w:color w:val="auto"/>
          <w:highlight w:val="none"/>
        </w:rPr>
      </w:pPr>
      <w:r>
        <w:rPr>
          <w:rFonts w:hint="eastAsia" w:ascii="仿宋_GB2312"/>
          <w:color w:val="auto"/>
          <w:highlight w:val="none"/>
        </w:rPr>
        <w:t>绩效评价标准主要包括计划标准、行业标准、历史标准等，用于对绩效指标完成情况进行比较。</w:t>
      </w:r>
    </w:p>
    <w:p>
      <w:pPr>
        <w:spacing w:line="360" w:lineRule="auto"/>
        <w:ind w:firstLine="560"/>
        <w:rPr>
          <w:rFonts w:ascii="仿宋_GB2312"/>
          <w:color w:val="auto"/>
          <w:highlight w:val="none"/>
        </w:rPr>
      </w:pPr>
      <w:r>
        <w:rPr>
          <w:rFonts w:hint="eastAsia" w:ascii="仿宋_GB2312"/>
          <w:color w:val="auto"/>
          <w:highlight w:val="none"/>
        </w:rPr>
        <w:t>（1）计划标准。指以预先制定的目标、计划、预算、定额等作为评价标准。</w:t>
      </w:r>
    </w:p>
    <w:p>
      <w:pPr>
        <w:spacing w:line="360" w:lineRule="auto"/>
        <w:ind w:firstLine="560"/>
        <w:rPr>
          <w:rFonts w:ascii="仿宋_GB2312"/>
          <w:color w:val="auto"/>
          <w:highlight w:val="none"/>
        </w:rPr>
      </w:pPr>
      <w:r>
        <w:rPr>
          <w:rFonts w:hint="eastAsia" w:ascii="仿宋_GB2312"/>
          <w:color w:val="auto"/>
          <w:highlight w:val="none"/>
        </w:rPr>
        <w:t>（2）行业标准。指参照国家公布的行业指标数据制定的评价标准。</w:t>
      </w:r>
    </w:p>
    <w:p>
      <w:pPr>
        <w:spacing w:line="360" w:lineRule="auto"/>
        <w:ind w:firstLine="560"/>
        <w:rPr>
          <w:rFonts w:ascii="仿宋_GB2312"/>
          <w:color w:val="auto"/>
          <w:highlight w:val="none"/>
        </w:rPr>
      </w:pPr>
      <w:r>
        <w:rPr>
          <w:rFonts w:hint="eastAsia" w:ascii="仿宋_GB2312"/>
          <w:color w:val="auto"/>
          <w:highlight w:val="none"/>
        </w:rPr>
        <w:t>（3）历史标准。指参照历史数据制定的评价标准，为体现绩效改进的原则，在可实现的条件下应当确定相对较高的评价标准。</w:t>
      </w:r>
    </w:p>
    <w:p>
      <w:pPr>
        <w:spacing w:line="360" w:lineRule="auto"/>
        <w:ind w:firstLine="560"/>
        <w:rPr>
          <w:rFonts w:ascii="仿宋_GB2312"/>
          <w:color w:val="auto"/>
          <w:highlight w:val="none"/>
        </w:rPr>
      </w:pPr>
      <w:r>
        <w:rPr>
          <w:rFonts w:hint="eastAsia" w:ascii="仿宋_GB2312"/>
          <w:color w:val="auto"/>
          <w:highlight w:val="none"/>
        </w:rPr>
        <w:t>在上述评价标准的基础上，本次评价依据以下文件为重要指导和准绳：</w:t>
      </w:r>
    </w:p>
    <w:p>
      <w:pPr>
        <w:spacing w:line="360" w:lineRule="auto"/>
        <w:ind w:firstLine="560"/>
        <w:rPr>
          <w:rFonts w:ascii="仿宋_GB2312"/>
          <w:color w:val="auto"/>
          <w:highlight w:val="none"/>
        </w:rPr>
      </w:pPr>
      <w:r>
        <w:rPr>
          <w:rFonts w:hint="eastAsia" w:ascii="黑体" w:hAnsi="黑体" w:eastAsia="黑体" w:cs="Times New Roman"/>
          <w:color w:val="auto"/>
          <w:szCs w:val="28"/>
          <w:highlight w:val="none"/>
        </w:rPr>
        <w:t>·</w:t>
      </w:r>
      <w:r>
        <w:rPr>
          <w:rFonts w:hint="eastAsia" w:ascii="仿宋_GB2312"/>
          <w:color w:val="auto"/>
          <w:highlight w:val="none"/>
        </w:rPr>
        <w:t>《中共中央</w:t>
      </w:r>
      <w:r>
        <w:rPr>
          <w:rFonts w:hint="eastAsia" w:ascii="仿宋_GB2312"/>
          <w:color w:val="auto"/>
          <w:highlight w:val="none"/>
          <w:lang w:val="en-US" w:eastAsia="zh-CN"/>
        </w:rPr>
        <w:t xml:space="preserve"> </w:t>
      </w:r>
      <w:r>
        <w:rPr>
          <w:rFonts w:hint="eastAsia" w:ascii="仿宋_GB2312"/>
          <w:color w:val="auto"/>
          <w:highlight w:val="none"/>
        </w:rPr>
        <w:t>国务院关于全面实施预算绩效管理的意见》（中发〔2018〕34号）</w:t>
      </w:r>
    </w:p>
    <w:p>
      <w:pPr>
        <w:spacing w:line="360" w:lineRule="auto"/>
        <w:ind w:firstLine="560"/>
        <w:rPr>
          <w:rFonts w:ascii="仿宋_GB2312"/>
          <w:color w:val="auto"/>
          <w:highlight w:val="none"/>
        </w:rPr>
      </w:pPr>
      <w:r>
        <w:rPr>
          <w:rFonts w:hint="eastAsia" w:ascii="黑体" w:hAnsi="黑体" w:eastAsia="黑体" w:cs="Times New Roman"/>
          <w:color w:val="auto"/>
          <w:szCs w:val="28"/>
          <w:highlight w:val="none"/>
        </w:rPr>
        <w:t>·</w:t>
      </w:r>
      <w:r>
        <w:rPr>
          <w:rFonts w:hint="eastAsia" w:ascii="仿宋_GB2312"/>
          <w:color w:val="auto"/>
          <w:highlight w:val="none"/>
        </w:rPr>
        <w:t>《关于印发&lt;乌鲁木齐市本级部门预算绩效目标管理暂行办法&gt;的通知》（乌财预〔2018〕56号）</w:t>
      </w:r>
    </w:p>
    <w:p>
      <w:pPr>
        <w:spacing w:line="360" w:lineRule="auto"/>
        <w:ind w:firstLine="560" w:firstLineChars="0"/>
        <w:rPr>
          <w:rFonts w:ascii="仿宋_GB2312"/>
          <w:color w:val="auto"/>
          <w:highlight w:val="none"/>
        </w:rPr>
      </w:pPr>
      <w:r>
        <w:rPr>
          <w:rFonts w:hint="eastAsia" w:ascii="黑体" w:hAnsi="黑体" w:eastAsia="黑体" w:cs="Times New Roman"/>
          <w:color w:val="auto"/>
          <w:szCs w:val="28"/>
          <w:highlight w:val="none"/>
        </w:rPr>
        <w:t>·</w:t>
      </w:r>
      <w:r>
        <w:rPr>
          <w:rFonts w:hint="eastAsia" w:ascii="仿宋_GB2312"/>
          <w:color w:val="auto"/>
          <w:highlight w:val="none"/>
        </w:rPr>
        <w:t>《关于做好2019年部门预算项目支出绩效目标管理有关事宜的通知》（乌财预〔2018〕76号）</w:t>
      </w:r>
    </w:p>
    <w:p>
      <w:pPr>
        <w:spacing w:line="360" w:lineRule="auto"/>
        <w:ind w:firstLine="560"/>
        <w:rPr>
          <w:rFonts w:ascii="仿宋_GB2312"/>
          <w:color w:val="auto"/>
          <w:highlight w:val="none"/>
        </w:rPr>
      </w:pPr>
      <w:r>
        <w:rPr>
          <w:rFonts w:hint="eastAsia" w:ascii="黑体" w:hAnsi="黑体" w:eastAsia="黑体" w:cs="Times New Roman"/>
          <w:color w:val="auto"/>
          <w:szCs w:val="28"/>
          <w:highlight w:val="none"/>
        </w:rPr>
        <w:t>·</w:t>
      </w:r>
      <w:r>
        <w:rPr>
          <w:rFonts w:hint="eastAsia" w:ascii="仿宋_GB2312"/>
          <w:color w:val="auto"/>
          <w:highlight w:val="none"/>
        </w:rPr>
        <w:t>《项目支出绩效评价管理办法》（财预〔2020〕10号）</w:t>
      </w:r>
    </w:p>
    <w:p>
      <w:pPr>
        <w:spacing w:line="360" w:lineRule="auto"/>
        <w:ind w:firstLine="560"/>
        <w:rPr>
          <w:rFonts w:ascii="仿宋_GB2312"/>
          <w:color w:val="auto"/>
          <w:highlight w:val="none"/>
        </w:rPr>
      </w:pPr>
      <w:r>
        <w:rPr>
          <w:rFonts w:hint="eastAsia" w:ascii="仿宋_GB2312"/>
          <w:color w:val="auto"/>
          <w:highlight w:val="none"/>
        </w:rPr>
        <w:t>《关于拨付2023年第二批疫情防控补助资金（二级以上医疗机构新冠肺炎医疗设备储备）的通知》（乌财社〔2023〕19号）</w:t>
      </w:r>
    </w:p>
    <w:p>
      <w:pPr>
        <w:spacing w:line="360" w:lineRule="auto"/>
        <w:ind w:firstLine="560"/>
        <w:rPr>
          <w:rFonts w:ascii="仿宋_GB2312"/>
          <w:color w:val="auto"/>
          <w:highlight w:val="none"/>
        </w:rPr>
      </w:pPr>
      <w:r>
        <w:rPr>
          <w:rFonts w:ascii="仿宋_GB2312"/>
          <w:color w:val="auto"/>
          <w:highlight w:val="none"/>
        </w:rPr>
        <w:t>《关于乌鲁木齐市疫情防控期间政府采购事宜的通知》（乌财购〔2020〕6号）</w:t>
      </w:r>
    </w:p>
    <w:p>
      <w:pPr>
        <w:pStyle w:val="2"/>
        <w:ind w:left="0" w:leftChars="0" w:firstLine="560" w:firstLineChars="200"/>
        <w:rPr>
          <w:rFonts w:ascii="仿宋_GB2312" w:hAnsi="Calibri" w:eastAsia="仿宋_GB2312" w:cs="黑体"/>
          <w:color w:val="auto"/>
          <w:kern w:val="2"/>
          <w:sz w:val="28"/>
          <w:szCs w:val="22"/>
          <w:highlight w:val="none"/>
          <w:lang w:val="en-US" w:eastAsia="zh-CN" w:bidi="ar-SA"/>
        </w:rPr>
      </w:pPr>
      <w:r>
        <w:rPr>
          <w:rFonts w:hint="eastAsia" w:ascii="仿宋_GB2312" w:hAnsi="Calibri" w:eastAsia="仿宋_GB2312" w:cs="黑体"/>
          <w:color w:val="auto"/>
          <w:kern w:val="2"/>
          <w:sz w:val="28"/>
          <w:szCs w:val="22"/>
          <w:highlight w:val="none"/>
          <w:lang w:val="en-US" w:eastAsia="zh-CN" w:bidi="ar-SA"/>
        </w:rPr>
        <w:t>《医疗设备购置审批制度》</w:t>
      </w:r>
    </w:p>
    <w:p>
      <w:pPr>
        <w:pStyle w:val="5"/>
        <w:ind w:firstLine="643"/>
        <w:rPr>
          <w:rFonts w:ascii="仿宋" w:hAnsi="仿宋" w:eastAsia="仿宋"/>
          <w:color w:val="auto"/>
          <w:highlight w:val="none"/>
          <w:lang w:bidi="en-US"/>
        </w:rPr>
      </w:pPr>
      <w:bookmarkStart w:id="25" w:name="_Toc165277236"/>
      <w:bookmarkStart w:id="26" w:name="_Toc67911607"/>
      <w:r>
        <w:rPr>
          <w:rFonts w:hint="eastAsia" w:ascii="仿宋" w:hAnsi="仿宋" w:eastAsia="仿宋"/>
          <w:color w:val="auto"/>
          <w:highlight w:val="none"/>
          <w:lang w:bidi="en-US"/>
        </w:rPr>
        <w:t>（三）绩效评价工作过程</w:t>
      </w:r>
      <w:bookmarkEnd w:id="25"/>
      <w:bookmarkEnd w:id="26"/>
    </w:p>
    <w:p>
      <w:pPr>
        <w:spacing w:line="360" w:lineRule="auto"/>
        <w:ind w:firstLine="560"/>
        <w:rPr>
          <w:rFonts w:ascii="仿宋_GB2312"/>
          <w:color w:val="auto"/>
          <w:highlight w:val="none"/>
        </w:rPr>
      </w:pPr>
      <w:r>
        <w:rPr>
          <w:rFonts w:hint="eastAsia" w:ascii="仿宋_GB2312"/>
          <w:color w:val="auto"/>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2"/>
          <w:rFonts w:ascii="仿宋_GB2312"/>
          <w:color w:val="auto"/>
          <w:highlight w:val="none"/>
        </w:rPr>
        <w:footnoteReference w:id="0"/>
      </w:r>
      <w:r>
        <w:rPr>
          <w:rFonts w:hint="eastAsia" w:ascii="仿宋_GB2312"/>
          <w:color w:val="auto"/>
          <w:highlight w:val="none"/>
        </w:rPr>
        <w:t>、材料审核分析、现场核查评价、综合分析评价及报告撰写，评价项目实施情况，展现资金使用效益。</w:t>
      </w:r>
    </w:p>
    <w:p>
      <w:pPr>
        <w:pStyle w:val="4"/>
        <w:ind w:firstLine="0" w:firstLineChars="0"/>
        <w:jc w:val="left"/>
        <w:rPr>
          <w:rFonts w:ascii="仿宋" w:hAnsi="仿宋" w:eastAsia="仿宋"/>
          <w:color w:val="auto"/>
          <w:sz w:val="36"/>
          <w:szCs w:val="36"/>
          <w:highlight w:val="none"/>
          <w:lang w:bidi="en-US"/>
        </w:rPr>
      </w:pPr>
      <w:bookmarkStart w:id="27" w:name="_Toc165277237"/>
      <w:bookmarkStart w:id="28" w:name="_Toc67911608"/>
      <w:r>
        <w:rPr>
          <w:rFonts w:hint="eastAsia" w:ascii="仿宋" w:hAnsi="仿宋" w:eastAsia="仿宋"/>
          <w:color w:val="auto"/>
          <w:sz w:val="36"/>
          <w:szCs w:val="36"/>
          <w:highlight w:val="none"/>
          <w:lang w:bidi="en-US"/>
        </w:rPr>
        <w:t>三、综合评价情况及评价结论</w:t>
      </w:r>
      <w:bookmarkEnd w:id="27"/>
      <w:bookmarkEnd w:id="28"/>
    </w:p>
    <w:p>
      <w:pPr>
        <w:pStyle w:val="5"/>
        <w:ind w:firstLine="643"/>
        <w:rPr>
          <w:rFonts w:ascii="仿宋" w:hAnsi="仿宋" w:eastAsia="仿宋"/>
          <w:color w:val="auto"/>
          <w:highlight w:val="none"/>
          <w:lang w:bidi="en-US"/>
        </w:rPr>
      </w:pPr>
      <w:bookmarkStart w:id="29" w:name="_Toc165277238"/>
      <w:bookmarkStart w:id="30" w:name="_Toc67911609"/>
      <w:r>
        <w:rPr>
          <w:rFonts w:hint="eastAsia" w:ascii="仿宋" w:hAnsi="仿宋" w:eastAsia="仿宋"/>
          <w:color w:val="auto"/>
          <w:highlight w:val="none"/>
          <w:lang w:bidi="en-US"/>
        </w:rPr>
        <w:t>（一）评价结论</w:t>
      </w:r>
      <w:bookmarkEnd w:id="29"/>
      <w:bookmarkEnd w:id="30"/>
    </w:p>
    <w:p>
      <w:pPr>
        <w:spacing w:line="360" w:lineRule="auto"/>
        <w:ind w:firstLine="560"/>
        <w:rPr>
          <w:rFonts w:ascii="仿宋_GB2312"/>
          <w:color w:val="auto"/>
          <w:szCs w:val="28"/>
          <w:highlight w:val="none"/>
        </w:rPr>
      </w:pPr>
      <w:r>
        <w:rPr>
          <w:rFonts w:hint="eastAsia" w:ascii="仿宋_GB2312"/>
          <w:color w:val="auto"/>
          <w:szCs w:val="28"/>
          <w:highlight w:val="none"/>
        </w:rPr>
        <w:t>结合项目特点，制定符合项目实际的绩效评价指标体系及评分标准，通过数据采集、问卷调查及访谈等形式，对《2023年</w:t>
      </w:r>
      <w:r>
        <w:rPr>
          <w:rFonts w:ascii="仿宋_GB2312"/>
          <w:color w:val="auto"/>
          <w:szCs w:val="28"/>
          <w:highlight w:val="none"/>
        </w:rPr>
        <w:t>关于拨付2023年第二批疫情防控补助资金（二级以上医疗机构新冠肺炎医疗设备储备）的通知</w:t>
      </w:r>
      <w:r>
        <w:rPr>
          <w:rFonts w:hint="eastAsia" w:ascii="仿宋_GB2312"/>
          <w:color w:val="auto"/>
          <w:szCs w:val="28"/>
          <w:highlight w:val="none"/>
        </w:rPr>
        <w:t>》项目进行客观评价，最终评分结果为：总分为</w:t>
      </w:r>
      <w:r>
        <w:rPr>
          <w:rFonts w:hint="eastAsia" w:ascii="仿宋_GB2312"/>
          <w:color w:val="auto"/>
          <w:szCs w:val="28"/>
          <w:highlight w:val="none"/>
          <w:lang w:val="en-US" w:eastAsia="zh-CN"/>
        </w:rPr>
        <w:t>93.58</w:t>
      </w:r>
      <w:r>
        <w:rPr>
          <w:rFonts w:hint="eastAsia" w:ascii="仿宋_GB2312"/>
          <w:color w:val="auto"/>
          <w:szCs w:val="28"/>
          <w:highlight w:val="none"/>
        </w:rPr>
        <w:t>分，绩效评级为“</w:t>
      </w:r>
      <w:r>
        <w:rPr>
          <w:rFonts w:hint="eastAsia" w:ascii="仿宋_GB2312"/>
          <w:color w:val="auto"/>
          <w:szCs w:val="28"/>
          <w:highlight w:val="none"/>
          <w:lang w:eastAsia="zh-CN"/>
        </w:rPr>
        <w:t>优</w:t>
      </w:r>
      <w:r>
        <w:rPr>
          <w:rFonts w:hint="eastAsia" w:ascii="仿宋_GB2312"/>
          <w:color w:val="auto"/>
          <w:szCs w:val="28"/>
          <w:highlight w:val="none"/>
        </w:rPr>
        <w:t>”</w:t>
      </w:r>
      <w:r>
        <w:rPr>
          <w:rStyle w:val="22"/>
          <w:rFonts w:ascii="仿宋_GB2312"/>
          <w:color w:val="auto"/>
          <w:szCs w:val="28"/>
          <w:highlight w:val="none"/>
        </w:rPr>
        <w:footnoteReference w:id="1"/>
      </w:r>
      <w:r>
        <w:rPr>
          <w:rFonts w:hint="eastAsia" w:ascii="仿宋_GB2312"/>
          <w:color w:val="auto"/>
          <w:szCs w:val="28"/>
          <w:highlight w:val="none"/>
        </w:rPr>
        <w:t>。</w:t>
      </w:r>
    </w:p>
    <w:p>
      <w:pPr>
        <w:spacing w:line="360" w:lineRule="auto"/>
        <w:ind w:firstLine="560"/>
        <w:rPr>
          <w:rFonts w:ascii="仿宋_GB2312"/>
          <w:color w:val="auto"/>
          <w:szCs w:val="28"/>
          <w:highlight w:val="none"/>
        </w:rPr>
      </w:pPr>
      <w:r>
        <w:rPr>
          <w:rFonts w:hint="eastAsia" w:ascii="仿宋_GB2312"/>
          <w:color w:val="auto"/>
          <w:szCs w:val="28"/>
          <w:highlight w:val="none"/>
        </w:rPr>
        <w:t>项目各部分权重和绩效分值如附表所示：</w:t>
      </w:r>
    </w:p>
    <w:p>
      <w:pPr>
        <w:spacing w:line="360" w:lineRule="auto"/>
        <w:ind w:firstLine="0" w:firstLineChars="0"/>
        <w:jc w:val="center"/>
        <w:rPr>
          <w:rFonts w:ascii="仿宋_GB2312"/>
          <w:b/>
          <w:bCs/>
          <w:color w:val="auto"/>
          <w:szCs w:val="28"/>
          <w:highlight w:val="none"/>
        </w:rPr>
      </w:pPr>
      <w:r>
        <w:rPr>
          <w:rFonts w:ascii="仿宋_GB2312"/>
          <w:b/>
          <w:bCs/>
          <w:color w:val="auto"/>
          <w:szCs w:val="28"/>
          <w:highlight w:val="none"/>
        </w:rPr>
        <w:t xml:space="preserve">  </w:t>
      </w:r>
      <w:r>
        <w:rPr>
          <w:rFonts w:hint="eastAsia" w:ascii="仿宋_GB2312"/>
          <w:b/>
          <w:bCs/>
          <w:color w:val="auto"/>
          <w:szCs w:val="28"/>
          <w:highlight w:val="none"/>
        </w:rPr>
        <w:t>项目各部分权重和绩效分值</w:t>
      </w:r>
    </w:p>
    <w:tbl>
      <w:tblPr>
        <w:tblStyle w:val="17"/>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984"/>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color w:val="auto"/>
                <w:kern w:val="0"/>
                <w:sz w:val="24"/>
                <w:szCs w:val="24"/>
                <w:highlight w:val="none"/>
              </w:rPr>
            </w:pPr>
            <w:r>
              <w:rPr>
                <w:rFonts w:hint="eastAsia" w:ascii="仿宋_GB2312" w:hAnsi="宋体" w:cs="宋体"/>
                <w:b/>
                <w:bCs/>
                <w:color w:val="auto"/>
                <w:kern w:val="0"/>
                <w:sz w:val="24"/>
                <w:szCs w:val="24"/>
                <w:highlight w:val="none"/>
              </w:rPr>
              <w:t>一级指标</w:t>
            </w:r>
          </w:p>
        </w:tc>
        <w:tc>
          <w:tcPr>
            <w:tcW w:w="1984"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color w:val="auto"/>
                <w:kern w:val="0"/>
                <w:sz w:val="24"/>
                <w:szCs w:val="24"/>
                <w:highlight w:val="none"/>
              </w:rPr>
            </w:pPr>
            <w:r>
              <w:rPr>
                <w:rFonts w:hint="eastAsia" w:ascii="仿宋_GB2312" w:hAnsi="宋体" w:cs="宋体"/>
                <w:b/>
                <w:bCs/>
                <w:color w:val="auto"/>
                <w:kern w:val="0"/>
                <w:sz w:val="24"/>
                <w:szCs w:val="24"/>
                <w:highlight w:val="none"/>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color w:val="auto"/>
                <w:kern w:val="0"/>
                <w:sz w:val="24"/>
                <w:szCs w:val="24"/>
                <w:highlight w:val="none"/>
              </w:rPr>
            </w:pPr>
            <w:r>
              <w:rPr>
                <w:rFonts w:hint="eastAsia" w:ascii="仿宋_GB2312" w:hAnsi="宋体" w:cs="宋体"/>
                <w:b/>
                <w:bCs/>
                <w:color w:val="auto"/>
                <w:kern w:val="0"/>
                <w:sz w:val="24"/>
                <w:szCs w:val="24"/>
                <w:highlight w:val="none"/>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color w:val="auto"/>
                <w:kern w:val="0"/>
                <w:sz w:val="24"/>
                <w:szCs w:val="24"/>
                <w:highlight w:val="none"/>
              </w:rPr>
            </w:pPr>
            <w:r>
              <w:rPr>
                <w:rFonts w:hint="eastAsia" w:ascii="仿宋_GB2312" w:hAnsi="宋体" w:cs="宋体"/>
                <w:b/>
                <w:bCs/>
                <w:color w:val="auto"/>
                <w:kern w:val="0"/>
                <w:sz w:val="24"/>
                <w:szCs w:val="24"/>
                <w:highlight w:val="none"/>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color w:val="auto"/>
                <w:kern w:val="0"/>
                <w:sz w:val="24"/>
                <w:szCs w:val="24"/>
                <w:highlight w:val="none"/>
              </w:rPr>
            </w:pPr>
            <w:r>
              <w:rPr>
                <w:rFonts w:hint="eastAsia" w:ascii="仿宋_GB2312" w:hAnsi="宋体" w:cs="宋体"/>
                <w:b/>
                <w:bCs/>
                <w:color w:val="auto"/>
                <w:kern w:val="0"/>
                <w:sz w:val="24"/>
                <w:szCs w:val="24"/>
                <w:highlight w:val="none"/>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ascii="仿宋_GB2312" w:hAnsi="Gungsuh" w:cs="宋体"/>
                <w:b/>
                <w:bCs/>
                <w:color w:val="auto"/>
                <w:kern w:val="0"/>
                <w:sz w:val="24"/>
                <w:szCs w:val="24"/>
                <w:highlight w:val="none"/>
              </w:rPr>
            </w:pPr>
            <w:r>
              <w:rPr>
                <w:rFonts w:hint="eastAsia" w:ascii="仿宋_GB2312" w:hAnsi="Gungsuh" w:cs="宋体"/>
                <w:b/>
                <w:bCs/>
                <w:color w:val="auto"/>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决策</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color w:val="auto"/>
                <w:kern w:val="0"/>
                <w:sz w:val="24"/>
                <w:szCs w:val="24"/>
                <w:highlight w:val="none"/>
              </w:rPr>
            </w:pP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auto"/>
                <w:kern w:val="0"/>
                <w:sz w:val="24"/>
                <w:szCs w:val="24"/>
                <w:highlight w:val="none"/>
                <w:lang w:eastAsia="zh-CN"/>
              </w:rPr>
            </w:pPr>
            <w:r>
              <w:rPr>
                <w:rFonts w:hint="eastAsia" w:ascii="仿宋_GB2312" w:hAnsi="宋体" w:cs="宋体"/>
                <w:color w:val="auto"/>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auto"/>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过程</w:t>
            </w: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0.58</w:t>
            </w:r>
          </w:p>
        </w:tc>
        <w:tc>
          <w:tcPr>
            <w:tcW w:w="1039" w:type="dxa"/>
            <w:tcBorders>
              <w:tl2br w:val="nil"/>
              <w:tr2bl w:val="nil"/>
            </w:tcBorders>
            <w:shd w:val="clear" w:color="000000" w:fill="FFFFFF"/>
            <w:vAlign w:val="center"/>
          </w:tcPr>
          <w:p>
            <w:pPr>
              <w:widowControl/>
              <w:ind w:firstLine="0" w:firstLineChars="0"/>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lang w:val="en-US" w:eastAsia="zh-CN"/>
              </w:rPr>
              <w:t>11.61</w:t>
            </w:r>
            <w:r>
              <w:rPr>
                <w:rFonts w:hint="eastAsia" w:ascii="仿宋_GB2312" w:hAnsi="宋体" w:cs="宋体"/>
                <w:color w:val="auto"/>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ind w:firstLine="48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lang w:val="en-US" w:eastAsia="zh-CN"/>
              </w:rPr>
              <w:t>100</w:t>
            </w:r>
            <w:r>
              <w:rPr>
                <w:rFonts w:hint="eastAsia" w:ascii="仿宋_GB2312" w:hAnsi="宋体" w:cs="宋体"/>
                <w:color w:val="auto"/>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auto"/>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4</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产出</w:t>
            </w:r>
          </w:p>
        </w:tc>
        <w:tc>
          <w:tcPr>
            <w:tcW w:w="1984" w:type="dxa"/>
            <w:vMerge w:val="restart"/>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rPr>
              <w:t>数量指标</w:t>
            </w:r>
            <w:r>
              <w:rPr>
                <w:rFonts w:hint="eastAsia" w:ascii="仿宋_GB2312" w:hAnsi="宋体" w:cs="宋体"/>
                <w:color w:val="auto"/>
                <w:kern w:val="0"/>
                <w:sz w:val="24"/>
                <w:szCs w:val="24"/>
                <w:highlight w:val="none"/>
                <w:lang w:val="en-US" w:eastAsia="zh-CN"/>
              </w:rPr>
              <w:t>12</w:t>
            </w:r>
          </w:p>
        </w:tc>
        <w:tc>
          <w:tcPr>
            <w:tcW w:w="2693" w:type="dxa"/>
            <w:tcBorders>
              <w:tl2br w:val="nil"/>
              <w:tr2bl w:val="nil"/>
            </w:tcBorders>
            <w:shd w:val="clear" w:color="auto" w:fill="FFFFFF"/>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医疗服务收入（不含药品、耗材、检查、化验收入）占比情况</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6</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6</w:t>
            </w:r>
          </w:p>
        </w:tc>
        <w:tc>
          <w:tcPr>
            <w:tcW w:w="1039" w:type="dxa"/>
            <w:vMerge w:val="restart"/>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lang w:val="en-US" w:eastAsia="zh-CN"/>
              </w:rPr>
              <w:t>100</w:t>
            </w:r>
            <w:r>
              <w:rPr>
                <w:rFonts w:hint="eastAsia" w:ascii="仿宋_GB2312" w:hAnsi="宋体" w:cs="宋体"/>
                <w:color w:val="auto"/>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购置基础设备数量</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2</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2</w:t>
            </w:r>
          </w:p>
        </w:tc>
        <w:tc>
          <w:tcPr>
            <w:tcW w:w="1039" w:type="dxa"/>
            <w:vMerge w:val="continue"/>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购置呼吸治疗设备数量</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2</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2</w:t>
            </w:r>
          </w:p>
        </w:tc>
        <w:tc>
          <w:tcPr>
            <w:tcW w:w="1039" w:type="dxa"/>
            <w:vMerge w:val="continue"/>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购置抢救设备数量</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2</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2</w:t>
            </w:r>
          </w:p>
        </w:tc>
        <w:tc>
          <w:tcPr>
            <w:tcW w:w="1039" w:type="dxa"/>
            <w:vMerge w:val="continue"/>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购置转运设备数量</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2</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2</w:t>
            </w:r>
          </w:p>
        </w:tc>
        <w:tc>
          <w:tcPr>
            <w:tcW w:w="1039" w:type="dxa"/>
            <w:vMerge w:val="continue"/>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购置消毒设备数量</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2</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2</w:t>
            </w:r>
          </w:p>
        </w:tc>
        <w:tc>
          <w:tcPr>
            <w:tcW w:w="1039" w:type="dxa"/>
            <w:vMerge w:val="continue"/>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tcBorders>
              <w:tl2br w:val="nil"/>
              <w:tr2bl w:val="nil"/>
            </w:tcBorders>
            <w:shd w:val="clear" w:color="auto" w:fill="FFFFFF"/>
            <w:vAlign w:val="center"/>
          </w:tcPr>
          <w:p>
            <w:pPr>
              <w:widowControl/>
              <w:ind w:firstLine="0" w:firstLineChars="0"/>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质量指标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宋体" w:hAnsi="宋体" w:eastAsia="宋体" w:cs="宋体"/>
                <w:color w:val="auto"/>
                <w:kern w:val="0"/>
                <w:sz w:val="22"/>
                <w:highlight w:val="none"/>
              </w:rPr>
              <w:t>设备验收通过率</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7</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7</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auto"/>
                <w:kern w:val="0"/>
                <w:sz w:val="24"/>
                <w:szCs w:val="24"/>
                <w:highlight w:val="none"/>
              </w:rPr>
            </w:pPr>
          </w:p>
        </w:tc>
        <w:tc>
          <w:tcPr>
            <w:tcW w:w="1984" w:type="dxa"/>
            <w:tcBorders>
              <w:tl2br w:val="nil"/>
              <w:tr2bl w:val="nil"/>
            </w:tcBorders>
            <w:shd w:val="clear" w:color="auto" w:fill="FFFFFF"/>
            <w:vAlign w:val="center"/>
          </w:tcPr>
          <w:p>
            <w:pPr>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时效指标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设备采购完成时间</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7</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7</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购置基础设备成本</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2</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2</w:t>
            </w:r>
          </w:p>
        </w:tc>
        <w:tc>
          <w:tcPr>
            <w:tcW w:w="1039" w:type="dxa"/>
            <w:vMerge w:val="restart"/>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lang w:val="en-US" w:eastAsia="zh-CN"/>
              </w:rPr>
              <w:t>80</w:t>
            </w:r>
            <w:r>
              <w:rPr>
                <w:rFonts w:hint="eastAsia" w:ascii="仿宋_GB2312" w:hAnsi="宋体" w:cs="宋体"/>
                <w:color w:val="auto"/>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购置呼吸治疗设备成本</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2</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2</w:t>
            </w:r>
          </w:p>
        </w:tc>
        <w:tc>
          <w:tcPr>
            <w:tcW w:w="1039" w:type="dxa"/>
            <w:vMerge w:val="continue"/>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购置抢救设备成本</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2</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2</w:t>
            </w:r>
          </w:p>
        </w:tc>
        <w:tc>
          <w:tcPr>
            <w:tcW w:w="1039" w:type="dxa"/>
            <w:vMerge w:val="continue"/>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购置转运设备成本</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2</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auto"/>
                <w:kern w:val="0"/>
                <w:sz w:val="24"/>
                <w:szCs w:val="24"/>
                <w:highlight w:val="none"/>
                <w:lang w:eastAsia="zh-CN"/>
              </w:rPr>
            </w:pPr>
            <w:r>
              <w:rPr>
                <w:rFonts w:hint="eastAsia" w:ascii="仿宋_GB2312" w:hAnsi="宋体" w:cs="宋体"/>
                <w:color w:val="auto"/>
                <w:kern w:val="0"/>
                <w:sz w:val="24"/>
                <w:szCs w:val="24"/>
                <w:highlight w:val="none"/>
                <w:lang w:val="en-US" w:eastAsia="zh-CN"/>
              </w:rPr>
              <w:t>0</w:t>
            </w:r>
          </w:p>
        </w:tc>
        <w:tc>
          <w:tcPr>
            <w:tcW w:w="1039" w:type="dxa"/>
            <w:vMerge w:val="continue"/>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购置消毒设备成本</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2</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auto"/>
                <w:kern w:val="0"/>
                <w:sz w:val="24"/>
                <w:szCs w:val="24"/>
                <w:highlight w:val="none"/>
                <w:lang w:eastAsia="zh-CN"/>
              </w:rPr>
            </w:pPr>
            <w:r>
              <w:rPr>
                <w:rFonts w:hint="eastAsia" w:ascii="仿宋_GB2312" w:hAnsi="宋体" w:cs="宋体"/>
                <w:color w:val="auto"/>
                <w:kern w:val="0"/>
                <w:sz w:val="24"/>
                <w:szCs w:val="24"/>
                <w:highlight w:val="none"/>
                <w:lang w:val="en-US" w:eastAsia="zh-CN"/>
              </w:rPr>
              <w:t>2</w:t>
            </w:r>
          </w:p>
        </w:tc>
        <w:tc>
          <w:tcPr>
            <w:tcW w:w="1039" w:type="dxa"/>
            <w:vMerge w:val="continue"/>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效益</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社会效益指标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公立医院医疗服务能力</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ascii="仿宋_GB2312" w:hAnsi="宋体" w:cs="宋体"/>
                <w:color w:val="auto"/>
                <w:kern w:val="0"/>
                <w:sz w:val="24"/>
                <w:szCs w:val="24"/>
                <w:highlight w:val="none"/>
              </w:rPr>
              <w:t>1</w:t>
            </w:r>
            <w:r>
              <w:rPr>
                <w:rFonts w:hint="eastAsia" w:ascii="仿宋_GB2312" w:hAnsi="宋体" w:cs="宋体"/>
                <w:color w:val="auto"/>
                <w:kern w:val="0"/>
                <w:sz w:val="24"/>
                <w:szCs w:val="24"/>
                <w:highlight w:val="none"/>
              </w:rPr>
              <w:t>0</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ascii="宋体" w:hAnsi="宋体" w:eastAsia="宋体" w:cs="宋体"/>
                <w:color w:val="auto"/>
                <w:kern w:val="0"/>
                <w:sz w:val="22"/>
                <w:highlight w:val="none"/>
              </w:rPr>
              <w:t>满意度指标完成情况分析</w:t>
            </w: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宋体" w:hAnsi="宋体" w:eastAsia="宋体" w:cs="宋体"/>
                <w:color w:val="auto"/>
                <w:kern w:val="0"/>
                <w:sz w:val="22"/>
                <w:highlight w:val="none"/>
              </w:rPr>
              <w:t>满意度指标</w:t>
            </w: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群众满意度</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bl>
    <w:p>
      <w:pPr>
        <w:pStyle w:val="5"/>
        <w:ind w:firstLine="643"/>
        <w:rPr>
          <w:rFonts w:ascii="仿宋" w:hAnsi="仿宋" w:eastAsia="仿宋"/>
          <w:color w:val="auto"/>
          <w:highlight w:val="none"/>
          <w:lang w:bidi="en-US"/>
        </w:rPr>
      </w:pPr>
      <w:bookmarkStart w:id="31" w:name="_Toc67911610"/>
      <w:bookmarkStart w:id="32" w:name="_Toc165277239"/>
      <w:r>
        <w:rPr>
          <w:rFonts w:hint="eastAsia" w:ascii="仿宋" w:hAnsi="仿宋" w:eastAsia="仿宋"/>
          <w:color w:val="auto"/>
          <w:highlight w:val="none"/>
          <w:lang w:bidi="en-US"/>
        </w:rPr>
        <w:t>（二）主要绩效</w:t>
      </w:r>
      <w:bookmarkEnd w:id="31"/>
      <w:bookmarkEnd w:id="32"/>
    </w:p>
    <w:p>
      <w:pPr>
        <w:spacing w:line="360" w:lineRule="auto"/>
        <w:ind w:firstLine="548" w:firstLineChars="196"/>
        <w:rPr>
          <w:rFonts w:ascii="仿宋_GB2312"/>
          <w:bCs/>
          <w:color w:val="auto"/>
          <w:szCs w:val="28"/>
          <w:highlight w:val="none"/>
        </w:rPr>
      </w:pPr>
      <w:r>
        <w:rPr>
          <w:rFonts w:hint="eastAsia" w:ascii="仿宋_GB2312"/>
          <w:bCs/>
          <w:color w:val="auto"/>
          <w:szCs w:val="28"/>
          <w:highlight w:val="none"/>
        </w:rPr>
        <w:t>该项目资金区财政及时拨付，根据财政部门下达相关资金计划后，设备采购科室与医院项目相关科室沟通合作，制定采购计划102台（套）；安排好采购人员、纪检监察人员、项目具体实施人员、设备使用临床科室负责人共同参与完成项目。严格按照财政部门下达的项目资金性质执行采购工作，采购中标458.52万元</w:t>
      </w:r>
      <w:r>
        <w:rPr>
          <w:rFonts w:hint="eastAsia" w:ascii="仿宋_GB2312"/>
          <w:bCs/>
          <w:color w:val="auto"/>
          <w:szCs w:val="28"/>
          <w:highlight w:val="none"/>
          <w:lang w:eastAsia="zh-CN"/>
        </w:rPr>
        <w:t>，</w:t>
      </w:r>
      <w:r>
        <w:rPr>
          <w:rFonts w:hint="eastAsia" w:ascii="仿宋_GB2312" w:hAnsi="仿宋"/>
          <w:color w:val="auto"/>
          <w:szCs w:val="28"/>
          <w:highlight w:val="none"/>
        </w:rPr>
        <w:t>2023年根据疫情防控工作所需购置用于治疗新冠肺炎的设备102台（套），并于2023年12月31日前完成设备采购、安装验收及调试，</w:t>
      </w:r>
      <w:r>
        <w:rPr>
          <w:rFonts w:hint="eastAsia" w:ascii="仿宋_GB2312"/>
          <w:bCs/>
          <w:color w:val="auto"/>
          <w:szCs w:val="28"/>
          <w:highlight w:val="none"/>
        </w:rPr>
        <w:t>低于计划成本；在医疗设备采购项目执行前须明确购置设备使用科室的需求，分析现有的医疗设备资源情况，合理分配医疗设备资源，设备使用科室满意度90%，达到预期目标；提升了我院医疗服务及应对突发公共卫生情况的应急能力</w:t>
      </w:r>
      <w:r>
        <w:rPr>
          <w:rFonts w:hint="eastAsia" w:ascii="仿宋_GB2312"/>
          <w:bCs/>
          <w:color w:val="auto"/>
          <w:szCs w:val="28"/>
          <w:highlight w:val="none"/>
          <w:lang w:eastAsia="zh-CN"/>
        </w:rPr>
        <w:t>；此项目所采购的医疗设备</w:t>
      </w:r>
      <w:r>
        <w:rPr>
          <w:rFonts w:hint="eastAsia" w:ascii="仿宋_GB2312" w:hAnsi="仿宋"/>
          <w:color w:val="auto"/>
          <w:szCs w:val="28"/>
          <w:highlight w:val="none"/>
        </w:rPr>
        <w:t>已及时投入我院相关科室使用，设备投入使用后科室满意度90%，提高了我院重症诊疗的准确性及效率，为患者提供更加优质的医疗服务。</w:t>
      </w:r>
    </w:p>
    <w:p>
      <w:pPr>
        <w:pStyle w:val="4"/>
        <w:ind w:firstLine="0" w:firstLineChars="0"/>
        <w:jc w:val="left"/>
        <w:rPr>
          <w:rFonts w:ascii="仿宋" w:hAnsi="仿宋" w:eastAsia="仿宋"/>
          <w:color w:val="auto"/>
          <w:sz w:val="36"/>
          <w:szCs w:val="36"/>
          <w:highlight w:val="none"/>
          <w:lang w:bidi="en-US"/>
        </w:rPr>
      </w:pPr>
      <w:bookmarkStart w:id="33" w:name="_Toc165277240"/>
      <w:bookmarkStart w:id="34" w:name="_Toc67911611"/>
      <w:r>
        <w:rPr>
          <w:rFonts w:hint="eastAsia" w:ascii="仿宋" w:hAnsi="仿宋" w:eastAsia="仿宋"/>
          <w:color w:val="auto"/>
          <w:sz w:val="36"/>
          <w:szCs w:val="36"/>
          <w:highlight w:val="none"/>
          <w:lang w:bidi="en-US"/>
        </w:rPr>
        <w:t>四、绩效评价指标分析</w:t>
      </w:r>
      <w:bookmarkEnd w:id="33"/>
      <w:bookmarkEnd w:id="34"/>
    </w:p>
    <w:p>
      <w:pPr>
        <w:pStyle w:val="5"/>
        <w:ind w:firstLine="643"/>
        <w:rPr>
          <w:rFonts w:ascii="仿宋" w:hAnsi="仿宋" w:eastAsia="仿宋"/>
          <w:color w:val="auto"/>
          <w:highlight w:val="none"/>
          <w:lang w:bidi="en-US"/>
        </w:rPr>
      </w:pPr>
      <w:bookmarkStart w:id="35" w:name="_Toc67911612"/>
      <w:bookmarkStart w:id="36" w:name="_Toc165277241"/>
      <w:r>
        <w:rPr>
          <w:rFonts w:hint="eastAsia" w:ascii="仿宋" w:hAnsi="仿宋" w:eastAsia="仿宋"/>
          <w:color w:val="auto"/>
          <w:highlight w:val="none"/>
          <w:lang w:bidi="en-US"/>
        </w:rPr>
        <w:t>（一）项目决策情况</w:t>
      </w:r>
      <w:bookmarkEnd w:id="35"/>
      <w:bookmarkEnd w:id="36"/>
    </w:p>
    <w:p>
      <w:pPr>
        <w:spacing w:line="360" w:lineRule="auto"/>
        <w:ind w:firstLine="560"/>
        <w:rPr>
          <w:rFonts w:ascii="仿宋_GB2312"/>
          <w:color w:val="auto"/>
          <w:szCs w:val="28"/>
          <w:highlight w:val="none"/>
        </w:rPr>
      </w:pPr>
      <w:r>
        <w:rPr>
          <w:rFonts w:hint="eastAsia" w:ascii="仿宋_GB2312"/>
          <w:color w:val="auto"/>
          <w:szCs w:val="28"/>
          <w:highlight w:val="none"/>
        </w:rPr>
        <w:t>项目决算指标由</w:t>
      </w:r>
      <w:r>
        <w:rPr>
          <w:rFonts w:hint="eastAsia" w:ascii="仿宋_GB2312"/>
          <w:color w:val="auto"/>
          <w:szCs w:val="28"/>
          <w:highlight w:val="none"/>
          <w:lang w:val="en-US" w:eastAsia="zh-CN"/>
        </w:rPr>
        <w:t>3</w:t>
      </w:r>
      <w:r>
        <w:rPr>
          <w:rFonts w:hint="eastAsia" w:ascii="仿宋_GB2312"/>
          <w:color w:val="auto"/>
          <w:szCs w:val="28"/>
          <w:highlight w:val="none"/>
        </w:rPr>
        <w:t>个二级指标和</w:t>
      </w:r>
      <w:r>
        <w:rPr>
          <w:rFonts w:hint="eastAsia" w:ascii="仿宋_GB2312"/>
          <w:color w:val="auto"/>
          <w:szCs w:val="28"/>
          <w:highlight w:val="none"/>
          <w:lang w:val="en-US" w:eastAsia="zh-CN"/>
        </w:rPr>
        <w:t>6</w:t>
      </w:r>
      <w:r>
        <w:rPr>
          <w:rFonts w:hint="eastAsia" w:ascii="仿宋_GB2312"/>
          <w:color w:val="auto"/>
          <w:szCs w:val="28"/>
          <w:highlight w:val="none"/>
        </w:rPr>
        <w:t>个三级指标构成，权重为</w:t>
      </w:r>
      <w:r>
        <w:rPr>
          <w:rFonts w:hint="eastAsia" w:ascii="仿宋_GB2312"/>
          <w:color w:val="auto"/>
          <w:szCs w:val="28"/>
          <w:highlight w:val="none"/>
          <w:lang w:val="en-US" w:eastAsia="zh-CN"/>
        </w:rPr>
        <w:t>20</w:t>
      </w:r>
      <w:r>
        <w:rPr>
          <w:rFonts w:hint="eastAsia" w:ascii="仿宋_GB2312"/>
          <w:color w:val="auto"/>
          <w:szCs w:val="28"/>
          <w:highlight w:val="none"/>
        </w:rPr>
        <w:t>，实际得分</w:t>
      </w:r>
      <w:r>
        <w:rPr>
          <w:rFonts w:hint="eastAsia" w:ascii="仿宋_GB2312"/>
          <w:color w:val="auto"/>
          <w:szCs w:val="28"/>
          <w:highlight w:val="none"/>
          <w:lang w:val="en-US" w:eastAsia="zh-CN"/>
        </w:rPr>
        <w:t>20</w:t>
      </w:r>
      <w:r>
        <w:rPr>
          <w:rFonts w:hint="eastAsia" w:ascii="仿宋_GB2312"/>
          <w:color w:val="auto"/>
          <w:szCs w:val="28"/>
          <w:highlight w:val="none"/>
        </w:rPr>
        <w:t>分。</w:t>
      </w:r>
    </w:p>
    <w:p>
      <w:pPr>
        <w:pStyle w:val="6"/>
        <w:numPr>
          <w:ilvl w:val="0"/>
          <w:numId w:val="1"/>
        </w:numPr>
        <w:ind w:firstLine="643"/>
        <w:rPr>
          <w:color w:val="auto"/>
          <w:highlight w:val="none"/>
        </w:rPr>
      </w:pPr>
      <w:bookmarkStart w:id="37" w:name="_Toc165277242"/>
      <w:r>
        <w:rPr>
          <w:rFonts w:hint="eastAsia"/>
          <w:color w:val="auto"/>
          <w:highlight w:val="none"/>
        </w:rPr>
        <w:t>项目立项</w:t>
      </w:r>
      <w:bookmarkEnd w:id="37"/>
    </w:p>
    <w:p>
      <w:pPr>
        <w:spacing w:line="360" w:lineRule="auto"/>
        <w:ind w:firstLine="562"/>
        <w:rPr>
          <w:rFonts w:ascii="仿宋_GB2312"/>
          <w:color w:val="auto"/>
          <w:szCs w:val="28"/>
          <w:highlight w:val="none"/>
        </w:rPr>
      </w:pPr>
      <w:r>
        <w:rPr>
          <w:rFonts w:hint="eastAsia" w:ascii="仿宋_GB2312"/>
          <w:b/>
          <w:bCs/>
          <w:color w:val="auto"/>
          <w:szCs w:val="28"/>
          <w:highlight w:val="none"/>
        </w:rPr>
        <w:t>立项依据充分性：</w:t>
      </w:r>
      <w:r>
        <w:rPr>
          <w:rFonts w:hint="eastAsia" w:ascii="仿宋_GB2312"/>
          <w:color w:val="auto"/>
          <w:szCs w:val="28"/>
          <w:highlight w:val="none"/>
        </w:rPr>
        <w:t>项目立项符合国家法律法规、政策要求。同时，</w:t>
      </w:r>
      <w:r>
        <w:rPr>
          <w:rFonts w:hint="eastAsia" w:ascii="仿宋_GB2312"/>
          <w:color w:val="auto"/>
          <w:szCs w:val="28"/>
          <w:highlight w:val="none"/>
          <w:lang w:val="en-US" w:eastAsia="zh-CN"/>
        </w:rPr>
        <w:t>购置医疗设备</w:t>
      </w:r>
      <w:r>
        <w:rPr>
          <w:rFonts w:hint="eastAsia" w:ascii="仿宋_GB2312"/>
          <w:color w:val="auto"/>
          <w:szCs w:val="28"/>
          <w:highlight w:val="none"/>
        </w:rPr>
        <w:t>项目与部门职责范围相符，属于部门履职所需。此外，本项目属于公共财政支持范围，符合中央、地方事权支出责任划分原则。因此，立项依据充分，得4分。</w:t>
      </w:r>
    </w:p>
    <w:p>
      <w:pPr>
        <w:spacing w:line="360" w:lineRule="auto"/>
        <w:ind w:firstLine="562"/>
        <w:rPr>
          <w:rFonts w:hint="eastAsia" w:ascii="仿宋_GB2312" w:eastAsia="仿宋_GB2312"/>
          <w:color w:val="auto"/>
          <w:szCs w:val="28"/>
          <w:highlight w:val="none"/>
          <w:lang w:eastAsia="zh-CN"/>
        </w:rPr>
      </w:pPr>
      <w:r>
        <w:rPr>
          <w:rFonts w:hint="eastAsia" w:ascii="仿宋_GB2312"/>
          <w:b/>
          <w:bCs/>
          <w:color w:val="auto"/>
          <w:szCs w:val="28"/>
          <w:highlight w:val="none"/>
        </w:rPr>
        <w:t>立项程序规范性</w:t>
      </w:r>
      <w:r>
        <w:rPr>
          <w:rFonts w:ascii="仿宋_GB2312"/>
          <w:b/>
          <w:bCs/>
          <w:color w:val="auto"/>
          <w:szCs w:val="28"/>
          <w:highlight w:val="none"/>
        </w:rPr>
        <w:t>:</w:t>
      </w:r>
      <w:r>
        <w:rPr>
          <w:rFonts w:hint="eastAsia"/>
          <w:color w:val="auto"/>
          <w:highlight w:val="none"/>
        </w:rPr>
        <w:t xml:space="preserve"> </w:t>
      </w:r>
      <w:r>
        <w:rPr>
          <w:rFonts w:hint="eastAsia"/>
          <w:color w:val="auto"/>
          <w:highlight w:val="none"/>
          <w:lang w:val="en-US" w:eastAsia="zh-CN"/>
        </w:rPr>
        <w:t>各使用科室提出申请，医院相关科室审核，经医院装备委员会审核，报经党委会研究决定项目申请并报市卫生健康委员会审批。项目招标办公室根据批复执行招标程序，采购部门执行采购手续，经采购意向公示、挂网招标，按照中标结果与供应商签订合同，后设备安装并验收，验收合格后办理固定资产入库手续，在财政项目资金到位后进行支付手续，</w:t>
      </w:r>
      <w:r>
        <w:rPr>
          <w:rFonts w:hint="eastAsia" w:ascii="仿宋_GB2312"/>
          <w:color w:val="auto"/>
          <w:szCs w:val="28"/>
          <w:highlight w:val="none"/>
          <w:lang w:val="en-US" w:eastAsia="zh-CN"/>
        </w:rPr>
        <w:t>所有</w:t>
      </w:r>
      <w:r>
        <w:rPr>
          <w:rFonts w:hint="eastAsia" w:ascii="仿宋_GB2312"/>
          <w:color w:val="auto"/>
          <w:szCs w:val="28"/>
          <w:highlight w:val="none"/>
        </w:rPr>
        <w:t>审批文件、材料符合相关要求，故立项程序规范，得4分。</w:t>
      </w:r>
    </w:p>
    <w:p>
      <w:pPr>
        <w:autoSpaceDE w:val="0"/>
        <w:spacing w:line="600" w:lineRule="exact"/>
        <w:ind w:firstLine="562"/>
        <w:rPr>
          <w:rFonts w:ascii="仿宋_GB2312" w:hAnsi="仿宋" w:cs="宋体"/>
          <w:b/>
          <w:color w:val="auto"/>
          <w:kern w:val="0"/>
          <w:szCs w:val="28"/>
          <w:highlight w:val="none"/>
        </w:rPr>
      </w:pPr>
      <w:r>
        <w:rPr>
          <w:rFonts w:hint="eastAsia" w:ascii="仿宋_GB2312" w:hAnsi="仿宋" w:cs="宋体"/>
          <w:b/>
          <w:color w:val="auto"/>
          <w:kern w:val="0"/>
          <w:szCs w:val="28"/>
          <w:highlight w:val="none"/>
        </w:rPr>
        <w:t>综上，该指标满分</w:t>
      </w:r>
      <w:r>
        <w:rPr>
          <w:rFonts w:ascii="仿宋_GB2312" w:hAnsi="仿宋" w:cs="宋体"/>
          <w:b/>
          <w:color w:val="auto"/>
          <w:kern w:val="0"/>
          <w:szCs w:val="28"/>
          <w:highlight w:val="none"/>
        </w:rPr>
        <w:t>8</w:t>
      </w:r>
      <w:r>
        <w:rPr>
          <w:rFonts w:hint="eastAsia" w:ascii="仿宋_GB2312" w:hAnsi="仿宋" w:cs="宋体"/>
          <w:b/>
          <w:color w:val="auto"/>
          <w:kern w:val="0"/>
          <w:szCs w:val="28"/>
          <w:highlight w:val="none"/>
        </w:rPr>
        <w:t>分，得分8分。</w:t>
      </w:r>
    </w:p>
    <w:p>
      <w:pPr>
        <w:pStyle w:val="6"/>
        <w:ind w:firstLine="643"/>
        <w:rPr>
          <w:color w:val="auto"/>
          <w:highlight w:val="none"/>
        </w:rPr>
      </w:pPr>
      <w:bookmarkStart w:id="38" w:name="_Toc165277243"/>
      <w:r>
        <w:rPr>
          <w:rFonts w:hint="eastAsia"/>
          <w:color w:val="auto"/>
          <w:highlight w:val="none"/>
        </w:rPr>
        <w:t>2</w:t>
      </w:r>
      <w:r>
        <w:rPr>
          <w:color w:val="auto"/>
          <w:highlight w:val="none"/>
        </w:rPr>
        <w:t>.</w:t>
      </w:r>
      <w:r>
        <w:rPr>
          <w:rFonts w:hint="eastAsia"/>
          <w:color w:val="auto"/>
          <w:highlight w:val="none"/>
        </w:rPr>
        <w:t>绩效目标</w:t>
      </w:r>
      <w:bookmarkEnd w:id="38"/>
    </w:p>
    <w:p>
      <w:pPr>
        <w:spacing w:line="360" w:lineRule="auto"/>
        <w:ind w:firstLine="562"/>
        <w:rPr>
          <w:rFonts w:ascii="仿宋_GB2312"/>
          <w:color w:val="auto"/>
          <w:szCs w:val="28"/>
          <w:highlight w:val="none"/>
        </w:rPr>
      </w:pPr>
      <w:r>
        <w:rPr>
          <w:rFonts w:hint="eastAsia" w:ascii="仿宋_GB2312"/>
          <w:b/>
          <w:bCs/>
          <w:color w:val="auto"/>
          <w:szCs w:val="28"/>
          <w:highlight w:val="none"/>
        </w:rPr>
        <w:t>绩效目标合理性：</w:t>
      </w:r>
      <w:r>
        <w:rPr>
          <w:rFonts w:hint="eastAsia" w:ascii="仿宋_GB2312"/>
          <w:color w:val="auto"/>
          <w:szCs w:val="28"/>
          <w:highlight w:val="none"/>
        </w:rPr>
        <w:t>本项目的绩效目标按照产出、效益和满意度构建绩效评价指标，且具有明确性、可衡量性、可实现性、相关性和时限性等特点，能较为全面地反映本项目的产出和效益，故绩效目标合理性指标得分</w:t>
      </w:r>
      <w:r>
        <w:rPr>
          <w:rFonts w:ascii="仿宋_GB2312"/>
          <w:color w:val="auto"/>
          <w:szCs w:val="28"/>
          <w:highlight w:val="none"/>
        </w:rPr>
        <w:t>3</w:t>
      </w:r>
      <w:r>
        <w:rPr>
          <w:rFonts w:hint="eastAsia" w:ascii="仿宋_GB2312"/>
          <w:color w:val="auto"/>
          <w:szCs w:val="28"/>
          <w:highlight w:val="none"/>
        </w:rPr>
        <w:t>分。</w:t>
      </w:r>
    </w:p>
    <w:p>
      <w:pPr>
        <w:autoSpaceDE w:val="0"/>
        <w:spacing w:line="600" w:lineRule="exact"/>
        <w:ind w:firstLine="562"/>
        <w:rPr>
          <w:rFonts w:ascii="仿宋_GB2312" w:hAnsi="仿宋" w:cs="宋体"/>
          <w:color w:val="auto"/>
          <w:kern w:val="0"/>
          <w:szCs w:val="28"/>
          <w:highlight w:val="none"/>
        </w:rPr>
      </w:pPr>
      <w:r>
        <w:rPr>
          <w:rFonts w:hint="eastAsia" w:ascii="仿宋_GB2312" w:hAnsi="仿宋" w:cs="宋体"/>
          <w:b/>
          <w:color w:val="auto"/>
          <w:kern w:val="0"/>
          <w:szCs w:val="28"/>
          <w:highlight w:val="none"/>
        </w:rPr>
        <w:t>绩效目标明确性：</w:t>
      </w:r>
      <w:r>
        <w:rPr>
          <w:rFonts w:hint="eastAsia" w:ascii="仿宋_GB2312" w:hAnsi="仿宋" w:cs="宋体"/>
          <w:color w:val="auto"/>
          <w:kern w:val="0"/>
          <w:szCs w:val="28"/>
          <w:highlight w:val="none"/>
        </w:rPr>
        <w:t>其中，目标已细化为具体的绩效指标“医疗服务收入占比”“购置设备数量”“设备验收通过率”“设备采购完成时间”“设备采购成本”“设备使用科室满意度”等指标，指标具有确切的评价标准，且指标设定均与目标相关。各项指标均能在现实条件下收集到相关数据进行佐证，指标“医疗服务收入占比”由财务报表提供，指标“购置设备数量”和“设备采购成本”由采购合同佐证，指标“设备验收通过率”由设备验收单进行佐证，指标“设备采购完成时间”由合同验收签字等数据佐证，指标“设备使用科室满意度”由满意度调查表佐证，与当年项目年度计划相对应，故绩效目标明确性指标得分</w:t>
      </w:r>
      <w:r>
        <w:rPr>
          <w:rFonts w:ascii="仿宋_GB2312" w:hAnsi="仿宋" w:cs="宋体"/>
          <w:color w:val="auto"/>
          <w:kern w:val="0"/>
          <w:szCs w:val="28"/>
          <w:highlight w:val="none"/>
        </w:rPr>
        <w:t>3</w:t>
      </w:r>
      <w:r>
        <w:rPr>
          <w:rFonts w:hint="eastAsia" w:ascii="仿宋_GB2312" w:hAnsi="仿宋" w:cs="宋体"/>
          <w:color w:val="auto"/>
          <w:kern w:val="0"/>
          <w:szCs w:val="28"/>
          <w:highlight w:val="none"/>
        </w:rPr>
        <w:t>分。</w:t>
      </w:r>
    </w:p>
    <w:p>
      <w:pPr>
        <w:autoSpaceDE w:val="0"/>
        <w:spacing w:line="600" w:lineRule="exact"/>
        <w:ind w:firstLine="562"/>
        <w:rPr>
          <w:rFonts w:ascii="仿宋_GB2312" w:hAnsi="仿宋" w:cs="宋体"/>
          <w:b/>
          <w:color w:val="auto"/>
          <w:kern w:val="0"/>
          <w:szCs w:val="28"/>
          <w:highlight w:val="none"/>
        </w:rPr>
      </w:pPr>
      <w:r>
        <w:rPr>
          <w:rFonts w:hint="eastAsia" w:ascii="仿宋_GB2312" w:hAnsi="仿宋" w:cs="宋体"/>
          <w:b/>
          <w:color w:val="auto"/>
          <w:kern w:val="0"/>
          <w:szCs w:val="28"/>
          <w:highlight w:val="none"/>
        </w:rPr>
        <w:t>综上，该指标满分</w:t>
      </w:r>
      <w:r>
        <w:rPr>
          <w:rFonts w:ascii="仿宋_GB2312" w:hAnsi="仿宋" w:cs="宋体"/>
          <w:b/>
          <w:color w:val="auto"/>
          <w:kern w:val="0"/>
          <w:szCs w:val="28"/>
          <w:highlight w:val="none"/>
        </w:rPr>
        <w:t>6</w:t>
      </w:r>
      <w:r>
        <w:rPr>
          <w:rFonts w:hint="eastAsia" w:ascii="仿宋_GB2312" w:hAnsi="仿宋" w:cs="宋体"/>
          <w:b/>
          <w:color w:val="auto"/>
          <w:kern w:val="0"/>
          <w:szCs w:val="28"/>
          <w:highlight w:val="none"/>
        </w:rPr>
        <w:t>分，得分6分。</w:t>
      </w:r>
    </w:p>
    <w:p>
      <w:pPr>
        <w:pStyle w:val="6"/>
        <w:ind w:firstLine="643"/>
        <w:rPr>
          <w:color w:val="auto"/>
          <w:highlight w:val="none"/>
        </w:rPr>
      </w:pPr>
      <w:bookmarkStart w:id="39" w:name="_Toc165277244"/>
      <w:r>
        <w:rPr>
          <w:rFonts w:hint="eastAsia"/>
          <w:color w:val="auto"/>
          <w:highlight w:val="none"/>
        </w:rPr>
        <w:t>3.资金投入</w:t>
      </w:r>
      <w:bookmarkEnd w:id="39"/>
    </w:p>
    <w:p>
      <w:pPr>
        <w:autoSpaceDE w:val="0"/>
        <w:spacing w:line="600" w:lineRule="exact"/>
        <w:ind w:firstLine="562"/>
        <w:rPr>
          <w:rFonts w:ascii="仿宋_GB2312" w:hAnsi="仿宋" w:cs="宋体"/>
          <w:bCs/>
          <w:color w:val="auto"/>
          <w:kern w:val="0"/>
          <w:szCs w:val="28"/>
          <w:highlight w:val="none"/>
        </w:rPr>
      </w:pPr>
      <w:r>
        <w:rPr>
          <w:rFonts w:hint="eastAsia" w:ascii="仿宋_GB2312" w:hAnsi="仿宋" w:cs="宋体"/>
          <w:b/>
          <w:color w:val="auto"/>
          <w:kern w:val="0"/>
          <w:szCs w:val="28"/>
          <w:highlight w:val="none"/>
        </w:rPr>
        <w:t>预算编制科学性：2</w:t>
      </w:r>
      <w:r>
        <w:rPr>
          <w:rFonts w:hint="eastAsia" w:ascii="仿宋_GB2312" w:hAnsi="仿宋" w:cs="宋体"/>
          <w:color w:val="auto"/>
          <w:kern w:val="0"/>
          <w:szCs w:val="28"/>
          <w:highlight w:val="none"/>
        </w:rPr>
        <w:t>023年根据疫情防控工作需求，由使用科室提出用于治疗新冠肺炎的设备具体清单测算出102台（套），经多方咨询采价，计算设备购置预计成本511.69万元，根据历史经验设备投入使用后科室满意度大致在90%以上，提升公立医院医疗服务能力</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lang w:val="en-US" w:eastAsia="zh-CN"/>
        </w:rPr>
        <w:t>预算编制科学</w:t>
      </w:r>
      <w:r>
        <w:rPr>
          <w:rFonts w:hint="eastAsia" w:ascii="仿宋_GB2312" w:hAnsi="仿宋" w:cs="宋体"/>
          <w:color w:val="auto"/>
          <w:kern w:val="0"/>
          <w:szCs w:val="28"/>
          <w:highlight w:val="none"/>
        </w:rPr>
        <w:t>。故预算编制科学性指标得分</w:t>
      </w:r>
      <w:r>
        <w:rPr>
          <w:rFonts w:ascii="仿宋_GB2312" w:hAnsi="仿宋" w:cs="宋体"/>
          <w:color w:val="auto"/>
          <w:kern w:val="0"/>
          <w:szCs w:val="28"/>
          <w:highlight w:val="none"/>
        </w:rPr>
        <w:t>3</w:t>
      </w:r>
      <w:r>
        <w:rPr>
          <w:rFonts w:hint="eastAsia" w:ascii="仿宋_GB2312" w:hAnsi="仿宋" w:cs="宋体"/>
          <w:color w:val="auto"/>
          <w:kern w:val="0"/>
          <w:szCs w:val="28"/>
          <w:highlight w:val="none"/>
        </w:rPr>
        <w:t>分。</w:t>
      </w:r>
    </w:p>
    <w:p>
      <w:pPr>
        <w:autoSpaceDE w:val="0"/>
        <w:spacing w:line="600" w:lineRule="exact"/>
        <w:ind w:firstLine="0" w:firstLineChars="0"/>
        <w:rPr>
          <w:rFonts w:ascii="仿宋_GB2312" w:hAnsi="仿宋" w:cs="宋体"/>
          <w:bCs/>
          <w:color w:val="auto"/>
          <w:kern w:val="0"/>
          <w:szCs w:val="28"/>
          <w:highlight w:val="none"/>
        </w:rPr>
      </w:pPr>
    </w:p>
    <w:p>
      <w:pPr>
        <w:spacing w:line="360" w:lineRule="auto"/>
        <w:ind w:firstLine="562"/>
        <w:rPr>
          <w:rFonts w:ascii="仿宋_GB2312" w:hAnsi="仿宋" w:cs="宋体"/>
          <w:color w:val="auto"/>
          <w:kern w:val="0"/>
          <w:szCs w:val="28"/>
          <w:highlight w:val="none"/>
        </w:rPr>
      </w:pPr>
      <w:r>
        <w:rPr>
          <w:rFonts w:hint="eastAsia"/>
          <w:b/>
          <w:bCs/>
          <w:color w:val="auto"/>
          <w:highlight w:val="none"/>
        </w:rPr>
        <w:t>资金分配合理性</w:t>
      </w:r>
      <w:r>
        <w:rPr>
          <w:rFonts w:hint="eastAsia"/>
          <w:color w:val="auto"/>
          <w:highlight w:val="none"/>
        </w:rPr>
        <w:t>：</w:t>
      </w:r>
      <w:r>
        <w:rPr>
          <w:color w:val="auto"/>
          <w:highlight w:val="none"/>
        </w:rPr>
        <w:t xml:space="preserve"> </w:t>
      </w:r>
      <w:r>
        <w:rPr>
          <w:rFonts w:ascii="仿宋_GB2312" w:hAnsi="仿宋" w:cs="宋体"/>
          <w:color w:val="auto"/>
          <w:kern w:val="0"/>
          <w:szCs w:val="28"/>
          <w:highlight w:val="none"/>
        </w:rPr>
        <w:t>按照</w:t>
      </w:r>
      <w:r>
        <w:rPr>
          <w:rFonts w:hint="eastAsia" w:ascii="仿宋_GB2312" w:hAnsi="仿宋" w:cs="宋体"/>
          <w:color w:val="auto"/>
          <w:kern w:val="0"/>
          <w:szCs w:val="28"/>
          <w:highlight w:val="none"/>
        </w:rPr>
        <w:t>（</w:t>
      </w:r>
      <w:r>
        <w:rPr>
          <w:rFonts w:ascii="仿宋_GB2312" w:hAnsi="仿宋" w:cs="宋体"/>
          <w:color w:val="auto"/>
          <w:kern w:val="0"/>
          <w:szCs w:val="28"/>
          <w:highlight w:val="none"/>
        </w:rPr>
        <w:t>乌财社〔2023〕19号</w:t>
      </w:r>
      <w:r>
        <w:rPr>
          <w:rFonts w:hint="eastAsia" w:ascii="仿宋_GB2312" w:hAnsi="仿宋" w:cs="宋体"/>
          <w:color w:val="auto"/>
          <w:kern w:val="0"/>
          <w:szCs w:val="28"/>
          <w:highlight w:val="none"/>
        </w:rPr>
        <w:t>）</w:t>
      </w:r>
      <w:r>
        <w:rPr>
          <w:rFonts w:ascii="仿宋_GB2312" w:hAnsi="仿宋" w:cs="宋体"/>
          <w:color w:val="auto"/>
          <w:kern w:val="0"/>
          <w:szCs w:val="28"/>
          <w:highlight w:val="none"/>
        </w:rPr>
        <w:t>文</w:t>
      </w:r>
      <w:r>
        <w:rPr>
          <w:rFonts w:hint="eastAsia" w:ascii="仿宋_GB2312" w:hAnsi="仿宋" w:cs="宋体"/>
          <w:color w:val="auto"/>
          <w:kern w:val="0"/>
          <w:szCs w:val="28"/>
          <w:highlight w:val="none"/>
        </w:rPr>
        <w:t>件</w:t>
      </w:r>
      <w:r>
        <w:rPr>
          <w:rFonts w:ascii="仿宋_GB2312" w:hAnsi="仿宋" w:cs="宋体"/>
          <w:color w:val="auto"/>
          <w:kern w:val="0"/>
          <w:szCs w:val="28"/>
          <w:highlight w:val="none"/>
        </w:rPr>
        <w:t>精神，财政下达给我单位该项目资金</w:t>
      </w:r>
      <w:r>
        <w:rPr>
          <w:rFonts w:hint="eastAsia" w:ascii="仿宋_GB2312" w:hAnsi="仿宋" w:cs="宋体"/>
          <w:color w:val="auto"/>
          <w:kern w:val="0"/>
          <w:szCs w:val="28"/>
          <w:highlight w:val="none"/>
        </w:rPr>
        <w:t>511.69万元，</w:t>
      </w:r>
      <w:r>
        <w:rPr>
          <w:rFonts w:ascii="仿宋_GB2312" w:hAnsi="仿宋" w:cs="宋体"/>
          <w:color w:val="auto"/>
          <w:kern w:val="0"/>
          <w:szCs w:val="28"/>
          <w:highlight w:val="none"/>
        </w:rPr>
        <w:t>用于新冠肺炎医疗设备储备采购支出。由乌鲁木齐市卫健委相关科室紧急采购专用医疗设备一批</w:t>
      </w:r>
      <w:r>
        <w:rPr>
          <w:rFonts w:hint="eastAsia" w:ascii="仿宋_GB2312" w:hAnsi="仿宋" w:cs="宋体"/>
          <w:color w:val="auto"/>
          <w:kern w:val="0"/>
          <w:szCs w:val="28"/>
          <w:highlight w:val="none"/>
        </w:rPr>
        <w:t>，采购中标</w:t>
      </w:r>
      <w:r>
        <w:rPr>
          <w:rFonts w:ascii="仿宋_GB2312" w:hAnsi="仿宋" w:cs="宋体"/>
          <w:color w:val="auto"/>
          <w:kern w:val="0"/>
          <w:szCs w:val="28"/>
          <w:highlight w:val="none"/>
        </w:rPr>
        <w:t>金额</w:t>
      </w:r>
      <w:r>
        <w:rPr>
          <w:rFonts w:hint="eastAsia" w:ascii="仿宋_GB2312" w:hAnsi="仿宋" w:cs="宋体"/>
          <w:color w:val="auto"/>
          <w:kern w:val="0"/>
          <w:szCs w:val="28"/>
          <w:highlight w:val="none"/>
        </w:rPr>
        <w:t>458.52万元，根据我单位的需求情况，购置基础设备成本293.77万元，呼吸治疗设备成本104.2万元，抢救设备成本9.8万元，转运设备成本25.95万元，消毒设备成本24.8万元。项目运作后，可完全覆盖储备设备需求，故资金分配合理性指标得分3分。</w:t>
      </w:r>
    </w:p>
    <w:p>
      <w:pPr>
        <w:autoSpaceDE w:val="0"/>
        <w:spacing w:line="600" w:lineRule="exact"/>
        <w:ind w:firstLine="562"/>
        <w:rPr>
          <w:rFonts w:ascii="仿宋_GB2312" w:hAnsi="仿宋" w:cs="宋体"/>
          <w:b/>
          <w:color w:val="auto"/>
          <w:kern w:val="0"/>
          <w:szCs w:val="28"/>
          <w:highlight w:val="none"/>
        </w:rPr>
      </w:pPr>
      <w:r>
        <w:rPr>
          <w:rFonts w:hint="eastAsia" w:ascii="仿宋_GB2312" w:hAnsi="仿宋" w:cs="宋体"/>
          <w:b/>
          <w:color w:val="auto"/>
          <w:kern w:val="0"/>
          <w:szCs w:val="28"/>
          <w:highlight w:val="none"/>
        </w:rPr>
        <w:t>综上，该指标满分</w:t>
      </w:r>
      <w:r>
        <w:rPr>
          <w:rFonts w:ascii="仿宋_GB2312" w:hAnsi="仿宋" w:cs="宋体"/>
          <w:b/>
          <w:color w:val="auto"/>
          <w:kern w:val="0"/>
          <w:szCs w:val="28"/>
          <w:highlight w:val="none"/>
        </w:rPr>
        <w:t>6</w:t>
      </w:r>
      <w:r>
        <w:rPr>
          <w:rFonts w:hint="eastAsia" w:ascii="仿宋_GB2312" w:hAnsi="仿宋" w:cs="宋体"/>
          <w:b/>
          <w:color w:val="auto"/>
          <w:kern w:val="0"/>
          <w:szCs w:val="28"/>
          <w:highlight w:val="none"/>
        </w:rPr>
        <w:t>分，得分6分。</w:t>
      </w:r>
    </w:p>
    <w:p>
      <w:pPr>
        <w:pStyle w:val="5"/>
        <w:ind w:firstLine="643"/>
        <w:rPr>
          <w:rFonts w:ascii="仿宋" w:hAnsi="仿宋" w:eastAsia="仿宋"/>
          <w:color w:val="auto"/>
          <w:highlight w:val="none"/>
          <w:lang w:bidi="en-US"/>
        </w:rPr>
      </w:pPr>
      <w:bookmarkStart w:id="40" w:name="_Toc165277245"/>
      <w:bookmarkStart w:id="41" w:name="_Toc67911613"/>
      <w:r>
        <w:rPr>
          <w:rFonts w:hint="eastAsia" w:ascii="仿宋" w:hAnsi="仿宋" w:eastAsia="仿宋"/>
          <w:color w:val="auto"/>
          <w:highlight w:val="none"/>
          <w:lang w:bidi="en-US"/>
        </w:rPr>
        <w:t>（二）项目过程情况</w:t>
      </w:r>
      <w:bookmarkEnd w:id="40"/>
      <w:bookmarkEnd w:id="41"/>
    </w:p>
    <w:p>
      <w:pPr>
        <w:spacing w:line="360" w:lineRule="auto"/>
        <w:ind w:firstLine="560"/>
        <w:rPr>
          <w:rFonts w:ascii="仿宋_GB2312"/>
          <w:color w:val="auto"/>
          <w:szCs w:val="28"/>
          <w:highlight w:val="none"/>
        </w:rPr>
      </w:pPr>
      <w:r>
        <w:rPr>
          <w:rFonts w:hint="eastAsia" w:ascii="仿宋_GB2312"/>
          <w:color w:val="auto"/>
          <w:szCs w:val="28"/>
          <w:highlight w:val="none"/>
        </w:rPr>
        <w:t>项目过程指标由</w:t>
      </w:r>
      <w:r>
        <w:rPr>
          <w:rFonts w:hint="eastAsia" w:ascii="仿宋_GB2312"/>
          <w:color w:val="auto"/>
          <w:szCs w:val="28"/>
          <w:highlight w:val="none"/>
          <w:lang w:val="en-US" w:eastAsia="zh-CN"/>
        </w:rPr>
        <w:t>2</w:t>
      </w:r>
      <w:r>
        <w:rPr>
          <w:rFonts w:hint="eastAsia" w:ascii="仿宋_GB2312"/>
          <w:color w:val="auto"/>
          <w:szCs w:val="28"/>
          <w:highlight w:val="none"/>
        </w:rPr>
        <w:t>个二级指标和</w:t>
      </w:r>
      <w:r>
        <w:rPr>
          <w:rFonts w:hint="eastAsia" w:ascii="仿宋_GB2312"/>
          <w:color w:val="auto"/>
          <w:szCs w:val="28"/>
          <w:highlight w:val="none"/>
          <w:lang w:val="en-US" w:eastAsia="zh-CN"/>
        </w:rPr>
        <w:t>5</w:t>
      </w:r>
      <w:r>
        <w:rPr>
          <w:rFonts w:hint="eastAsia" w:ascii="仿宋_GB2312"/>
          <w:color w:val="auto"/>
          <w:szCs w:val="28"/>
          <w:highlight w:val="none"/>
        </w:rPr>
        <w:t>个三级指标构成，权重为</w:t>
      </w:r>
      <w:r>
        <w:rPr>
          <w:rFonts w:hint="eastAsia" w:ascii="仿宋_GB2312"/>
          <w:color w:val="auto"/>
          <w:szCs w:val="28"/>
          <w:highlight w:val="none"/>
          <w:lang w:val="en-US" w:eastAsia="zh-CN"/>
        </w:rPr>
        <w:t>20</w:t>
      </w:r>
      <w:r>
        <w:rPr>
          <w:rFonts w:hint="eastAsia" w:ascii="仿宋_GB2312"/>
          <w:color w:val="auto"/>
          <w:szCs w:val="28"/>
          <w:highlight w:val="none"/>
        </w:rPr>
        <w:t>分，实际得分</w:t>
      </w:r>
      <w:r>
        <w:rPr>
          <w:rFonts w:hint="eastAsia" w:ascii="仿宋_GB2312"/>
          <w:color w:val="auto"/>
          <w:szCs w:val="28"/>
          <w:highlight w:val="none"/>
          <w:lang w:val="en-US" w:eastAsia="zh-CN"/>
        </w:rPr>
        <w:t>15.58</w:t>
      </w:r>
      <w:r>
        <w:rPr>
          <w:rFonts w:hint="eastAsia" w:ascii="仿宋_GB2312"/>
          <w:color w:val="auto"/>
          <w:szCs w:val="28"/>
          <w:highlight w:val="none"/>
        </w:rPr>
        <w:t>分。</w:t>
      </w:r>
    </w:p>
    <w:p>
      <w:pPr>
        <w:pStyle w:val="6"/>
        <w:ind w:firstLine="643"/>
        <w:rPr>
          <w:color w:val="auto"/>
          <w:highlight w:val="none"/>
        </w:rPr>
      </w:pPr>
      <w:bookmarkStart w:id="42" w:name="_Toc165277246"/>
      <w:r>
        <w:rPr>
          <w:color w:val="auto"/>
          <w:highlight w:val="none"/>
        </w:rPr>
        <w:t>1.</w:t>
      </w:r>
      <w:r>
        <w:rPr>
          <w:rFonts w:hint="eastAsia"/>
          <w:color w:val="auto"/>
          <w:highlight w:val="none"/>
        </w:rPr>
        <w:t>资金管理</w:t>
      </w:r>
      <w:bookmarkEnd w:id="42"/>
    </w:p>
    <w:p>
      <w:pPr>
        <w:adjustRightInd w:val="0"/>
        <w:snapToGrid w:val="0"/>
        <w:spacing w:line="520" w:lineRule="exact"/>
        <w:ind w:firstLine="562"/>
        <w:jc w:val="left"/>
        <w:rPr>
          <w:rFonts w:ascii="仿宋_GB2312"/>
          <w:color w:val="auto"/>
          <w:szCs w:val="28"/>
          <w:highlight w:val="none"/>
        </w:rPr>
      </w:pPr>
      <w:r>
        <w:rPr>
          <w:rFonts w:hint="eastAsia" w:ascii="仿宋_GB2312"/>
          <w:b/>
          <w:bCs/>
          <w:color w:val="auto"/>
          <w:szCs w:val="28"/>
          <w:highlight w:val="none"/>
        </w:rPr>
        <w:t>资金到位率：</w:t>
      </w:r>
      <w:r>
        <w:rPr>
          <w:color w:val="auto"/>
          <w:highlight w:val="none"/>
        </w:rPr>
        <w:t xml:space="preserve"> </w:t>
      </w:r>
      <w:r>
        <w:rPr>
          <w:rFonts w:hint="eastAsia" w:ascii="仿宋_GB2312"/>
          <w:color w:val="auto"/>
          <w:highlight w:val="none"/>
        </w:rPr>
        <w:t>该项目</w:t>
      </w:r>
      <w:r>
        <w:rPr>
          <w:rFonts w:ascii="仿宋_GB2312"/>
          <w:color w:val="auto"/>
          <w:highlight w:val="none"/>
        </w:rPr>
        <w:t>资金共计</w:t>
      </w:r>
      <w:r>
        <w:rPr>
          <w:rFonts w:hint="eastAsia" w:ascii="仿宋_GB2312"/>
          <w:color w:val="auto"/>
          <w:highlight w:val="none"/>
        </w:rPr>
        <w:t>：</w:t>
      </w:r>
      <w:r>
        <w:rPr>
          <w:rFonts w:ascii="仿宋_GB2312"/>
          <w:color w:val="auto"/>
          <w:highlight w:val="none"/>
        </w:rPr>
        <w:t>511</w:t>
      </w:r>
      <w:r>
        <w:rPr>
          <w:rFonts w:hint="eastAsia" w:ascii="仿宋_GB2312"/>
          <w:color w:val="auto"/>
          <w:highlight w:val="none"/>
        </w:rPr>
        <w:t>.</w:t>
      </w:r>
      <w:r>
        <w:rPr>
          <w:rFonts w:ascii="仿宋_GB2312"/>
          <w:color w:val="auto"/>
          <w:highlight w:val="none"/>
        </w:rPr>
        <w:t>69</w:t>
      </w:r>
      <w:r>
        <w:rPr>
          <w:rFonts w:hint="eastAsia" w:ascii="仿宋_GB2312"/>
          <w:color w:val="auto"/>
          <w:highlight w:val="none"/>
        </w:rPr>
        <w:t>万元，资金文件2023年1月2日，无上年结转资金。资金指标到位时间2023年1月</w:t>
      </w:r>
      <w:r>
        <w:rPr>
          <w:rFonts w:hint="eastAsia" w:ascii="仿宋_GB2312"/>
          <w:color w:val="auto"/>
          <w:highlight w:val="none"/>
          <w:lang w:eastAsia="zh-CN"/>
        </w:rPr>
        <w:t>，</w:t>
      </w:r>
      <w:r>
        <w:rPr>
          <w:rFonts w:hint="eastAsia" w:ascii="仿宋_GB2312"/>
          <w:color w:val="auto"/>
          <w:highlight w:val="none"/>
        </w:rPr>
        <w:t>采购中标</w:t>
      </w:r>
      <w:r>
        <w:rPr>
          <w:rFonts w:ascii="仿宋_GB2312"/>
          <w:color w:val="auto"/>
          <w:highlight w:val="none"/>
        </w:rPr>
        <w:t>金额共计：458</w:t>
      </w:r>
      <w:r>
        <w:rPr>
          <w:rFonts w:hint="eastAsia" w:ascii="仿宋_GB2312"/>
          <w:color w:val="auto"/>
          <w:highlight w:val="none"/>
        </w:rPr>
        <w:t>.</w:t>
      </w:r>
      <w:r>
        <w:rPr>
          <w:rFonts w:ascii="仿宋_GB2312"/>
          <w:color w:val="auto"/>
          <w:highlight w:val="none"/>
        </w:rPr>
        <w:t>5239</w:t>
      </w:r>
      <w:r>
        <w:rPr>
          <w:rFonts w:hint="eastAsia" w:ascii="仿宋_GB2312"/>
          <w:color w:val="auto"/>
          <w:highlight w:val="none"/>
        </w:rPr>
        <w:t>万元，该资金由财政</w:t>
      </w:r>
      <w:r>
        <w:rPr>
          <w:rFonts w:hint="eastAsia" w:ascii="仿宋_GB2312"/>
          <w:color w:val="auto"/>
          <w:highlight w:val="none"/>
          <w:lang w:eastAsia="zh-CN"/>
        </w:rPr>
        <w:t>直接</w:t>
      </w:r>
      <w:r>
        <w:rPr>
          <w:rFonts w:hint="eastAsia" w:ascii="仿宋_GB2312"/>
          <w:color w:val="auto"/>
          <w:highlight w:val="none"/>
        </w:rPr>
        <w:t>支付给中标的两个供应商，以上两家公司</w:t>
      </w:r>
      <w:r>
        <w:rPr>
          <w:rFonts w:hint="eastAsia" w:ascii="仿宋_GB2312"/>
          <w:color w:val="auto"/>
          <w:highlight w:val="none"/>
          <w:lang w:eastAsia="zh-CN"/>
        </w:rPr>
        <w:t>截至</w:t>
      </w:r>
      <w:r>
        <w:rPr>
          <w:rFonts w:hint="eastAsia" w:ascii="仿宋_GB2312"/>
          <w:color w:val="auto"/>
          <w:highlight w:val="none"/>
          <w:lang w:val="en-US" w:eastAsia="zh-CN"/>
        </w:rPr>
        <w:t>2023年12月</w:t>
      </w:r>
      <w:r>
        <w:rPr>
          <w:rFonts w:hint="eastAsia" w:ascii="仿宋_GB2312"/>
          <w:color w:val="auto"/>
          <w:highlight w:val="none"/>
        </w:rPr>
        <w:t>共支付59.41万元。</w:t>
      </w:r>
      <w:r>
        <w:rPr>
          <w:rFonts w:hint="eastAsia" w:ascii="仿宋_GB2312" w:hAnsi="仿宋" w:cs="宋体"/>
          <w:color w:val="auto"/>
          <w:kern w:val="0"/>
          <w:szCs w:val="28"/>
          <w:highlight w:val="none"/>
        </w:rPr>
        <w:t>故资金到位率</w:t>
      </w:r>
      <w:r>
        <w:rPr>
          <w:rFonts w:hint="eastAsia" w:ascii="仿宋_GB2312" w:hAnsi="仿宋" w:cs="宋体"/>
          <w:color w:val="auto"/>
          <w:kern w:val="0"/>
          <w:szCs w:val="28"/>
          <w:highlight w:val="none"/>
          <w:lang w:val="en-US" w:eastAsia="zh-CN"/>
        </w:rPr>
        <w:t>11.61%，指标满分5分，该</w:t>
      </w:r>
      <w:r>
        <w:rPr>
          <w:rFonts w:hint="eastAsia" w:ascii="仿宋_GB2312" w:hAnsi="仿宋" w:cs="宋体"/>
          <w:color w:val="auto"/>
          <w:kern w:val="0"/>
          <w:szCs w:val="28"/>
          <w:highlight w:val="none"/>
        </w:rPr>
        <w:t>指标得分</w:t>
      </w:r>
      <w:r>
        <w:rPr>
          <w:rFonts w:hint="eastAsia" w:ascii="仿宋_GB2312" w:hAnsi="仿宋" w:cs="宋体"/>
          <w:color w:val="auto"/>
          <w:kern w:val="0"/>
          <w:szCs w:val="28"/>
          <w:highlight w:val="none"/>
          <w:lang w:val="en-US" w:eastAsia="zh-CN"/>
        </w:rPr>
        <w:t>0.58</w:t>
      </w:r>
      <w:r>
        <w:rPr>
          <w:rFonts w:hint="eastAsia" w:ascii="仿宋_GB2312" w:hAnsi="仿宋" w:cs="宋体"/>
          <w:color w:val="auto"/>
          <w:kern w:val="0"/>
          <w:szCs w:val="28"/>
          <w:highlight w:val="none"/>
        </w:rPr>
        <w:t>分。</w:t>
      </w:r>
    </w:p>
    <w:p>
      <w:pPr>
        <w:spacing w:line="360" w:lineRule="auto"/>
        <w:ind w:firstLine="562"/>
        <w:rPr>
          <w:rFonts w:ascii="仿宋_GB2312"/>
          <w:color w:val="auto"/>
          <w:szCs w:val="28"/>
          <w:highlight w:val="none"/>
        </w:rPr>
      </w:pPr>
      <w:r>
        <w:rPr>
          <w:rFonts w:hint="eastAsia" w:ascii="仿宋_GB2312"/>
          <w:b/>
          <w:bCs/>
          <w:color w:val="auto"/>
          <w:szCs w:val="28"/>
          <w:highlight w:val="none"/>
        </w:rPr>
        <w:t>预算执行率：1.支付</w:t>
      </w:r>
      <w:r>
        <w:rPr>
          <w:rFonts w:hint="eastAsia" w:ascii="仿宋_GB2312"/>
          <w:color w:val="auto"/>
          <w:highlight w:val="none"/>
        </w:rPr>
        <w:t>乌鲁木齐天钰祥诚医疗器械有限公司共三笔，2023年7月支付10.46万元，2023年12月支付13.39万元，2023年12月支付3.94万元，合计支付27.79万元。2.支付国药集团新疆新特药业有限公司共三笔，都于2023年12月支付，分别为12.69万元、12.62万元、6.31万元，合计支付31.62万元。</w:t>
      </w:r>
      <w:r>
        <w:rPr>
          <w:rFonts w:hint="eastAsia" w:ascii="仿宋_GB2312"/>
          <w:color w:val="auto"/>
          <w:highlight w:val="none"/>
          <w:lang w:eastAsia="zh-CN"/>
        </w:rPr>
        <w:t>财政到位</w:t>
      </w:r>
      <w:r>
        <w:rPr>
          <w:rFonts w:hint="eastAsia" w:ascii="仿宋_GB2312"/>
          <w:color w:val="auto"/>
          <w:highlight w:val="none"/>
          <w:lang w:val="en-US" w:eastAsia="zh-CN"/>
        </w:rPr>
        <w:t>59.41万元，</w:t>
      </w:r>
      <w:r>
        <w:rPr>
          <w:rFonts w:hint="eastAsia" w:ascii="仿宋_GB2312"/>
          <w:color w:val="auto"/>
          <w:highlight w:val="none"/>
        </w:rPr>
        <w:t>以上两家公司共支付59.41万元，</w:t>
      </w:r>
      <w:r>
        <w:rPr>
          <w:rFonts w:hint="eastAsia" w:ascii="仿宋_GB2312"/>
          <w:color w:val="auto"/>
          <w:highlight w:val="none"/>
          <w:lang w:val="en-US" w:eastAsia="zh-CN"/>
        </w:rPr>
        <w:t>故</w:t>
      </w:r>
      <w:r>
        <w:rPr>
          <w:rFonts w:hint="eastAsia" w:ascii="仿宋_GB2312"/>
          <w:color w:val="auto"/>
          <w:highlight w:val="none"/>
        </w:rPr>
        <w:t>资金执行率</w:t>
      </w:r>
      <w:r>
        <w:rPr>
          <w:rFonts w:hint="eastAsia" w:ascii="仿宋_GB2312"/>
          <w:color w:val="auto"/>
          <w:highlight w:val="none"/>
          <w:lang w:val="en-US" w:eastAsia="zh-CN"/>
        </w:rPr>
        <w:t>100</w:t>
      </w:r>
      <w:r>
        <w:rPr>
          <w:rFonts w:hint="eastAsia" w:ascii="仿宋_GB2312"/>
          <w:color w:val="auto"/>
          <w:highlight w:val="none"/>
        </w:rPr>
        <w:t>%。</w:t>
      </w:r>
      <w:r>
        <w:rPr>
          <w:rFonts w:hint="eastAsia" w:ascii="仿宋_GB2312"/>
          <w:color w:val="auto"/>
          <w:szCs w:val="28"/>
          <w:highlight w:val="none"/>
        </w:rPr>
        <w:t>预算执行率得分为</w:t>
      </w:r>
      <w:r>
        <w:rPr>
          <w:rFonts w:hint="eastAsia" w:ascii="仿宋_GB2312"/>
          <w:color w:val="auto"/>
          <w:szCs w:val="28"/>
          <w:highlight w:val="none"/>
          <w:lang w:val="en-US" w:eastAsia="zh-CN"/>
        </w:rPr>
        <w:t>5</w:t>
      </w:r>
      <w:r>
        <w:rPr>
          <w:rFonts w:hint="eastAsia" w:ascii="仿宋_GB2312"/>
          <w:color w:val="auto"/>
          <w:szCs w:val="28"/>
          <w:highlight w:val="none"/>
        </w:rPr>
        <w:t>分。</w:t>
      </w:r>
    </w:p>
    <w:p>
      <w:pPr>
        <w:spacing w:line="360" w:lineRule="auto"/>
        <w:ind w:firstLine="562"/>
        <w:rPr>
          <w:rFonts w:ascii="仿宋_GB2312"/>
          <w:color w:val="auto"/>
          <w:szCs w:val="28"/>
          <w:highlight w:val="none"/>
        </w:rPr>
      </w:pPr>
      <w:r>
        <w:rPr>
          <w:rFonts w:hint="eastAsia" w:ascii="仿宋_GB2312"/>
          <w:b/>
          <w:bCs/>
          <w:color w:val="auto"/>
          <w:szCs w:val="28"/>
          <w:highlight w:val="none"/>
        </w:rPr>
        <w:t>资金使用合规性：</w:t>
      </w:r>
      <w:r>
        <w:rPr>
          <w:rFonts w:hint="eastAsia" w:ascii="仿宋_GB2312"/>
          <w:color w:val="auto"/>
          <w:szCs w:val="28"/>
          <w:highlight w:val="none"/>
        </w:rPr>
        <w:t>本项目资金的使用符合医院</w:t>
      </w:r>
      <w:r>
        <w:rPr>
          <w:rFonts w:ascii="Times New Roman" w:hAnsi="Times New Roman" w:eastAsia="方正仿宋_GBK" w:cs="Times New Roman"/>
          <w:bCs/>
          <w:color w:val="auto"/>
          <w:szCs w:val="28"/>
          <w:highlight w:val="none"/>
        </w:rPr>
        <w:t>预算管理制度</w:t>
      </w:r>
      <w:r>
        <w:rPr>
          <w:rFonts w:hint="eastAsia" w:ascii="仿宋_GB2312"/>
          <w:color w:val="auto"/>
          <w:szCs w:val="28"/>
          <w:highlight w:val="none"/>
        </w:rPr>
        <w:t>、</w:t>
      </w:r>
      <w:r>
        <w:rPr>
          <w:rFonts w:ascii="Times New Roman" w:hAnsi="Times New Roman" w:eastAsia="方正仿宋_GBK" w:cs="Times New Roman"/>
          <w:bCs/>
          <w:color w:val="auto"/>
          <w:szCs w:val="28"/>
          <w:highlight w:val="none"/>
        </w:rPr>
        <w:t>财务收、支审批制度</w:t>
      </w:r>
      <w:r>
        <w:rPr>
          <w:rFonts w:hint="eastAsia" w:ascii="仿宋_GB2312"/>
          <w:color w:val="auto"/>
          <w:szCs w:val="28"/>
          <w:highlight w:val="none"/>
        </w:rPr>
        <w:t>和医院</w:t>
      </w:r>
      <w:r>
        <w:rPr>
          <w:rFonts w:ascii="Times New Roman" w:hAnsi="Times New Roman" w:eastAsia="方正仿宋_GBK" w:cs="Times New Roman"/>
          <w:bCs/>
          <w:color w:val="auto"/>
          <w:szCs w:val="28"/>
          <w:highlight w:val="none"/>
        </w:rPr>
        <w:t>经费报销审批细则</w:t>
      </w:r>
      <w:r>
        <w:rPr>
          <w:rFonts w:hint="eastAsia" w:ascii="仿宋_GB2312"/>
          <w:color w:val="auto"/>
          <w:szCs w:val="28"/>
          <w:highlight w:val="none"/>
        </w:rPr>
        <w:t>以及专项资金管理办法的规定。同时，资金的拨付有单位申请、集体议事、上级批复等材料根据文件精神进行拨付，资金支付时需</w:t>
      </w:r>
      <w:r>
        <w:rPr>
          <w:rFonts w:ascii="Times New Roman" w:hAnsi="Times New Roman" w:eastAsia="方正仿宋_GBK" w:cs="Times New Roman"/>
          <w:color w:val="auto"/>
          <w:szCs w:val="28"/>
          <w:highlight w:val="none"/>
        </w:rPr>
        <w:t>经办人、经办部门负责人、财务科长、分管财务院长</w:t>
      </w:r>
      <w:r>
        <w:rPr>
          <w:rFonts w:hint="eastAsia" w:ascii="Times New Roman" w:hAnsi="Times New Roman" w:eastAsia="方正仿宋_GBK" w:cs="Times New Roman"/>
          <w:color w:val="auto"/>
          <w:szCs w:val="28"/>
          <w:highlight w:val="none"/>
        </w:rPr>
        <w:t>等签字</w:t>
      </w:r>
      <w:r>
        <w:rPr>
          <w:rFonts w:hint="eastAsia" w:ascii="仿宋_GB2312"/>
          <w:color w:val="auto"/>
          <w:szCs w:val="28"/>
          <w:highlight w:val="none"/>
        </w:rPr>
        <w:t>审批程序，并需要采购</w:t>
      </w:r>
      <w:r>
        <w:rPr>
          <w:rFonts w:ascii="Times New Roman" w:hAnsi="Times New Roman" w:eastAsia="方正仿宋_GBK" w:cs="Times New Roman"/>
          <w:color w:val="auto"/>
          <w:szCs w:val="28"/>
          <w:highlight w:val="none"/>
        </w:rPr>
        <w:t>合同、</w:t>
      </w:r>
      <w:r>
        <w:rPr>
          <w:rFonts w:hint="eastAsia" w:ascii="Times New Roman" w:hAnsi="Times New Roman" w:eastAsia="方正仿宋_GBK" w:cs="Times New Roman"/>
          <w:color w:val="auto"/>
          <w:szCs w:val="28"/>
          <w:highlight w:val="none"/>
        </w:rPr>
        <w:t>中标通知书、</w:t>
      </w:r>
      <w:r>
        <w:rPr>
          <w:rFonts w:ascii="Times New Roman" w:hAnsi="Times New Roman" w:eastAsia="方正仿宋_GBK" w:cs="Times New Roman"/>
          <w:color w:val="auto"/>
          <w:szCs w:val="28"/>
          <w:highlight w:val="none"/>
        </w:rPr>
        <w:t>党委会</w:t>
      </w:r>
      <w:r>
        <w:rPr>
          <w:rFonts w:hint="eastAsia" w:ascii="Times New Roman" w:hAnsi="Times New Roman" w:eastAsia="方正仿宋_GBK" w:cs="Times New Roman"/>
          <w:color w:val="auto"/>
          <w:szCs w:val="28"/>
          <w:highlight w:val="none"/>
        </w:rPr>
        <w:t>会议</w:t>
      </w:r>
      <w:r>
        <w:rPr>
          <w:rFonts w:ascii="Times New Roman" w:hAnsi="Times New Roman" w:eastAsia="方正仿宋_GBK" w:cs="Times New Roman"/>
          <w:color w:val="auto"/>
          <w:szCs w:val="28"/>
          <w:highlight w:val="none"/>
        </w:rPr>
        <w:t>纪要</w:t>
      </w:r>
      <w:r>
        <w:rPr>
          <w:rFonts w:hint="eastAsia" w:ascii="Times New Roman" w:hAnsi="Times New Roman" w:eastAsia="方正仿宋_GBK" w:cs="Times New Roman"/>
          <w:color w:val="auto"/>
          <w:szCs w:val="28"/>
          <w:highlight w:val="none"/>
        </w:rPr>
        <w:t>、设备验收单、固定资产入库单</w:t>
      </w:r>
      <w:r>
        <w:rPr>
          <w:rFonts w:ascii="Times New Roman" w:hAnsi="Times New Roman" w:eastAsia="方正仿宋_GBK" w:cs="Times New Roman"/>
          <w:color w:val="auto"/>
          <w:szCs w:val="28"/>
          <w:highlight w:val="none"/>
        </w:rPr>
        <w:t>等资料方可付款。</w:t>
      </w:r>
      <w:r>
        <w:rPr>
          <w:rFonts w:hint="eastAsia" w:ascii="仿宋_GB2312" w:eastAsia="方正仿宋_GBK"/>
          <w:color w:val="auto"/>
          <w:szCs w:val="28"/>
          <w:highlight w:val="none"/>
        </w:rPr>
        <w:t>所有</w:t>
      </w:r>
      <w:r>
        <w:rPr>
          <w:rFonts w:hint="eastAsia" w:ascii="仿宋_GB2312"/>
          <w:color w:val="auto"/>
          <w:szCs w:val="28"/>
          <w:highlight w:val="none"/>
        </w:rPr>
        <w:t>手续，符合项目预算批复或合同规定的用途，不存在截留、挤占、挪用、虚列支出等情况。故资金使用合规性得分为3分。</w:t>
      </w:r>
    </w:p>
    <w:p>
      <w:pPr>
        <w:autoSpaceDE w:val="0"/>
        <w:spacing w:line="600" w:lineRule="exact"/>
        <w:ind w:firstLine="562"/>
        <w:rPr>
          <w:rFonts w:ascii="仿宋_GB2312" w:hAnsi="仿宋" w:cs="宋体"/>
          <w:b/>
          <w:color w:val="auto"/>
          <w:kern w:val="0"/>
          <w:szCs w:val="28"/>
          <w:highlight w:val="none"/>
        </w:rPr>
      </w:pPr>
      <w:r>
        <w:rPr>
          <w:rFonts w:hint="eastAsia" w:ascii="仿宋_GB2312" w:hAnsi="仿宋" w:cs="宋体"/>
          <w:b/>
          <w:color w:val="auto"/>
          <w:kern w:val="0"/>
          <w:szCs w:val="28"/>
          <w:highlight w:val="none"/>
        </w:rPr>
        <w:t>综上，该指标满分</w:t>
      </w:r>
      <w:r>
        <w:rPr>
          <w:rFonts w:ascii="仿宋_GB2312" w:hAnsi="仿宋" w:cs="宋体"/>
          <w:b/>
          <w:color w:val="auto"/>
          <w:kern w:val="0"/>
          <w:szCs w:val="28"/>
          <w:highlight w:val="none"/>
        </w:rPr>
        <w:t>13</w:t>
      </w:r>
      <w:r>
        <w:rPr>
          <w:rFonts w:hint="eastAsia" w:ascii="仿宋_GB2312" w:hAnsi="仿宋" w:cs="宋体"/>
          <w:b/>
          <w:color w:val="auto"/>
          <w:kern w:val="0"/>
          <w:szCs w:val="28"/>
          <w:highlight w:val="none"/>
        </w:rPr>
        <w:t>分，得分</w:t>
      </w:r>
      <w:r>
        <w:rPr>
          <w:rFonts w:hint="eastAsia" w:ascii="仿宋_GB2312" w:hAnsi="仿宋" w:cs="宋体"/>
          <w:b/>
          <w:color w:val="auto"/>
          <w:kern w:val="0"/>
          <w:szCs w:val="28"/>
          <w:highlight w:val="none"/>
          <w:lang w:val="en-US" w:eastAsia="zh-CN"/>
        </w:rPr>
        <w:t>8.58</w:t>
      </w:r>
      <w:r>
        <w:rPr>
          <w:rFonts w:hint="eastAsia" w:ascii="仿宋_GB2312" w:hAnsi="仿宋" w:cs="宋体"/>
          <w:b/>
          <w:color w:val="auto"/>
          <w:kern w:val="0"/>
          <w:szCs w:val="28"/>
          <w:highlight w:val="none"/>
        </w:rPr>
        <w:t>分。</w:t>
      </w:r>
    </w:p>
    <w:p>
      <w:pPr>
        <w:pStyle w:val="6"/>
        <w:ind w:firstLine="643"/>
        <w:rPr>
          <w:color w:val="auto"/>
          <w:highlight w:val="none"/>
        </w:rPr>
      </w:pPr>
      <w:bookmarkStart w:id="43" w:name="_Toc165277247"/>
      <w:r>
        <w:rPr>
          <w:color w:val="auto"/>
          <w:highlight w:val="none"/>
        </w:rPr>
        <w:t>2.</w:t>
      </w:r>
      <w:r>
        <w:rPr>
          <w:rFonts w:hint="eastAsia"/>
          <w:color w:val="auto"/>
          <w:highlight w:val="none"/>
        </w:rPr>
        <w:t>组织实施</w:t>
      </w:r>
      <w:bookmarkEnd w:id="43"/>
    </w:p>
    <w:p>
      <w:pPr>
        <w:spacing w:line="360" w:lineRule="auto"/>
        <w:ind w:firstLine="562"/>
        <w:rPr>
          <w:rFonts w:ascii="仿宋_GB2312"/>
          <w:color w:val="auto"/>
          <w:szCs w:val="28"/>
          <w:highlight w:val="none"/>
        </w:rPr>
      </w:pPr>
      <w:r>
        <w:rPr>
          <w:rFonts w:hint="eastAsia" w:ascii="仿宋_GB2312"/>
          <w:b/>
          <w:bCs/>
          <w:color w:val="auto"/>
          <w:szCs w:val="28"/>
          <w:highlight w:val="none"/>
        </w:rPr>
        <w:t>管理制度健全性</w:t>
      </w:r>
      <w:r>
        <w:rPr>
          <w:rFonts w:hint="eastAsia" w:ascii="仿宋_GB2312"/>
          <w:color w:val="auto"/>
          <w:szCs w:val="28"/>
          <w:highlight w:val="none"/>
        </w:rPr>
        <w:t>：我单位已制定相应的《党委议事制度》《</w:t>
      </w:r>
      <w:r>
        <w:rPr>
          <w:rFonts w:hint="eastAsia" w:ascii="仿宋_GB2312"/>
          <w:color w:val="auto"/>
          <w:szCs w:val="28"/>
          <w:highlight w:val="none"/>
          <w:lang w:eastAsia="zh-CN"/>
        </w:rPr>
        <w:t>“</w:t>
      </w:r>
      <w:r>
        <w:rPr>
          <w:rFonts w:hint="eastAsia" w:ascii="仿宋_GB2312"/>
          <w:color w:val="auto"/>
          <w:szCs w:val="28"/>
          <w:highlight w:val="none"/>
        </w:rPr>
        <w:t>三重一大</w:t>
      </w:r>
      <w:r>
        <w:rPr>
          <w:rFonts w:hint="eastAsia" w:ascii="仿宋_GB2312"/>
          <w:color w:val="auto"/>
          <w:szCs w:val="28"/>
          <w:highlight w:val="none"/>
          <w:lang w:eastAsia="zh-CN"/>
        </w:rPr>
        <w:t>”</w:t>
      </w:r>
      <w:bookmarkStart w:id="64" w:name="_GoBack"/>
      <w:bookmarkEnd w:id="64"/>
      <w:r>
        <w:rPr>
          <w:rFonts w:hint="eastAsia" w:ascii="仿宋_GB2312"/>
          <w:color w:val="auto"/>
          <w:szCs w:val="28"/>
          <w:highlight w:val="none"/>
        </w:rPr>
        <w:t>制度》《</w:t>
      </w:r>
      <w:r>
        <w:rPr>
          <w:rFonts w:ascii="Times New Roman" w:hAnsi="Times New Roman" w:eastAsia="方正仿宋_GBK" w:cs="Times New Roman"/>
          <w:bCs/>
          <w:color w:val="auto"/>
          <w:szCs w:val="28"/>
          <w:highlight w:val="none"/>
        </w:rPr>
        <w:t>预算管理制度</w:t>
      </w:r>
      <w:r>
        <w:rPr>
          <w:rFonts w:hint="eastAsia" w:ascii="Times New Roman" w:hAnsi="Times New Roman" w:eastAsia="方正仿宋_GBK" w:cs="Times New Roman"/>
          <w:bCs/>
          <w:color w:val="auto"/>
          <w:szCs w:val="28"/>
          <w:highlight w:val="none"/>
        </w:rPr>
        <w:t>》《医疗设备购置审批制度》《</w:t>
      </w:r>
      <w:r>
        <w:rPr>
          <w:rFonts w:ascii="Times New Roman" w:hAnsi="Times New Roman" w:eastAsia="方正仿宋_GBK" w:cs="Times New Roman"/>
          <w:bCs/>
          <w:color w:val="auto"/>
          <w:szCs w:val="28"/>
          <w:highlight w:val="none"/>
        </w:rPr>
        <w:t>财务收、支审批制度</w:t>
      </w:r>
      <w:r>
        <w:rPr>
          <w:rFonts w:hint="eastAsia" w:ascii="Times New Roman" w:hAnsi="Times New Roman" w:eastAsia="方正仿宋_GBK" w:cs="Times New Roman"/>
          <w:bCs/>
          <w:color w:val="auto"/>
          <w:szCs w:val="28"/>
          <w:highlight w:val="none"/>
        </w:rPr>
        <w:t>》《</w:t>
      </w:r>
      <w:r>
        <w:rPr>
          <w:rFonts w:ascii="Times New Roman" w:hAnsi="Times New Roman" w:eastAsia="方正仿宋_GBK" w:cs="Times New Roman"/>
          <w:bCs/>
          <w:color w:val="auto"/>
          <w:szCs w:val="28"/>
          <w:highlight w:val="none"/>
        </w:rPr>
        <w:t>经费报销审批细则</w:t>
      </w:r>
      <w:r>
        <w:rPr>
          <w:rFonts w:hint="eastAsia" w:ascii="Times New Roman" w:hAnsi="Times New Roman" w:eastAsia="方正仿宋_GBK" w:cs="Times New Roman"/>
          <w:bCs/>
          <w:color w:val="auto"/>
          <w:szCs w:val="28"/>
          <w:highlight w:val="none"/>
        </w:rPr>
        <w:t>》</w:t>
      </w:r>
      <w:r>
        <w:rPr>
          <w:rFonts w:hint="eastAsia" w:ascii="仿宋_GB2312"/>
          <w:color w:val="auto"/>
          <w:szCs w:val="28"/>
          <w:highlight w:val="none"/>
        </w:rPr>
        <w:t>和《</w:t>
      </w:r>
      <w:r>
        <w:rPr>
          <w:rFonts w:ascii="Times New Roman" w:hAnsi="Times New Roman" w:eastAsia="方正仿宋_GBK" w:cs="Times New Roman"/>
          <w:bCs/>
          <w:color w:val="auto"/>
          <w:szCs w:val="28"/>
          <w:highlight w:val="none"/>
        </w:rPr>
        <w:t>专项资金管理制度</w:t>
      </w:r>
      <w:r>
        <w:rPr>
          <w:rFonts w:hint="eastAsia" w:ascii="仿宋_GB2312" w:eastAsia="方正仿宋_GBK"/>
          <w:color w:val="auto"/>
          <w:szCs w:val="28"/>
          <w:highlight w:val="none"/>
        </w:rPr>
        <w:t>》</w:t>
      </w:r>
      <w:r>
        <w:rPr>
          <w:rFonts w:hint="eastAsia" w:ascii="仿宋_GB2312"/>
          <w:color w:val="auto"/>
          <w:szCs w:val="28"/>
          <w:highlight w:val="none"/>
        </w:rPr>
        <w:t>，且制度合法、合规、完整，为项目顺利实施提供重要保障。故管理制度健全性得分为3分。</w:t>
      </w:r>
    </w:p>
    <w:p>
      <w:pPr>
        <w:spacing w:line="360" w:lineRule="auto"/>
        <w:ind w:firstLine="562"/>
        <w:rPr>
          <w:rFonts w:ascii="仿宋_GB2312"/>
          <w:color w:val="auto"/>
          <w:szCs w:val="28"/>
          <w:highlight w:val="none"/>
        </w:rPr>
      </w:pPr>
      <w:r>
        <w:rPr>
          <w:rFonts w:hint="eastAsia" w:ascii="仿宋_GB2312"/>
          <w:b/>
          <w:bCs/>
          <w:color w:val="auto"/>
          <w:szCs w:val="28"/>
          <w:highlight w:val="none"/>
        </w:rPr>
        <w:t>制度执行有效性：</w:t>
      </w:r>
      <w:r>
        <w:rPr>
          <w:rFonts w:hint="eastAsia" w:ascii="仿宋_GB2312"/>
          <w:color w:val="auto"/>
          <w:szCs w:val="28"/>
          <w:highlight w:val="none"/>
        </w:rPr>
        <w:t>根据评价小组核查情况，我单位严格遵守相关法律法规和相关管理规定，项目调整及支出调整手续完备，整体管理合理有序，项目完成后，及时将项目文件、采购发票、设备验收单、医疗设备采购合同、中标通知书、固定资产入库单、会议纪要等相关资料分类归档，制度执行有效。故制度执行有效性指标得分</w:t>
      </w:r>
      <w:r>
        <w:rPr>
          <w:rFonts w:ascii="仿宋_GB2312"/>
          <w:color w:val="auto"/>
          <w:szCs w:val="28"/>
          <w:highlight w:val="none"/>
        </w:rPr>
        <w:t>4</w:t>
      </w:r>
      <w:r>
        <w:rPr>
          <w:rFonts w:hint="eastAsia" w:ascii="仿宋_GB2312"/>
          <w:color w:val="auto"/>
          <w:szCs w:val="28"/>
          <w:highlight w:val="none"/>
        </w:rPr>
        <w:t>分。</w:t>
      </w:r>
    </w:p>
    <w:p>
      <w:pPr>
        <w:autoSpaceDE w:val="0"/>
        <w:spacing w:line="600" w:lineRule="exact"/>
        <w:ind w:firstLine="562"/>
        <w:rPr>
          <w:rFonts w:ascii="仿宋_GB2312" w:hAnsi="仿宋" w:cs="宋体"/>
          <w:b/>
          <w:color w:val="auto"/>
          <w:kern w:val="0"/>
          <w:szCs w:val="28"/>
          <w:highlight w:val="none"/>
        </w:rPr>
      </w:pPr>
      <w:bookmarkStart w:id="44" w:name="_Hlk67670213"/>
      <w:r>
        <w:rPr>
          <w:rFonts w:hint="eastAsia" w:ascii="仿宋_GB2312" w:hAnsi="仿宋" w:cs="宋体"/>
          <w:b/>
          <w:color w:val="auto"/>
          <w:kern w:val="0"/>
          <w:szCs w:val="28"/>
          <w:highlight w:val="none"/>
        </w:rPr>
        <w:t>综上，该指标满分</w:t>
      </w:r>
      <w:r>
        <w:rPr>
          <w:rFonts w:ascii="仿宋_GB2312" w:hAnsi="仿宋" w:cs="宋体"/>
          <w:b/>
          <w:color w:val="auto"/>
          <w:kern w:val="0"/>
          <w:szCs w:val="28"/>
          <w:highlight w:val="none"/>
        </w:rPr>
        <w:t>7</w:t>
      </w:r>
      <w:r>
        <w:rPr>
          <w:rFonts w:hint="eastAsia" w:ascii="仿宋_GB2312" w:hAnsi="仿宋" w:cs="宋体"/>
          <w:b/>
          <w:color w:val="auto"/>
          <w:kern w:val="0"/>
          <w:szCs w:val="28"/>
          <w:highlight w:val="none"/>
        </w:rPr>
        <w:t>分，得分</w:t>
      </w:r>
      <w:r>
        <w:rPr>
          <w:rFonts w:ascii="仿宋_GB2312" w:hAnsi="仿宋" w:cs="宋体"/>
          <w:b/>
          <w:color w:val="auto"/>
          <w:kern w:val="0"/>
          <w:szCs w:val="28"/>
          <w:highlight w:val="none"/>
        </w:rPr>
        <w:t>7</w:t>
      </w:r>
      <w:r>
        <w:rPr>
          <w:rFonts w:hint="eastAsia" w:ascii="仿宋_GB2312" w:hAnsi="仿宋" w:cs="宋体"/>
          <w:b/>
          <w:color w:val="auto"/>
          <w:kern w:val="0"/>
          <w:szCs w:val="28"/>
          <w:highlight w:val="none"/>
        </w:rPr>
        <w:t>分。</w:t>
      </w:r>
    </w:p>
    <w:bookmarkEnd w:id="44"/>
    <w:p>
      <w:pPr>
        <w:pStyle w:val="5"/>
        <w:ind w:firstLine="643"/>
        <w:rPr>
          <w:rFonts w:ascii="仿宋" w:hAnsi="仿宋" w:eastAsia="仿宋"/>
          <w:color w:val="auto"/>
          <w:highlight w:val="none"/>
          <w:lang w:bidi="en-US"/>
        </w:rPr>
      </w:pPr>
      <w:bookmarkStart w:id="45" w:name="_Toc67911614"/>
      <w:bookmarkStart w:id="46" w:name="_Toc165277248"/>
      <w:r>
        <w:rPr>
          <w:rFonts w:hint="eastAsia" w:ascii="仿宋" w:hAnsi="仿宋" w:eastAsia="仿宋"/>
          <w:color w:val="auto"/>
          <w:highlight w:val="none"/>
          <w:lang w:bidi="en-US"/>
        </w:rPr>
        <w:t>（三）项目产出情况</w:t>
      </w:r>
      <w:bookmarkEnd w:id="45"/>
      <w:bookmarkEnd w:id="46"/>
    </w:p>
    <w:p>
      <w:pPr>
        <w:spacing w:line="360" w:lineRule="auto"/>
        <w:ind w:firstLine="560"/>
        <w:rPr>
          <w:rFonts w:ascii="仿宋_GB2312"/>
          <w:color w:val="auto"/>
          <w:szCs w:val="28"/>
          <w:highlight w:val="none"/>
        </w:rPr>
      </w:pPr>
      <w:r>
        <w:rPr>
          <w:rFonts w:hint="eastAsia" w:ascii="仿宋_GB2312"/>
          <w:color w:val="auto"/>
          <w:szCs w:val="28"/>
          <w:highlight w:val="none"/>
        </w:rPr>
        <w:t>项目产出指标由</w:t>
      </w:r>
      <w:r>
        <w:rPr>
          <w:rFonts w:hint="eastAsia" w:ascii="仿宋_GB2312"/>
          <w:color w:val="auto"/>
          <w:szCs w:val="28"/>
          <w:highlight w:val="none"/>
          <w:lang w:val="en-US" w:eastAsia="zh-CN"/>
        </w:rPr>
        <w:t>4</w:t>
      </w:r>
      <w:r>
        <w:rPr>
          <w:rFonts w:hint="eastAsia" w:ascii="仿宋_GB2312"/>
          <w:color w:val="auto"/>
          <w:szCs w:val="28"/>
          <w:highlight w:val="none"/>
        </w:rPr>
        <w:t>个二级指标和</w:t>
      </w:r>
      <w:r>
        <w:rPr>
          <w:rFonts w:hint="eastAsia" w:ascii="仿宋_GB2312"/>
          <w:color w:val="auto"/>
          <w:szCs w:val="28"/>
          <w:highlight w:val="none"/>
          <w:lang w:val="en-US" w:eastAsia="zh-CN"/>
        </w:rPr>
        <w:t>13</w:t>
      </w:r>
      <w:r>
        <w:rPr>
          <w:rFonts w:hint="eastAsia" w:ascii="仿宋_GB2312"/>
          <w:color w:val="auto"/>
          <w:szCs w:val="28"/>
          <w:highlight w:val="none"/>
        </w:rPr>
        <w:t>个三级指标构成，权重为</w:t>
      </w:r>
      <w:r>
        <w:rPr>
          <w:rFonts w:ascii="仿宋_GB2312"/>
          <w:color w:val="auto"/>
          <w:szCs w:val="28"/>
          <w:highlight w:val="none"/>
        </w:rPr>
        <w:t>40</w:t>
      </w:r>
      <w:r>
        <w:rPr>
          <w:rFonts w:hint="eastAsia" w:ascii="仿宋_GB2312"/>
          <w:color w:val="auto"/>
          <w:szCs w:val="28"/>
          <w:highlight w:val="none"/>
        </w:rPr>
        <w:t>分，实际得分</w:t>
      </w:r>
      <w:r>
        <w:rPr>
          <w:rFonts w:hint="eastAsia" w:ascii="仿宋_GB2312"/>
          <w:color w:val="auto"/>
          <w:szCs w:val="28"/>
          <w:highlight w:val="none"/>
          <w:lang w:val="en-US" w:eastAsia="zh-CN"/>
        </w:rPr>
        <w:t>38</w:t>
      </w:r>
      <w:r>
        <w:rPr>
          <w:rFonts w:hint="eastAsia" w:ascii="仿宋_GB2312"/>
          <w:color w:val="auto"/>
          <w:szCs w:val="28"/>
          <w:highlight w:val="none"/>
        </w:rPr>
        <w:t>分。</w:t>
      </w:r>
    </w:p>
    <w:p>
      <w:pPr>
        <w:pStyle w:val="6"/>
        <w:ind w:firstLine="643"/>
        <w:rPr>
          <w:color w:val="auto"/>
          <w:highlight w:val="none"/>
        </w:rPr>
      </w:pPr>
      <w:bookmarkStart w:id="47" w:name="_Toc165277249"/>
      <w:r>
        <w:rPr>
          <w:rFonts w:hint="eastAsia"/>
          <w:color w:val="auto"/>
          <w:highlight w:val="none"/>
        </w:rPr>
        <w:t>1</w:t>
      </w:r>
      <w:r>
        <w:rPr>
          <w:color w:val="auto"/>
          <w:highlight w:val="none"/>
        </w:rPr>
        <w:t>.</w:t>
      </w:r>
      <w:r>
        <w:rPr>
          <w:rFonts w:hint="eastAsia"/>
          <w:color w:val="auto"/>
          <w:highlight w:val="none"/>
        </w:rPr>
        <w:t>产出数量</w:t>
      </w:r>
      <w:bookmarkEnd w:id="47"/>
    </w:p>
    <w:p>
      <w:pPr>
        <w:spacing w:line="360" w:lineRule="auto"/>
        <w:ind w:firstLine="560"/>
        <w:rPr>
          <w:rFonts w:ascii="仿宋_GB2312"/>
          <w:bCs/>
          <w:color w:val="auto"/>
          <w:szCs w:val="28"/>
          <w:highlight w:val="none"/>
        </w:rPr>
      </w:pPr>
      <w:r>
        <w:rPr>
          <w:rFonts w:hint="eastAsia" w:ascii="仿宋_GB2312"/>
          <w:bCs/>
          <w:color w:val="auto"/>
          <w:szCs w:val="28"/>
          <w:highlight w:val="none"/>
        </w:rPr>
        <w:t>（1）数量指标“医疗服务收入（不含药品、耗材、检查、化验收入）占比情况”：目标值&gt;=30.5%，2023</w:t>
      </w:r>
      <w:r>
        <w:rPr>
          <w:rFonts w:ascii="仿宋_GB2312"/>
          <w:bCs/>
          <w:color w:val="auto"/>
          <w:szCs w:val="28"/>
          <w:highlight w:val="none"/>
        </w:rPr>
        <w:t>年</w:t>
      </w:r>
      <w:r>
        <w:rPr>
          <w:rFonts w:hint="eastAsia" w:ascii="仿宋_GB2312"/>
          <w:bCs/>
          <w:color w:val="auto"/>
          <w:szCs w:val="28"/>
          <w:highlight w:val="none"/>
        </w:rPr>
        <w:t>完成值=51.22%，完成率167.93%，分值</w:t>
      </w:r>
      <w:r>
        <w:rPr>
          <w:rFonts w:hint="eastAsia" w:ascii="仿宋_GB2312"/>
          <w:bCs/>
          <w:color w:val="auto"/>
          <w:szCs w:val="28"/>
          <w:highlight w:val="none"/>
          <w:lang w:val="en-US" w:eastAsia="zh-CN"/>
        </w:rPr>
        <w:t>6</w:t>
      </w:r>
      <w:r>
        <w:rPr>
          <w:rFonts w:hint="eastAsia" w:ascii="仿宋_GB2312"/>
          <w:bCs/>
          <w:color w:val="auto"/>
          <w:szCs w:val="28"/>
          <w:highlight w:val="none"/>
        </w:rPr>
        <w:t>分、得分</w:t>
      </w:r>
      <w:r>
        <w:rPr>
          <w:rFonts w:hint="eastAsia" w:ascii="仿宋_GB2312"/>
          <w:bCs/>
          <w:color w:val="auto"/>
          <w:szCs w:val="28"/>
          <w:highlight w:val="none"/>
          <w:lang w:val="en-US" w:eastAsia="zh-CN"/>
        </w:rPr>
        <w:t>6</w:t>
      </w:r>
      <w:r>
        <w:rPr>
          <w:rFonts w:hint="eastAsia" w:ascii="仿宋_GB2312"/>
          <w:bCs/>
          <w:color w:val="auto"/>
          <w:szCs w:val="28"/>
          <w:highlight w:val="none"/>
        </w:rPr>
        <w:t>分，该指标按照自治区卫生健康系统公立医院考核指标设立。</w:t>
      </w:r>
    </w:p>
    <w:p>
      <w:pPr>
        <w:pStyle w:val="2"/>
        <w:ind w:left="560" w:firstLine="560"/>
        <w:rPr>
          <w:rFonts w:ascii="仿宋_GB2312"/>
          <w:bCs/>
          <w:color w:val="auto"/>
          <w:szCs w:val="28"/>
          <w:highlight w:val="none"/>
        </w:rPr>
      </w:pPr>
      <w:r>
        <w:rPr>
          <w:rFonts w:hint="eastAsia" w:ascii="仿宋_GB2312"/>
          <w:bCs/>
          <w:color w:val="auto"/>
          <w:szCs w:val="28"/>
          <w:highlight w:val="none"/>
        </w:rPr>
        <w:t>（2）数量指标“购置基础设备数量”：目标值&gt;=74台，2023年完成值=74台，完成率100%，分值</w:t>
      </w:r>
      <w:r>
        <w:rPr>
          <w:rFonts w:hint="eastAsia" w:ascii="仿宋_GB2312"/>
          <w:bCs/>
          <w:color w:val="auto"/>
          <w:szCs w:val="28"/>
          <w:highlight w:val="none"/>
          <w:lang w:val="en-US" w:eastAsia="zh-CN"/>
        </w:rPr>
        <w:t>2</w:t>
      </w:r>
      <w:r>
        <w:rPr>
          <w:rFonts w:hint="eastAsia" w:ascii="仿宋_GB2312"/>
          <w:bCs/>
          <w:color w:val="auto"/>
          <w:szCs w:val="28"/>
          <w:highlight w:val="none"/>
        </w:rPr>
        <w:t>分、得分</w:t>
      </w:r>
      <w:r>
        <w:rPr>
          <w:rFonts w:hint="eastAsia" w:ascii="仿宋_GB2312"/>
          <w:bCs/>
          <w:color w:val="auto"/>
          <w:szCs w:val="28"/>
          <w:highlight w:val="none"/>
          <w:lang w:val="en-US" w:eastAsia="zh-CN"/>
        </w:rPr>
        <w:t>2</w:t>
      </w:r>
      <w:r>
        <w:rPr>
          <w:rFonts w:hint="eastAsia" w:ascii="仿宋_GB2312"/>
          <w:bCs/>
          <w:color w:val="auto"/>
          <w:szCs w:val="28"/>
          <w:highlight w:val="none"/>
        </w:rPr>
        <w:t>分。</w:t>
      </w:r>
    </w:p>
    <w:p>
      <w:pPr>
        <w:pStyle w:val="2"/>
        <w:ind w:left="560" w:firstLine="560"/>
        <w:rPr>
          <w:rFonts w:ascii="仿宋_GB2312"/>
          <w:bCs/>
          <w:color w:val="auto"/>
          <w:szCs w:val="28"/>
          <w:highlight w:val="none"/>
        </w:rPr>
      </w:pPr>
      <w:r>
        <w:rPr>
          <w:rFonts w:hint="eastAsia" w:ascii="仿宋_GB2312"/>
          <w:bCs/>
          <w:color w:val="auto"/>
          <w:szCs w:val="28"/>
          <w:highlight w:val="none"/>
        </w:rPr>
        <w:t>（3）数量指标“购置呼吸治疗设备数量”：目标值&gt;=13台，2023年完成值=13台，完成率100%，分值</w:t>
      </w:r>
      <w:r>
        <w:rPr>
          <w:rFonts w:hint="eastAsia" w:ascii="仿宋_GB2312"/>
          <w:bCs/>
          <w:color w:val="auto"/>
          <w:szCs w:val="28"/>
          <w:highlight w:val="none"/>
          <w:lang w:val="en-US" w:eastAsia="zh-CN"/>
        </w:rPr>
        <w:t>2</w:t>
      </w:r>
      <w:r>
        <w:rPr>
          <w:rFonts w:hint="eastAsia" w:ascii="仿宋_GB2312"/>
          <w:bCs/>
          <w:color w:val="auto"/>
          <w:szCs w:val="28"/>
          <w:highlight w:val="none"/>
        </w:rPr>
        <w:t>分、得分</w:t>
      </w:r>
      <w:r>
        <w:rPr>
          <w:rFonts w:hint="eastAsia" w:ascii="仿宋_GB2312"/>
          <w:bCs/>
          <w:color w:val="auto"/>
          <w:szCs w:val="28"/>
          <w:highlight w:val="none"/>
          <w:lang w:val="en-US" w:eastAsia="zh-CN"/>
        </w:rPr>
        <w:t>2</w:t>
      </w:r>
      <w:r>
        <w:rPr>
          <w:rFonts w:hint="eastAsia" w:ascii="仿宋_GB2312"/>
          <w:bCs/>
          <w:color w:val="auto"/>
          <w:szCs w:val="28"/>
          <w:highlight w:val="none"/>
        </w:rPr>
        <w:t>分。</w:t>
      </w:r>
    </w:p>
    <w:p>
      <w:pPr>
        <w:pStyle w:val="2"/>
        <w:ind w:left="560" w:firstLine="560"/>
        <w:rPr>
          <w:rFonts w:ascii="仿宋_GB2312"/>
          <w:bCs/>
          <w:color w:val="auto"/>
          <w:szCs w:val="28"/>
          <w:highlight w:val="none"/>
        </w:rPr>
      </w:pPr>
      <w:r>
        <w:rPr>
          <w:rFonts w:hint="eastAsia" w:ascii="仿宋_GB2312"/>
          <w:bCs/>
          <w:color w:val="auto"/>
          <w:szCs w:val="28"/>
          <w:highlight w:val="none"/>
        </w:rPr>
        <w:t>（4）数量指标“购置抢救设备数量”：目标值&gt;=5台，2023年完成值=5台，完成率100%，分值</w:t>
      </w:r>
      <w:r>
        <w:rPr>
          <w:rFonts w:hint="eastAsia" w:ascii="仿宋_GB2312"/>
          <w:bCs/>
          <w:color w:val="auto"/>
          <w:szCs w:val="28"/>
          <w:highlight w:val="none"/>
          <w:lang w:val="en-US" w:eastAsia="zh-CN"/>
        </w:rPr>
        <w:t>2</w:t>
      </w:r>
      <w:r>
        <w:rPr>
          <w:rFonts w:hint="eastAsia" w:ascii="仿宋_GB2312"/>
          <w:bCs/>
          <w:color w:val="auto"/>
          <w:szCs w:val="28"/>
          <w:highlight w:val="none"/>
        </w:rPr>
        <w:t>分、得分</w:t>
      </w:r>
      <w:r>
        <w:rPr>
          <w:rFonts w:hint="eastAsia" w:ascii="仿宋_GB2312"/>
          <w:bCs/>
          <w:color w:val="auto"/>
          <w:szCs w:val="28"/>
          <w:highlight w:val="none"/>
          <w:lang w:val="en-US" w:eastAsia="zh-CN"/>
        </w:rPr>
        <w:t>2</w:t>
      </w:r>
      <w:r>
        <w:rPr>
          <w:rFonts w:hint="eastAsia" w:ascii="仿宋_GB2312"/>
          <w:bCs/>
          <w:color w:val="auto"/>
          <w:szCs w:val="28"/>
          <w:highlight w:val="none"/>
        </w:rPr>
        <w:t>分。</w:t>
      </w:r>
    </w:p>
    <w:p>
      <w:pPr>
        <w:pStyle w:val="2"/>
        <w:ind w:left="560" w:firstLine="560"/>
        <w:rPr>
          <w:rFonts w:ascii="仿宋_GB2312"/>
          <w:bCs/>
          <w:color w:val="auto"/>
          <w:szCs w:val="28"/>
          <w:highlight w:val="none"/>
        </w:rPr>
      </w:pPr>
      <w:r>
        <w:rPr>
          <w:rFonts w:hint="eastAsia" w:ascii="仿宋_GB2312"/>
          <w:bCs/>
          <w:color w:val="auto"/>
          <w:szCs w:val="28"/>
          <w:highlight w:val="none"/>
        </w:rPr>
        <w:t>（5）数量指标“购置转运设备数量”：目标值&gt;=8台，2023年完成值=8台，完成率100%，分值</w:t>
      </w:r>
      <w:r>
        <w:rPr>
          <w:rFonts w:hint="eastAsia" w:ascii="仿宋_GB2312"/>
          <w:bCs/>
          <w:color w:val="auto"/>
          <w:szCs w:val="28"/>
          <w:highlight w:val="none"/>
          <w:lang w:val="en-US" w:eastAsia="zh-CN"/>
        </w:rPr>
        <w:t>2</w:t>
      </w:r>
      <w:r>
        <w:rPr>
          <w:rFonts w:hint="eastAsia" w:ascii="仿宋_GB2312"/>
          <w:bCs/>
          <w:color w:val="auto"/>
          <w:szCs w:val="28"/>
          <w:highlight w:val="none"/>
        </w:rPr>
        <w:t>分、得分</w:t>
      </w:r>
      <w:r>
        <w:rPr>
          <w:rFonts w:hint="eastAsia" w:ascii="仿宋_GB2312"/>
          <w:bCs/>
          <w:color w:val="auto"/>
          <w:szCs w:val="28"/>
          <w:highlight w:val="none"/>
          <w:lang w:val="en-US" w:eastAsia="zh-CN"/>
        </w:rPr>
        <w:t>2</w:t>
      </w:r>
      <w:r>
        <w:rPr>
          <w:rFonts w:hint="eastAsia" w:ascii="仿宋_GB2312"/>
          <w:bCs/>
          <w:color w:val="auto"/>
          <w:szCs w:val="28"/>
          <w:highlight w:val="none"/>
        </w:rPr>
        <w:t>分。</w:t>
      </w:r>
    </w:p>
    <w:p>
      <w:pPr>
        <w:pStyle w:val="2"/>
        <w:ind w:left="560" w:firstLine="560"/>
        <w:rPr>
          <w:rFonts w:ascii="仿宋_GB2312"/>
          <w:bCs/>
          <w:color w:val="auto"/>
          <w:szCs w:val="28"/>
          <w:highlight w:val="none"/>
        </w:rPr>
      </w:pPr>
      <w:r>
        <w:rPr>
          <w:rFonts w:hint="eastAsia" w:ascii="仿宋_GB2312"/>
          <w:bCs/>
          <w:color w:val="auto"/>
          <w:szCs w:val="28"/>
          <w:highlight w:val="none"/>
        </w:rPr>
        <w:t>（6）数量指标“购置消毒设备数量”：目标值&gt;=2台，2023年完成值=2台，完成率100%，分值</w:t>
      </w:r>
      <w:r>
        <w:rPr>
          <w:rFonts w:hint="eastAsia" w:ascii="仿宋_GB2312"/>
          <w:bCs/>
          <w:color w:val="auto"/>
          <w:szCs w:val="28"/>
          <w:highlight w:val="none"/>
          <w:lang w:val="en-US" w:eastAsia="zh-CN"/>
        </w:rPr>
        <w:t>2</w:t>
      </w:r>
      <w:r>
        <w:rPr>
          <w:rFonts w:hint="eastAsia" w:ascii="仿宋_GB2312"/>
          <w:bCs/>
          <w:color w:val="auto"/>
          <w:szCs w:val="28"/>
          <w:highlight w:val="none"/>
        </w:rPr>
        <w:t>分、得分</w:t>
      </w:r>
      <w:r>
        <w:rPr>
          <w:rFonts w:hint="eastAsia" w:ascii="仿宋_GB2312"/>
          <w:bCs/>
          <w:color w:val="auto"/>
          <w:szCs w:val="28"/>
          <w:highlight w:val="none"/>
          <w:lang w:val="en-US" w:eastAsia="zh-CN"/>
        </w:rPr>
        <w:t>2</w:t>
      </w:r>
      <w:r>
        <w:rPr>
          <w:rFonts w:hint="eastAsia" w:ascii="仿宋_GB2312"/>
          <w:bCs/>
          <w:color w:val="auto"/>
          <w:szCs w:val="28"/>
          <w:highlight w:val="none"/>
        </w:rPr>
        <w:t>分。</w:t>
      </w:r>
    </w:p>
    <w:p>
      <w:pPr>
        <w:spacing w:line="360" w:lineRule="auto"/>
        <w:ind w:firstLine="562"/>
        <w:rPr>
          <w:rFonts w:ascii="仿宋_GB2312"/>
          <w:color w:val="auto"/>
          <w:szCs w:val="28"/>
          <w:highlight w:val="none"/>
        </w:rPr>
      </w:pPr>
      <w:r>
        <w:rPr>
          <w:rFonts w:hint="eastAsia" w:ascii="仿宋_GB2312"/>
          <w:b/>
          <w:bCs/>
          <w:color w:val="auto"/>
          <w:szCs w:val="28"/>
          <w:highlight w:val="none"/>
        </w:rPr>
        <w:t>实际完成率：数量指标6个，实际完成6个（其中</w:t>
      </w:r>
      <w:r>
        <w:rPr>
          <w:rFonts w:hint="eastAsia" w:ascii="仿宋_GB2312"/>
          <w:bCs/>
          <w:color w:val="auto"/>
          <w:szCs w:val="28"/>
          <w:highlight w:val="none"/>
        </w:rPr>
        <w:t>“医疗服务收入（不含药品、耗材、检查、化验收入）占比情况”目标值&gt;=30.5%按照自治区卫生健康系统公立医院考核指标设立，实际值超目标值较多，但在目标区间内</w:t>
      </w:r>
      <w:r>
        <w:rPr>
          <w:rFonts w:hint="eastAsia" w:ascii="仿宋_GB2312"/>
          <w:b/>
          <w:bCs/>
          <w:color w:val="auto"/>
          <w:szCs w:val="28"/>
          <w:highlight w:val="none"/>
        </w:rPr>
        <w:t>），以上6个指标平均完成率111.3%</w:t>
      </w:r>
      <w:r>
        <w:rPr>
          <w:rFonts w:hint="eastAsia" w:ascii="仿宋_GB2312"/>
          <w:color w:val="auto"/>
          <w:szCs w:val="28"/>
          <w:highlight w:val="none"/>
        </w:rPr>
        <w:t>，故实际完成率得分为</w:t>
      </w:r>
      <w:r>
        <w:rPr>
          <w:rFonts w:hint="eastAsia" w:ascii="仿宋_GB2312"/>
          <w:color w:val="auto"/>
          <w:szCs w:val="28"/>
          <w:highlight w:val="none"/>
          <w:lang w:val="en-US" w:eastAsia="zh-CN"/>
        </w:rPr>
        <w:t>16</w:t>
      </w:r>
      <w:r>
        <w:rPr>
          <w:rFonts w:hint="eastAsia" w:ascii="仿宋_GB2312"/>
          <w:color w:val="auto"/>
          <w:szCs w:val="28"/>
          <w:highlight w:val="none"/>
        </w:rPr>
        <w:t>分。</w:t>
      </w:r>
    </w:p>
    <w:p>
      <w:pPr>
        <w:pStyle w:val="6"/>
        <w:ind w:firstLine="643"/>
        <w:rPr>
          <w:color w:val="auto"/>
          <w:highlight w:val="none"/>
        </w:rPr>
      </w:pPr>
      <w:bookmarkStart w:id="48" w:name="_Toc165277250"/>
      <w:r>
        <w:rPr>
          <w:rFonts w:hint="eastAsia"/>
          <w:color w:val="auto"/>
          <w:highlight w:val="none"/>
        </w:rPr>
        <w:t>2</w:t>
      </w:r>
      <w:r>
        <w:rPr>
          <w:color w:val="auto"/>
          <w:highlight w:val="none"/>
        </w:rPr>
        <w:t>.</w:t>
      </w:r>
      <w:r>
        <w:rPr>
          <w:rFonts w:hint="eastAsia"/>
          <w:color w:val="auto"/>
          <w:highlight w:val="none"/>
        </w:rPr>
        <w:t>产出质量</w:t>
      </w:r>
      <w:bookmarkEnd w:id="48"/>
    </w:p>
    <w:p>
      <w:pPr>
        <w:pStyle w:val="2"/>
        <w:ind w:left="560" w:firstLine="0" w:firstLineChars="0"/>
        <w:rPr>
          <w:rFonts w:hint="eastAsia" w:ascii="仿宋_GB2312" w:hAnsi="Calibri" w:eastAsia="仿宋_GB2312" w:cs="黑体"/>
          <w:bCs/>
          <w:color w:val="auto"/>
          <w:kern w:val="2"/>
          <w:sz w:val="28"/>
          <w:szCs w:val="28"/>
          <w:highlight w:val="none"/>
          <w:lang w:val="en-US" w:eastAsia="zh-CN" w:bidi="ar-SA"/>
        </w:rPr>
      </w:pPr>
      <w:r>
        <w:rPr>
          <w:rFonts w:hint="eastAsia" w:ascii="仿宋_GB2312" w:hAnsi="Calibri" w:eastAsia="仿宋_GB2312" w:cs="黑体"/>
          <w:bCs/>
          <w:color w:val="auto"/>
          <w:kern w:val="2"/>
          <w:sz w:val="28"/>
          <w:szCs w:val="28"/>
          <w:highlight w:val="none"/>
          <w:lang w:val="en-US" w:eastAsia="zh-CN" w:bidi="ar-SA"/>
        </w:rPr>
        <w:t>（1）质量指标“设备验收通过率”：目标值=100%，2023年完成值=100%，完成率100%，分值</w:t>
      </w:r>
      <w:r>
        <w:rPr>
          <w:rFonts w:hint="eastAsia" w:ascii="仿宋_GB2312" w:cs="黑体"/>
          <w:bCs/>
          <w:color w:val="auto"/>
          <w:kern w:val="2"/>
          <w:sz w:val="28"/>
          <w:szCs w:val="28"/>
          <w:highlight w:val="none"/>
          <w:lang w:val="en-US" w:eastAsia="zh-CN" w:bidi="ar-SA"/>
        </w:rPr>
        <w:t>7</w:t>
      </w:r>
      <w:r>
        <w:rPr>
          <w:rFonts w:hint="eastAsia" w:ascii="仿宋_GB2312" w:hAnsi="Calibri" w:eastAsia="仿宋_GB2312" w:cs="黑体"/>
          <w:bCs/>
          <w:color w:val="auto"/>
          <w:kern w:val="2"/>
          <w:sz w:val="28"/>
          <w:szCs w:val="28"/>
          <w:highlight w:val="none"/>
          <w:lang w:val="en-US" w:eastAsia="zh-CN" w:bidi="ar-SA"/>
        </w:rPr>
        <w:t>分、得分</w:t>
      </w:r>
      <w:r>
        <w:rPr>
          <w:rFonts w:hint="eastAsia" w:ascii="仿宋_GB2312" w:cs="黑体"/>
          <w:bCs/>
          <w:color w:val="auto"/>
          <w:kern w:val="2"/>
          <w:sz w:val="28"/>
          <w:szCs w:val="28"/>
          <w:highlight w:val="none"/>
          <w:lang w:val="en-US" w:eastAsia="zh-CN" w:bidi="ar-SA"/>
        </w:rPr>
        <w:t>7</w:t>
      </w:r>
      <w:r>
        <w:rPr>
          <w:rFonts w:hint="eastAsia" w:ascii="仿宋_GB2312" w:hAnsi="Calibri" w:eastAsia="仿宋_GB2312" w:cs="黑体"/>
          <w:bCs/>
          <w:color w:val="auto"/>
          <w:kern w:val="2"/>
          <w:sz w:val="28"/>
          <w:szCs w:val="28"/>
          <w:highlight w:val="none"/>
          <w:lang w:val="en-US" w:eastAsia="zh-CN" w:bidi="ar-SA"/>
        </w:rPr>
        <w:t>分。此项目所采购医疗设备均通过验收合格，相关验收人员均在验收单上签字通过。</w:t>
      </w:r>
    </w:p>
    <w:p>
      <w:pPr>
        <w:ind w:firstLine="560"/>
        <w:rPr>
          <w:rFonts w:hint="eastAsia" w:ascii="仿宋_GB2312" w:hAnsi="Calibri" w:eastAsia="仿宋_GB2312" w:cs="黑体"/>
          <w:bCs/>
          <w:color w:val="auto"/>
          <w:kern w:val="2"/>
          <w:sz w:val="28"/>
          <w:szCs w:val="28"/>
          <w:highlight w:val="none"/>
          <w:lang w:val="en-US" w:eastAsia="zh-CN" w:bidi="ar-SA"/>
        </w:rPr>
      </w:pPr>
    </w:p>
    <w:p>
      <w:pPr>
        <w:spacing w:line="360" w:lineRule="auto"/>
        <w:ind w:firstLine="560"/>
        <w:rPr>
          <w:rFonts w:ascii="仿宋_GB2312"/>
          <w:color w:val="auto"/>
          <w:szCs w:val="28"/>
          <w:highlight w:val="none"/>
        </w:rPr>
      </w:pPr>
      <w:r>
        <w:rPr>
          <w:rFonts w:hint="eastAsia" w:ascii="仿宋_GB2312"/>
          <w:bCs/>
          <w:color w:val="auto"/>
          <w:szCs w:val="28"/>
          <w:highlight w:val="none"/>
        </w:rPr>
        <w:t>设备验收通过</w:t>
      </w:r>
      <w:r>
        <w:rPr>
          <w:rFonts w:hint="eastAsia" w:ascii="仿宋_GB2312"/>
          <w:b/>
          <w:bCs/>
          <w:color w:val="auto"/>
          <w:szCs w:val="28"/>
          <w:highlight w:val="none"/>
        </w:rPr>
        <w:t>率：</w:t>
      </w:r>
      <w:r>
        <w:rPr>
          <w:rFonts w:hint="eastAsia" w:ascii="仿宋_GB2312"/>
          <w:color w:val="auto"/>
          <w:szCs w:val="28"/>
          <w:highlight w:val="none"/>
        </w:rPr>
        <w:t>质量达标率得分为</w:t>
      </w:r>
      <w:r>
        <w:rPr>
          <w:rFonts w:hint="eastAsia" w:ascii="仿宋_GB2312"/>
          <w:color w:val="auto"/>
          <w:szCs w:val="28"/>
          <w:highlight w:val="none"/>
          <w:lang w:val="en-US" w:eastAsia="zh-CN"/>
        </w:rPr>
        <w:t>7</w:t>
      </w:r>
      <w:r>
        <w:rPr>
          <w:rFonts w:hint="eastAsia" w:ascii="仿宋_GB2312"/>
          <w:color w:val="auto"/>
          <w:szCs w:val="28"/>
          <w:highlight w:val="none"/>
        </w:rPr>
        <w:t>分。</w:t>
      </w:r>
    </w:p>
    <w:p>
      <w:pPr>
        <w:pStyle w:val="6"/>
        <w:ind w:firstLine="643"/>
        <w:rPr>
          <w:color w:val="auto"/>
          <w:highlight w:val="none"/>
        </w:rPr>
      </w:pPr>
      <w:bookmarkStart w:id="49" w:name="_Toc165277251"/>
      <w:r>
        <w:rPr>
          <w:rFonts w:hint="eastAsia"/>
          <w:color w:val="auto"/>
          <w:highlight w:val="none"/>
        </w:rPr>
        <w:t>3</w:t>
      </w:r>
      <w:r>
        <w:rPr>
          <w:color w:val="auto"/>
          <w:highlight w:val="none"/>
        </w:rPr>
        <w:t>.</w:t>
      </w:r>
      <w:r>
        <w:rPr>
          <w:rFonts w:hint="eastAsia"/>
          <w:color w:val="auto"/>
          <w:highlight w:val="none"/>
        </w:rPr>
        <w:t>产出时效</w:t>
      </w:r>
      <w:bookmarkEnd w:id="49"/>
    </w:p>
    <w:p>
      <w:pPr>
        <w:spacing w:line="360" w:lineRule="auto"/>
        <w:ind w:firstLine="562"/>
        <w:rPr>
          <w:rFonts w:ascii="仿宋_GB2312"/>
          <w:b/>
          <w:bCs/>
          <w:color w:val="auto"/>
          <w:szCs w:val="28"/>
          <w:highlight w:val="none"/>
        </w:rPr>
      </w:pPr>
      <w:r>
        <w:rPr>
          <w:rFonts w:hint="eastAsia" w:ascii="仿宋_GB2312"/>
          <w:b/>
          <w:bCs/>
          <w:color w:val="auto"/>
          <w:szCs w:val="28"/>
          <w:highlight w:val="none"/>
        </w:rPr>
        <w:t>完成及时性：</w:t>
      </w:r>
    </w:p>
    <w:p>
      <w:pPr>
        <w:pStyle w:val="2"/>
        <w:ind w:left="560" w:firstLine="560"/>
        <w:rPr>
          <w:rFonts w:ascii="仿宋_GB2312"/>
          <w:color w:val="auto"/>
          <w:szCs w:val="28"/>
          <w:highlight w:val="none"/>
        </w:rPr>
      </w:pPr>
      <w:r>
        <w:rPr>
          <w:rFonts w:hint="eastAsia" w:ascii="仿宋_GB2312"/>
          <w:bCs/>
          <w:color w:val="auto"/>
          <w:szCs w:val="28"/>
          <w:highlight w:val="none"/>
        </w:rPr>
        <w:t>（1）时效指标“设备采购完成时间”：目标值&lt;=12月，2023年完成值=8月，完成率100%，分值</w:t>
      </w:r>
      <w:r>
        <w:rPr>
          <w:rFonts w:hint="eastAsia" w:ascii="仿宋_GB2312"/>
          <w:bCs/>
          <w:color w:val="auto"/>
          <w:szCs w:val="28"/>
          <w:highlight w:val="none"/>
          <w:lang w:val="en-US" w:eastAsia="zh-CN"/>
        </w:rPr>
        <w:t>7</w:t>
      </w:r>
      <w:r>
        <w:rPr>
          <w:rFonts w:hint="eastAsia" w:ascii="仿宋_GB2312"/>
          <w:bCs/>
          <w:color w:val="auto"/>
          <w:szCs w:val="28"/>
          <w:highlight w:val="none"/>
        </w:rPr>
        <w:t>分、得分</w:t>
      </w:r>
      <w:r>
        <w:rPr>
          <w:rFonts w:hint="eastAsia" w:ascii="仿宋_GB2312"/>
          <w:bCs/>
          <w:color w:val="auto"/>
          <w:szCs w:val="28"/>
          <w:highlight w:val="none"/>
          <w:lang w:val="en-US" w:eastAsia="zh-CN"/>
        </w:rPr>
        <w:t>7</w:t>
      </w:r>
      <w:r>
        <w:rPr>
          <w:rFonts w:hint="eastAsia" w:ascii="仿宋_GB2312"/>
          <w:bCs/>
          <w:color w:val="auto"/>
          <w:szCs w:val="28"/>
          <w:highlight w:val="none"/>
        </w:rPr>
        <w:t>分。设备采购、安装验收在预计时间内完成，</w:t>
      </w:r>
      <w:r>
        <w:rPr>
          <w:rFonts w:hint="eastAsia" w:ascii="仿宋_GB2312"/>
          <w:color w:val="auto"/>
          <w:szCs w:val="28"/>
          <w:highlight w:val="none"/>
        </w:rPr>
        <w:t>故完成及时性得分为</w:t>
      </w:r>
      <w:r>
        <w:rPr>
          <w:rFonts w:hint="eastAsia" w:ascii="仿宋_GB2312"/>
          <w:color w:val="auto"/>
          <w:szCs w:val="28"/>
          <w:highlight w:val="none"/>
          <w:lang w:val="en-US" w:eastAsia="zh-CN"/>
        </w:rPr>
        <w:t>7</w:t>
      </w:r>
      <w:r>
        <w:rPr>
          <w:rFonts w:hint="eastAsia" w:ascii="仿宋_GB2312"/>
          <w:color w:val="auto"/>
          <w:szCs w:val="28"/>
          <w:highlight w:val="none"/>
        </w:rPr>
        <w:t>分。</w:t>
      </w:r>
    </w:p>
    <w:p>
      <w:pPr>
        <w:pStyle w:val="6"/>
        <w:ind w:firstLine="643"/>
        <w:rPr>
          <w:color w:val="auto"/>
          <w:highlight w:val="none"/>
        </w:rPr>
      </w:pPr>
      <w:bookmarkStart w:id="50" w:name="_Toc165277252"/>
      <w:r>
        <w:rPr>
          <w:rFonts w:hint="eastAsia"/>
          <w:color w:val="auto"/>
          <w:highlight w:val="none"/>
        </w:rPr>
        <w:t>4</w:t>
      </w:r>
      <w:r>
        <w:rPr>
          <w:color w:val="auto"/>
          <w:highlight w:val="none"/>
        </w:rPr>
        <w:t>.</w:t>
      </w:r>
      <w:r>
        <w:rPr>
          <w:rFonts w:hint="eastAsia"/>
          <w:color w:val="auto"/>
          <w:highlight w:val="none"/>
        </w:rPr>
        <w:t>产出成本</w:t>
      </w:r>
      <w:bookmarkEnd w:id="50"/>
    </w:p>
    <w:p>
      <w:pPr>
        <w:spacing w:line="360" w:lineRule="auto"/>
        <w:ind w:firstLine="562"/>
        <w:rPr>
          <w:rFonts w:hint="eastAsia" w:ascii="仿宋_GB2312"/>
          <w:bCs/>
          <w:color w:val="auto"/>
          <w:szCs w:val="28"/>
          <w:highlight w:val="none"/>
          <w:lang w:eastAsia="zh-CN"/>
        </w:rPr>
      </w:pPr>
      <w:r>
        <w:rPr>
          <w:rFonts w:hint="eastAsia" w:ascii="仿宋_GB2312"/>
          <w:b/>
          <w:bCs/>
          <w:color w:val="auto"/>
          <w:szCs w:val="28"/>
          <w:highlight w:val="none"/>
        </w:rPr>
        <w:t>项目预算控制率：</w:t>
      </w:r>
      <w:r>
        <w:rPr>
          <w:rFonts w:hint="eastAsia" w:ascii="仿宋_GB2312"/>
          <w:bCs/>
          <w:color w:val="auto"/>
          <w:szCs w:val="28"/>
          <w:highlight w:val="none"/>
        </w:rPr>
        <w:t>本项目资金511.69万元，实际中标458</w:t>
      </w:r>
      <w:r>
        <w:rPr>
          <w:rFonts w:ascii="仿宋_GB2312"/>
          <w:bCs/>
          <w:color w:val="auto"/>
          <w:szCs w:val="28"/>
          <w:highlight w:val="none"/>
        </w:rPr>
        <w:t>.</w:t>
      </w:r>
      <w:r>
        <w:rPr>
          <w:rFonts w:hint="eastAsia" w:ascii="仿宋_GB2312"/>
          <w:bCs/>
          <w:color w:val="auto"/>
          <w:szCs w:val="28"/>
          <w:highlight w:val="none"/>
        </w:rPr>
        <w:t>5239</w:t>
      </w:r>
      <w:r>
        <w:rPr>
          <w:rFonts w:ascii="仿宋_GB2312"/>
          <w:bCs/>
          <w:color w:val="auto"/>
          <w:szCs w:val="28"/>
          <w:highlight w:val="none"/>
        </w:rPr>
        <w:t xml:space="preserve"> </w:t>
      </w:r>
      <w:r>
        <w:rPr>
          <w:rFonts w:hint="eastAsia" w:ascii="仿宋_GB2312"/>
          <w:bCs/>
          <w:color w:val="auto"/>
          <w:szCs w:val="28"/>
          <w:highlight w:val="none"/>
        </w:rPr>
        <w:t>万元</w:t>
      </w:r>
      <w:r>
        <w:rPr>
          <w:rFonts w:hint="eastAsia" w:ascii="仿宋_GB2312"/>
          <w:bCs/>
          <w:color w:val="auto"/>
          <w:szCs w:val="28"/>
          <w:highlight w:val="none"/>
          <w:lang w:eastAsia="zh-CN"/>
        </w:rPr>
        <w:t>，其中</w:t>
      </w:r>
    </w:p>
    <w:p>
      <w:pPr>
        <w:numPr>
          <w:ilvl w:val="0"/>
          <w:numId w:val="0"/>
        </w:numPr>
        <w:spacing w:line="360" w:lineRule="auto"/>
        <w:ind w:firstLine="560" w:firstLineChars="200"/>
        <w:rPr>
          <w:rFonts w:hint="eastAsia" w:ascii="仿宋_GB2312"/>
          <w:b w:val="0"/>
          <w:bCs w:val="0"/>
          <w:color w:val="auto"/>
          <w:szCs w:val="28"/>
          <w:highlight w:val="none"/>
        </w:rPr>
      </w:pPr>
      <w:r>
        <w:rPr>
          <w:rFonts w:hint="eastAsia" w:ascii="仿宋_GB2312"/>
          <w:b w:val="0"/>
          <w:bCs w:val="0"/>
          <w:color w:val="auto"/>
          <w:szCs w:val="28"/>
          <w:highlight w:val="none"/>
          <w:lang w:eastAsia="zh-CN"/>
        </w:rPr>
        <w:t>（</w:t>
      </w:r>
      <w:r>
        <w:rPr>
          <w:rFonts w:hint="eastAsia" w:ascii="仿宋_GB2312"/>
          <w:b w:val="0"/>
          <w:bCs w:val="0"/>
          <w:color w:val="auto"/>
          <w:szCs w:val="28"/>
          <w:highlight w:val="none"/>
          <w:lang w:val="en-US" w:eastAsia="zh-CN"/>
        </w:rPr>
        <w:t>1</w:t>
      </w:r>
      <w:r>
        <w:rPr>
          <w:rFonts w:hint="eastAsia" w:ascii="仿宋_GB2312"/>
          <w:b w:val="0"/>
          <w:bCs w:val="0"/>
          <w:color w:val="auto"/>
          <w:szCs w:val="28"/>
          <w:highlight w:val="none"/>
          <w:lang w:eastAsia="zh-CN"/>
        </w:rPr>
        <w:t>）产出成本指标“</w:t>
      </w:r>
      <w:r>
        <w:rPr>
          <w:rFonts w:hint="eastAsia" w:ascii="仿宋_GB2312"/>
          <w:b w:val="0"/>
          <w:bCs w:val="0"/>
          <w:color w:val="auto"/>
          <w:szCs w:val="28"/>
          <w:highlight w:val="none"/>
        </w:rPr>
        <w:t>购置基础设备成本</w:t>
      </w:r>
      <w:r>
        <w:rPr>
          <w:rFonts w:hint="eastAsia" w:ascii="仿宋_GB2312"/>
          <w:b w:val="0"/>
          <w:bCs w:val="0"/>
          <w:color w:val="auto"/>
          <w:szCs w:val="28"/>
          <w:highlight w:val="none"/>
          <w:lang w:eastAsia="zh-CN"/>
        </w:rPr>
        <w:t>”：</w:t>
      </w:r>
      <w:r>
        <w:rPr>
          <w:rFonts w:hint="eastAsia" w:ascii="仿宋_GB2312"/>
          <w:b w:val="0"/>
          <w:bCs w:val="0"/>
          <w:color w:val="auto"/>
          <w:szCs w:val="28"/>
          <w:highlight w:val="none"/>
        </w:rPr>
        <w:t>目标值&lt;=331.34万元，2023年完成值=293.77万元，完成率</w:t>
      </w:r>
      <w:r>
        <w:rPr>
          <w:rFonts w:hint="eastAsia" w:ascii="仿宋_GB2312"/>
          <w:b w:val="0"/>
          <w:bCs w:val="0"/>
          <w:color w:val="auto"/>
          <w:szCs w:val="28"/>
          <w:highlight w:val="none"/>
          <w:lang w:val="en-US" w:eastAsia="zh-CN"/>
        </w:rPr>
        <w:t>88.66</w:t>
      </w:r>
      <w:r>
        <w:rPr>
          <w:rFonts w:hint="eastAsia" w:ascii="仿宋_GB2312"/>
          <w:b w:val="0"/>
          <w:bCs w:val="0"/>
          <w:color w:val="auto"/>
          <w:szCs w:val="28"/>
          <w:highlight w:val="none"/>
        </w:rPr>
        <w:t>%，分值</w:t>
      </w:r>
      <w:r>
        <w:rPr>
          <w:rFonts w:hint="eastAsia" w:ascii="仿宋_GB2312"/>
          <w:b w:val="0"/>
          <w:bCs w:val="0"/>
          <w:color w:val="auto"/>
          <w:szCs w:val="28"/>
          <w:highlight w:val="none"/>
          <w:lang w:val="en-US" w:eastAsia="zh-CN"/>
        </w:rPr>
        <w:t>2</w:t>
      </w:r>
      <w:r>
        <w:rPr>
          <w:rFonts w:hint="eastAsia" w:ascii="仿宋_GB2312"/>
          <w:b w:val="0"/>
          <w:bCs w:val="0"/>
          <w:color w:val="auto"/>
          <w:szCs w:val="28"/>
          <w:highlight w:val="none"/>
        </w:rPr>
        <w:t>分、得分</w:t>
      </w:r>
      <w:r>
        <w:rPr>
          <w:rFonts w:hint="eastAsia" w:ascii="仿宋_GB2312"/>
          <w:b w:val="0"/>
          <w:bCs w:val="0"/>
          <w:color w:val="auto"/>
          <w:szCs w:val="28"/>
          <w:highlight w:val="none"/>
          <w:lang w:val="en-US" w:eastAsia="zh-CN"/>
        </w:rPr>
        <w:t>2</w:t>
      </w:r>
      <w:r>
        <w:rPr>
          <w:rFonts w:hint="eastAsia" w:ascii="仿宋_GB2312"/>
          <w:b w:val="0"/>
          <w:bCs w:val="0"/>
          <w:color w:val="auto"/>
          <w:szCs w:val="28"/>
          <w:highlight w:val="none"/>
        </w:rPr>
        <w:t>分。</w:t>
      </w:r>
    </w:p>
    <w:p>
      <w:pPr>
        <w:numPr>
          <w:ilvl w:val="0"/>
          <w:numId w:val="0"/>
        </w:numPr>
        <w:spacing w:line="360" w:lineRule="auto"/>
        <w:ind w:firstLine="560" w:firstLineChars="200"/>
        <w:rPr>
          <w:rFonts w:hint="eastAsia" w:ascii="仿宋_GB2312"/>
          <w:b w:val="0"/>
          <w:bCs w:val="0"/>
          <w:color w:val="auto"/>
          <w:szCs w:val="28"/>
          <w:highlight w:val="none"/>
          <w:lang w:eastAsia="zh-CN"/>
        </w:rPr>
      </w:pPr>
      <w:r>
        <w:rPr>
          <w:rFonts w:hint="eastAsia" w:ascii="仿宋_GB2312"/>
          <w:b w:val="0"/>
          <w:bCs w:val="0"/>
          <w:color w:val="auto"/>
          <w:szCs w:val="28"/>
          <w:highlight w:val="none"/>
          <w:lang w:eastAsia="zh-CN"/>
        </w:rPr>
        <w:t>（</w:t>
      </w:r>
      <w:r>
        <w:rPr>
          <w:rFonts w:hint="eastAsia" w:ascii="仿宋_GB2312"/>
          <w:b w:val="0"/>
          <w:bCs w:val="0"/>
          <w:color w:val="auto"/>
          <w:szCs w:val="28"/>
          <w:highlight w:val="none"/>
          <w:lang w:val="en-US" w:eastAsia="zh-CN"/>
        </w:rPr>
        <w:t>2</w:t>
      </w:r>
      <w:r>
        <w:rPr>
          <w:rFonts w:hint="eastAsia" w:ascii="仿宋_GB2312"/>
          <w:b w:val="0"/>
          <w:bCs w:val="0"/>
          <w:color w:val="auto"/>
          <w:szCs w:val="28"/>
          <w:highlight w:val="none"/>
          <w:lang w:eastAsia="zh-CN"/>
        </w:rPr>
        <w:t>）产出成本指标“购置呼吸治疗设备成本”：目标值&lt;=117.80万元，2023年完成值=104.2万元，完成率</w:t>
      </w:r>
      <w:r>
        <w:rPr>
          <w:rFonts w:hint="eastAsia" w:ascii="仿宋_GB2312"/>
          <w:b w:val="0"/>
          <w:bCs w:val="0"/>
          <w:color w:val="auto"/>
          <w:szCs w:val="28"/>
          <w:highlight w:val="none"/>
          <w:lang w:val="en-US" w:eastAsia="zh-CN"/>
        </w:rPr>
        <w:t>88.45</w:t>
      </w:r>
      <w:r>
        <w:rPr>
          <w:rFonts w:hint="eastAsia" w:ascii="仿宋_GB2312"/>
          <w:b w:val="0"/>
          <w:bCs w:val="0"/>
          <w:color w:val="auto"/>
          <w:szCs w:val="28"/>
          <w:highlight w:val="none"/>
          <w:lang w:eastAsia="zh-CN"/>
        </w:rPr>
        <w:t>%，分值</w:t>
      </w:r>
      <w:r>
        <w:rPr>
          <w:rFonts w:hint="eastAsia" w:ascii="仿宋_GB2312"/>
          <w:b w:val="0"/>
          <w:bCs w:val="0"/>
          <w:color w:val="auto"/>
          <w:szCs w:val="28"/>
          <w:highlight w:val="none"/>
          <w:lang w:val="en-US" w:eastAsia="zh-CN"/>
        </w:rPr>
        <w:t>2</w:t>
      </w:r>
      <w:r>
        <w:rPr>
          <w:rFonts w:hint="eastAsia" w:ascii="仿宋_GB2312"/>
          <w:b w:val="0"/>
          <w:bCs w:val="0"/>
          <w:color w:val="auto"/>
          <w:szCs w:val="28"/>
          <w:highlight w:val="none"/>
          <w:lang w:eastAsia="zh-CN"/>
        </w:rPr>
        <w:t>分、得分</w:t>
      </w:r>
      <w:r>
        <w:rPr>
          <w:rFonts w:hint="eastAsia" w:ascii="仿宋_GB2312"/>
          <w:b w:val="0"/>
          <w:bCs w:val="0"/>
          <w:color w:val="auto"/>
          <w:szCs w:val="28"/>
          <w:highlight w:val="none"/>
          <w:lang w:val="en-US" w:eastAsia="zh-CN"/>
        </w:rPr>
        <w:t>2</w:t>
      </w:r>
      <w:r>
        <w:rPr>
          <w:rFonts w:hint="eastAsia" w:ascii="仿宋_GB2312"/>
          <w:b w:val="0"/>
          <w:bCs w:val="0"/>
          <w:color w:val="auto"/>
          <w:szCs w:val="28"/>
          <w:highlight w:val="none"/>
          <w:lang w:eastAsia="zh-CN"/>
        </w:rPr>
        <w:t>分。</w:t>
      </w:r>
    </w:p>
    <w:p>
      <w:pPr>
        <w:numPr>
          <w:ilvl w:val="0"/>
          <w:numId w:val="0"/>
        </w:numPr>
        <w:spacing w:line="360" w:lineRule="auto"/>
        <w:ind w:firstLine="560" w:firstLineChars="200"/>
        <w:rPr>
          <w:rFonts w:hint="eastAsia" w:ascii="仿宋_GB2312"/>
          <w:b w:val="0"/>
          <w:bCs w:val="0"/>
          <w:color w:val="auto"/>
          <w:szCs w:val="28"/>
          <w:highlight w:val="none"/>
          <w:lang w:eastAsia="zh-CN"/>
        </w:rPr>
      </w:pPr>
      <w:r>
        <w:rPr>
          <w:rFonts w:hint="eastAsia" w:ascii="仿宋_GB2312"/>
          <w:b w:val="0"/>
          <w:bCs w:val="0"/>
          <w:color w:val="auto"/>
          <w:szCs w:val="28"/>
          <w:highlight w:val="none"/>
          <w:lang w:eastAsia="zh-CN"/>
        </w:rPr>
        <w:t>（</w:t>
      </w:r>
      <w:r>
        <w:rPr>
          <w:rFonts w:hint="eastAsia" w:ascii="仿宋_GB2312"/>
          <w:b w:val="0"/>
          <w:bCs w:val="0"/>
          <w:color w:val="auto"/>
          <w:szCs w:val="28"/>
          <w:highlight w:val="none"/>
          <w:lang w:val="en-US" w:eastAsia="zh-CN"/>
        </w:rPr>
        <w:t>3</w:t>
      </w:r>
      <w:r>
        <w:rPr>
          <w:rFonts w:hint="eastAsia" w:ascii="仿宋_GB2312"/>
          <w:b w:val="0"/>
          <w:bCs w:val="0"/>
          <w:color w:val="auto"/>
          <w:szCs w:val="28"/>
          <w:highlight w:val="none"/>
          <w:lang w:eastAsia="zh-CN"/>
        </w:rPr>
        <w:t>）产出成本指标“购置抢救设备成本”：目标值&lt;=11.30万元，2023年完成值=9.8万元，完成率</w:t>
      </w:r>
      <w:r>
        <w:rPr>
          <w:rFonts w:hint="eastAsia" w:ascii="仿宋_GB2312"/>
          <w:b w:val="0"/>
          <w:bCs w:val="0"/>
          <w:color w:val="auto"/>
          <w:szCs w:val="28"/>
          <w:highlight w:val="none"/>
          <w:lang w:val="en-US" w:eastAsia="zh-CN"/>
        </w:rPr>
        <w:t>86.73</w:t>
      </w:r>
      <w:r>
        <w:rPr>
          <w:rFonts w:hint="eastAsia" w:ascii="仿宋_GB2312"/>
          <w:b w:val="0"/>
          <w:bCs w:val="0"/>
          <w:color w:val="auto"/>
          <w:szCs w:val="28"/>
          <w:highlight w:val="none"/>
          <w:lang w:eastAsia="zh-CN"/>
        </w:rPr>
        <w:t>%，分值</w:t>
      </w:r>
      <w:r>
        <w:rPr>
          <w:rFonts w:hint="eastAsia" w:ascii="仿宋_GB2312"/>
          <w:b w:val="0"/>
          <w:bCs w:val="0"/>
          <w:color w:val="auto"/>
          <w:szCs w:val="28"/>
          <w:highlight w:val="none"/>
          <w:lang w:val="en-US" w:eastAsia="zh-CN"/>
        </w:rPr>
        <w:t>2</w:t>
      </w:r>
      <w:r>
        <w:rPr>
          <w:rFonts w:hint="eastAsia" w:ascii="仿宋_GB2312"/>
          <w:b w:val="0"/>
          <w:bCs w:val="0"/>
          <w:color w:val="auto"/>
          <w:szCs w:val="28"/>
          <w:highlight w:val="none"/>
          <w:lang w:eastAsia="zh-CN"/>
        </w:rPr>
        <w:t>分、得分</w:t>
      </w:r>
      <w:r>
        <w:rPr>
          <w:rFonts w:hint="eastAsia" w:ascii="仿宋_GB2312"/>
          <w:b w:val="0"/>
          <w:bCs w:val="0"/>
          <w:color w:val="auto"/>
          <w:szCs w:val="28"/>
          <w:highlight w:val="none"/>
          <w:lang w:val="en-US" w:eastAsia="zh-CN"/>
        </w:rPr>
        <w:t>2</w:t>
      </w:r>
      <w:r>
        <w:rPr>
          <w:rFonts w:hint="eastAsia" w:ascii="仿宋_GB2312"/>
          <w:b w:val="0"/>
          <w:bCs w:val="0"/>
          <w:color w:val="auto"/>
          <w:szCs w:val="28"/>
          <w:highlight w:val="none"/>
          <w:lang w:eastAsia="zh-CN"/>
        </w:rPr>
        <w:t>分。</w:t>
      </w:r>
    </w:p>
    <w:p>
      <w:pPr>
        <w:numPr>
          <w:ilvl w:val="0"/>
          <w:numId w:val="0"/>
        </w:numPr>
        <w:spacing w:line="360" w:lineRule="auto"/>
        <w:ind w:firstLine="560" w:firstLineChars="200"/>
        <w:rPr>
          <w:rFonts w:hint="eastAsia" w:ascii="仿宋_GB2312"/>
          <w:b w:val="0"/>
          <w:bCs w:val="0"/>
          <w:color w:val="auto"/>
          <w:szCs w:val="28"/>
          <w:highlight w:val="none"/>
          <w:lang w:eastAsia="zh-CN"/>
        </w:rPr>
      </w:pPr>
      <w:r>
        <w:rPr>
          <w:rFonts w:hint="eastAsia" w:ascii="仿宋_GB2312"/>
          <w:b w:val="0"/>
          <w:bCs w:val="0"/>
          <w:color w:val="auto"/>
          <w:szCs w:val="28"/>
          <w:highlight w:val="none"/>
          <w:lang w:eastAsia="zh-CN"/>
        </w:rPr>
        <w:t>（</w:t>
      </w:r>
      <w:r>
        <w:rPr>
          <w:rFonts w:hint="eastAsia" w:ascii="仿宋_GB2312"/>
          <w:b w:val="0"/>
          <w:bCs w:val="0"/>
          <w:color w:val="auto"/>
          <w:szCs w:val="28"/>
          <w:highlight w:val="none"/>
          <w:lang w:val="en-US" w:eastAsia="zh-CN"/>
        </w:rPr>
        <w:t>4</w:t>
      </w:r>
      <w:r>
        <w:rPr>
          <w:rFonts w:hint="eastAsia" w:ascii="仿宋_GB2312"/>
          <w:b w:val="0"/>
          <w:bCs w:val="0"/>
          <w:color w:val="auto"/>
          <w:szCs w:val="28"/>
          <w:highlight w:val="none"/>
          <w:lang w:eastAsia="zh-CN"/>
        </w:rPr>
        <w:t>）产出成本指标“购置转运设备成本”：目标值&lt;=25.25万元，2023年完成值=25.95万元，</w:t>
      </w:r>
      <w:r>
        <w:rPr>
          <w:rFonts w:hint="eastAsia" w:ascii="仿宋_GB2312"/>
          <w:b w:val="0"/>
          <w:bCs w:val="0"/>
          <w:color w:val="auto"/>
          <w:szCs w:val="28"/>
          <w:highlight w:val="none"/>
          <w:lang w:val="en-US" w:eastAsia="zh-CN"/>
        </w:rPr>
        <w:t>超出预算，</w:t>
      </w:r>
      <w:r>
        <w:rPr>
          <w:rFonts w:hint="eastAsia" w:ascii="仿宋_GB2312"/>
          <w:b w:val="0"/>
          <w:bCs w:val="0"/>
          <w:color w:val="auto"/>
          <w:szCs w:val="28"/>
          <w:highlight w:val="none"/>
          <w:lang w:eastAsia="zh-CN"/>
        </w:rPr>
        <w:t>完成率</w:t>
      </w:r>
      <w:r>
        <w:rPr>
          <w:rFonts w:hint="eastAsia" w:ascii="仿宋_GB2312"/>
          <w:b w:val="0"/>
          <w:bCs w:val="0"/>
          <w:color w:val="auto"/>
          <w:szCs w:val="28"/>
          <w:highlight w:val="none"/>
          <w:lang w:val="en-US" w:eastAsia="zh-CN"/>
        </w:rPr>
        <w:t>0</w:t>
      </w:r>
      <w:r>
        <w:rPr>
          <w:rFonts w:hint="eastAsia" w:ascii="仿宋_GB2312"/>
          <w:b w:val="0"/>
          <w:bCs w:val="0"/>
          <w:color w:val="auto"/>
          <w:szCs w:val="28"/>
          <w:highlight w:val="none"/>
          <w:lang w:eastAsia="zh-CN"/>
        </w:rPr>
        <w:t>%，分值</w:t>
      </w:r>
      <w:r>
        <w:rPr>
          <w:rFonts w:hint="eastAsia" w:ascii="仿宋_GB2312"/>
          <w:b w:val="0"/>
          <w:bCs w:val="0"/>
          <w:color w:val="auto"/>
          <w:szCs w:val="28"/>
          <w:highlight w:val="none"/>
          <w:lang w:val="en-US" w:eastAsia="zh-CN"/>
        </w:rPr>
        <w:t>2</w:t>
      </w:r>
      <w:r>
        <w:rPr>
          <w:rFonts w:hint="eastAsia" w:ascii="仿宋_GB2312"/>
          <w:b w:val="0"/>
          <w:bCs w:val="0"/>
          <w:color w:val="auto"/>
          <w:szCs w:val="28"/>
          <w:highlight w:val="none"/>
          <w:lang w:eastAsia="zh-CN"/>
        </w:rPr>
        <w:t>分、得分</w:t>
      </w:r>
      <w:r>
        <w:rPr>
          <w:rFonts w:hint="eastAsia" w:ascii="仿宋_GB2312"/>
          <w:b w:val="0"/>
          <w:bCs w:val="0"/>
          <w:color w:val="auto"/>
          <w:szCs w:val="28"/>
          <w:highlight w:val="none"/>
          <w:lang w:val="en-US" w:eastAsia="zh-CN"/>
        </w:rPr>
        <w:t>0</w:t>
      </w:r>
      <w:r>
        <w:rPr>
          <w:rFonts w:hint="eastAsia" w:ascii="仿宋_GB2312"/>
          <w:b w:val="0"/>
          <w:bCs w:val="0"/>
          <w:color w:val="auto"/>
          <w:szCs w:val="28"/>
          <w:highlight w:val="none"/>
          <w:lang w:eastAsia="zh-CN"/>
        </w:rPr>
        <w:t>分。</w:t>
      </w:r>
    </w:p>
    <w:p>
      <w:pPr>
        <w:numPr>
          <w:ilvl w:val="0"/>
          <w:numId w:val="0"/>
        </w:numPr>
        <w:spacing w:line="360" w:lineRule="auto"/>
        <w:ind w:firstLine="560" w:firstLineChars="200"/>
        <w:rPr>
          <w:rFonts w:hint="eastAsia" w:ascii="仿宋_GB2312"/>
          <w:b w:val="0"/>
          <w:bCs w:val="0"/>
          <w:color w:val="auto"/>
          <w:szCs w:val="28"/>
          <w:highlight w:val="none"/>
          <w:lang w:eastAsia="zh-CN"/>
        </w:rPr>
      </w:pPr>
      <w:r>
        <w:rPr>
          <w:rFonts w:hint="eastAsia" w:ascii="仿宋_GB2312"/>
          <w:b w:val="0"/>
          <w:bCs w:val="0"/>
          <w:color w:val="auto"/>
          <w:szCs w:val="28"/>
          <w:highlight w:val="none"/>
          <w:lang w:eastAsia="zh-CN"/>
        </w:rPr>
        <w:t>（</w:t>
      </w:r>
      <w:r>
        <w:rPr>
          <w:rFonts w:hint="eastAsia" w:ascii="仿宋_GB2312"/>
          <w:b w:val="0"/>
          <w:bCs w:val="0"/>
          <w:color w:val="auto"/>
          <w:szCs w:val="28"/>
          <w:highlight w:val="none"/>
          <w:lang w:val="en-US" w:eastAsia="zh-CN"/>
        </w:rPr>
        <w:t>5</w:t>
      </w:r>
      <w:r>
        <w:rPr>
          <w:rFonts w:hint="eastAsia" w:ascii="仿宋_GB2312"/>
          <w:b w:val="0"/>
          <w:bCs w:val="0"/>
          <w:color w:val="auto"/>
          <w:szCs w:val="28"/>
          <w:highlight w:val="none"/>
          <w:lang w:eastAsia="zh-CN"/>
        </w:rPr>
        <w:t>）产出成本指标“购置消毒设备成本”：目标值&lt;=26万元，2023年完成值=</w:t>
      </w:r>
      <w:r>
        <w:rPr>
          <w:rFonts w:hint="eastAsia" w:ascii="仿宋_GB2312"/>
          <w:b w:val="0"/>
          <w:bCs w:val="0"/>
          <w:color w:val="auto"/>
          <w:szCs w:val="28"/>
          <w:highlight w:val="none"/>
          <w:lang w:val="en-US" w:eastAsia="zh-CN"/>
        </w:rPr>
        <w:t>24.8</w:t>
      </w:r>
      <w:r>
        <w:rPr>
          <w:rFonts w:hint="eastAsia" w:ascii="仿宋_GB2312"/>
          <w:b w:val="0"/>
          <w:bCs w:val="0"/>
          <w:color w:val="auto"/>
          <w:szCs w:val="28"/>
          <w:highlight w:val="none"/>
          <w:lang w:eastAsia="zh-CN"/>
        </w:rPr>
        <w:t>万元，完成率</w:t>
      </w:r>
      <w:r>
        <w:rPr>
          <w:rFonts w:hint="eastAsia" w:ascii="仿宋_GB2312"/>
          <w:b w:val="0"/>
          <w:bCs w:val="0"/>
          <w:color w:val="auto"/>
          <w:szCs w:val="28"/>
          <w:highlight w:val="none"/>
          <w:lang w:val="en-US" w:eastAsia="zh-CN"/>
        </w:rPr>
        <w:t>95.38</w:t>
      </w:r>
      <w:r>
        <w:rPr>
          <w:rFonts w:hint="eastAsia" w:ascii="仿宋_GB2312"/>
          <w:b w:val="0"/>
          <w:bCs w:val="0"/>
          <w:color w:val="auto"/>
          <w:szCs w:val="28"/>
          <w:highlight w:val="none"/>
          <w:lang w:eastAsia="zh-CN"/>
        </w:rPr>
        <w:t>%，分值</w:t>
      </w:r>
      <w:r>
        <w:rPr>
          <w:rFonts w:hint="eastAsia" w:ascii="仿宋_GB2312"/>
          <w:b w:val="0"/>
          <w:bCs w:val="0"/>
          <w:color w:val="auto"/>
          <w:szCs w:val="28"/>
          <w:highlight w:val="none"/>
          <w:lang w:val="en-US" w:eastAsia="zh-CN"/>
        </w:rPr>
        <w:t>2</w:t>
      </w:r>
      <w:r>
        <w:rPr>
          <w:rFonts w:hint="eastAsia" w:ascii="仿宋_GB2312"/>
          <w:b w:val="0"/>
          <w:bCs w:val="0"/>
          <w:color w:val="auto"/>
          <w:szCs w:val="28"/>
          <w:highlight w:val="none"/>
          <w:lang w:eastAsia="zh-CN"/>
        </w:rPr>
        <w:t>分、得分</w:t>
      </w:r>
      <w:r>
        <w:rPr>
          <w:rFonts w:hint="eastAsia" w:ascii="仿宋_GB2312"/>
          <w:b w:val="0"/>
          <w:bCs w:val="0"/>
          <w:color w:val="auto"/>
          <w:szCs w:val="28"/>
          <w:highlight w:val="none"/>
          <w:lang w:val="en-US" w:eastAsia="zh-CN"/>
        </w:rPr>
        <w:t>2</w:t>
      </w:r>
      <w:r>
        <w:rPr>
          <w:rFonts w:hint="eastAsia" w:ascii="仿宋_GB2312"/>
          <w:b w:val="0"/>
          <w:bCs w:val="0"/>
          <w:color w:val="auto"/>
          <w:szCs w:val="28"/>
          <w:highlight w:val="none"/>
          <w:lang w:eastAsia="zh-CN"/>
        </w:rPr>
        <w:t>分。</w:t>
      </w:r>
    </w:p>
    <w:p>
      <w:pPr>
        <w:pStyle w:val="2"/>
        <w:ind w:left="0" w:leftChars="0" w:firstLine="560" w:firstLineChars="200"/>
        <w:rPr>
          <w:rFonts w:hint="default" w:ascii="仿宋_GB2312" w:eastAsia="仿宋_GB2312"/>
          <w:b w:val="0"/>
          <w:bCs w:val="0"/>
          <w:color w:val="auto"/>
          <w:szCs w:val="28"/>
          <w:highlight w:val="none"/>
          <w:lang w:val="en-US" w:eastAsia="zh-CN"/>
        </w:rPr>
      </w:pPr>
      <w:r>
        <w:rPr>
          <w:rFonts w:hint="eastAsia" w:ascii="仿宋_GB2312"/>
          <w:b w:val="0"/>
          <w:bCs w:val="0"/>
          <w:color w:val="auto"/>
          <w:szCs w:val="28"/>
          <w:highlight w:val="none"/>
          <w:lang w:val="en-US" w:eastAsia="zh-CN"/>
        </w:rPr>
        <w:t>综上，</w:t>
      </w:r>
      <w:r>
        <w:rPr>
          <w:rFonts w:hint="eastAsia" w:ascii="仿宋_GB2312" w:hAnsi="仿宋" w:cs="宋体"/>
          <w:b/>
          <w:color w:val="auto"/>
          <w:kern w:val="0"/>
          <w:szCs w:val="28"/>
          <w:highlight w:val="none"/>
        </w:rPr>
        <w:t>该部分指标</w:t>
      </w:r>
      <w:r>
        <w:rPr>
          <w:rFonts w:hint="eastAsia" w:ascii="仿宋_GB2312" w:hAnsi="仿宋" w:cs="宋体"/>
          <w:b/>
          <w:color w:val="auto"/>
          <w:kern w:val="0"/>
          <w:szCs w:val="28"/>
          <w:highlight w:val="none"/>
          <w:lang w:eastAsia="zh-CN"/>
        </w:rPr>
        <w:t>共</w:t>
      </w:r>
      <w:r>
        <w:rPr>
          <w:rFonts w:hint="eastAsia" w:ascii="仿宋_GB2312"/>
          <w:b w:val="0"/>
          <w:bCs w:val="0"/>
          <w:color w:val="auto"/>
          <w:szCs w:val="28"/>
          <w:highlight w:val="none"/>
          <w:lang w:val="en-US" w:eastAsia="zh-CN"/>
        </w:rPr>
        <w:t>5项，满分10分，得8分</w:t>
      </w:r>
    </w:p>
    <w:p>
      <w:pPr>
        <w:pStyle w:val="5"/>
        <w:ind w:firstLine="643"/>
        <w:rPr>
          <w:rFonts w:ascii="仿宋" w:hAnsi="仿宋" w:eastAsia="仿宋"/>
          <w:color w:val="auto"/>
          <w:highlight w:val="none"/>
          <w:lang w:bidi="en-US"/>
        </w:rPr>
      </w:pPr>
      <w:bookmarkStart w:id="51" w:name="_Toc165277253"/>
      <w:bookmarkStart w:id="52" w:name="_Toc67911615"/>
      <w:r>
        <w:rPr>
          <w:rFonts w:hint="eastAsia" w:ascii="仿宋" w:hAnsi="仿宋" w:eastAsia="仿宋"/>
          <w:color w:val="auto"/>
          <w:highlight w:val="none"/>
          <w:lang w:bidi="en-US"/>
        </w:rPr>
        <w:t>（四）项目效益情况</w:t>
      </w:r>
      <w:bookmarkEnd w:id="51"/>
      <w:bookmarkEnd w:id="52"/>
    </w:p>
    <w:p>
      <w:pPr>
        <w:spacing w:line="360" w:lineRule="auto"/>
        <w:ind w:firstLine="560"/>
        <w:rPr>
          <w:rFonts w:ascii="仿宋_GB2312"/>
          <w:color w:val="auto"/>
          <w:szCs w:val="28"/>
          <w:highlight w:val="none"/>
        </w:rPr>
      </w:pPr>
      <w:r>
        <w:rPr>
          <w:rFonts w:hint="eastAsia" w:ascii="仿宋_GB2312"/>
          <w:color w:val="auto"/>
          <w:szCs w:val="28"/>
          <w:highlight w:val="none"/>
        </w:rPr>
        <w:t>该项目效益指标由</w:t>
      </w:r>
      <w:r>
        <w:rPr>
          <w:rFonts w:hint="eastAsia" w:ascii="仿宋_GB2312"/>
          <w:color w:val="auto"/>
          <w:szCs w:val="28"/>
          <w:highlight w:val="none"/>
          <w:lang w:val="en-US" w:eastAsia="zh-CN"/>
        </w:rPr>
        <w:t>2</w:t>
      </w:r>
      <w:r>
        <w:rPr>
          <w:rFonts w:hint="eastAsia" w:ascii="仿宋_GB2312"/>
          <w:color w:val="auto"/>
          <w:szCs w:val="28"/>
          <w:highlight w:val="none"/>
        </w:rPr>
        <w:t>个二级指标和</w:t>
      </w:r>
      <w:r>
        <w:rPr>
          <w:rFonts w:hint="eastAsia" w:ascii="仿宋_GB2312"/>
          <w:color w:val="auto"/>
          <w:szCs w:val="28"/>
          <w:highlight w:val="none"/>
          <w:lang w:val="en-US" w:eastAsia="zh-CN"/>
        </w:rPr>
        <w:t>2</w:t>
      </w:r>
      <w:r>
        <w:rPr>
          <w:rFonts w:hint="eastAsia" w:ascii="仿宋_GB2312"/>
          <w:color w:val="auto"/>
          <w:szCs w:val="28"/>
          <w:highlight w:val="none"/>
        </w:rPr>
        <w:t>个三级指标构成，权重为</w:t>
      </w:r>
      <w:r>
        <w:rPr>
          <w:rFonts w:hint="eastAsia" w:ascii="仿宋_GB2312"/>
          <w:color w:val="auto"/>
          <w:szCs w:val="28"/>
          <w:highlight w:val="none"/>
          <w:lang w:val="en-US" w:eastAsia="zh-CN"/>
        </w:rPr>
        <w:t>20</w:t>
      </w:r>
      <w:r>
        <w:rPr>
          <w:rFonts w:hint="eastAsia" w:ascii="仿宋_GB2312"/>
          <w:color w:val="auto"/>
          <w:szCs w:val="28"/>
          <w:highlight w:val="none"/>
        </w:rPr>
        <w:t>分，实际得分</w:t>
      </w:r>
      <w:r>
        <w:rPr>
          <w:rFonts w:hint="eastAsia" w:ascii="仿宋_GB2312"/>
          <w:color w:val="auto"/>
          <w:szCs w:val="28"/>
          <w:highlight w:val="none"/>
          <w:lang w:val="en-US" w:eastAsia="zh-CN"/>
        </w:rPr>
        <w:t>20</w:t>
      </w:r>
      <w:r>
        <w:rPr>
          <w:rFonts w:hint="eastAsia" w:ascii="仿宋_GB2312"/>
          <w:color w:val="auto"/>
          <w:szCs w:val="28"/>
          <w:highlight w:val="none"/>
        </w:rPr>
        <w:t>分。</w:t>
      </w:r>
      <w:r>
        <w:rPr>
          <w:rFonts w:ascii="仿宋_GB2312"/>
          <w:color w:val="auto"/>
          <w:szCs w:val="28"/>
          <w:highlight w:val="none"/>
        </w:rPr>
        <w:t xml:space="preserve"> </w:t>
      </w:r>
    </w:p>
    <w:p>
      <w:pPr>
        <w:pStyle w:val="6"/>
        <w:ind w:firstLine="643"/>
        <w:rPr>
          <w:color w:val="auto"/>
          <w:highlight w:val="none"/>
        </w:rPr>
      </w:pPr>
      <w:bookmarkStart w:id="53" w:name="_Toc165277254"/>
      <w:r>
        <w:rPr>
          <w:rFonts w:hint="eastAsia"/>
          <w:color w:val="auto"/>
          <w:highlight w:val="none"/>
        </w:rPr>
        <w:t>1</w:t>
      </w:r>
      <w:r>
        <w:rPr>
          <w:color w:val="auto"/>
          <w:highlight w:val="none"/>
        </w:rPr>
        <w:t>.</w:t>
      </w:r>
      <w:r>
        <w:rPr>
          <w:rFonts w:hint="eastAsia"/>
          <w:color w:val="auto"/>
          <w:highlight w:val="none"/>
        </w:rPr>
        <w:t>项目效益</w:t>
      </w:r>
      <w:bookmarkEnd w:id="53"/>
    </w:p>
    <w:p>
      <w:pPr>
        <w:spacing w:line="360" w:lineRule="auto"/>
        <w:ind w:firstLine="562"/>
        <w:rPr>
          <w:rFonts w:ascii="仿宋_GB2312"/>
          <w:b/>
          <w:bCs/>
          <w:color w:val="auto"/>
          <w:szCs w:val="28"/>
          <w:highlight w:val="none"/>
        </w:rPr>
      </w:pPr>
      <w:r>
        <w:rPr>
          <w:rFonts w:hint="eastAsia" w:ascii="仿宋_GB2312"/>
          <w:b/>
          <w:bCs/>
          <w:color w:val="auto"/>
          <w:szCs w:val="28"/>
          <w:highlight w:val="none"/>
        </w:rPr>
        <w:t>（1）实施效益</w:t>
      </w:r>
    </w:p>
    <w:p>
      <w:pPr>
        <w:spacing w:line="360" w:lineRule="auto"/>
        <w:ind w:firstLine="562"/>
        <w:rPr>
          <w:rFonts w:ascii="仿宋_GB2312"/>
          <w:color w:val="auto"/>
          <w:szCs w:val="28"/>
          <w:highlight w:val="none"/>
        </w:rPr>
      </w:pPr>
      <w:r>
        <w:rPr>
          <w:rFonts w:hint="eastAsia" w:ascii="仿宋_GB2312"/>
          <w:b/>
          <w:bCs/>
          <w:color w:val="auto"/>
          <w:szCs w:val="28"/>
          <w:highlight w:val="none"/>
        </w:rPr>
        <w:t>经济效益指标：</w:t>
      </w:r>
      <w:r>
        <w:rPr>
          <w:rFonts w:hint="eastAsia" w:ascii="仿宋_GB2312"/>
          <w:color w:val="auto"/>
          <w:szCs w:val="28"/>
          <w:highlight w:val="none"/>
        </w:rPr>
        <w:t>不适用。</w:t>
      </w:r>
      <w:r>
        <w:rPr>
          <w:rFonts w:ascii="仿宋_GB2312"/>
          <w:color w:val="auto"/>
          <w:szCs w:val="28"/>
          <w:highlight w:val="none"/>
        </w:rPr>
        <w:t xml:space="preserve"> </w:t>
      </w:r>
    </w:p>
    <w:p>
      <w:pPr>
        <w:spacing w:line="360" w:lineRule="auto"/>
        <w:ind w:firstLine="562"/>
        <w:rPr>
          <w:rFonts w:ascii="仿宋_GB2312"/>
          <w:color w:val="auto"/>
          <w:szCs w:val="28"/>
          <w:highlight w:val="none"/>
        </w:rPr>
      </w:pPr>
      <w:r>
        <w:rPr>
          <w:rFonts w:hint="eastAsia" w:ascii="仿宋_GB2312"/>
          <w:b/>
          <w:bCs/>
          <w:color w:val="auto"/>
          <w:szCs w:val="28"/>
          <w:highlight w:val="none"/>
        </w:rPr>
        <w:t>社会效益指标</w:t>
      </w:r>
      <w:r>
        <w:rPr>
          <w:rFonts w:hint="eastAsia" w:ascii="仿宋_GB2312"/>
          <w:color w:val="auto"/>
          <w:szCs w:val="28"/>
          <w:highlight w:val="none"/>
        </w:rPr>
        <w:t>：评价指标“公立医院医疗服务能力”，指标值：较上年提高，实际完成值：完全达到预期效果。本项目的实施：严格按照财政部门下达的项目资金性质执行采购工作，此项目医疗设备的采购执行为乌鲁木齐市市属四家医院联合采购4月19日完成安装、验收102台（套），并投入我院相关科室使用，提高了我院重症诊疗的准确性及效率，提升我院医疗服务及应对突发公共卫生情况的应急能力，为患者提供更加优质的医疗服务。</w:t>
      </w:r>
    </w:p>
    <w:p>
      <w:pPr>
        <w:spacing w:line="360" w:lineRule="auto"/>
        <w:ind w:firstLine="562"/>
        <w:rPr>
          <w:rFonts w:ascii="仿宋_GB2312"/>
          <w:color w:val="auto"/>
          <w:szCs w:val="28"/>
          <w:highlight w:val="none"/>
        </w:rPr>
      </w:pPr>
      <w:r>
        <w:rPr>
          <w:rFonts w:hint="eastAsia" w:ascii="仿宋_GB2312"/>
          <w:b/>
          <w:bCs/>
          <w:color w:val="auto"/>
          <w:szCs w:val="28"/>
          <w:highlight w:val="none"/>
        </w:rPr>
        <w:t>生态效益指标</w:t>
      </w:r>
      <w:r>
        <w:rPr>
          <w:rFonts w:hint="eastAsia" w:ascii="仿宋_GB2312"/>
          <w:color w:val="auto"/>
          <w:szCs w:val="28"/>
          <w:highlight w:val="none"/>
        </w:rPr>
        <w:t>：不适用。</w:t>
      </w:r>
    </w:p>
    <w:p>
      <w:pPr>
        <w:autoSpaceDE w:val="0"/>
        <w:spacing w:line="600" w:lineRule="exact"/>
        <w:ind w:firstLine="562"/>
        <w:rPr>
          <w:rFonts w:ascii="仿宋_GB2312" w:hAnsi="仿宋" w:cs="宋体"/>
          <w:b/>
          <w:color w:val="auto"/>
          <w:kern w:val="0"/>
          <w:szCs w:val="28"/>
          <w:highlight w:val="none"/>
        </w:rPr>
      </w:pPr>
      <w:r>
        <w:rPr>
          <w:rFonts w:hint="eastAsia" w:ascii="仿宋_GB2312" w:hAnsi="仿宋" w:cs="宋体"/>
          <w:b/>
          <w:color w:val="auto"/>
          <w:kern w:val="0"/>
          <w:szCs w:val="28"/>
          <w:highlight w:val="none"/>
        </w:rPr>
        <w:t>综上，该指标满分</w:t>
      </w:r>
      <w:r>
        <w:rPr>
          <w:rFonts w:ascii="仿宋_GB2312" w:hAnsi="仿宋" w:cs="宋体"/>
          <w:b/>
          <w:color w:val="auto"/>
          <w:kern w:val="0"/>
          <w:szCs w:val="28"/>
          <w:highlight w:val="none"/>
        </w:rPr>
        <w:t>10</w:t>
      </w:r>
      <w:r>
        <w:rPr>
          <w:rFonts w:hint="eastAsia" w:ascii="仿宋_GB2312" w:hAnsi="仿宋" w:cs="宋体"/>
          <w:b/>
          <w:color w:val="auto"/>
          <w:kern w:val="0"/>
          <w:szCs w:val="28"/>
          <w:highlight w:val="none"/>
        </w:rPr>
        <w:t>分，得分10分。</w:t>
      </w:r>
    </w:p>
    <w:p>
      <w:pPr>
        <w:pStyle w:val="6"/>
        <w:ind w:firstLine="643"/>
        <w:rPr>
          <w:color w:val="auto"/>
          <w:highlight w:val="none"/>
        </w:rPr>
      </w:pPr>
      <w:bookmarkStart w:id="54" w:name="_Toc165277255"/>
      <w:r>
        <w:rPr>
          <w:color w:val="auto"/>
          <w:highlight w:val="none"/>
        </w:rPr>
        <w:t>2. 满意度指标完成情况分析</w:t>
      </w:r>
      <w:bookmarkEnd w:id="54"/>
    </w:p>
    <w:p>
      <w:pPr>
        <w:spacing w:line="360" w:lineRule="auto"/>
        <w:ind w:firstLine="562"/>
        <w:rPr>
          <w:rFonts w:ascii="仿宋_GB2312"/>
          <w:b/>
          <w:bCs/>
          <w:color w:val="auto"/>
          <w:szCs w:val="28"/>
          <w:highlight w:val="none"/>
        </w:rPr>
      </w:pPr>
      <w:r>
        <w:rPr>
          <w:rFonts w:hint="eastAsia" w:ascii="仿宋_GB2312"/>
          <w:b/>
          <w:bCs/>
          <w:color w:val="auto"/>
          <w:szCs w:val="28"/>
          <w:highlight w:val="none"/>
        </w:rPr>
        <w:t>（</w:t>
      </w:r>
      <w:r>
        <w:rPr>
          <w:rFonts w:ascii="仿宋_GB2312"/>
          <w:b/>
          <w:bCs/>
          <w:color w:val="auto"/>
          <w:szCs w:val="28"/>
          <w:highlight w:val="none"/>
        </w:rPr>
        <w:t>1</w:t>
      </w:r>
      <w:r>
        <w:rPr>
          <w:rFonts w:hint="eastAsia" w:ascii="仿宋_GB2312"/>
          <w:b/>
          <w:bCs/>
          <w:color w:val="auto"/>
          <w:szCs w:val="28"/>
          <w:highlight w:val="none"/>
        </w:rPr>
        <w:t>）满意度指标</w:t>
      </w:r>
    </w:p>
    <w:p>
      <w:pPr>
        <w:spacing w:line="360" w:lineRule="auto"/>
        <w:ind w:firstLine="560"/>
        <w:rPr>
          <w:rFonts w:ascii="仿宋_GB2312"/>
          <w:color w:val="auto"/>
          <w:szCs w:val="28"/>
          <w:highlight w:val="none"/>
        </w:rPr>
      </w:pPr>
      <w:r>
        <w:rPr>
          <w:rFonts w:hint="eastAsia" w:ascii="仿宋_GB2312"/>
          <w:color w:val="auto"/>
          <w:szCs w:val="28"/>
          <w:highlight w:val="none"/>
        </w:rPr>
        <w:t>满意度指标“设备使用科室满意度”，指标值：</w:t>
      </w:r>
      <w:r>
        <w:rPr>
          <w:rFonts w:hint="eastAsia" w:ascii="华文宋体" w:hAnsi="华文宋体" w:eastAsia="华文宋体"/>
          <w:color w:val="auto"/>
          <w:szCs w:val="28"/>
          <w:highlight w:val="none"/>
        </w:rPr>
        <w:t>≥90</w:t>
      </w:r>
      <w:r>
        <w:rPr>
          <w:rFonts w:hint="eastAsia" w:ascii="仿宋_GB2312"/>
          <w:color w:val="auto"/>
          <w:szCs w:val="28"/>
          <w:highlight w:val="none"/>
        </w:rPr>
        <w:t>%，实际完成值：</w:t>
      </w:r>
      <w:r>
        <w:rPr>
          <w:rFonts w:hint="eastAsia" w:ascii="华文宋体" w:hAnsi="华文宋体" w:eastAsia="华文宋体"/>
          <w:color w:val="auto"/>
          <w:szCs w:val="28"/>
          <w:highlight w:val="none"/>
        </w:rPr>
        <w:t>≥90</w:t>
      </w:r>
      <w:r>
        <w:rPr>
          <w:rFonts w:hint="eastAsia" w:ascii="仿宋_GB2312"/>
          <w:color w:val="auto"/>
          <w:szCs w:val="28"/>
          <w:highlight w:val="none"/>
        </w:rPr>
        <w:t>%。通过设置问卷调查的方式进行考评评价，共计调查样本总量为7个样本，有效调查问卷7份。其中，统计“设备使用科室满意度”的平均值为90%。故满意度指标得分为10分。</w:t>
      </w:r>
    </w:p>
    <w:p>
      <w:pPr>
        <w:autoSpaceDE w:val="0"/>
        <w:spacing w:line="600" w:lineRule="exact"/>
        <w:ind w:firstLine="562"/>
        <w:rPr>
          <w:rFonts w:ascii="仿宋_GB2312" w:hAnsi="仿宋" w:cs="宋体"/>
          <w:b/>
          <w:color w:val="auto"/>
          <w:kern w:val="0"/>
          <w:szCs w:val="28"/>
          <w:highlight w:val="none"/>
        </w:rPr>
      </w:pPr>
      <w:r>
        <w:rPr>
          <w:rFonts w:hint="eastAsia" w:ascii="仿宋_GB2312" w:hAnsi="仿宋" w:cs="宋体"/>
          <w:b/>
          <w:color w:val="auto"/>
          <w:kern w:val="0"/>
          <w:szCs w:val="28"/>
          <w:highlight w:val="none"/>
        </w:rPr>
        <w:t>综上，该指标满分</w:t>
      </w:r>
      <w:r>
        <w:rPr>
          <w:rFonts w:ascii="仿宋_GB2312" w:hAnsi="仿宋" w:cs="宋体"/>
          <w:b/>
          <w:color w:val="auto"/>
          <w:kern w:val="0"/>
          <w:szCs w:val="28"/>
          <w:highlight w:val="none"/>
        </w:rPr>
        <w:t>10</w:t>
      </w:r>
      <w:r>
        <w:rPr>
          <w:rFonts w:hint="eastAsia" w:ascii="仿宋_GB2312" w:hAnsi="仿宋" w:cs="宋体"/>
          <w:b/>
          <w:color w:val="auto"/>
          <w:kern w:val="0"/>
          <w:szCs w:val="28"/>
          <w:highlight w:val="none"/>
        </w:rPr>
        <w:t>分，得分10分。</w:t>
      </w:r>
    </w:p>
    <w:p>
      <w:pPr>
        <w:pStyle w:val="4"/>
        <w:ind w:firstLine="0" w:firstLineChars="0"/>
        <w:jc w:val="left"/>
        <w:rPr>
          <w:rFonts w:ascii="仿宋" w:hAnsi="仿宋" w:eastAsia="仿宋"/>
          <w:color w:val="auto"/>
          <w:sz w:val="36"/>
          <w:szCs w:val="36"/>
          <w:highlight w:val="none"/>
          <w:lang w:bidi="en-US"/>
        </w:rPr>
      </w:pPr>
      <w:bookmarkStart w:id="55" w:name="_Toc165277256"/>
      <w:bookmarkStart w:id="56" w:name="_Toc67911617"/>
      <w:r>
        <w:rPr>
          <w:rFonts w:hint="eastAsia" w:ascii="仿宋" w:hAnsi="仿宋" w:eastAsia="仿宋"/>
          <w:color w:val="auto"/>
          <w:sz w:val="36"/>
          <w:szCs w:val="36"/>
          <w:highlight w:val="none"/>
          <w:lang w:bidi="en-US"/>
        </w:rPr>
        <w:t>五、主要经验及做法、存在的问题及原因分析</w:t>
      </w:r>
      <w:bookmarkEnd w:id="55"/>
      <w:bookmarkEnd w:id="56"/>
    </w:p>
    <w:p>
      <w:pPr>
        <w:pStyle w:val="5"/>
        <w:ind w:firstLine="643"/>
        <w:rPr>
          <w:rFonts w:ascii="仿宋" w:hAnsi="仿宋" w:eastAsia="仿宋"/>
          <w:color w:val="auto"/>
          <w:highlight w:val="none"/>
          <w:lang w:bidi="en-US"/>
        </w:rPr>
      </w:pPr>
      <w:bookmarkStart w:id="57" w:name="_Toc67911618"/>
      <w:bookmarkStart w:id="58" w:name="_Toc165277257"/>
      <w:r>
        <w:rPr>
          <w:rFonts w:hint="eastAsia" w:ascii="仿宋" w:hAnsi="仿宋" w:eastAsia="仿宋"/>
          <w:color w:val="auto"/>
          <w:highlight w:val="none"/>
          <w:lang w:bidi="en-US"/>
        </w:rPr>
        <w:t>（一）主要经验及做法</w:t>
      </w:r>
      <w:bookmarkEnd w:id="57"/>
      <w:bookmarkEnd w:id="58"/>
    </w:p>
    <w:p>
      <w:pPr>
        <w:autoSpaceDE w:val="0"/>
        <w:spacing w:line="600" w:lineRule="exact"/>
        <w:ind w:firstLine="562"/>
        <w:rPr>
          <w:rFonts w:ascii="仿宋_GB2312" w:hAnsi="仿宋" w:cs="宋体"/>
          <w:b/>
          <w:color w:val="auto"/>
          <w:kern w:val="0"/>
          <w:szCs w:val="28"/>
          <w:highlight w:val="none"/>
        </w:rPr>
      </w:pPr>
      <w:r>
        <w:rPr>
          <w:rFonts w:hint="eastAsia" w:ascii="仿宋_GB2312" w:hAnsi="仿宋" w:cs="宋体"/>
          <w:b/>
          <w:color w:val="auto"/>
          <w:kern w:val="0"/>
          <w:szCs w:val="28"/>
          <w:highlight w:val="none"/>
        </w:rPr>
        <w:t>1.</w:t>
      </w:r>
      <w:r>
        <w:rPr>
          <w:rFonts w:hint="eastAsia" w:ascii="仿宋_GB2312" w:hAnsi="仿宋" w:cs="宋体"/>
          <w:color w:val="auto"/>
          <w:kern w:val="0"/>
          <w:szCs w:val="28"/>
          <w:highlight w:val="none"/>
        </w:rPr>
        <w:t>上级下达相关资金后，项目实施科室与医院项目相关科室沟通合作，制定采购计划；安排好招标采购人员进行招标采购、纪检监察人员全程监督、项目具体实施专管人员积极推进项目、设备使用临床科室负责人做好验收、使用，财务人员做好资金审核支付，所有相关专业人员共同参与、紧密合作，才能及时完成项目工作。</w:t>
      </w:r>
    </w:p>
    <w:p>
      <w:pPr>
        <w:pStyle w:val="5"/>
        <w:ind w:firstLine="643"/>
        <w:rPr>
          <w:rFonts w:ascii="仿宋" w:hAnsi="仿宋" w:eastAsia="仿宋"/>
          <w:color w:val="auto"/>
          <w:highlight w:val="none"/>
          <w:lang w:bidi="en-US"/>
        </w:rPr>
      </w:pPr>
      <w:bookmarkStart w:id="59" w:name="_Toc165277258"/>
      <w:r>
        <w:rPr>
          <w:rFonts w:hint="eastAsia" w:ascii="仿宋" w:hAnsi="仿宋" w:eastAsia="仿宋"/>
          <w:color w:val="auto"/>
          <w:highlight w:val="none"/>
          <w:lang w:bidi="en-US"/>
        </w:rPr>
        <w:t>（二）存在的问题及原因分析</w:t>
      </w:r>
      <w:bookmarkEnd w:id="59"/>
    </w:p>
    <w:p>
      <w:pPr>
        <w:spacing w:line="360" w:lineRule="auto"/>
        <w:ind w:firstLine="562"/>
        <w:rPr>
          <w:rFonts w:ascii="仿宋_GB2312"/>
          <w:b/>
          <w:bCs/>
          <w:color w:val="auto"/>
          <w:szCs w:val="28"/>
          <w:highlight w:val="none"/>
        </w:rPr>
      </w:pPr>
      <w:r>
        <w:rPr>
          <w:rFonts w:hint="eastAsia" w:ascii="仿宋_GB2312"/>
          <w:b/>
          <w:bCs/>
          <w:color w:val="auto"/>
          <w:szCs w:val="28"/>
          <w:highlight w:val="none"/>
        </w:rPr>
        <w:t>1</w:t>
      </w:r>
      <w:r>
        <w:rPr>
          <w:rFonts w:ascii="仿宋_GB2312"/>
          <w:b/>
          <w:bCs/>
          <w:color w:val="auto"/>
          <w:szCs w:val="28"/>
          <w:highlight w:val="none"/>
        </w:rPr>
        <w:t>.</w:t>
      </w:r>
      <w:r>
        <w:rPr>
          <w:rFonts w:hint="eastAsia" w:ascii="仿宋_GB2312" w:hAnsi="仿宋" w:cs="宋体"/>
          <w:color w:val="auto"/>
          <w:kern w:val="0"/>
          <w:szCs w:val="28"/>
          <w:highlight w:val="none"/>
        </w:rPr>
        <w:t>此项目医疗设备采购执行为市属四家医院联合采购，部分采购的医疗设备超过预算价格，造成部分项目指标值不达标。</w:t>
      </w:r>
    </w:p>
    <w:p>
      <w:pPr>
        <w:spacing w:line="360" w:lineRule="auto"/>
        <w:ind w:firstLine="560"/>
        <w:rPr>
          <w:rFonts w:ascii="仿宋_GB2312" w:hAnsi="仿宋" w:cs="宋体"/>
          <w:color w:val="auto"/>
          <w:kern w:val="0"/>
          <w:szCs w:val="28"/>
          <w:highlight w:val="none"/>
        </w:rPr>
      </w:pPr>
      <w:r>
        <w:rPr>
          <w:rFonts w:hint="eastAsia" w:ascii="仿宋_GB2312" w:hAnsi="仿宋" w:cs="宋体"/>
          <w:color w:val="auto"/>
          <w:kern w:val="0"/>
          <w:szCs w:val="28"/>
          <w:highlight w:val="none"/>
        </w:rPr>
        <w:t>2.</w:t>
      </w:r>
      <w:r>
        <w:rPr>
          <w:rFonts w:ascii="仿宋_GB2312" w:hAnsi="仿宋" w:cs="宋体"/>
          <w:color w:val="auto"/>
          <w:kern w:val="0"/>
          <w:szCs w:val="28"/>
          <w:highlight w:val="none"/>
        </w:rPr>
        <w:t>在项目执行过程中</w:t>
      </w:r>
      <w:r>
        <w:rPr>
          <w:rFonts w:hint="eastAsia" w:ascii="仿宋_GB2312" w:hAnsi="仿宋" w:cs="宋体"/>
          <w:color w:val="auto"/>
          <w:kern w:val="0"/>
          <w:szCs w:val="28"/>
          <w:highlight w:val="none"/>
        </w:rPr>
        <w:t>指标</w:t>
      </w:r>
      <w:r>
        <w:rPr>
          <w:rFonts w:ascii="仿宋_GB2312" w:hAnsi="仿宋" w:cs="宋体"/>
          <w:color w:val="auto"/>
          <w:kern w:val="0"/>
          <w:szCs w:val="28"/>
          <w:highlight w:val="none"/>
        </w:rPr>
        <w:t>目标</w:t>
      </w:r>
      <w:r>
        <w:rPr>
          <w:rFonts w:hint="eastAsia" w:ascii="仿宋_GB2312" w:hAnsi="仿宋" w:cs="宋体"/>
          <w:color w:val="auto"/>
          <w:kern w:val="0"/>
          <w:szCs w:val="28"/>
          <w:highlight w:val="none"/>
        </w:rPr>
        <w:t>值</w:t>
      </w:r>
      <w:r>
        <w:rPr>
          <w:rFonts w:ascii="仿宋_GB2312" w:hAnsi="仿宋" w:cs="宋体"/>
          <w:color w:val="auto"/>
          <w:kern w:val="0"/>
          <w:szCs w:val="28"/>
          <w:highlight w:val="none"/>
        </w:rPr>
        <w:t>设定</w:t>
      </w:r>
      <w:r>
        <w:rPr>
          <w:rFonts w:hint="eastAsia" w:ascii="仿宋_GB2312" w:hAnsi="仿宋" w:cs="宋体"/>
          <w:color w:val="auto"/>
          <w:kern w:val="0"/>
          <w:szCs w:val="28"/>
          <w:highlight w:val="none"/>
        </w:rPr>
        <w:t>有时按照上级相关指标值标准设置，但与本单位历史数据差距较大，造成完成率偏差较大。</w:t>
      </w:r>
    </w:p>
    <w:p>
      <w:pPr>
        <w:spacing w:line="360" w:lineRule="auto"/>
        <w:ind w:firstLine="560"/>
        <w:rPr>
          <w:rFonts w:ascii="仿宋_GB2312" w:hAnsi="仿宋" w:cs="宋体"/>
          <w:color w:val="auto"/>
          <w:kern w:val="0"/>
          <w:szCs w:val="28"/>
          <w:highlight w:val="none"/>
        </w:rPr>
      </w:pPr>
      <w:r>
        <w:rPr>
          <w:rFonts w:hint="eastAsia" w:ascii="仿宋_GB2312" w:hAnsi="仿宋" w:cs="宋体"/>
          <w:color w:val="auto"/>
          <w:kern w:val="0"/>
          <w:szCs w:val="28"/>
          <w:highlight w:val="none"/>
        </w:rPr>
        <w:t>3.</w:t>
      </w:r>
      <w:r>
        <w:rPr>
          <w:rFonts w:ascii="仿宋_GB2312" w:hAnsi="仿宋" w:cs="宋体"/>
          <w:color w:val="auto"/>
          <w:kern w:val="0"/>
          <w:szCs w:val="28"/>
          <w:highlight w:val="none"/>
        </w:rPr>
        <w:t>项目实施的监督管理力度不够</w:t>
      </w:r>
      <w:r>
        <w:rPr>
          <w:rFonts w:hint="eastAsia" w:ascii="仿宋_GB2312" w:hAnsi="仿宋" w:cs="宋体"/>
          <w:color w:val="auto"/>
          <w:kern w:val="0"/>
          <w:szCs w:val="28"/>
          <w:highlight w:val="none"/>
        </w:rPr>
        <w:t>，相关</w:t>
      </w:r>
      <w:r>
        <w:rPr>
          <w:rFonts w:ascii="仿宋_GB2312" w:hAnsi="仿宋" w:cs="宋体"/>
          <w:color w:val="auto"/>
          <w:kern w:val="0"/>
          <w:szCs w:val="28"/>
          <w:highlight w:val="none"/>
        </w:rPr>
        <w:t>管理制度</w:t>
      </w:r>
      <w:r>
        <w:rPr>
          <w:rFonts w:hint="eastAsia" w:ascii="仿宋_GB2312" w:hAnsi="仿宋" w:cs="宋体"/>
          <w:color w:val="auto"/>
          <w:kern w:val="0"/>
          <w:szCs w:val="28"/>
          <w:highlight w:val="none"/>
        </w:rPr>
        <w:t>执行还需进一步加强</w:t>
      </w:r>
      <w:r>
        <w:rPr>
          <w:rFonts w:ascii="仿宋_GB2312" w:hAnsi="仿宋" w:cs="宋体"/>
          <w:color w:val="auto"/>
          <w:kern w:val="0"/>
          <w:szCs w:val="28"/>
          <w:highlight w:val="none"/>
        </w:rPr>
        <w:t>。</w:t>
      </w:r>
    </w:p>
    <w:p>
      <w:pPr>
        <w:pStyle w:val="4"/>
        <w:ind w:firstLine="0" w:firstLineChars="0"/>
        <w:jc w:val="left"/>
        <w:rPr>
          <w:rFonts w:hint="eastAsia" w:ascii="仿宋" w:hAnsi="仿宋" w:eastAsia="仿宋"/>
          <w:color w:val="auto"/>
          <w:sz w:val="36"/>
          <w:szCs w:val="36"/>
          <w:highlight w:val="none"/>
          <w:lang w:bidi="en-US"/>
        </w:rPr>
      </w:pPr>
      <w:bookmarkStart w:id="60" w:name="_Toc67911620"/>
      <w:bookmarkStart w:id="61" w:name="_Toc165277259"/>
      <w:bookmarkStart w:id="62" w:name="_Toc67911619"/>
      <w:r>
        <w:rPr>
          <w:rFonts w:hint="eastAsia" w:ascii="仿宋" w:hAnsi="仿宋" w:eastAsia="仿宋"/>
          <w:color w:val="auto"/>
          <w:sz w:val="36"/>
          <w:szCs w:val="36"/>
          <w:highlight w:val="none"/>
          <w:lang w:bidi="en-US"/>
        </w:rPr>
        <w:t>六、有关建议</w:t>
      </w:r>
      <w:bookmarkEnd w:id="60"/>
      <w:bookmarkEnd w:id="61"/>
    </w:p>
    <w:p>
      <w:pPr>
        <w:spacing w:line="560" w:lineRule="exact"/>
        <w:ind w:firstLine="560"/>
        <w:rPr>
          <w:rFonts w:ascii="仿宋_GB2312"/>
          <w:color w:val="auto"/>
          <w:szCs w:val="28"/>
          <w:highlight w:val="none"/>
        </w:rPr>
      </w:pPr>
      <w:r>
        <w:rPr>
          <w:rFonts w:hint="eastAsia" w:ascii="仿宋_GB2312"/>
          <w:color w:val="auto"/>
          <w:szCs w:val="28"/>
          <w:highlight w:val="none"/>
        </w:rPr>
        <w:t>绩效指标设置方面：</w:t>
      </w:r>
    </w:p>
    <w:p>
      <w:pPr>
        <w:spacing w:line="560" w:lineRule="exact"/>
        <w:ind w:firstLine="560"/>
        <w:rPr>
          <w:rFonts w:hint="eastAsia" w:ascii="仿宋_GB2312" w:eastAsia="仿宋_GB2312"/>
          <w:color w:val="auto"/>
          <w:szCs w:val="28"/>
          <w:highlight w:val="none"/>
          <w:lang w:eastAsia="zh-CN"/>
        </w:rPr>
      </w:pPr>
      <w:r>
        <w:rPr>
          <w:rFonts w:hint="eastAsia" w:ascii="仿宋_GB2312"/>
          <w:color w:val="auto"/>
          <w:szCs w:val="28"/>
          <w:highlight w:val="none"/>
        </w:rPr>
        <w:t xml:space="preserve">1.确定项目绩效目标。在项目立项阶段，应明确项目总体政策 目标。在此基础上，根据有关中长期工作规划、项目实施方案等，特别是与项目立项直接相关的依据文件，分析重点工作任务、需要解决的主要问题和相关财政支出的政策意图，研究明确项目的总体绩效目标，即总任务、总产出、总效益等 </w:t>
      </w:r>
      <w:r>
        <w:rPr>
          <w:rFonts w:hint="eastAsia" w:ascii="仿宋_GB2312"/>
          <w:color w:val="auto"/>
          <w:szCs w:val="28"/>
          <w:highlight w:val="none"/>
          <w:lang w:eastAsia="zh-CN"/>
        </w:rPr>
        <w:t>，部分项目自带指标是按照卫健委公立医院考核指标设立，实际完成值超过目标指标较多，造成偏差。</w:t>
      </w:r>
    </w:p>
    <w:p>
      <w:pPr>
        <w:spacing w:line="560" w:lineRule="exact"/>
        <w:ind w:firstLine="560"/>
        <w:rPr>
          <w:rFonts w:ascii="仿宋_GB2312"/>
          <w:color w:val="auto"/>
          <w:szCs w:val="28"/>
          <w:highlight w:val="none"/>
        </w:rPr>
      </w:pPr>
      <w:r>
        <w:rPr>
          <w:rFonts w:hint="eastAsia" w:ascii="仿宋_GB2312"/>
          <w:color w:val="auto"/>
          <w:szCs w:val="28"/>
          <w:highlight w:val="none"/>
        </w:rPr>
        <w:t xml:space="preserve">2分解细化指标。分析、归纳总体绩效目标，明确完成的工作任务，将其分解成多个子目标，细化任务清单。根据任务内容，分析投入资源、开展活动、质量标准、成本要求、产出内容、产生效果，设置绩效指标。 </w:t>
      </w:r>
    </w:p>
    <w:p>
      <w:pPr>
        <w:spacing w:line="560" w:lineRule="exact"/>
        <w:ind w:firstLine="560"/>
        <w:rPr>
          <w:rFonts w:ascii="仿宋_GB2312"/>
          <w:color w:val="auto"/>
          <w:szCs w:val="28"/>
          <w:highlight w:val="none"/>
        </w:rPr>
      </w:pPr>
      <w:r>
        <w:rPr>
          <w:rFonts w:hint="eastAsia" w:ascii="仿宋_GB2312"/>
          <w:color w:val="auto"/>
          <w:szCs w:val="28"/>
          <w:highlight w:val="none"/>
        </w:rPr>
        <w:t>3,设置指标值。绩效指标选定后，应参考相关历史数据、行业标准、计划标准等，科学设定指标值，指标值的设定要在考虑可实现性的基础上，尽量以严从高设定，以充分发挥绩效目标对预算编制执行的引导约束和控制作用。避免选用难以确定具体指标值、标准不明确或缺乏约束力的指标。</w:t>
      </w:r>
    </w:p>
    <w:p>
      <w:pPr>
        <w:spacing w:line="560" w:lineRule="exact"/>
        <w:ind w:firstLine="560"/>
        <w:rPr>
          <w:rFonts w:ascii="仿宋" w:hAnsi="仿宋" w:eastAsia="仿宋"/>
          <w:color w:val="auto"/>
          <w:sz w:val="36"/>
          <w:szCs w:val="36"/>
          <w:highlight w:val="none"/>
          <w:lang w:bidi="en-US"/>
        </w:rPr>
      </w:pPr>
      <w:r>
        <w:rPr>
          <w:rFonts w:hint="eastAsia" w:ascii="仿宋_GB2312"/>
          <w:color w:val="auto"/>
          <w:szCs w:val="28"/>
          <w:highlight w:val="none"/>
        </w:rPr>
        <w:t>4.加强指标衔接，强化一级项目绩效目标的统领性，二级项目是一级项目支出的细化和具体化，反映一级项目部分任务和效果。加强一、二级项目之间绩效指标的有机衔接，确保与任务相匹配，指标逻辑对应，经部门审核确定后的一级项目绩效目标及指标，随预算报财政部审核批复。二级项目绩效目标及指标，由部门负责审核。</w:t>
      </w:r>
    </w:p>
    <w:p>
      <w:pPr>
        <w:rPr>
          <w:color w:val="auto"/>
          <w:highlight w:val="none"/>
        </w:rPr>
      </w:pPr>
    </w:p>
    <w:p>
      <w:pPr>
        <w:pStyle w:val="4"/>
        <w:ind w:firstLine="0" w:firstLineChars="0"/>
        <w:jc w:val="left"/>
        <w:rPr>
          <w:rFonts w:hint="eastAsia" w:ascii="仿宋" w:hAnsi="仿宋" w:eastAsia="仿宋"/>
          <w:color w:val="auto"/>
          <w:sz w:val="36"/>
          <w:szCs w:val="36"/>
          <w:highlight w:val="none"/>
          <w:lang w:eastAsia="zh-CN" w:bidi="en-US"/>
        </w:rPr>
      </w:pPr>
      <w:bookmarkStart w:id="63" w:name="_Toc165277260"/>
      <w:r>
        <w:rPr>
          <w:rFonts w:hint="eastAsia" w:ascii="仿宋" w:hAnsi="仿宋" w:eastAsia="仿宋"/>
          <w:color w:val="auto"/>
          <w:sz w:val="36"/>
          <w:szCs w:val="36"/>
          <w:highlight w:val="none"/>
          <w:lang w:bidi="en-US"/>
        </w:rPr>
        <w:t>七、其他需要说明的问</w:t>
      </w:r>
      <w:bookmarkEnd w:id="62"/>
      <w:bookmarkEnd w:id="63"/>
      <w:r>
        <w:rPr>
          <w:rFonts w:hint="eastAsia" w:ascii="仿宋" w:hAnsi="仿宋" w:eastAsia="仿宋"/>
          <w:color w:val="auto"/>
          <w:sz w:val="36"/>
          <w:szCs w:val="36"/>
          <w:highlight w:val="none"/>
          <w:lang w:eastAsia="zh-CN" w:bidi="en-US"/>
        </w:rPr>
        <w:t>提</w:t>
      </w:r>
    </w:p>
    <w:p>
      <w:pPr>
        <w:pStyle w:val="2"/>
        <w:rPr>
          <w:rFonts w:hint="eastAsia" w:ascii="仿宋_GB2312" w:eastAsia="仿宋_GB2312"/>
          <w:color w:val="auto"/>
          <w:szCs w:val="28"/>
          <w:highlight w:val="none"/>
          <w:lang w:eastAsia="zh-CN"/>
        </w:rPr>
      </w:pPr>
      <w:r>
        <w:rPr>
          <w:rFonts w:hint="eastAsia" w:ascii="仿宋_GB2312"/>
          <w:color w:val="auto"/>
          <w:szCs w:val="28"/>
          <w:highlight w:val="none"/>
          <w:lang w:eastAsia="zh-CN"/>
        </w:rPr>
        <w:t>无。</w:t>
      </w: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Gungsuh">
    <w:altName w:val="GulimChe"/>
    <w:panose1 w:val="02030600000101010101"/>
    <w:charset w:val="81"/>
    <w:family w:val="roman"/>
    <w:pitch w:val="default"/>
    <w:sig w:usb0="00000000" w:usb1="00000000" w:usb2="00000030" w:usb3="00000000" w:csb0="4008009F" w:csb1="DFD70000"/>
  </w:font>
  <w:font w:name="方正仿宋_GBK">
    <w:panose1 w:val="02000000000000000000"/>
    <w:charset w:val="86"/>
    <w:family w:val="auto"/>
    <w:pitch w:val="default"/>
    <w:sig w:usb0="A00002BF" w:usb1="38CF7CFA" w:usb2="00082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51447032"/>
    </w:sdtPr>
    <w:sdtEndPr>
      <w:rPr>
        <w:rFonts w:hint="eastAsia" w:ascii="仿宋_GB2312" w:eastAsia="仿宋_GB2312"/>
        <w:sz w:val="21"/>
        <w:szCs w:val="21"/>
      </w:rPr>
    </w:sdtEndPr>
    <w:sdtContent>
      <w:p>
        <w:pPr>
          <w:pStyle w:val="11"/>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14</w:t>
        </w:r>
        <w:r>
          <w:rPr>
            <w:rFonts w:hint="eastAsia" w:ascii="仿宋_GB2312" w:eastAsia="仿宋_GB2312"/>
            <w:sz w:val="21"/>
            <w:szCs w:val="21"/>
          </w:rPr>
          <w:fldChar w:fldCharType="end"/>
        </w:r>
      </w:p>
    </w:sdtContent>
  </w:sdt>
  <w:p>
    <w:pPr>
      <w:pStyle w:val="11"/>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EndPr>
      <w:rPr>
        <w:rFonts w:hint="eastAsia" w:ascii="仿宋_GB2312" w:eastAsia="仿宋_GB2312"/>
        <w:sz w:val="21"/>
        <w:szCs w:val="21"/>
      </w:rPr>
    </w:sdtEndPr>
    <w:sdtContent>
      <w:p>
        <w:pPr>
          <w:pStyle w:val="11"/>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27</w:t>
        </w:r>
        <w:r>
          <w:rPr>
            <w:rFonts w:hint="eastAsia" w:ascii="仿宋_GB2312" w:eastAsia="仿宋_GB2312"/>
            <w:sz w:val="21"/>
            <w:szCs w:val="21"/>
          </w:rPr>
          <w:fldChar w:fldCharType="end"/>
        </w:r>
      </w:p>
    </w:sdtContent>
  </w:sdt>
  <w:p>
    <w:pPr>
      <w:pStyle w:val="11"/>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4"/>
        <w:ind w:firstLine="0" w:firstLineChars="0"/>
        <w:jc w:val="both"/>
        <w:rPr>
          <w:rFonts w:ascii="仿宋_GB2312"/>
        </w:rPr>
      </w:pPr>
      <w:r>
        <w:rPr>
          <w:rStyle w:val="22"/>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4"/>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9DA0BC"/>
    <w:multiLevelType w:val="singleLevel"/>
    <w:tmpl w:val="719DA0B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420"/>
  <w:drawingGridHorizontalSpacing w:val="140"/>
  <w:drawingGridVerticalSpacing w:val="38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zMjEyOTk2MTk2MTViOGQ0MmUxMjMwOTE3ODM4MTAifQ=="/>
  </w:docVars>
  <w:rsids>
    <w:rsidRoot w:val="00A43A0A"/>
    <w:rsid w:val="00031A7F"/>
    <w:rsid w:val="00042151"/>
    <w:rsid w:val="000438A0"/>
    <w:rsid w:val="00046264"/>
    <w:rsid w:val="0007002C"/>
    <w:rsid w:val="00071C0F"/>
    <w:rsid w:val="00086724"/>
    <w:rsid w:val="000A2B58"/>
    <w:rsid w:val="000A43E8"/>
    <w:rsid w:val="000B520E"/>
    <w:rsid w:val="000B6FA0"/>
    <w:rsid w:val="000C22A1"/>
    <w:rsid w:val="000C59D8"/>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31438"/>
    <w:rsid w:val="0023448B"/>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C670C"/>
    <w:rsid w:val="005D02D3"/>
    <w:rsid w:val="005D2F48"/>
    <w:rsid w:val="005D4D5B"/>
    <w:rsid w:val="005E2098"/>
    <w:rsid w:val="005F226E"/>
    <w:rsid w:val="005F273F"/>
    <w:rsid w:val="005F2AB1"/>
    <w:rsid w:val="005F3A17"/>
    <w:rsid w:val="00604BA5"/>
    <w:rsid w:val="00607D5B"/>
    <w:rsid w:val="00611B95"/>
    <w:rsid w:val="00614CEC"/>
    <w:rsid w:val="00627F97"/>
    <w:rsid w:val="0065079B"/>
    <w:rsid w:val="00656DB7"/>
    <w:rsid w:val="00662C67"/>
    <w:rsid w:val="006B60FE"/>
    <w:rsid w:val="006C40AE"/>
    <w:rsid w:val="006E6431"/>
    <w:rsid w:val="006F3315"/>
    <w:rsid w:val="006F7CA1"/>
    <w:rsid w:val="007027A1"/>
    <w:rsid w:val="00705854"/>
    <w:rsid w:val="007119C8"/>
    <w:rsid w:val="00721F07"/>
    <w:rsid w:val="00722A72"/>
    <w:rsid w:val="0073210F"/>
    <w:rsid w:val="00733402"/>
    <w:rsid w:val="0073417E"/>
    <w:rsid w:val="00743F96"/>
    <w:rsid w:val="00766A98"/>
    <w:rsid w:val="0076734C"/>
    <w:rsid w:val="00771D6E"/>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A5EB4"/>
    <w:rsid w:val="009D4C5C"/>
    <w:rsid w:val="009F1224"/>
    <w:rsid w:val="009F55B0"/>
    <w:rsid w:val="00A00443"/>
    <w:rsid w:val="00A106CE"/>
    <w:rsid w:val="00A2064E"/>
    <w:rsid w:val="00A21982"/>
    <w:rsid w:val="00A22963"/>
    <w:rsid w:val="00A405CA"/>
    <w:rsid w:val="00A425B1"/>
    <w:rsid w:val="00A43A0A"/>
    <w:rsid w:val="00A52E6C"/>
    <w:rsid w:val="00A52E72"/>
    <w:rsid w:val="00A675F9"/>
    <w:rsid w:val="00A92F9F"/>
    <w:rsid w:val="00AB7184"/>
    <w:rsid w:val="00AC5DD7"/>
    <w:rsid w:val="00AC6C06"/>
    <w:rsid w:val="00AD5430"/>
    <w:rsid w:val="00AD5F3D"/>
    <w:rsid w:val="00AE1DCD"/>
    <w:rsid w:val="00AE6C31"/>
    <w:rsid w:val="00B22F6F"/>
    <w:rsid w:val="00B239D9"/>
    <w:rsid w:val="00B4167E"/>
    <w:rsid w:val="00B56B1B"/>
    <w:rsid w:val="00B632E1"/>
    <w:rsid w:val="00B72218"/>
    <w:rsid w:val="00B90BA4"/>
    <w:rsid w:val="00B928FF"/>
    <w:rsid w:val="00B962E0"/>
    <w:rsid w:val="00BA0A35"/>
    <w:rsid w:val="00BA10B1"/>
    <w:rsid w:val="00BA13B7"/>
    <w:rsid w:val="00BA65B8"/>
    <w:rsid w:val="00BA76B5"/>
    <w:rsid w:val="00BC5C63"/>
    <w:rsid w:val="00BD263E"/>
    <w:rsid w:val="00BF1766"/>
    <w:rsid w:val="00C00DA2"/>
    <w:rsid w:val="00C0174A"/>
    <w:rsid w:val="00C10C79"/>
    <w:rsid w:val="00C16F32"/>
    <w:rsid w:val="00C20C51"/>
    <w:rsid w:val="00C213CA"/>
    <w:rsid w:val="00C409B9"/>
    <w:rsid w:val="00C634EC"/>
    <w:rsid w:val="00C66545"/>
    <w:rsid w:val="00C8191C"/>
    <w:rsid w:val="00C927D9"/>
    <w:rsid w:val="00CA74C5"/>
    <w:rsid w:val="00CB3DFC"/>
    <w:rsid w:val="00CB6D38"/>
    <w:rsid w:val="00CE2750"/>
    <w:rsid w:val="00CE6337"/>
    <w:rsid w:val="00CF640C"/>
    <w:rsid w:val="00D04E2D"/>
    <w:rsid w:val="00D152B1"/>
    <w:rsid w:val="00D23DCB"/>
    <w:rsid w:val="00D3320C"/>
    <w:rsid w:val="00D435A3"/>
    <w:rsid w:val="00D4562E"/>
    <w:rsid w:val="00D4789C"/>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5B44"/>
    <w:rsid w:val="00EA63EF"/>
    <w:rsid w:val="00EA7E72"/>
    <w:rsid w:val="00EB0442"/>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1B709DD"/>
    <w:rsid w:val="032875BA"/>
    <w:rsid w:val="043964FE"/>
    <w:rsid w:val="06241D93"/>
    <w:rsid w:val="06347D7F"/>
    <w:rsid w:val="06F750FD"/>
    <w:rsid w:val="0ACD623F"/>
    <w:rsid w:val="0AF477E8"/>
    <w:rsid w:val="0E1F0038"/>
    <w:rsid w:val="10F320DF"/>
    <w:rsid w:val="14081E80"/>
    <w:rsid w:val="14442935"/>
    <w:rsid w:val="14E453E0"/>
    <w:rsid w:val="16857503"/>
    <w:rsid w:val="18B07A8C"/>
    <w:rsid w:val="1EF42DEA"/>
    <w:rsid w:val="1FC932DF"/>
    <w:rsid w:val="20026972"/>
    <w:rsid w:val="20AA4A0B"/>
    <w:rsid w:val="22DD3AAE"/>
    <w:rsid w:val="235E4892"/>
    <w:rsid w:val="2664498B"/>
    <w:rsid w:val="27672808"/>
    <w:rsid w:val="2BFBE418"/>
    <w:rsid w:val="2C0F32F2"/>
    <w:rsid w:val="2C3435BB"/>
    <w:rsid w:val="3050201B"/>
    <w:rsid w:val="307C02DB"/>
    <w:rsid w:val="332653DB"/>
    <w:rsid w:val="3331653B"/>
    <w:rsid w:val="33A6389D"/>
    <w:rsid w:val="365F352C"/>
    <w:rsid w:val="37184182"/>
    <w:rsid w:val="386F48F8"/>
    <w:rsid w:val="3AFD1680"/>
    <w:rsid w:val="3C7B6ECA"/>
    <w:rsid w:val="3C7D2D06"/>
    <w:rsid w:val="3D2FF9DF"/>
    <w:rsid w:val="3D43157A"/>
    <w:rsid w:val="3EF328B2"/>
    <w:rsid w:val="3EFD52F2"/>
    <w:rsid w:val="3F4FA7D5"/>
    <w:rsid w:val="3FEF8662"/>
    <w:rsid w:val="400130A0"/>
    <w:rsid w:val="411A6C23"/>
    <w:rsid w:val="41850718"/>
    <w:rsid w:val="41F73B69"/>
    <w:rsid w:val="44FF6263"/>
    <w:rsid w:val="488E4926"/>
    <w:rsid w:val="4BC42D59"/>
    <w:rsid w:val="4C207BF0"/>
    <w:rsid w:val="4C694B6C"/>
    <w:rsid w:val="4D544EE2"/>
    <w:rsid w:val="503E3B83"/>
    <w:rsid w:val="560EE8F8"/>
    <w:rsid w:val="57967CC2"/>
    <w:rsid w:val="5B1741A4"/>
    <w:rsid w:val="5C020D15"/>
    <w:rsid w:val="5E330039"/>
    <w:rsid w:val="5EF5407A"/>
    <w:rsid w:val="5FC5715A"/>
    <w:rsid w:val="5FDB4016"/>
    <w:rsid w:val="5FEDC997"/>
    <w:rsid w:val="602B1082"/>
    <w:rsid w:val="624B4453"/>
    <w:rsid w:val="62C04412"/>
    <w:rsid w:val="64803865"/>
    <w:rsid w:val="67281E0C"/>
    <w:rsid w:val="68E56825"/>
    <w:rsid w:val="694B1A4D"/>
    <w:rsid w:val="69660078"/>
    <w:rsid w:val="69EF0136"/>
    <w:rsid w:val="6AA71E43"/>
    <w:rsid w:val="6BAECB04"/>
    <w:rsid w:val="6D2056A3"/>
    <w:rsid w:val="6D291DEA"/>
    <w:rsid w:val="6E7E44E0"/>
    <w:rsid w:val="6EFFEBCC"/>
    <w:rsid w:val="6FDF92EB"/>
    <w:rsid w:val="6FF7716A"/>
    <w:rsid w:val="70465CCB"/>
    <w:rsid w:val="72771BDA"/>
    <w:rsid w:val="72FE5E13"/>
    <w:rsid w:val="73807E8E"/>
    <w:rsid w:val="73FF3F11"/>
    <w:rsid w:val="76741165"/>
    <w:rsid w:val="7A5A58BC"/>
    <w:rsid w:val="7B989C5F"/>
    <w:rsid w:val="7BFF6549"/>
    <w:rsid w:val="7D8B2527"/>
    <w:rsid w:val="7DCFBF33"/>
    <w:rsid w:val="7DDF1692"/>
    <w:rsid w:val="7DFD787D"/>
    <w:rsid w:val="7DFDE1BF"/>
    <w:rsid w:val="7EEB83A4"/>
    <w:rsid w:val="7EF98C80"/>
    <w:rsid w:val="7F57C670"/>
    <w:rsid w:val="7F8D2652"/>
    <w:rsid w:val="7F9B101B"/>
    <w:rsid w:val="7FDF041A"/>
    <w:rsid w:val="8D652A63"/>
    <w:rsid w:val="9FBD0A13"/>
    <w:rsid w:val="9FFEA475"/>
    <w:rsid w:val="A831B89B"/>
    <w:rsid w:val="AFEEDCDF"/>
    <w:rsid w:val="B37BA046"/>
    <w:rsid w:val="B76B1F26"/>
    <w:rsid w:val="BDFFBA3F"/>
    <w:rsid w:val="BFAF82E4"/>
    <w:rsid w:val="D7B81311"/>
    <w:rsid w:val="D7FBD3CD"/>
    <w:rsid w:val="DABFB9B2"/>
    <w:rsid w:val="DDDFEDD4"/>
    <w:rsid w:val="DF7ECD52"/>
    <w:rsid w:val="EE7EC6F2"/>
    <w:rsid w:val="EE9D9E4B"/>
    <w:rsid w:val="F7EED020"/>
    <w:rsid w:val="F7FE9080"/>
    <w:rsid w:val="F96FC840"/>
    <w:rsid w:val="F9A7AE59"/>
    <w:rsid w:val="F9C65B79"/>
    <w:rsid w:val="F9F7D8EE"/>
    <w:rsid w:val="FB1F2F41"/>
    <w:rsid w:val="FB6FAFBB"/>
    <w:rsid w:val="FBD929F7"/>
    <w:rsid w:val="FBFF3244"/>
    <w:rsid w:val="FD711A72"/>
    <w:rsid w:val="FDC52FDE"/>
    <w:rsid w:val="FEE557A0"/>
    <w:rsid w:val="FEFFBBED"/>
    <w:rsid w:val="FF2578DC"/>
    <w:rsid w:val="FFDF52F2"/>
    <w:rsid w:val="FFF56679"/>
    <w:rsid w:val="FFF702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4">
    <w:name w:val="heading 1"/>
    <w:basedOn w:val="1"/>
    <w:next w:val="1"/>
    <w:link w:val="30"/>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2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3"/>
    <w:basedOn w:val="1"/>
    <w:next w:val="1"/>
    <w:link w:val="35"/>
    <w:unhideWhenUsed/>
    <w:qFormat/>
    <w:uiPriority w:val="9"/>
    <w:pPr>
      <w:keepNext/>
      <w:keepLines/>
      <w:spacing w:before="260" w:after="260" w:line="416" w:lineRule="auto"/>
      <w:outlineLvl w:val="2"/>
    </w:pPr>
    <w:rPr>
      <w:b/>
      <w:bCs/>
      <w:sz w:val="32"/>
      <w:szCs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pPr>
  </w:style>
  <w:style w:type="paragraph" w:styleId="3">
    <w:name w:val="Body Text Indent"/>
    <w:basedOn w:val="1"/>
    <w:unhideWhenUsed/>
    <w:qFormat/>
    <w:uiPriority w:val="99"/>
    <w:pPr>
      <w:spacing w:after="120"/>
      <w:ind w:left="420" w:leftChars="200"/>
    </w:pPr>
  </w:style>
  <w:style w:type="paragraph" w:styleId="7">
    <w:name w:val="annotation text"/>
    <w:basedOn w:val="1"/>
    <w:link w:val="32"/>
    <w:unhideWhenUsed/>
    <w:qFormat/>
    <w:uiPriority w:val="99"/>
    <w:pPr>
      <w:jc w:val="left"/>
    </w:pPr>
  </w:style>
  <w:style w:type="paragraph" w:styleId="8">
    <w:name w:val="toc 3"/>
    <w:basedOn w:val="1"/>
    <w:next w:val="1"/>
    <w:unhideWhenUsed/>
    <w:qFormat/>
    <w:uiPriority w:val="39"/>
    <w:pPr>
      <w:ind w:left="840" w:leftChars="400"/>
    </w:pPr>
  </w:style>
  <w:style w:type="paragraph" w:styleId="9">
    <w:name w:val="Date"/>
    <w:basedOn w:val="1"/>
    <w:next w:val="1"/>
    <w:link w:val="25"/>
    <w:semiHidden/>
    <w:unhideWhenUsed/>
    <w:qFormat/>
    <w:uiPriority w:val="99"/>
    <w:pPr>
      <w:ind w:left="100" w:leftChars="2500"/>
    </w:pPr>
  </w:style>
  <w:style w:type="paragraph" w:styleId="10">
    <w:name w:val="Balloon Text"/>
    <w:basedOn w:val="1"/>
    <w:link w:val="34"/>
    <w:semiHidden/>
    <w:unhideWhenUsed/>
    <w:qFormat/>
    <w:uiPriority w:val="99"/>
    <w:rPr>
      <w:sz w:val="18"/>
      <w:szCs w:val="18"/>
    </w:rPr>
  </w:style>
  <w:style w:type="paragraph" w:styleId="11">
    <w:name w:val="footer"/>
    <w:basedOn w:val="1"/>
    <w:link w:val="24"/>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2">
    <w:name w:val="header"/>
    <w:basedOn w:val="1"/>
    <w:link w:val="23"/>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3">
    <w:name w:val="toc 1"/>
    <w:basedOn w:val="1"/>
    <w:next w:val="1"/>
    <w:unhideWhenUsed/>
    <w:qFormat/>
    <w:uiPriority w:val="39"/>
  </w:style>
  <w:style w:type="paragraph" w:styleId="14">
    <w:name w:val="footnote text"/>
    <w:basedOn w:val="1"/>
    <w:link w:val="27"/>
    <w:semiHidden/>
    <w:unhideWhenUsed/>
    <w:qFormat/>
    <w:uiPriority w:val="99"/>
    <w:pPr>
      <w:snapToGrid w:val="0"/>
      <w:jc w:val="left"/>
    </w:pPr>
    <w:rPr>
      <w:sz w:val="18"/>
      <w:szCs w:val="18"/>
    </w:rPr>
  </w:style>
  <w:style w:type="paragraph" w:styleId="15">
    <w:name w:val="toc 2"/>
    <w:basedOn w:val="1"/>
    <w:next w:val="1"/>
    <w:unhideWhenUsed/>
    <w:qFormat/>
    <w:uiPriority w:val="39"/>
    <w:pPr>
      <w:ind w:left="420" w:leftChars="200"/>
    </w:pPr>
  </w:style>
  <w:style w:type="paragraph" w:styleId="16">
    <w:name w:val="annotation subject"/>
    <w:basedOn w:val="7"/>
    <w:next w:val="7"/>
    <w:link w:val="33"/>
    <w:semiHidden/>
    <w:unhideWhenUsed/>
    <w:qFormat/>
    <w:uiPriority w:val="99"/>
    <w:rPr>
      <w:b/>
      <w:bCs/>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Hyperlink"/>
    <w:basedOn w:val="19"/>
    <w:unhideWhenUsed/>
    <w:qFormat/>
    <w:uiPriority w:val="99"/>
    <w:rPr>
      <w:color w:val="0563C1" w:themeColor="hyperlink"/>
      <w:u w:val="single"/>
      <w14:textFill>
        <w14:solidFill>
          <w14:schemeClr w14:val="hlink"/>
        </w14:solidFill>
      </w14:textFill>
    </w:rPr>
  </w:style>
  <w:style w:type="character" w:styleId="21">
    <w:name w:val="annotation reference"/>
    <w:basedOn w:val="19"/>
    <w:semiHidden/>
    <w:unhideWhenUsed/>
    <w:qFormat/>
    <w:uiPriority w:val="99"/>
    <w:rPr>
      <w:sz w:val="21"/>
      <w:szCs w:val="21"/>
    </w:rPr>
  </w:style>
  <w:style w:type="character" w:styleId="22">
    <w:name w:val="footnote reference"/>
    <w:basedOn w:val="19"/>
    <w:semiHidden/>
    <w:unhideWhenUsed/>
    <w:qFormat/>
    <w:uiPriority w:val="99"/>
    <w:rPr>
      <w:vertAlign w:val="superscript"/>
    </w:rPr>
  </w:style>
  <w:style w:type="character" w:customStyle="1" w:styleId="23">
    <w:name w:val="页眉 Char"/>
    <w:basedOn w:val="19"/>
    <w:link w:val="12"/>
    <w:qFormat/>
    <w:uiPriority w:val="99"/>
    <w:rPr>
      <w:sz w:val="18"/>
      <w:szCs w:val="18"/>
    </w:rPr>
  </w:style>
  <w:style w:type="character" w:customStyle="1" w:styleId="24">
    <w:name w:val="页脚 Char"/>
    <w:basedOn w:val="19"/>
    <w:link w:val="11"/>
    <w:qFormat/>
    <w:uiPriority w:val="99"/>
    <w:rPr>
      <w:sz w:val="18"/>
      <w:szCs w:val="18"/>
    </w:rPr>
  </w:style>
  <w:style w:type="character" w:customStyle="1" w:styleId="25">
    <w:name w:val="日期 Char"/>
    <w:basedOn w:val="19"/>
    <w:link w:val="9"/>
    <w:semiHidden/>
    <w:qFormat/>
    <w:uiPriority w:val="99"/>
    <w:rPr>
      <w:rFonts w:ascii="Calibri" w:hAnsi="Calibri" w:eastAsia="仿宋_GB2312" w:cs="黑体"/>
      <w:sz w:val="28"/>
    </w:rPr>
  </w:style>
  <w:style w:type="character" w:customStyle="1" w:styleId="26">
    <w:name w:val="标题 2 Char"/>
    <w:basedOn w:val="19"/>
    <w:link w:val="5"/>
    <w:qFormat/>
    <w:uiPriority w:val="9"/>
    <w:rPr>
      <w:rFonts w:asciiTheme="majorHAnsi" w:hAnsiTheme="majorHAnsi" w:eastAsiaTheme="majorEastAsia" w:cstheme="majorBidi"/>
      <w:b/>
      <w:bCs/>
      <w:sz w:val="32"/>
      <w:szCs w:val="32"/>
    </w:rPr>
  </w:style>
  <w:style w:type="character" w:customStyle="1" w:styleId="27">
    <w:name w:val="脚注文本 Char"/>
    <w:basedOn w:val="19"/>
    <w:link w:val="14"/>
    <w:semiHidden/>
    <w:qFormat/>
    <w:uiPriority w:val="99"/>
    <w:rPr>
      <w:rFonts w:ascii="Calibri" w:hAnsi="Calibri" w:eastAsia="仿宋_GB2312" w:cs="黑体"/>
      <w:sz w:val="18"/>
      <w:szCs w:val="18"/>
    </w:rPr>
  </w:style>
  <w:style w:type="paragraph" w:styleId="28">
    <w:name w:val="List Paragraph"/>
    <w:basedOn w:val="1"/>
    <w:qFormat/>
    <w:uiPriority w:val="34"/>
    <w:pPr>
      <w:ind w:firstLine="420"/>
    </w:pPr>
  </w:style>
  <w:style w:type="table" w:customStyle="1" w:styleId="29">
    <w:name w:val="网格型1"/>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0">
    <w:name w:val="标题 1 Char"/>
    <w:basedOn w:val="19"/>
    <w:link w:val="4"/>
    <w:qFormat/>
    <w:uiPriority w:val="9"/>
    <w:rPr>
      <w:rFonts w:ascii="Calibri" w:hAnsi="Calibri" w:eastAsia="仿宋_GB2312" w:cs="黑体"/>
      <w:b/>
      <w:bCs/>
      <w:kern w:val="44"/>
      <w:sz w:val="44"/>
      <w:szCs w:val="44"/>
    </w:rPr>
  </w:style>
  <w:style w:type="paragraph" w:customStyle="1" w:styleId="31">
    <w:name w:val="TOC 标题1"/>
    <w:basedOn w:val="4"/>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2">
    <w:name w:val="批注文字 Char"/>
    <w:basedOn w:val="19"/>
    <w:link w:val="7"/>
    <w:qFormat/>
    <w:uiPriority w:val="99"/>
    <w:rPr>
      <w:rFonts w:ascii="Calibri" w:hAnsi="Calibri" w:eastAsia="仿宋_GB2312" w:cs="黑体"/>
      <w:sz w:val="28"/>
    </w:rPr>
  </w:style>
  <w:style w:type="character" w:customStyle="1" w:styleId="33">
    <w:name w:val="批注主题 Char"/>
    <w:basedOn w:val="32"/>
    <w:link w:val="16"/>
    <w:semiHidden/>
    <w:qFormat/>
    <w:uiPriority w:val="99"/>
    <w:rPr>
      <w:rFonts w:ascii="Calibri" w:hAnsi="Calibri" w:eastAsia="仿宋_GB2312" w:cs="黑体"/>
      <w:b/>
      <w:bCs/>
      <w:sz w:val="28"/>
    </w:rPr>
  </w:style>
  <w:style w:type="character" w:customStyle="1" w:styleId="34">
    <w:name w:val="批注框文本 Char"/>
    <w:basedOn w:val="19"/>
    <w:link w:val="10"/>
    <w:semiHidden/>
    <w:qFormat/>
    <w:uiPriority w:val="99"/>
    <w:rPr>
      <w:rFonts w:ascii="Calibri" w:hAnsi="Calibri" w:eastAsia="仿宋_GB2312" w:cs="黑体"/>
      <w:sz w:val="18"/>
      <w:szCs w:val="18"/>
    </w:rPr>
  </w:style>
  <w:style w:type="character" w:customStyle="1" w:styleId="35">
    <w:name w:val="标题 3 Char"/>
    <w:basedOn w:val="19"/>
    <w:link w:val="6"/>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35</Pages>
  <Words>14292</Words>
  <Characters>15213</Characters>
  <Lines>107</Lines>
  <Paragraphs>30</Paragraphs>
  <TotalTime>3</TotalTime>
  <ScaleCrop>false</ScaleCrop>
  <LinksUpToDate>false</LinksUpToDate>
  <CharactersWithSpaces>15437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2024-04-14T23:46:00Z</dcterms:created>
  <dc:creator>张 宇</dc:creator>
  <cp:lastModifiedBy>Administrator</cp:lastModifiedBy>
  <cp:lastPrinted>2024-06-06T11:22:00Z</cp:lastPrinted>
  <dcterms:modified xsi:type="dcterms:W3CDTF">2025-05-29T11:18:48Z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2CD7347112584A119135958BBE1F918B</vt:lpwstr>
  </property>
</Properties>
</file>