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A93FF"/>
    <w:p w14:paraId="3C0AF50E">
      <w:pPr>
        <w:spacing w:line="540" w:lineRule="exact"/>
        <w:jc w:val="left"/>
        <w:rPr>
          <w:rFonts w:ascii="仿宋" w:hAnsi="仿宋" w:eastAsia="仿宋" w:cs="宋体"/>
          <w:kern w:val="0"/>
          <w:sz w:val="32"/>
          <w:szCs w:val="32"/>
        </w:rPr>
      </w:pPr>
      <w:r>
        <w:rPr>
          <w:rFonts w:hint="eastAsia" w:ascii="仿宋" w:hAnsi="仿宋" w:eastAsia="仿宋" w:cs="宋体"/>
          <w:kern w:val="0"/>
          <w:sz w:val="32"/>
          <w:szCs w:val="32"/>
        </w:rPr>
        <w:t>附件</w:t>
      </w:r>
      <w:r>
        <w:rPr>
          <w:rFonts w:eastAsia="仿宋"/>
          <w:kern w:val="0"/>
          <w:sz w:val="32"/>
          <w:szCs w:val="32"/>
        </w:rPr>
        <w:t>2</w:t>
      </w:r>
      <w:r>
        <w:rPr>
          <w:rFonts w:hint="eastAsia" w:ascii="仿宋" w:hAnsi="仿宋" w:eastAsia="仿宋" w:cs="宋体"/>
          <w:kern w:val="0"/>
          <w:sz w:val="32"/>
          <w:szCs w:val="32"/>
        </w:rPr>
        <w:t>：</w:t>
      </w:r>
    </w:p>
    <w:p w14:paraId="2BA016F7">
      <w:pPr>
        <w:spacing w:line="540" w:lineRule="exact"/>
        <w:jc w:val="center"/>
        <w:rPr>
          <w:rFonts w:ascii="华文中宋" w:hAnsi="华文中宋" w:eastAsia="华文中宋" w:cs="宋体"/>
          <w:b/>
          <w:kern w:val="0"/>
          <w:sz w:val="52"/>
          <w:szCs w:val="52"/>
        </w:rPr>
      </w:pPr>
    </w:p>
    <w:p w14:paraId="2E138A2E">
      <w:pPr>
        <w:spacing w:line="540" w:lineRule="exact"/>
        <w:jc w:val="center"/>
        <w:rPr>
          <w:rFonts w:ascii="华文中宋" w:hAnsi="华文中宋" w:eastAsia="华文中宋" w:cs="宋体"/>
          <w:b/>
          <w:kern w:val="0"/>
          <w:sz w:val="52"/>
          <w:szCs w:val="52"/>
        </w:rPr>
      </w:pPr>
    </w:p>
    <w:p w14:paraId="341B3BB6">
      <w:pPr>
        <w:spacing w:line="540" w:lineRule="exact"/>
        <w:jc w:val="center"/>
        <w:rPr>
          <w:rFonts w:ascii="华文中宋" w:hAnsi="华文中宋" w:eastAsia="华文中宋" w:cs="宋体"/>
          <w:b/>
          <w:kern w:val="0"/>
          <w:sz w:val="52"/>
          <w:szCs w:val="52"/>
        </w:rPr>
      </w:pPr>
    </w:p>
    <w:p w14:paraId="5A926319">
      <w:pPr>
        <w:spacing w:line="540" w:lineRule="exact"/>
        <w:jc w:val="center"/>
        <w:rPr>
          <w:rFonts w:ascii="华文中宋" w:hAnsi="华文中宋" w:eastAsia="华文中宋" w:cs="宋体"/>
          <w:b/>
          <w:kern w:val="0"/>
          <w:sz w:val="52"/>
          <w:szCs w:val="52"/>
        </w:rPr>
      </w:pPr>
    </w:p>
    <w:p w14:paraId="70E84BEA">
      <w:pPr>
        <w:spacing w:line="540" w:lineRule="exact"/>
        <w:jc w:val="center"/>
        <w:rPr>
          <w:rFonts w:ascii="华文中宋" w:hAnsi="华文中宋" w:eastAsia="华文中宋" w:cs="宋体"/>
          <w:b/>
          <w:kern w:val="0"/>
          <w:sz w:val="52"/>
          <w:szCs w:val="52"/>
        </w:rPr>
      </w:pPr>
    </w:p>
    <w:p w14:paraId="46AEF336">
      <w:pPr>
        <w:spacing w:line="540" w:lineRule="exact"/>
        <w:jc w:val="center"/>
        <w:rPr>
          <w:rFonts w:ascii="华文中宋" w:hAnsi="华文中宋" w:eastAsia="华文中宋" w:cs="宋体"/>
          <w:b/>
          <w:kern w:val="0"/>
          <w:sz w:val="52"/>
          <w:szCs w:val="52"/>
        </w:rPr>
      </w:pPr>
    </w:p>
    <w:p w14:paraId="171657F9">
      <w:pPr>
        <w:spacing w:line="560" w:lineRule="exact"/>
        <w:jc w:val="center"/>
        <w:rPr>
          <w:rFonts w:ascii="方正小标宋_GBK" w:hAnsi="华文中宋" w:eastAsia="方正小标宋_GBK" w:cs="宋体"/>
          <w:b/>
          <w:kern w:val="0"/>
          <w:sz w:val="52"/>
          <w:szCs w:val="52"/>
        </w:rPr>
      </w:pPr>
      <w:r>
        <w:rPr>
          <w:rFonts w:hint="eastAsia" w:ascii="方正小标宋_GBK" w:hAnsi="华文中宋" w:eastAsia="方正小标宋_GBK" w:cs="宋体"/>
          <w:b/>
          <w:kern w:val="0"/>
          <w:sz w:val="52"/>
          <w:szCs w:val="52"/>
        </w:rPr>
        <w:t>项目支出绩效自评报告</w:t>
      </w:r>
    </w:p>
    <w:p w14:paraId="52C23EC6">
      <w:pPr>
        <w:spacing w:line="540" w:lineRule="exact"/>
        <w:jc w:val="center"/>
        <w:rPr>
          <w:rFonts w:ascii="华文中宋" w:hAnsi="华文中宋" w:eastAsia="华文中宋" w:cs="宋体"/>
          <w:b/>
          <w:kern w:val="0"/>
          <w:sz w:val="52"/>
          <w:szCs w:val="52"/>
        </w:rPr>
      </w:pPr>
    </w:p>
    <w:p w14:paraId="342F0917">
      <w:pPr>
        <w:spacing w:line="540" w:lineRule="exact"/>
        <w:jc w:val="center"/>
        <w:rPr>
          <w:rFonts w:hAnsi="宋体" w:eastAsia="仿宋_GB2312" w:cs="宋体"/>
          <w:kern w:val="0"/>
          <w:sz w:val="36"/>
          <w:szCs w:val="36"/>
        </w:rPr>
      </w:pPr>
      <w:r>
        <w:rPr>
          <w:rFonts w:hint="eastAsia" w:hAnsi="宋体" w:eastAsia="仿宋_GB2312" w:cs="宋体"/>
          <w:kern w:val="0"/>
          <w:sz w:val="36"/>
          <w:szCs w:val="36"/>
        </w:rPr>
        <w:t xml:space="preserve">（   </w:t>
      </w:r>
      <w:r>
        <w:rPr>
          <w:rStyle w:val="19"/>
          <w:rFonts w:eastAsia="楷体"/>
          <w:spacing w:val="-4"/>
          <w:sz w:val="32"/>
          <w:szCs w:val="32"/>
        </w:rPr>
        <w:t>2024</w:t>
      </w:r>
      <w:r>
        <w:rPr>
          <w:rFonts w:hint="eastAsia" w:hAnsi="宋体" w:eastAsia="仿宋_GB2312" w:cs="宋体"/>
          <w:kern w:val="0"/>
          <w:sz w:val="36"/>
          <w:szCs w:val="36"/>
        </w:rPr>
        <w:t xml:space="preserve">  年度）</w:t>
      </w:r>
    </w:p>
    <w:p w14:paraId="59AAFA84">
      <w:pPr>
        <w:spacing w:line="540" w:lineRule="exact"/>
        <w:jc w:val="center"/>
        <w:rPr>
          <w:rFonts w:hAnsi="宋体" w:eastAsia="仿宋_GB2312" w:cs="宋体"/>
          <w:kern w:val="0"/>
          <w:sz w:val="30"/>
          <w:szCs w:val="30"/>
        </w:rPr>
      </w:pPr>
    </w:p>
    <w:p w14:paraId="6CD63585">
      <w:pPr>
        <w:spacing w:line="540" w:lineRule="exact"/>
        <w:jc w:val="center"/>
        <w:rPr>
          <w:rFonts w:hAnsi="宋体" w:eastAsia="仿宋_GB2312" w:cs="宋体"/>
          <w:kern w:val="0"/>
          <w:sz w:val="30"/>
          <w:szCs w:val="30"/>
        </w:rPr>
      </w:pPr>
    </w:p>
    <w:p w14:paraId="0B0C14AE">
      <w:pPr>
        <w:spacing w:line="540" w:lineRule="exact"/>
        <w:jc w:val="center"/>
        <w:rPr>
          <w:rFonts w:hAnsi="宋体" w:eastAsia="仿宋_GB2312" w:cs="宋体"/>
          <w:kern w:val="0"/>
          <w:sz w:val="30"/>
          <w:szCs w:val="30"/>
        </w:rPr>
      </w:pPr>
    </w:p>
    <w:p w14:paraId="22C9EA0F">
      <w:pPr>
        <w:spacing w:line="540" w:lineRule="exact"/>
        <w:jc w:val="center"/>
        <w:rPr>
          <w:rFonts w:hAnsi="宋体" w:eastAsia="仿宋_GB2312" w:cs="宋体"/>
          <w:kern w:val="0"/>
          <w:sz w:val="30"/>
          <w:szCs w:val="30"/>
        </w:rPr>
      </w:pPr>
    </w:p>
    <w:p w14:paraId="50EB67F0">
      <w:pPr>
        <w:spacing w:line="540" w:lineRule="exact"/>
        <w:jc w:val="center"/>
        <w:rPr>
          <w:rFonts w:hAnsi="宋体" w:eastAsia="仿宋_GB2312" w:cs="宋体"/>
          <w:kern w:val="0"/>
          <w:sz w:val="30"/>
          <w:szCs w:val="30"/>
        </w:rPr>
      </w:pPr>
    </w:p>
    <w:p w14:paraId="08090446">
      <w:pPr>
        <w:spacing w:line="540" w:lineRule="exact"/>
        <w:jc w:val="center"/>
        <w:rPr>
          <w:rFonts w:hAnsi="宋体" w:eastAsia="仿宋_GB2312" w:cs="宋体"/>
          <w:kern w:val="0"/>
          <w:sz w:val="30"/>
          <w:szCs w:val="30"/>
        </w:rPr>
      </w:pPr>
    </w:p>
    <w:p w14:paraId="0E1CCC5C">
      <w:pPr>
        <w:spacing w:line="540" w:lineRule="exact"/>
        <w:rPr>
          <w:rFonts w:hAnsi="宋体" w:eastAsia="仿宋_GB2312" w:cs="宋体"/>
          <w:kern w:val="0"/>
          <w:sz w:val="30"/>
          <w:szCs w:val="30"/>
        </w:rPr>
      </w:pPr>
    </w:p>
    <w:p w14:paraId="52F40214">
      <w:pPr>
        <w:spacing w:line="700" w:lineRule="exact"/>
        <w:jc w:val="left"/>
        <w:rPr>
          <w:rFonts w:hAnsi="宋体" w:eastAsia="仿宋_GB2312" w:cs="宋体"/>
          <w:kern w:val="0"/>
          <w:sz w:val="36"/>
          <w:szCs w:val="36"/>
        </w:rPr>
      </w:pPr>
      <w:r>
        <w:rPr>
          <w:rFonts w:hint="eastAsia" w:hAnsi="宋体" w:eastAsia="仿宋_GB2312" w:cs="宋体"/>
          <w:kern w:val="0"/>
          <w:sz w:val="36"/>
          <w:szCs w:val="36"/>
        </w:rPr>
        <w:t xml:space="preserve">     </w:t>
      </w:r>
    </w:p>
    <w:p w14:paraId="0A34AC6E">
      <w:pPr>
        <w:spacing w:line="700" w:lineRule="exact"/>
        <w:ind w:firstLine="900" w:firstLineChars="250"/>
        <w:jc w:val="left"/>
        <w:rPr>
          <w:rFonts w:hAnsi="宋体" w:eastAsia="仿宋_GB2312" w:cs="宋体"/>
          <w:kern w:val="0"/>
          <w:sz w:val="36"/>
          <w:szCs w:val="36"/>
        </w:rPr>
      </w:pPr>
      <w:r>
        <w:rPr>
          <w:rFonts w:hint="eastAsia" w:hAnsi="宋体" w:eastAsia="仿宋_GB2312" w:cs="宋体"/>
          <w:kern w:val="0"/>
          <w:sz w:val="36"/>
          <w:szCs w:val="36"/>
        </w:rPr>
        <w:t>项目名称：</w:t>
      </w:r>
      <w:r>
        <w:rPr>
          <w:rStyle w:val="19"/>
          <w:rFonts w:hint="eastAsia" w:ascii="楷体" w:hAnsi="楷体" w:eastAsia="楷体"/>
          <w:spacing w:val="-4"/>
          <w:sz w:val="32"/>
          <w:szCs w:val="32"/>
        </w:rPr>
        <w:t>市委社会工作部运行保障经费</w:t>
      </w:r>
    </w:p>
    <w:p w14:paraId="1E81EBC2">
      <w:pPr>
        <w:spacing w:line="540" w:lineRule="exact"/>
        <w:ind w:firstLine="567"/>
        <w:rPr>
          <w:rFonts w:ascii="楷体" w:hAnsi="楷体" w:eastAsia="楷体"/>
          <w:b/>
          <w:bCs/>
          <w:spacing w:val="-4"/>
          <w:sz w:val="32"/>
          <w:szCs w:val="32"/>
        </w:rPr>
      </w:pPr>
      <w:r>
        <w:rPr>
          <w:rFonts w:hint="eastAsia" w:hAnsi="宋体" w:eastAsia="仿宋_GB2312" w:cs="宋体"/>
          <w:kern w:val="0"/>
          <w:sz w:val="36"/>
          <w:szCs w:val="36"/>
        </w:rPr>
        <w:t xml:space="preserve">  实施单位（公章）：</w:t>
      </w:r>
      <w:r>
        <w:rPr>
          <w:rStyle w:val="19"/>
          <w:rFonts w:hint="eastAsia" w:ascii="楷体" w:hAnsi="楷体" w:eastAsia="楷体"/>
          <w:spacing w:val="-4"/>
          <w:sz w:val="28"/>
          <w:szCs w:val="28"/>
        </w:rPr>
        <w:t>中共乌鲁木齐市委员会社会工作部</w:t>
      </w:r>
    </w:p>
    <w:p w14:paraId="0910C8FC">
      <w:pPr>
        <w:spacing w:line="540" w:lineRule="exact"/>
        <w:ind w:firstLine="900" w:firstLineChars="250"/>
        <w:rPr>
          <w:rFonts w:ascii="楷体" w:hAnsi="楷体" w:eastAsia="楷体"/>
          <w:b/>
          <w:bCs/>
          <w:spacing w:val="-4"/>
          <w:sz w:val="28"/>
          <w:szCs w:val="28"/>
        </w:rPr>
      </w:pPr>
      <w:r>
        <w:rPr>
          <w:rFonts w:hint="eastAsia" w:hAnsi="宋体" w:eastAsia="仿宋_GB2312" w:cs="宋体"/>
          <w:kern w:val="0"/>
          <w:sz w:val="36"/>
          <w:szCs w:val="36"/>
        </w:rPr>
        <w:t>主管部门（公章）：</w:t>
      </w:r>
      <w:r>
        <w:rPr>
          <w:rStyle w:val="19"/>
          <w:rFonts w:hint="eastAsia" w:ascii="楷体" w:hAnsi="楷体" w:eastAsia="楷体"/>
          <w:spacing w:val="-4"/>
          <w:sz w:val="28"/>
          <w:szCs w:val="28"/>
        </w:rPr>
        <w:t>中共乌鲁木齐市委员会社会工作部</w:t>
      </w:r>
    </w:p>
    <w:p w14:paraId="2C25EFFD">
      <w:pPr>
        <w:spacing w:line="540" w:lineRule="exact"/>
        <w:ind w:firstLine="900" w:firstLineChars="250"/>
        <w:rPr>
          <w:rFonts w:ascii="楷体" w:hAnsi="楷体" w:eastAsia="楷体"/>
          <w:b/>
          <w:bCs/>
          <w:spacing w:val="-4"/>
          <w:sz w:val="32"/>
          <w:szCs w:val="32"/>
        </w:rPr>
      </w:pPr>
      <w:r>
        <w:rPr>
          <w:rFonts w:hint="eastAsia" w:hAnsi="宋体" w:eastAsia="仿宋_GB2312" w:cs="宋体"/>
          <w:kern w:val="0"/>
          <w:sz w:val="36"/>
          <w:szCs w:val="36"/>
        </w:rPr>
        <w:t>项目负责人（签章）：</w:t>
      </w:r>
      <w:r>
        <w:rPr>
          <w:rStyle w:val="19"/>
          <w:rFonts w:hint="eastAsia" w:ascii="楷体" w:hAnsi="楷体" w:eastAsia="楷体"/>
          <w:spacing w:val="-4"/>
          <w:sz w:val="32"/>
          <w:szCs w:val="32"/>
        </w:rPr>
        <w:t>张先生</w:t>
      </w:r>
    </w:p>
    <w:p w14:paraId="795CFA89">
      <w:pPr>
        <w:spacing w:line="540" w:lineRule="exact"/>
        <w:ind w:left="273" w:firstLine="567"/>
        <w:rPr>
          <w:rStyle w:val="19"/>
          <w:rFonts w:ascii="楷体" w:hAnsi="楷体" w:eastAsia="楷体"/>
          <w:spacing w:val="-4"/>
          <w:sz w:val="32"/>
          <w:szCs w:val="32"/>
        </w:rPr>
      </w:pPr>
      <w:r>
        <w:rPr>
          <w:rFonts w:hint="eastAsia" w:hAnsi="宋体" w:eastAsia="仿宋_GB2312" w:cs="宋体"/>
          <w:kern w:val="0"/>
          <w:sz w:val="36"/>
          <w:szCs w:val="36"/>
        </w:rPr>
        <w:t>填报时间：</w:t>
      </w:r>
      <w:r>
        <w:rPr>
          <w:rStyle w:val="19"/>
          <w:rFonts w:eastAsia="楷体"/>
          <w:spacing w:val="-4"/>
          <w:sz w:val="32"/>
          <w:szCs w:val="32"/>
        </w:rPr>
        <w:t>2025年04月29日</w:t>
      </w:r>
    </w:p>
    <w:p w14:paraId="0B867AE0">
      <w:pPr>
        <w:spacing w:line="700" w:lineRule="exact"/>
        <w:ind w:firstLine="708" w:firstLineChars="236"/>
        <w:jc w:val="left"/>
        <w:rPr>
          <w:rFonts w:hAnsi="宋体" w:eastAsia="仿宋_GB2312" w:cs="宋体"/>
          <w:kern w:val="0"/>
          <w:sz w:val="30"/>
          <w:szCs w:val="30"/>
        </w:rPr>
      </w:pPr>
    </w:p>
    <w:p w14:paraId="7A44A303">
      <w:pPr>
        <w:spacing w:line="540" w:lineRule="exact"/>
        <w:rPr>
          <w:rStyle w:val="19"/>
          <w:rFonts w:ascii="黑体" w:hAnsi="黑体" w:eastAsia="黑体"/>
          <w:b w:val="0"/>
          <w:spacing w:val="-4"/>
          <w:sz w:val="32"/>
          <w:szCs w:val="32"/>
        </w:rPr>
      </w:pPr>
    </w:p>
    <w:p w14:paraId="3DB36E5C">
      <w:pPr>
        <w:spacing w:line="540" w:lineRule="exact"/>
        <w:ind w:firstLine="624" w:firstLineChars="200"/>
        <w:rPr>
          <w:rStyle w:val="19"/>
          <w:rFonts w:ascii="黑体" w:hAnsi="黑体" w:eastAsia="黑体"/>
          <w:b w:val="0"/>
          <w:spacing w:val="-4"/>
          <w:sz w:val="32"/>
          <w:szCs w:val="32"/>
        </w:rPr>
      </w:pPr>
      <w:r>
        <w:rPr>
          <w:rStyle w:val="19"/>
          <w:rFonts w:hint="eastAsia" w:ascii="黑体" w:hAnsi="黑体" w:eastAsia="黑体"/>
          <w:b w:val="0"/>
          <w:spacing w:val="-4"/>
          <w:sz w:val="32"/>
          <w:szCs w:val="32"/>
        </w:rPr>
        <w:t>一、基本情况</w:t>
      </w:r>
    </w:p>
    <w:p w14:paraId="600254CA">
      <w:pPr>
        <w:spacing w:line="540" w:lineRule="exact"/>
        <w:ind w:firstLine="627" w:firstLineChars="200"/>
        <w:rPr>
          <w:rStyle w:val="19"/>
          <w:rFonts w:ascii="楷体" w:hAnsi="楷体" w:eastAsia="楷体"/>
          <w:spacing w:val="-4"/>
          <w:sz w:val="32"/>
          <w:szCs w:val="32"/>
        </w:rPr>
      </w:pPr>
      <w:r>
        <w:rPr>
          <w:rStyle w:val="19"/>
          <w:rFonts w:hint="eastAsia" w:ascii="楷体" w:hAnsi="楷体" w:eastAsia="楷体"/>
          <w:spacing w:val="-4"/>
          <w:sz w:val="32"/>
          <w:szCs w:val="32"/>
        </w:rPr>
        <w:t>（一）项目概况</w:t>
      </w:r>
    </w:p>
    <w:p w14:paraId="440E81F8">
      <w:pPr>
        <w:spacing w:line="540" w:lineRule="exact"/>
        <w:ind w:firstLine="624" w:firstLineChars="200"/>
        <w:rPr>
          <w:rStyle w:val="19"/>
          <w:rFonts w:eastAsia="楷体"/>
          <w:b w:val="0"/>
          <w:bCs w:val="0"/>
          <w:spacing w:val="-4"/>
          <w:sz w:val="32"/>
          <w:szCs w:val="32"/>
          <w:highlight w:val="none"/>
        </w:rPr>
      </w:pPr>
      <w:r>
        <w:rPr>
          <w:rStyle w:val="19"/>
          <w:rFonts w:eastAsia="楷体"/>
          <w:b w:val="0"/>
          <w:bCs w:val="0"/>
          <w:spacing w:val="-4"/>
          <w:sz w:val="32"/>
          <w:szCs w:val="32"/>
        </w:rPr>
        <w:t>1．项目背景、主要内容及实施情况</w:t>
      </w:r>
      <w:r>
        <w:rPr>
          <w:rFonts w:eastAsia="楷体"/>
          <w:b w:val="0"/>
          <w:bCs w:val="0"/>
          <w:spacing w:val="-4"/>
          <w:sz w:val="32"/>
          <w:szCs w:val="32"/>
        </w:rPr>
        <w:br w:type="textWrapping"/>
      </w:r>
      <w:r>
        <w:rPr>
          <w:rStyle w:val="19"/>
          <w:rFonts w:eastAsia="楷体"/>
          <w:b w:val="0"/>
          <w:bCs w:val="0"/>
          <w:spacing w:val="-4"/>
          <w:sz w:val="32"/>
          <w:szCs w:val="32"/>
        </w:rPr>
        <w:t>该项目实施背景：根据市委工作安排，中共乌鲁木齐市委员会社会</w:t>
      </w:r>
      <w:r>
        <w:rPr>
          <w:rStyle w:val="19"/>
          <w:rFonts w:eastAsia="楷体"/>
          <w:b w:val="0"/>
          <w:bCs w:val="0"/>
          <w:spacing w:val="-4"/>
          <w:sz w:val="32"/>
          <w:szCs w:val="32"/>
          <w:highlight w:val="none"/>
        </w:rPr>
        <w:t>工作部（以下简称“市委社会工作部”）于2024年6月28日成立，核定编制25人、5个科室，共有办公室14间、会议室1间。按照自治区财政厅《关于强化预算约束 认真落实党政机关习惯过紧日子要求的通知》（新财预﹝2024﹞25号），结合《新疆维吾尔自治区本级行政事业单位通用办公设备家具配置标准》（新管发﹝2023﹞61号）和单位公用经费定额标准，严控一般性支出，贯彻落实党政机关过紧日子的要求，相关人员和职能正在逐步划转中，根据实际情况配备相关办公设备以及申请相关业务运转经费。</w:t>
      </w:r>
      <w:r>
        <w:rPr>
          <w:rFonts w:eastAsia="楷体"/>
          <w:b w:val="0"/>
          <w:bCs w:val="0"/>
          <w:spacing w:val="-4"/>
          <w:sz w:val="32"/>
          <w:szCs w:val="32"/>
          <w:highlight w:val="none"/>
        </w:rPr>
        <w:br w:type="textWrapping"/>
      </w:r>
      <w:r>
        <w:rPr>
          <w:rStyle w:val="19"/>
          <w:rFonts w:eastAsia="楷体"/>
          <w:b w:val="0"/>
          <w:bCs w:val="0"/>
          <w:spacing w:val="-4"/>
          <w:sz w:val="32"/>
          <w:szCs w:val="32"/>
          <w:highlight w:val="none"/>
        </w:rPr>
        <w:t>2024年项目的主要实施内容：1、购置办公设备及家具：经与市机关事务管理局对接，根据单位实际办公需求，可调配的资产优先从其他单位进行调配，无法调配的再进行购买；2、运行经费：截</w:t>
      </w:r>
      <w:r>
        <w:rPr>
          <w:rStyle w:val="19"/>
          <w:rFonts w:hint="eastAsia" w:eastAsia="楷体"/>
          <w:b w:val="0"/>
          <w:bCs w:val="0"/>
          <w:spacing w:val="-4"/>
          <w:sz w:val="32"/>
          <w:szCs w:val="32"/>
          <w:highlight w:val="none"/>
          <w:lang w:eastAsia="zh-CN"/>
        </w:rPr>
        <w:t>至</w:t>
      </w:r>
      <w:r>
        <w:rPr>
          <w:rStyle w:val="19"/>
          <w:rFonts w:eastAsia="楷体"/>
          <w:b w:val="0"/>
          <w:bCs w:val="0"/>
          <w:spacing w:val="-4"/>
          <w:sz w:val="32"/>
          <w:szCs w:val="32"/>
          <w:highlight w:val="none"/>
        </w:rPr>
        <w:t>评价期，单位已基本进入正常运转过程，为确保相关业务的正常开展，按照编制人数核定6-12月运行经费</w:t>
      </w:r>
      <w:r>
        <w:rPr>
          <w:rStyle w:val="19"/>
          <w:rFonts w:hint="eastAsia" w:eastAsia="楷体"/>
          <w:b w:val="0"/>
          <w:bCs w:val="0"/>
          <w:spacing w:val="-4"/>
          <w:sz w:val="32"/>
          <w:szCs w:val="32"/>
          <w:highlight w:val="none"/>
          <w:lang w:eastAsia="zh-CN"/>
        </w:rPr>
        <w:t>；</w:t>
      </w:r>
      <w:r>
        <w:rPr>
          <w:rStyle w:val="19"/>
          <w:rFonts w:eastAsia="楷体"/>
          <w:b w:val="0"/>
          <w:bCs w:val="0"/>
          <w:spacing w:val="-4"/>
          <w:sz w:val="32"/>
          <w:szCs w:val="32"/>
          <w:highlight w:val="none"/>
        </w:rPr>
        <w:t>3、车辆租赁及运行经费：经与市机关事务管理局对接，拟核定</w:t>
      </w:r>
      <w:r>
        <w:rPr>
          <w:rStyle w:val="19"/>
          <w:rFonts w:hint="eastAsia" w:eastAsia="楷体"/>
          <w:b w:val="0"/>
          <w:bCs w:val="0"/>
          <w:spacing w:val="-4"/>
          <w:sz w:val="32"/>
          <w:szCs w:val="32"/>
          <w:highlight w:val="none"/>
          <w:lang w:eastAsia="zh-CN"/>
        </w:rPr>
        <w:t>市委社会工作部</w:t>
      </w:r>
      <w:r>
        <w:rPr>
          <w:rStyle w:val="19"/>
          <w:rFonts w:eastAsia="楷体"/>
          <w:b w:val="0"/>
          <w:bCs w:val="0"/>
          <w:spacing w:val="-4"/>
          <w:sz w:val="32"/>
          <w:szCs w:val="32"/>
          <w:highlight w:val="none"/>
        </w:rPr>
        <w:t>车辆编制3辆。</w:t>
      </w:r>
      <w:r>
        <w:rPr>
          <w:rFonts w:eastAsia="楷体"/>
          <w:b w:val="0"/>
          <w:bCs w:val="0"/>
          <w:spacing w:val="-4"/>
          <w:sz w:val="32"/>
          <w:szCs w:val="32"/>
          <w:highlight w:val="none"/>
        </w:rPr>
        <w:br w:type="textWrapping"/>
      </w:r>
      <w:r>
        <w:rPr>
          <w:rStyle w:val="19"/>
          <w:rFonts w:eastAsia="楷体"/>
          <w:b w:val="0"/>
          <w:bCs w:val="0"/>
          <w:spacing w:val="-4"/>
          <w:sz w:val="32"/>
          <w:szCs w:val="32"/>
          <w:highlight w:val="none"/>
        </w:rPr>
        <w:t>实际完成情况为：①完成购置办公桌、会议桌、茶几、沙发、座椅、会议椅、书柜、长边柜、茶水柜、五节柜等21种办公家具，A3复合机、A4彩色打印机、投影仪、笔记本电脑等10种办公设备，提高了工作效率的同时也提升了工作质量，使办公室更加规整</w:t>
      </w:r>
      <w:r>
        <w:rPr>
          <w:rStyle w:val="19"/>
          <w:rFonts w:hint="eastAsia" w:eastAsia="楷体"/>
          <w:b w:val="0"/>
          <w:bCs w:val="0"/>
          <w:spacing w:val="-4"/>
          <w:sz w:val="32"/>
          <w:szCs w:val="32"/>
          <w:highlight w:val="none"/>
          <w:lang w:eastAsia="zh-CN"/>
        </w:rPr>
        <w:t>；</w:t>
      </w:r>
      <w:r>
        <w:rPr>
          <w:rStyle w:val="19"/>
          <w:rFonts w:eastAsia="楷体"/>
          <w:b w:val="0"/>
          <w:bCs w:val="0"/>
          <w:spacing w:val="-4"/>
          <w:sz w:val="32"/>
          <w:szCs w:val="32"/>
          <w:highlight w:val="none"/>
        </w:rPr>
        <w:t>②正常保证核定编制25人的6-12月人员运行经费；③租赁编制车辆3辆，方便工作人员外出办公。</w:t>
      </w:r>
      <w:r>
        <w:rPr>
          <w:rFonts w:eastAsia="楷体"/>
          <w:b w:val="0"/>
          <w:bCs w:val="0"/>
          <w:spacing w:val="-4"/>
          <w:sz w:val="32"/>
          <w:szCs w:val="32"/>
          <w:highlight w:val="none"/>
        </w:rPr>
        <w:br w:type="textWrapping"/>
      </w:r>
      <w:r>
        <w:rPr>
          <w:rStyle w:val="19"/>
          <w:rFonts w:eastAsia="楷体"/>
          <w:b w:val="0"/>
          <w:bCs w:val="0"/>
          <w:spacing w:val="-4"/>
          <w:sz w:val="32"/>
          <w:szCs w:val="32"/>
          <w:highlight w:val="none"/>
        </w:rPr>
        <w:t>2.资金投入和使用情况</w:t>
      </w:r>
      <w:r>
        <w:rPr>
          <w:rFonts w:eastAsia="楷体"/>
          <w:b w:val="0"/>
          <w:bCs w:val="0"/>
          <w:spacing w:val="-4"/>
          <w:sz w:val="32"/>
          <w:szCs w:val="32"/>
          <w:highlight w:val="none"/>
        </w:rPr>
        <w:br w:type="textWrapping"/>
      </w:r>
      <w:r>
        <w:rPr>
          <w:rStyle w:val="19"/>
          <w:rFonts w:eastAsia="楷体"/>
          <w:b w:val="0"/>
          <w:bCs w:val="0"/>
          <w:spacing w:val="-4"/>
          <w:sz w:val="32"/>
          <w:szCs w:val="32"/>
          <w:highlight w:val="none"/>
        </w:rPr>
        <w:t>该项目资金投入情况：根据《关于对市委社会工作部申请办公资产购置及运行经费的意见》（乌财行﹝2024﹞72号），项目系2024年本级资金，共安排预算45.73万元，于2024年年中追加预算批复项目。</w:t>
      </w:r>
      <w:r>
        <w:rPr>
          <w:rFonts w:eastAsia="楷体"/>
          <w:b w:val="0"/>
          <w:bCs w:val="0"/>
          <w:spacing w:val="-4"/>
          <w:sz w:val="32"/>
          <w:szCs w:val="32"/>
          <w:highlight w:val="none"/>
        </w:rPr>
        <w:br w:type="textWrapping"/>
      </w:r>
      <w:r>
        <w:rPr>
          <w:rStyle w:val="19"/>
          <w:rFonts w:eastAsia="楷体"/>
          <w:b w:val="0"/>
          <w:bCs w:val="0"/>
          <w:spacing w:val="-4"/>
          <w:sz w:val="32"/>
          <w:szCs w:val="32"/>
          <w:highlight w:val="none"/>
        </w:rPr>
        <w:t>该项目资金使用情况：项目总预算45.73万元，全年执行数35.41万元，执行率77.4%，原因是在采购之前，采购人员与商家谈价，将家具和办公电子设备的价格压低，所以实际支出数降低。资金投入包括购置办公家具及办公设备购置26.23万元（其中26.108万元为政府采购），执行数17.26万元；其他交通费用（车辆租赁、电车充电、燃油用车加油）19.5万元（其中4.5万元为政府采购），执行数18.14万元。</w:t>
      </w:r>
    </w:p>
    <w:p w14:paraId="0FD890C5">
      <w:pPr>
        <w:spacing w:line="540" w:lineRule="exact"/>
        <w:ind w:firstLine="627" w:firstLineChars="200"/>
        <w:rPr>
          <w:rStyle w:val="19"/>
          <w:rFonts w:ascii="楷体" w:hAnsi="楷体" w:eastAsia="楷体"/>
          <w:spacing w:val="-4"/>
          <w:sz w:val="32"/>
          <w:szCs w:val="32"/>
          <w:highlight w:val="none"/>
        </w:rPr>
      </w:pPr>
      <w:r>
        <w:rPr>
          <w:rStyle w:val="19"/>
          <w:rFonts w:hint="eastAsia" w:ascii="楷体" w:hAnsi="楷体" w:eastAsia="楷体"/>
          <w:spacing w:val="-4"/>
          <w:sz w:val="32"/>
          <w:szCs w:val="32"/>
          <w:highlight w:val="none"/>
        </w:rPr>
        <w:t>（二）项目绩效目标</w:t>
      </w:r>
    </w:p>
    <w:p w14:paraId="20D4A032">
      <w:pPr>
        <w:spacing w:line="540" w:lineRule="exact"/>
        <w:ind w:firstLine="624" w:firstLineChars="200"/>
        <w:rPr>
          <w:rStyle w:val="19"/>
          <w:rFonts w:eastAsia="楷体"/>
          <w:b w:val="0"/>
          <w:bCs w:val="0"/>
          <w:spacing w:val="-4"/>
          <w:sz w:val="32"/>
          <w:szCs w:val="32"/>
          <w:highlight w:val="none"/>
        </w:rPr>
      </w:pPr>
      <w:r>
        <w:rPr>
          <w:rStyle w:val="19"/>
          <w:rFonts w:hint="eastAsia" w:eastAsia="楷体"/>
          <w:b w:val="0"/>
          <w:bCs w:val="0"/>
          <w:spacing w:val="-4"/>
          <w:sz w:val="32"/>
          <w:szCs w:val="32"/>
          <w:highlight w:val="none"/>
        </w:rPr>
        <w:t>本项目依据《中共中央国务院关于全面实施预算绩效管理的意见》（中发〔2018〕34号）、《关于印发&lt;乌鲁木齐市本级部门预算绩效目标管理暂行办法&gt;的通知》（乌财预〔2018〕56号）、《关于做好2019年部门预算项目支出绩效目标管理有关事宜的通知》（乌财预〔2018〕76号）和《项目支出绩效评价管理办法》（财预〔2020〕10号）等文件要求，结合项目开展情况，按照“谁申请资金，谁编制目标”的原则和规定的方法、程序，科学合理编制。绩效目标作为对预期指标的细化和量化描述，主要包括产出指标、效益指标和满意度指标。按照指向明确、细化量化、合理可行和相应匹配的要求，设定三级绩效目标（数量指标、质量指标、效益指标），以准确、清晰地反映财政资金在使用期所能达到的预期产出和效果。</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该项目为当年一次性项目。</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该项目总体绩效目标：市委社会工作部划入市委组织部、市委宣传部、市委政法委、市民政局部分职能，严格贯彻落实党中央关于社会工作的方针政策、决策部署和自治区党委、市委的工作要求，保障我单位的基本正常运转，修订完善“两新”工委的相关制度，积极开展其余相关工作。</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该项目阶段性目标为：在2024年计划完成购置办公设备及家具，使办公室环境更加规整，提高工作人员办公效率的同时也提高办公质量；租赁编制车辆，方便工作人员外出办公，在一定程度上减少车辆购置成本；保障业务的基本开展，确保相关职能履行到位。</w:t>
      </w:r>
    </w:p>
    <w:p w14:paraId="4E30F6D6">
      <w:pPr>
        <w:spacing w:line="540" w:lineRule="exact"/>
        <w:ind w:firstLine="624" w:firstLineChars="200"/>
        <w:rPr>
          <w:rStyle w:val="19"/>
          <w:rFonts w:ascii="黑体" w:hAnsi="黑体" w:eastAsia="黑体"/>
          <w:b w:val="0"/>
          <w:spacing w:val="-4"/>
          <w:sz w:val="32"/>
          <w:szCs w:val="32"/>
          <w:highlight w:val="none"/>
        </w:rPr>
      </w:pPr>
      <w:r>
        <w:rPr>
          <w:rStyle w:val="19"/>
          <w:rFonts w:hint="eastAsia" w:ascii="黑体" w:hAnsi="黑体" w:eastAsia="黑体"/>
          <w:b w:val="0"/>
          <w:spacing w:val="-4"/>
          <w:sz w:val="32"/>
          <w:szCs w:val="32"/>
          <w:highlight w:val="none"/>
        </w:rPr>
        <w:t>二、绩效评价工作开展情况</w:t>
      </w:r>
    </w:p>
    <w:p w14:paraId="7AFE379F">
      <w:pPr>
        <w:spacing w:line="540" w:lineRule="exact"/>
        <w:ind w:firstLine="627" w:firstLineChars="200"/>
        <w:rPr>
          <w:rStyle w:val="19"/>
          <w:rFonts w:ascii="楷体" w:hAnsi="楷体" w:eastAsia="楷体"/>
          <w:spacing w:val="-4"/>
          <w:sz w:val="32"/>
          <w:szCs w:val="32"/>
          <w:highlight w:val="none"/>
        </w:rPr>
      </w:pPr>
      <w:r>
        <w:rPr>
          <w:rStyle w:val="19"/>
          <w:rFonts w:hint="eastAsia" w:ascii="楷体" w:hAnsi="楷体" w:eastAsia="楷体"/>
          <w:spacing w:val="-4"/>
          <w:sz w:val="32"/>
          <w:szCs w:val="32"/>
          <w:highlight w:val="none"/>
        </w:rPr>
        <w:t>（一）绩效评价目的、对象和范围</w:t>
      </w:r>
    </w:p>
    <w:p w14:paraId="00B2750F">
      <w:pPr>
        <w:spacing w:line="540" w:lineRule="exact"/>
        <w:ind w:firstLine="624" w:firstLineChars="200"/>
        <w:rPr>
          <w:rStyle w:val="19"/>
          <w:rFonts w:eastAsia="楷体"/>
          <w:b w:val="0"/>
          <w:bCs w:val="0"/>
          <w:spacing w:val="-4"/>
          <w:sz w:val="32"/>
          <w:szCs w:val="32"/>
          <w:highlight w:val="none"/>
        </w:rPr>
      </w:pPr>
      <w:r>
        <w:rPr>
          <w:rStyle w:val="19"/>
          <w:rFonts w:hint="eastAsia" w:eastAsia="楷体"/>
          <w:b w:val="0"/>
          <w:bCs w:val="0"/>
          <w:spacing w:val="-4"/>
          <w:sz w:val="32"/>
          <w:szCs w:val="32"/>
          <w:highlight w:val="none"/>
        </w:rPr>
        <w:t>1.绩效评价完整性</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首先，在描述项目的目标范围和要求方面，该项目的绩效评价指标体系能够全面体现项目的核心目标。项目旨在通过提升</w:t>
      </w:r>
      <w:r>
        <w:rPr>
          <w:rStyle w:val="19"/>
          <w:rFonts w:hint="eastAsia" w:eastAsia="楷体"/>
          <w:b w:val="0"/>
          <w:bCs w:val="0"/>
          <w:spacing w:val="-4"/>
          <w:sz w:val="32"/>
          <w:szCs w:val="32"/>
          <w:highlight w:val="none"/>
          <w:lang w:eastAsia="zh-CN"/>
        </w:rPr>
        <w:t>市委社会工作部</w:t>
      </w:r>
      <w:r>
        <w:rPr>
          <w:rStyle w:val="19"/>
          <w:rFonts w:hint="eastAsia" w:eastAsia="楷体"/>
          <w:b w:val="0"/>
          <w:bCs w:val="0"/>
          <w:spacing w:val="-4"/>
          <w:sz w:val="32"/>
          <w:szCs w:val="32"/>
          <w:highlight w:val="none"/>
        </w:rPr>
        <w:t>办公效率和质量，为部门提供更加安全、畅通、优质、高效的办公条件。同时，项目明确了需要采购电子设备及家具数量、租赁编制车辆数量、详细运行经费等具体指标，这些指标构成了项目的完整性和要求，确保了绩效评价的全面性和准确性。</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其次，应分析项目的计划和执行过程方面，项目团队制定了详细的实施计划，例如需采购的电子设备及家具数量、租赁编制车辆数量等，并严格按照计划推进项目的执行。在项目实施前，严格按照合同约定制定了详细的资金申请计划，并严格按照计划进行执行。截至目前，已完成办公电子设备及家具的采购，编制车辆的租赁，运行经费的申请。</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最后，在评价数据的来源，采集方面，项目团队注重数据的准确性和完整性。评价数据主要来源于前期目标的规划。为确保数据的可靠性，项目团队采取了多种数据采集方式，包括数据填报、系统监测等。</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2.评价目的</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本项工作旨在落实《中共中央国务院关于全面实施预算绩效管理的意见》（中发〔2018〕34号）文件精神，全面推进预算绩效管理工作，落实预算执行及绩效管理主体责任。具体而言包括以下两点：（1）通过对项目设立的背景、意义、项目内容、项目现状及绩效目标、资金投入、资金管理、组织实施、产出指标、成本指标和效益指标等进行深入调研和分析，进一步了解市委社会工作部运行保障经费的实施情况，并考察项目实施过程和效果。</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（2）通过评价，客观公正反映项目立项科学性、项目管理规范性、项目实施有效性和项目效果，总结项目实施的经验，发现项目实施过程中存在的问题，提高财政资金使用效益。</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3.评价对象</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（1）绩效评价的对象：市委社会工作部运行保障经费</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4.绩效评价范围</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1.时间范围：2024年6月1日至2024年12月31日。</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2.项目范围：该项目分为三个部分，一是购置办公场所的相关必备产品</w:t>
      </w:r>
      <w:r>
        <w:rPr>
          <w:rStyle w:val="19"/>
          <w:rFonts w:hint="eastAsia" w:eastAsia="楷体"/>
          <w:b w:val="0"/>
          <w:bCs w:val="0"/>
          <w:spacing w:val="-4"/>
          <w:sz w:val="32"/>
          <w:szCs w:val="32"/>
          <w:highlight w:val="none"/>
          <w:lang w:eastAsia="zh-CN"/>
        </w:rPr>
        <w:t>，</w:t>
      </w:r>
      <w:r>
        <w:rPr>
          <w:rStyle w:val="19"/>
          <w:rFonts w:hint="eastAsia" w:eastAsia="楷体"/>
          <w:b w:val="0"/>
          <w:bCs w:val="0"/>
          <w:spacing w:val="-4"/>
          <w:sz w:val="32"/>
          <w:szCs w:val="32"/>
          <w:highlight w:val="none"/>
        </w:rPr>
        <w:t>二是租赁维修保障运转的相关公务车辆</w:t>
      </w:r>
      <w:r>
        <w:rPr>
          <w:rStyle w:val="19"/>
          <w:rFonts w:hint="eastAsia" w:eastAsia="楷体"/>
          <w:b w:val="0"/>
          <w:bCs w:val="0"/>
          <w:spacing w:val="-4"/>
          <w:sz w:val="32"/>
          <w:szCs w:val="32"/>
          <w:highlight w:val="none"/>
          <w:lang w:eastAsia="zh-CN"/>
        </w:rPr>
        <w:t>，</w:t>
      </w:r>
      <w:r>
        <w:rPr>
          <w:rStyle w:val="19"/>
          <w:rFonts w:hint="eastAsia" w:eastAsia="楷体"/>
          <w:b w:val="0"/>
          <w:bCs w:val="0"/>
          <w:spacing w:val="-4"/>
          <w:sz w:val="32"/>
          <w:szCs w:val="32"/>
          <w:highlight w:val="none"/>
        </w:rPr>
        <w:t>三是保障单位正常运转的相关经费。该项目是一项旨在提高</w:t>
      </w:r>
      <w:r>
        <w:rPr>
          <w:rStyle w:val="19"/>
          <w:rFonts w:hint="eastAsia" w:eastAsia="楷体"/>
          <w:b w:val="0"/>
          <w:bCs w:val="0"/>
          <w:spacing w:val="-4"/>
          <w:sz w:val="32"/>
          <w:szCs w:val="32"/>
          <w:highlight w:val="none"/>
          <w:lang w:eastAsia="zh-CN"/>
        </w:rPr>
        <w:t>市委社会工作部</w:t>
      </w:r>
      <w:r>
        <w:rPr>
          <w:rStyle w:val="19"/>
          <w:rFonts w:hint="eastAsia" w:eastAsia="楷体"/>
          <w:b w:val="0"/>
          <w:bCs w:val="0"/>
          <w:spacing w:val="-4"/>
          <w:sz w:val="32"/>
          <w:szCs w:val="32"/>
          <w:highlight w:val="none"/>
        </w:rPr>
        <w:t>的工作质量和效率的关键性工程，通过购置电子设备和家具以及车辆租赁，提高部门办公效率和质量。项目设定明确的目标，包括购置办公电子设备和家具以及车辆租赁。</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评价工作的开展情况：为确保项目的顺利实施和高效管理，评价工作自项目启动之初便同步展开。评价团队对项目的进度</w:t>
      </w:r>
      <w:r>
        <w:rPr>
          <w:rStyle w:val="19"/>
          <w:rFonts w:hint="eastAsia" w:eastAsia="楷体"/>
          <w:b w:val="0"/>
          <w:bCs w:val="0"/>
          <w:spacing w:val="-4"/>
          <w:sz w:val="32"/>
          <w:szCs w:val="32"/>
          <w:highlight w:val="none"/>
          <w:lang w:eastAsia="zh-CN"/>
        </w:rPr>
        <w:t>、</w:t>
      </w:r>
      <w:r>
        <w:rPr>
          <w:rStyle w:val="19"/>
          <w:rFonts w:hint="eastAsia" w:eastAsia="楷体"/>
          <w:b w:val="0"/>
          <w:bCs w:val="0"/>
          <w:spacing w:val="-4"/>
          <w:sz w:val="32"/>
          <w:szCs w:val="32"/>
          <w:highlight w:val="none"/>
        </w:rPr>
        <w:t>资金使用</w:t>
      </w:r>
      <w:r>
        <w:rPr>
          <w:rStyle w:val="19"/>
          <w:rFonts w:hint="eastAsia" w:eastAsia="楷体"/>
          <w:b w:val="0"/>
          <w:bCs w:val="0"/>
          <w:spacing w:val="-4"/>
          <w:sz w:val="32"/>
          <w:szCs w:val="32"/>
          <w:highlight w:val="none"/>
          <w:lang w:eastAsia="zh-CN"/>
        </w:rPr>
        <w:t>、</w:t>
      </w:r>
      <w:r>
        <w:rPr>
          <w:rStyle w:val="19"/>
          <w:rFonts w:hint="eastAsia" w:eastAsia="楷体"/>
          <w:b w:val="0"/>
          <w:bCs w:val="0"/>
          <w:spacing w:val="-4"/>
          <w:sz w:val="32"/>
          <w:szCs w:val="32"/>
          <w:highlight w:val="none"/>
        </w:rPr>
        <w:t>质量控制等方面进行了全面的跟踪和评估。通过定期的项目进展报告，现场考察以及专家评审等方式，评价工作确保了项目目标的顺利实现。</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项目实现的产出情况：根据评价结果，项目已按照计划完成了办公设备和家具的采购以及车辆的租赁。</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取得的效益情况：通过本次升级，市委社会工作部的办公效率和质量实现了显著的效益提升。一方面，编制车辆的租赁，降低了车辆购置成本；另一方面，电子设备和家具的采购也提高了部门工作质量和效率。</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主要经验及做法：在项目实施的过程中，明确的项目目标和合理的预算安排是项目成功的关键；科学的项目管理和有</w:t>
      </w:r>
      <w:r>
        <w:rPr>
          <w:rStyle w:val="19"/>
          <w:rFonts w:hint="eastAsia" w:eastAsia="楷体"/>
          <w:b w:val="0"/>
          <w:bCs w:val="0"/>
          <w:spacing w:val="-4"/>
          <w:sz w:val="32"/>
          <w:szCs w:val="32"/>
          <w:highlight w:val="none"/>
          <w:lang w:eastAsia="zh-CN"/>
        </w:rPr>
        <w:t>效</w:t>
      </w:r>
      <w:r>
        <w:rPr>
          <w:rStyle w:val="19"/>
          <w:rFonts w:hint="eastAsia" w:eastAsia="楷体"/>
          <w:b w:val="0"/>
          <w:bCs w:val="0"/>
          <w:spacing w:val="-4"/>
          <w:sz w:val="32"/>
          <w:szCs w:val="32"/>
          <w:highlight w:val="none"/>
        </w:rPr>
        <w:t>的团队协</w:t>
      </w:r>
      <w:r>
        <w:rPr>
          <w:rStyle w:val="19"/>
          <w:rFonts w:hint="eastAsia" w:eastAsia="楷体"/>
          <w:b w:val="0"/>
          <w:bCs w:val="0"/>
          <w:spacing w:val="-4"/>
          <w:sz w:val="32"/>
          <w:szCs w:val="32"/>
          <w:highlight w:val="none"/>
          <w:lang w:eastAsia="zh-CN"/>
        </w:rPr>
        <w:t>作</w:t>
      </w:r>
      <w:r>
        <w:rPr>
          <w:rStyle w:val="19"/>
          <w:rFonts w:hint="eastAsia" w:eastAsia="楷体"/>
          <w:b w:val="0"/>
          <w:bCs w:val="0"/>
          <w:spacing w:val="-4"/>
          <w:sz w:val="32"/>
          <w:szCs w:val="32"/>
          <w:highlight w:val="none"/>
        </w:rPr>
        <w:t>是确保项目进度和质量的重要保障；定期的评估和反馈机制有助于及时发现问题并进行调整。</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存在的问题及原因分析：尽管项目总体进展顺利，但在实施过程中也暴露了一些问题。例如，部分设备的采购和安装进度稍晚于预期时间，影响了整体项目的进度。经过分析，这主要是由于供应链管理和协调方面的不足所致。</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综合性价结论：中共乌鲁木齐市委员会社会工作部运行保障经费项目在预算范围内基本成功完成了各项任务，基本实现了预定的目标值。项目在提升工作效率和质量方面取得了显著的成效，为市委社会工作部的日常工作提供了有力支持。虽然存在一些问题，但通过总结经验并加强改进措施，可以在未来的工作中进一步提升项目的管理水平和实施效果。</w:t>
      </w:r>
    </w:p>
    <w:p w14:paraId="4377178C">
      <w:pPr>
        <w:spacing w:line="540" w:lineRule="exact"/>
        <w:ind w:firstLine="627" w:firstLineChars="200"/>
        <w:rPr>
          <w:rStyle w:val="19"/>
          <w:rFonts w:ascii="楷体" w:hAnsi="楷体" w:eastAsia="楷体"/>
          <w:spacing w:val="-4"/>
          <w:sz w:val="32"/>
          <w:szCs w:val="32"/>
          <w:highlight w:val="none"/>
        </w:rPr>
      </w:pPr>
      <w:r>
        <w:rPr>
          <w:rStyle w:val="19"/>
          <w:rFonts w:hint="eastAsia" w:ascii="楷体" w:hAnsi="楷体" w:eastAsia="楷体"/>
          <w:spacing w:val="-4"/>
          <w:sz w:val="32"/>
          <w:szCs w:val="32"/>
          <w:highlight w:val="none"/>
        </w:rPr>
        <w:t>（二）绩效评价原则、评价指标体系、评价方法、评价标准</w:t>
      </w:r>
    </w:p>
    <w:p w14:paraId="699F3849">
      <w:pPr>
        <w:spacing w:line="540" w:lineRule="exact"/>
        <w:ind w:firstLine="624" w:firstLineChars="200"/>
        <w:rPr>
          <w:rStyle w:val="19"/>
          <w:rFonts w:eastAsia="楷体"/>
          <w:b w:val="0"/>
          <w:bCs w:val="0"/>
          <w:spacing w:val="-4"/>
          <w:sz w:val="32"/>
          <w:szCs w:val="32"/>
          <w:highlight w:val="none"/>
        </w:rPr>
      </w:pPr>
      <w:r>
        <w:rPr>
          <w:rStyle w:val="19"/>
          <w:rFonts w:hint="eastAsia" w:eastAsia="楷体"/>
          <w:b w:val="0"/>
          <w:bCs w:val="0"/>
          <w:spacing w:val="-4"/>
          <w:sz w:val="32"/>
          <w:szCs w:val="32"/>
          <w:highlight w:val="none"/>
        </w:rPr>
        <w:t>1.评价原则</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（一）科学公正。绩效评价应当运用科学合理的方法，按照规范的程序，对项目绩效进行客观、公正的反映。</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二）统筹兼顾。单位自评、部门评价和财政评价应职责明确，各有侧重，相互衔接。单位自评应由项目单位自主实施，即“谁支出、谁自评”。部门评价和财政评价应在单位自评的基础上开展，必要时可委托第三方机构实施。</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（三）激励约束。绩效评价结果应与预算安排、政策调整、改进管理实质性挂钩，体现奖优罚劣和激励相容导向，有效要安排、低效要压减、无效要问责。</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（四）公开透明。绩效评价结果应依法依规公开，并自觉接受社会监督。</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2.评价指标体系</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绩效评价指标体系作为衡量绩效目标实现程度的考核工具，一般遵循以下原则：</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（1）相关性原则：绩效评价指标应当与绩效目标有直接的联系，能够恰当反映目标的实现程度。</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（2）重要性原则：应当优先使用最具评价对象代表性、最能反映评价要求的核心指标。</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（3）可比性原则：对同类评价对象要设定共性的绩效评价指标，以便于评价结果可以相互比较。</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（4）系统性原则：绩效评价指标的设置应当将定量指标与定性指标相结合，能系统反映财政支出所产生的社会效益、经济效益和可持续影响等。</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（5）经济性原则：绩效评价指标设计应当通俗易懂、简便易行，数据的获得应当考虑现实条件和可操作性，符合成本效益原则。</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本项目的评价指标体系建立如下表所示。</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 xml:space="preserve"> </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项目支出绩效评价指标体系</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一级指标 二级指标 三级指标 指标解释 指标说明</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决策 项目立项 立项依据</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充分性 项目立项是否符合法律法规、相关政策、发展规划以及部门职责，用以反映和考核项目立项依据情况。 评价要点：</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①项目立项是否符合国家法律法规、国民经济发展规划和相关政策；</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②项目立项是否符合行业发展规划和政策要求；</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③项目立项是否与部门职责范围相符，</w:t>
      </w:r>
      <w:r>
        <w:rPr>
          <w:rStyle w:val="19"/>
          <w:rFonts w:hint="eastAsia" w:eastAsia="楷体"/>
          <w:b w:val="0"/>
          <w:bCs w:val="0"/>
          <w:spacing w:val="-4"/>
          <w:sz w:val="32"/>
          <w:szCs w:val="32"/>
          <w:highlight w:val="none"/>
          <w:lang w:val="en-US" w:eastAsia="zh-CN"/>
        </w:rPr>
        <w:t>属于部门</w:t>
      </w:r>
      <w:r>
        <w:rPr>
          <w:rStyle w:val="19"/>
          <w:rFonts w:hint="eastAsia" w:eastAsia="楷体"/>
          <w:b w:val="0"/>
          <w:bCs w:val="0"/>
          <w:spacing w:val="-4"/>
          <w:sz w:val="32"/>
          <w:szCs w:val="32"/>
          <w:highlight w:val="none"/>
        </w:rPr>
        <w:t>履职所需；</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④项目是否属于公共财政支持范围，是否符合中央、地方事权支出责任划分原则；</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⑤项目是否与相关部门同类项目或部门内部相关项目重复。</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立项程序</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规范性 项目申请、设立过程是否符合相关要求，用以反映和考核项目立项的规范情况。 评价要点：</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①项目是否按照规定的程序申请设立；</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②审批文件、材料是否符合相关要求；</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③事前是否已经过必要的可行性研究、专家论证、风险评估、绩效评估、集体决策。</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绩效目标 绩效目标</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合理性 项目所设定的绩效目标是否依据充分，是否符合客观实际，用以反映和考核项目绩效目标与项目实施的相符情况。 评价要点：</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（如未设定预算绩效目标，也可考核其他工作任务目标）</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①项目是否有绩效目标；</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②项目绩效目标与实际工作内容是否具有相关性；</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③项目预期产出效益和效果是否符合正常的业绩水平；</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④是否与预算确定的项目投资额或资金量相匹配。</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决策 绩效目标 绩效指标</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明确性 依据绩效目标设定的绩效指标是否清晰、细化、可衡量等，用以反映和考核项目绩效目标的明细化情况。 评价要点：</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①是否将项目绩效目标细化分解为具体的绩效指标；</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②是否通过清晰、可衡量的指标值予以体现；</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③是否与项目目标任务数或计划数相对应。</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 xml:space="preserve"> </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资金投入 预算编制</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科学性 项目预算编制是否经过科学论证、有明确标准，资金额度与年度目标是否相适应，用以反映和考核项目预算编制的科学性、合理性情况。 评价要点：</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①预算编制是否经过科学论证；</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②预算内容与项目内容是否匹配；</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③预算额度测算依据是否充分，是否按照标准编制；</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④预算确定的项目投资额或资金量是否与工作任务相匹配。</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资金分配</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合理性 项目预算资金分配是否有测算依据，与补助单位或地方实际是否相适应，用以反映和考核项目预算资金分配的科学性、合理性情况。 评价要点：</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①预算资金分配依据是否充分；</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②资金分配额度是否合理，与项目单位或地方实际是否相适应。</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过程 资金管理 资金到位率 实际到位资金与预算资金的比率，用以反映和考核资金落实情况对项目实施的总体保障程度。 资金到位率=（实际到位资金/预算资金）×100%。</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实际到位资金：一定时期（本年度或项目期）内落实到具体项目的资金。</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预算资金：一定时期（本年度或项目期）内预算安排到具体项目的资金。</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预算执行率 项目预算资金是否按照计划执行，用以反映或考核项目预算执行情况。 预算执行率=（实际支出资金/实际到位资金）×100%。</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实际支出资金：一定时期（本年度或项目期）内项目实际拨付的资金。</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过程 资金管理 资金使用</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合规性 项目资金使用是否符合相关的财务管理制度规定，用以反映和考核项目资金的规范运行情况。 评价要点：</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①是否符合国家财经法规和财务管理制度以及有关专项资金管理办法的规定；</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②资金的拨付是否有完整的审批程序和手续；</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③是否符合项目预算批复或合同规定的用途；</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④是否存在截留、挤占、挪用、虚列支出等情况。</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组织实施 管理制度</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健全性 项目实施单位的财务和业务管理制度是否健全，用以反映和考核财务和业务管理制度对项目顺利实施的保障情况。 评价要点：</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①是否已制定或具有相应的财务和业务管理制度；</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②财务和业务管理制度是否合法、合规、完整。</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制度执行</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有效性 项目实施是否符合相关管理规定，用以反映和考核相关管理制度的有效执行情况。 评价要点：</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①是否遵守相关法律法规和相关管理规定；</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②项目调整及支出调整手续是否完备；</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③项目合同书、验收报告、技术鉴定等资料是否齐全并及时归档；</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④项目实施的人员条件、场地设备、信息支撑等是否落实到位。</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产出 产出数量 购置办公家具种类 项目实施的实际产出数与计划产出数的比率，用以反映和考核项目产出数量目标的实现程度。 实际完成率=（实际产出数/计划产出数）×100%。</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实际产出数：一定时期（本年度或项目期）内项目实际产出的产品或提供的服务数量。</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计划产出数：项目绩效目标确定的在一定时期（本年度或项目期）内计划产出的产品或提供的服务数量。</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购置办公设备种类</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租用车辆</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产出 产出质量 设备家具购置验收合格率 项目完成的质量达标产出数与实际产出数的比率，用以反映和考核项目产出质量目标的实现程度。 质量达标率=（质量达标产出数/实际产出数）×100%。</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质量达标产出数：一定时期（本年度或项目期）内实际达到既定质量标准的产品或服务数量。既定质量标准是指项目实施单位设立绩效目标时依据计划标准、行业标准、历史标准或其他标准而设定的绩效指标值。</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车辆运行保障率</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产出时效 完成及时率 项目实际完成时间与计划完成时间的比较，用以反映和考核项目产出时效目标的实现程度。 实际完成时间：项目实施单位完成该项目实际所耗用的时间。</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计划完成时间：按照项目实施计划或相关规定完成该项目所需的时间。</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产出成本 预算成本控制率 完成项目计划工作目标的实际节约成本与计划成本的比率，用以反映和考核项目的成本节约程度。</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成本节约率=[（计划成本-实际成本）/计划成本]×100%。</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实际成本：项目实施单位如期、保质、保量完成既定工作目标实际所耗费的支出。</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计划成本：项目实施单位为完成工作目标计划安排的支出，一般以项目预算为参考。</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效益 社会效益指标 保障办公场所正常运行 项目实施所产生的效益。 项目实施所产生的社会效益、经济效益、生态效益、可持续影响等。可根据项目实际情况有选择地设置和细化。</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提升办公环境，提高工作效率</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满意度指标完成情况分析 满意度指标 工作人员满意度 社会公众或服务对象对项目实施效果的满意程度。 社会公众或服务对象是指因该项目实施而受到影响的部门（单位）、群体或个人。一般采取社会调查的方式。</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 xml:space="preserve"> </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3.评价方法</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《关于印发&lt;项目支出绩效评价管理办法&gt;的通知》（财预〔2020〕10号）文件指出部门评价的方法主要包括成本效益分析法、比较法、因素分析法、最低成本法、公众评判法、标杆管理法等。</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（1）成本效益分析法。是指将投入与产出、效益进行关联性分析的方法。</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（2）比较法。是指将实施情况与绩效目标、历史情况、不同部门和地区同类支出情况进行比较的方法。</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（3）因素分析法。是指综合分析影响绩效目标实现、实施效果的内外部因素的方法。</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（4）最低成本法。是指在绩效目标确定的前提下，成本最小者为优的方法。</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（5）公众评判法。是指通过专家评估、公众问卷及抽样调查等方式进行评判的方法。</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（6）标杆管理法。是指以国内外同行业中较高的绩效水平为标杆进行评判的方法。</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（7）其他评价方法。</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根据市委社会工作部运行保障经费的特点，本次评价主要采用比较法和公众评判法，对项目总预算和明细预算的内容、标准、计划是否经济合理进行深入分析，以考察实际产出和效益是否达到预期。</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4.评价标准</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绩效评价标准主要包括计划标准、行业标准、历史标准等，用于对绩效指标完成情况进行比较。</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（1）计划标准。指以预先制定的目标、计划、预算、定额等作为评价标准。</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（2）行业标准。指参照国家公布的行业指标数据制定的评价标准。</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（3）历史标准。指参照历史数据制定的评价标准，为体现绩效改进的原则，在可实现的条件下应当确定相对较高的评价标准。</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在上述评价标准的基础上，本次评价依据以下文件为重要指导和准绳：</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·《中共中央国务院关于全面实施预算绩效管理的意见》（中发〔2018〕34号）</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·《关于印发&lt;乌鲁木齐市本级部门预算绩效目标管理暂行办法&gt;的通知》（乌财预〔2018〕56号）</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·《关于做好2019年部门预算项目支出绩效目标管理有关事宜的通知》（乌财预〔2018〕76号）</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·《项目支出绩效评价管理办法》（财预〔2020〕10号）</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《关于2024年市本级部门预算的批复》乌财行（2024）72号</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《关于申请购置办公固定资产的请示》和批示（101980号）</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《新疆维吾尔自治区本级行政事业单位通用办公设备家具配置标准》新管发（2024）61号</w:t>
      </w:r>
    </w:p>
    <w:p w14:paraId="3657EAA7">
      <w:pPr>
        <w:spacing w:line="540" w:lineRule="exact"/>
        <w:ind w:firstLine="627" w:firstLineChars="200"/>
        <w:rPr>
          <w:rStyle w:val="19"/>
          <w:rFonts w:ascii="楷体" w:hAnsi="楷体" w:eastAsia="楷体"/>
          <w:spacing w:val="-4"/>
          <w:sz w:val="32"/>
          <w:szCs w:val="32"/>
          <w:highlight w:val="none"/>
        </w:rPr>
      </w:pPr>
      <w:r>
        <w:rPr>
          <w:rStyle w:val="19"/>
          <w:rFonts w:hint="eastAsia" w:ascii="楷体" w:hAnsi="楷体" w:eastAsia="楷体"/>
          <w:spacing w:val="-4"/>
          <w:sz w:val="32"/>
          <w:szCs w:val="32"/>
          <w:highlight w:val="none"/>
        </w:rPr>
        <w:t>（三）绩效评价工作过程</w:t>
      </w:r>
    </w:p>
    <w:p w14:paraId="51F0E1D3">
      <w:pPr>
        <w:spacing w:line="540" w:lineRule="exact"/>
        <w:ind w:firstLine="624" w:firstLineChars="200"/>
        <w:rPr>
          <w:rStyle w:val="19"/>
          <w:rFonts w:eastAsia="楷体"/>
          <w:b w:val="0"/>
          <w:bCs w:val="0"/>
          <w:spacing w:val="-4"/>
          <w:sz w:val="32"/>
          <w:szCs w:val="32"/>
          <w:highlight w:val="none"/>
        </w:rPr>
      </w:pPr>
      <w:r>
        <w:rPr>
          <w:rStyle w:val="19"/>
          <w:rFonts w:hint="eastAsia" w:eastAsia="楷体"/>
          <w:b w:val="0"/>
          <w:bCs w:val="0"/>
          <w:spacing w:val="-4"/>
          <w:sz w:val="32"/>
          <w:szCs w:val="32"/>
          <w:highlight w:val="none"/>
        </w:rPr>
        <w:t>评价小组根据项目绩效目标，查阅有关佐证资料，结合现场抽样调查及延伸评价等方式开展此次评价，重点关注和评价项目预算和绩效目标的匹配情况、项目资金的管理和使用情况、项目实施和监督情况（包括但不限于项目立项、制度执行、质量达标、完成时效等）以及项目产生的实际效益等。具体而言，通过前期准备、材料审核分析、现场核查评价、综合分析评价及报告撰写，评价项目实施情况，展现资金使用效益。</w:t>
      </w:r>
    </w:p>
    <w:p w14:paraId="5DACBAF6">
      <w:pPr>
        <w:spacing w:line="540" w:lineRule="exact"/>
        <w:ind w:firstLine="624" w:firstLineChars="200"/>
        <w:rPr>
          <w:rStyle w:val="19"/>
          <w:rFonts w:ascii="黑体" w:hAnsi="黑体" w:eastAsia="黑体"/>
          <w:b w:val="0"/>
          <w:spacing w:val="-4"/>
          <w:sz w:val="32"/>
          <w:szCs w:val="32"/>
          <w:highlight w:val="none"/>
        </w:rPr>
      </w:pPr>
      <w:r>
        <w:rPr>
          <w:rStyle w:val="19"/>
          <w:rFonts w:hint="eastAsia" w:ascii="黑体" w:hAnsi="黑体" w:eastAsia="黑体"/>
          <w:b w:val="0"/>
          <w:spacing w:val="-4"/>
          <w:sz w:val="32"/>
          <w:szCs w:val="32"/>
          <w:highlight w:val="none"/>
        </w:rPr>
        <w:t>三、综合评价情况及评价结论</w:t>
      </w:r>
    </w:p>
    <w:p w14:paraId="5D52938E">
      <w:pPr>
        <w:spacing w:line="540" w:lineRule="exact"/>
        <w:ind w:firstLine="624" w:firstLineChars="200"/>
        <w:rPr>
          <w:rStyle w:val="19"/>
          <w:rFonts w:eastAsia="楷体"/>
          <w:b w:val="0"/>
          <w:bCs w:val="0"/>
          <w:spacing w:val="-4"/>
          <w:sz w:val="32"/>
          <w:szCs w:val="32"/>
          <w:highlight w:val="none"/>
        </w:rPr>
      </w:pPr>
      <w:r>
        <w:rPr>
          <w:rStyle w:val="19"/>
          <w:rFonts w:hint="eastAsia" w:eastAsia="楷体"/>
          <w:b w:val="0"/>
          <w:bCs w:val="0"/>
          <w:spacing w:val="-4"/>
          <w:sz w:val="32"/>
          <w:szCs w:val="32"/>
          <w:highlight w:val="none"/>
        </w:rPr>
        <w:t>（一）评价结论</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结合项目特点，制定符合项目实际的绩效评价指标体系及评分标准，通过数据采集、问卷调查及访谈等形式，对2024年市委社会工作部运行保障经费进行客观评价，最终评分结果为：总分为98.85分，绩效评级为“优”。</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项目各部分权重和绩效分值如附表所示：</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项目各部分权重和绩效分值</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一级指标 二级指标 三级指标 分值 得分 得分率</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决策 项目立项 立项依据充分性 4 4 100%</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立项程序规范性 4 4 100%</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绩效目标 绩效目标合理性 3 3 100%</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绩效指标明确性 3 3 100%</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资金投入 预算编制科学性 3 3 100%</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资金分配合理性 3 3 100%</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过程 资金管理 资金到位率 5 3.85 77%</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预算执行率 5 5 100%</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资金使用合规性 3 3 100%</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组织实施 管理制度健全性 3 3 100%</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制度执行有效性 4 4 100%</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产出 产出数量 购置办公家具种类 5 5 100%</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保障正常运行车辆数 5 5 100%</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产出质量 购置设备验收合格率 5 5 100%</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车辆运行保障率 5 5 100%</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产出时效 完成及时率 10 10 100%</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产出成本 项目预算控制率 10 10 100%</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效益 项目效益 保障办公场所正常运行 10 10 100%</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提升办公环境，提高工作效率 5 5 100%</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满意度指标完成情况分析 满意度指标 对办公环境满意度 5 5 100%</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（二）主要绩效</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该项目资金财政及时拨付，单位在此次评价期间内，有序完成设定目标的部分工作任务，购置办公桌、会议桌、茶几、沙发、座椅、会议椅、书柜、长边柜、茶水柜、五节柜等21种办公家具；A3复合机、A4彩色打印机、投影仪、笔记本电脑等10种办公设备；租赁车辆3辆（其中1辆电车，2辆燃油用车），保障租赁车辆日常加油及充电，提高工作效率和工作质量。</w:t>
      </w:r>
    </w:p>
    <w:p w14:paraId="2F689B9E">
      <w:pPr>
        <w:spacing w:line="540" w:lineRule="exact"/>
        <w:ind w:firstLine="624" w:firstLineChars="200"/>
        <w:rPr>
          <w:rStyle w:val="19"/>
          <w:rFonts w:ascii="黑体" w:hAnsi="黑体" w:eastAsia="黑体"/>
          <w:highlight w:val="none"/>
        </w:rPr>
      </w:pPr>
      <w:r>
        <w:rPr>
          <w:rStyle w:val="19"/>
          <w:rFonts w:hint="eastAsia" w:ascii="黑体" w:hAnsi="黑体" w:eastAsia="黑体"/>
          <w:b w:val="0"/>
          <w:spacing w:val="-4"/>
          <w:sz w:val="32"/>
          <w:szCs w:val="32"/>
          <w:highlight w:val="none"/>
        </w:rPr>
        <w:t>四、绩效评价指标分析</w:t>
      </w:r>
      <w:r>
        <w:rPr>
          <w:rStyle w:val="19"/>
          <w:rFonts w:hint="eastAsia" w:ascii="黑体" w:hAnsi="黑体" w:eastAsia="黑体"/>
          <w:highlight w:val="none"/>
        </w:rPr>
        <w:t xml:space="preserve"> </w:t>
      </w:r>
    </w:p>
    <w:p w14:paraId="7E1E5778">
      <w:pPr>
        <w:spacing w:line="540" w:lineRule="exact"/>
        <w:ind w:firstLine="627" w:firstLineChars="200"/>
        <w:rPr>
          <w:rFonts w:ascii="楷体" w:hAnsi="楷体" w:eastAsia="楷体"/>
          <w:b/>
          <w:spacing w:val="-4"/>
          <w:sz w:val="32"/>
          <w:szCs w:val="32"/>
          <w:highlight w:val="none"/>
        </w:rPr>
      </w:pPr>
      <w:r>
        <w:rPr>
          <w:rFonts w:hint="eastAsia" w:ascii="楷体" w:hAnsi="楷体" w:eastAsia="楷体"/>
          <w:b/>
          <w:spacing w:val="-4"/>
          <w:sz w:val="32"/>
          <w:szCs w:val="32"/>
          <w:highlight w:val="none"/>
        </w:rPr>
        <w:t>（一）</w:t>
      </w:r>
      <w:r>
        <w:rPr>
          <w:rStyle w:val="19"/>
          <w:rFonts w:hint="eastAsia" w:ascii="楷体" w:hAnsi="楷体" w:eastAsia="楷体"/>
          <w:spacing w:val="-4"/>
          <w:sz w:val="32"/>
          <w:szCs w:val="32"/>
          <w:highlight w:val="none"/>
        </w:rPr>
        <w:t>项目决策情况</w:t>
      </w:r>
    </w:p>
    <w:p w14:paraId="05DF622D">
      <w:pPr>
        <w:spacing w:line="540" w:lineRule="exact"/>
        <w:ind w:firstLine="624" w:firstLineChars="200"/>
        <w:rPr>
          <w:rStyle w:val="19"/>
          <w:rFonts w:eastAsia="楷体"/>
          <w:b w:val="0"/>
          <w:bCs w:val="0"/>
          <w:spacing w:val="-4"/>
          <w:sz w:val="32"/>
          <w:szCs w:val="32"/>
          <w:highlight w:val="none"/>
        </w:rPr>
      </w:pPr>
      <w:r>
        <w:rPr>
          <w:rStyle w:val="19"/>
          <w:rFonts w:hint="eastAsia" w:eastAsia="楷体"/>
          <w:b w:val="0"/>
          <w:bCs w:val="0"/>
          <w:spacing w:val="-4"/>
          <w:sz w:val="32"/>
          <w:szCs w:val="32"/>
          <w:highlight w:val="none"/>
        </w:rPr>
        <w:t>项目决算指标由3个二级指标和6个三级指标构成，权重为20分，实际得分20分。</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1.项目立项</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立项依据充分性：项目立项符合《新疆维吾尔自治区本级行政事业单位通用办公设备家具配置标准》新管发（2024）61号文件要求。本项目属于公共财政支持范围，符合地方事权支出责任划分原则。因此，立项依据充分，得4分。</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立项程序规范性:该项目严格遵循既定的项目管理程序及相关法规要求，完整履行了申请设立的全流程工作。一是在申请环节，单位按规定格式和内容要求，报送《关于申请办公经费的报告》并附明细表，明确资金用途。二是根据《关于对市委社会工作部申请办公资产购置及运行经费的意见》（乌财行﹝2024﹞72号）批复，拟定购置办公桌、会议桌、茶几、沙发、座椅、会议椅、书柜、长边柜、茶水柜、五节柜等办公家具；A3复合机、A4彩色打印机、投影仪、笔记本电脑等办公设备，租赁公务用车车辆等，按照政府采购相关要求，涉及政府采购的向市财政局申请采购计划。三是向市机关事务管理局报送《公务用车租赁申请表》，对拟租赁车辆进行申请登记。不存在缺项、漏项或不符合流程的情形。故立项程序规范，得4分。</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综上，该指标满分8分，得分8分。</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2.绩效目标</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绩效目标合理性：本项目的绩效目标按照产出、效益构建绩效评价指标，且具有明确性、可衡量性、可实现性、相关性和时限性等特点，能较为全面地反映本项目的产出和效益，故绩效目标合理性指标得分3分。</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绩效目标明确性：其中，目标已细化为具体的绩效指标购置办公家具和设备种类及验收合格情况、租用车辆及正常运转情况等具体指标，并具有确切的评价标准，且指标设定均与目标相关。各项指标均能在市委社工部通过工作资料、原始凭证、说明材料归集，按要素、时间、来源等维度收集到相关数据进行佐证，并与当年项目年度计划相对应，故绩效目标明确性指标得分3分。</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综上，该指标满分6分，得分6分。</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3.资金投入</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预算编制科学性：科学规划经费使用，确保预算编制符合实际需求且具有可操作性，并保障单位各项工作有序开展，向市财政申请拨付2024年办公经费共计120万元，其中公务用车租赁、燃油费等约35万元，保障日常办公需求等35万元，组织培训、观摩、调研等约50万元。经市财政会议研究，批复资金为45.73万元。预算额度测算依据充分，测算的资金量与工作任务相匹配，并按标准编制。预算编制以实际需求为根基，预算内容与项目内容相匹配，结合市场动态，通过精细化分项实现资源最优配置，为后续采购、审计以及资产管理工作提供可靠依据。故预算编制科学性指标得分3分。</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资金分配合理性：</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为确保市委社会工作部各项工作有序开展，申请拨付2024年办公经费，一是办公场所水、电、取暖、通信等刚性支出约5万元；二是笔、硒鼓、打印纸等日常消耗品约15万元；三是公务用车租赁费、维修保养费、财产保险费、燃油费等约35万元；四是办公场所维修（护）费、网络铺设费、智慧网络平台搭建费等约10万元；五是其他商品和服务支出约5万元；六是组织全市社会工作</w:t>
      </w:r>
      <w:r>
        <w:rPr>
          <w:rStyle w:val="19"/>
          <w:rFonts w:hint="eastAsia" w:eastAsia="楷体"/>
          <w:b w:val="0"/>
          <w:bCs w:val="0"/>
          <w:spacing w:val="-4"/>
          <w:sz w:val="32"/>
          <w:szCs w:val="32"/>
          <w:highlight w:val="none"/>
          <w:lang w:eastAsia="zh-CN"/>
        </w:rPr>
        <w:t>领域</w:t>
      </w:r>
      <w:r>
        <w:rPr>
          <w:rStyle w:val="19"/>
          <w:rFonts w:hint="eastAsia" w:eastAsia="楷体"/>
          <w:b w:val="0"/>
          <w:bCs w:val="0"/>
          <w:spacing w:val="-4"/>
          <w:sz w:val="32"/>
          <w:szCs w:val="32"/>
          <w:highlight w:val="none"/>
        </w:rPr>
        <w:t>、行业协会商会、“两企三新”党组织、志愿</w:t>
      </w:r>
      <w:r>
        <w:rPr>
          <w:rStyle w:val="19"/>
          <w:rFonts w:hint="eastAsia" w:eastAsia="楷体"/>
          <w:b w:val="0"/>
          <w:bCs w:val="0"/>
          <w:spacing w:val="-4"/>
          <w:sz w:val="32"/>
          <w:szCs w:val="32"/>
          <w:highlight w:val="none"/>
          <w:lang w:eastAsia="zh-CN"/>
        </w:rPr>
        <w:t>服务团队</w:t>
      </w:r>
      <w:r>
        <w:rPr>
          <w:rStyle w:val="19"/>
          <w:rFonts w:hint="eastAsia" w:eastAsia="楷体"/>
          <w:b w:val="0"/>
          <w:bCs w:val="0"/>
          <w:spacing w:val="-4"/>
          <w:sz w:val="32"/>
          <w:szCs w:val="32"/>
          <w:highlight w:val="none"/>
        </w:rPr>
        <w:t>等</w:t>
      </w:r>
      <w:r>
        <w:rPr>
          <w:rStyle w:val="19"/>
          <w:rFonts w:hint="eastAsia" w:eastAsia="楷体"/>
          <w:b w:val="0"/>
          <w:bCs w:val="0"/>
          <w:spacing w:val="-4"/>
          <w:sz w:val="32"/>
          <w:szCs w:val="32"/>
          <w:highlight w:val="none"/>
          <w:lang w:eastAsia="zh-CN"/>
        </w:rPr>
        <w:t>人员</w:t>
      </w:r>
      <w:r>
        <w:rPr>
          <w:rStyle w:val="19"/>
          <w:rFonts w:hint="eastAsia" w:eastAsia="楷体"/>
          <w:b w:val="0"/>
          <w:bCs w:val="0"/>
          <w:spacing w:val="-4"/>
          <w:sz w:val="32"/>
          <w:szCs w:val="32"/>
          <w:highlight w:val="none"/>
        </w:rPr>
        <w:t>参加学习、培训、观摩、调研及相关内容的培养、培育、创建、表彰等费用约50万元，共计120万元。</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根据《关于对市委社会工作部申请办公资产购置及运行经费的意见》（乌财行﹝2024﹞72号）批复，财政实际拨付45.73万元，用于购置办公桌、会议桌、茶几、沙发、座椅、会议椅、书柜、长边柜、茶水柜、五节柜等办公家具；A3复合机、A4彩色打印机、投影仪、笔记本电脑等办公设备；租赁车辆3辆（其中1辆电车，2辆燃油用车），保障车辆日常加油及充电。资金分配合理性指标得分3分。</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综上，该指标满分6分，得分6分。</w:t>
      </w:r>
      <w:r>
        <w:rPr>
          <w:rStyle w:val="19"/>
          <w:rFonts w:hint="eastAsia" w:eastAsia="楷体"/>
          <w:b w:val="0"/>
          <w:bCs w:val="0"/>
          <w:spacing w:val="-4"/>
          <w:sz w:val="32"/>
          <w:szCs w:val="32"/>
          <w:highlight w:val="none"/>
        </w:rPr>
        <w:tab/>
      </w:r>
    </w:p>
    <w:p w14:paraId="7E39B49E">
      <w:pPr>
        <w:spacing w:line="540" w:lineRule="exact"/>
        <w:ind w:firstLine="627" w:firstLineChars="200"/>
        <w:rPr>
          <w:rStyle w:val="19"/>
          <w:rFonts w:ascii="楷体" w:hAnsi="楷体" w:eastAsia="楷体"/>
          <w:spacing w:val="-4"/>
          <w:sz w:val="32"/>
          <w:szCs w:val="32"/>
          <w:highlight w:val="none"/>
        </w:rPr>
      </w:pPr>
      <w:r>
        <w:rPr>
          <w:rFonts w:hint="eastAsia" w:ascii="楷体" w:hAnsi="楷体" w:eastAsia="楷体"/>
          <w:b/>
          <w:spacing w:val="-4"/>
          <w:sz w:val="32"/>
          <w:szCs w:val="32"/>
          <w:highlight w:val="none"/>
        </w:rPr>
        <w:t>（二）</w:t>
      </w:r>
      <w:r>
        <w:rPr>
          <w:rStyle w:val="19"/>
          <w:rFonts w:hint="eastAsia" w:ascii="楷体" w:hAnsi="楷体" w:eastAsia="楷体"/>
          <w:spacing w:val="-4"/>
          <w:sz w:val="32"/>
          <w:szCs w:val="32"/>
          <w:highlight w:val="none"/>
        </w:rPr>
        <w:t>项目过程情况</w:t>
      </w:r>
    </w:p>
    <w:p w14:paraId="32DD5891">
      <w:pPr>
        <w:spacing w:line="540" w:lineRule="exact"/>
        <w:ind w:firstLine="624" w:firstLineChars="200"/>
        <w:rPr>
          <w:rStyle w:val="19"/>
          <w:rFonts w:eastAsia="楷体"/>
          <w:b w:val="0"/>
          <w:bCs w:val="0"/>
          <w:spacing w:val="-4"/>
          <w:sz w:val="32"/>
          <w:szCs w:val="32"/>
          <w:highlight w:val="none"/>
        </w:rPr>
      </w:pPr>
      <w:r>
        <w:rPr>
          <w:rStyle w:val="19"/>
          <w:rFonts w:hint="eastAsia" w:eastAsia="楷体"/>
          <w:b w:val="0"/>
          <w:bCs w:val="0"/>
          <w:spacing w:val="-4"/>
          <w:sz w:val="32"/>
          <w:szCs w:val="32"/>
          <w:highlight w:val="none"/>
        </w:rPr>
        <w:t>项目过程指标由2个二级指标和5个三级指标构成，权重为20分，实际得分18.85分。</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1.资金管理</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资金到位率：年中追加预算资金45.73万元，调整后资金35.41万元，资金到位率77%，资金到位率得分为3.85分。</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预算执行率：支付乌鲁木齐城投城建资源开发有限公司车辆租赁费13.55万元，支付新疆华泰益创新能源科技有限公司电车充电费0.19万元，支付乌鲁木齐市公共资源交易中心燃油账户4.2万元，支付水磨沟区华凌市场海纳红光家具经销部办公家具购置费12万元，支付新疆万客多商贸有限公司办公设备购置费5.26万元等共计支付35.41万元。</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预算执行率100%，预算执行率得分为5分。</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资金使用合规性：本项目资金的使用符合《中共乌鲁木齐市委社会工作部公务用车使用和管理办法》和《乌鲁木齐市委社会工作部经费支出审批流程》。项目调整及支出调整手续完备，整体管理合理有序，项目完成后，及时将项目批复文件、采购合同、租赁合同、验收资料等相关资料分类归档，制度执行有效。项目资金的使用符合国家财经法规和财务管理制度以及有关专项资金管理办法的规定。同时，资金的拨付有完整审批程序，需要相关批复手续，符合项目预算批复或合同规定的用途，不存在截留、挤占、挪用、虚列支出等情况。故资金使用合规性得分为3分。</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综上，该指标满分13分，得分11.85分。</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2.组织实施</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管理制度健全性：</w:t>
      </w:r>
      <w:r>
        <w:rPr>
          <w:rStyle w:val="19"/>
          <w:rFonts w:hint="eastAsia" w:eastAsia="楷体"/>
          <w:b w:val="0"/>
          <w:bCs w:val="0"/>
          <w:spacing w:val="-4"/>
          <w:sz w:val="32"/>
          <w:szCs w:val="32"/>
          <w:highlight w:val="none"/>
          <w:lang w:eastAsia="zh-CN"/>
        </w:rPr>
        <w:t>中共</w:t>
      </w:r>
      <w:r>
        <w:rPr>
          <w:rStyle w:val="19"/>
          <w:rFonts w:hint="eastAsia" w:eastAsia="楷体"/>
          <w:b w:val="0"/>
          <w:bCs w:val="0"/>
          <w:spacing w:val="-4"/>
          <w:sz w:val="32"/>
          <w:szCs w:val="32"/>
          <w:highlight w:val="none"/>
        </w:rPr>
        <w:t>乌鲁木齐市委员会社会工作部已制定相应的《乌鲁木齐市委社会工作部经费支出审批流程》和《市委社会工作部公务</w:t>
      </w:r>
      <w:r>
        <w:rPr>
          <w:rStyle w:val="19"/>
          <w:rFonts w:hint="eastAsia" w:eastAsia="楷体"/>
          <w:b w:val="0"/>
          <w:bCs w:val="0"/>
          <w:spacing w:val="-4"/>
          <w:sz w:val="32"/>
          <w:szCs w:val="32"/>
          <w:highlight w:val="none"/>
          <w:lang w:eastAsia="zh-CN"/>
        </w:rPr>
        <w:t>车辆</w:t>
      </w:r>
      <w:r>
        <w:rPr>
          <w:rStyle w:val="19"/>
          <w:rFonts w:hint="eastAsia" w:eastAsia="楷体"/>
          <w:b w:val="0"/>
          <w:bCs w:val="0"/>
          <w:spacing w:val="-4"/>
          <w:sz w:val="32"/>
          <w:szCs w:val="32"/>
          <w:highlight w:val="none"/>
        </w:rPr>
        <w:t>使用和管理办法》</w:t>
      </w:r>
      <w:r>
        <w:rPr>
          <w:rStyle w:val="19"/>
          <w:rFonts w:hint="eastAsia" w:eastAsia="楷体"/>
          <w:b w:val="0"/>
          <w:bCs w:val="0"/>
          <w:spacing w:val="-4"/>
          <w:sz w:val="32"/>
          <w:szCs w:val="32"/>
          <w:highlight w:val="none"/>
          <w:lang w:eastAsia="zh-CN"/>
        </w:rPr>
        <w:t>等</w:t>
      </w:r>
      <w:r>
        <w:rPr>
          <w:rStyle w:val="19"/>
          <w:rFonts w:hint="eastAsia" w:eastAsia="楷体"/>
          <w:b w:val="0"/>
          <w:bCs w:val="0"/>
          <w:spacing w:val="-4"/>
          <w:sz w:val="32"/>
          <w:szCs w:val="32"/>
          <w:highlight w:val="none"/>
        </w:rPr>
        <w:t>制度，且制度合法、合规、完整，为项目顺利实施提供重要保障。故管理制度健全性得分为3分。</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制度执行有效性：根据评价小组核查情况，</w:t>
      </w:r>
      <w:r>
        <w:rPr>
          <w:rStyle w:val="19"/>
          <w:rFonts w:hint="eastAsia" w:eastAsia="楷体"/>
          <w:b w:val="0"/>
          <w:bCs w:val="0"/>
          <w:spacing w:val="-4"/>
          <w:sz w:val="32"/>
          <w:szCs w:val="32"/>
          <w:highlight w:val="none"/>
          <w:lang w:eastAsia="zh-CN"/>
        </w:rPr>
        <w:t>中共</w:t>
      </w:r>
      <w:r>
        <w:rPr>
          <w:rStyle w:val="19"/>
          <w:rFonts w:hint="eastAsia" w:eastAsia="楷体"/>
          <w:b w:val="0"/>
          <w:bCs w:val="0"/>
          <w:spacing w:val="-4"/>
          <w:sz w:val="32"/>
          <w:szCs w:val="32"/>
          <w:highlight w:val="none"/>
        </w:rPr>
        <w:t>乌鲁木齐市委员会社会工作部严格遵守《乌鲁木齐市委社会工作部经费支出审批流程》和《市委社会工作部公务</w:t>
      </w:r>
      <w:r>
        <w:rPr>
          <w:rStyle w:val="19"/>
          <w:rFonts w:hint="eastAsia" w:eastAsia="楷体"/>
          <w:b w:val="0"/>
          <w:bCs w:val="0"/>
          <w:spacing w:val="-4"/>
          <w:sz w:val="32"/>
          <w:szCs w:val="32"/>
          <w:highlight w:val="none"/>
          <w:lang w:eastAsia="zh-CN"/>
        </w:rPr>
        <w:t>车辆</w:t>
      </w:r>
      <w:r>
        <w:rPr>
          <w:rStyle w:val="19"/>
          <w:rFonts w:hint="eastAsia" w:eastAsia="楷体"/>
          <w:b w:val="0"/>
          <w:bCs w:val="0"/>
          <w:spacing w:val="-4"/>
          <w:sz w:val="32"/>
          <w:szCs w:val="32"/>
          <w:highlight w:val="none"/>
        </w:rPr>
        <w:t>使用和管理办法》</w:t>
      </w:r>
      <w:r>
        <w:rPr>
          <w:rStyle w:val="19"/>
          <w:rFonts w:hint="eastAsia" w:eastAsia="楷体"/>
          <w:b w:val="0"/>
          <w:bCs w:val="0"/>
          <w:spacing w:val="-4"/>
          <w:sz w:val="32"/>
          <w:szCs w:val="32"/>
          <w:highlight w:val="none"/>
          <w:lang w:eastAsia="zh-CN"/>
        </w:rPr>
        <w:t>等</w:t>
      </w:r>
      <w:r>
        <w:rPr>
          <w:rStyle w:val="19"/>
          <w:rFonts w:hint="eastAsia" w:eastAsia="楷体"/>
          <w:b w:val="0"/>
          <w:bCs w:val="0"/>
          <w:spacing w:val="-4"/>
          <w:sz w:val="32"/>
          <w:szCs w:val="32"/>
          <w:highlight w:val="none"/>
        </w:rPr>
        <w:t>制度，项目调整及支出调整手续完备，整体管理合理有序，项目完成后，及时将批复文件、采购合同、租赁合同、验收资料等相关资料分类归档，制度执行有效。故制度执行有效性指标得分4分。</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综上，该指标满分7分，得分7分。</w:t>
      </w:r>
    </w:p>
    <w:p w14:paraId="0ED47401">
      <w:pPr>
        <w:spacing w:line="540" w:lineRule="exact"/>
        <w:ind w:firstLine="627" w:firstLineChars="200"/>
        <w:rPr>
          <w:rFonts w:ascii="楷体" w:hAnsi="楷体" w:eastAsia="楷体"/>
          <w:b/>
          <w:spacing w:val="-4"/>
          <w:sz w:val="32"/>
          <w:szCs w:val="32"/>
          <w:highlight w:val="none"/>
        </w:rPr>
      </w:pPr>
      <w:r>
        <w:rPr>
          <w:rFonts w:hint="eastAsia" w:ascii="楷体" w:hAnsi="楷体" w:eastAsia="楷体"/>
          <w:b/>
          <w:spacing w:val="-4"/>
          <w:sz w:val="32"/>
          <w:szCs w:val="32"/>
          <w:highlight w:val="none"/>
        </w:rPr>
        <w:t>（三）</w:t>
      </w:r>
      <w:r>
        <w:rPr>
          <w:rStyle w:val="19"/>
          <w:rFonts w:hint="eastAsia" w:ascii="楷体" w:hAnsi="楷体" w:eastAsia="楷体"/>
          <w:spacing w:val="-4"/>
          <w:sz w:val="32"/>
          <w:szCs w:val="32"/>
          <w:highlight w:val="none"/>
        </w:rPr>
        <w:t>项目产出情况</w:t>
      </w:r>
    </w:p>
    <w:p w14:paraId="399FAC4D">
      <w:pPr>
        <w:spacing w:line="540" w:lineRule="exact"/>
        <w:ind w:firstLine="624" w:firstLineChars="200"/>
        <w:rPr>
          <w:rStyle w:val="19"/>
          <w:rFonts w:eastAsia="楷体"/>
          <w:b w:val="0"/>
          <w:bCs w:val="0"/>
          <w:spacing w:val="-4"/>
          <w:sz w:val="32"/>
          <w:szCs w:val="32"/>
          <w:highlight w:val="none"/>
        </w:rPr>
      </w:pPr>
      <w:r>
        <w:rPr>
          <w:rStyle w:val="19"/>
          <w:rFonts w:hint="eastAsia" w:eastAsia="楷体"/>
          <w:b w:val="0"/>
          <w:bCs w:val="0"/>
          <w:spacing w:val="-4"/>
          <w:sz w:val="32"/>
          <w:szCs w:val="32"/>
          <w:highlight w:val="none"/>
        </w:rPr>
        <w:t>项目产出指标由2个二级指标和7个三级指标构成，权重为40分，实际得分40分。</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1.产出数量</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数量指标“购置办公家具种类”的目标值是≥13种，2024年度实际完成21种，原因是购置办公家具采购计划编制阶段缺乏足够的调研和论证导致实际采购种类</w:t>
      </w:r>
      <w:r>
        <w:rPr>
          <w:rStyle w:val="19"/>
          <w:rFonts w:hint="eastAsia" w:eastAsia="楷体"/>
          <w:b w:val="0"/>
          <w:bCs w:val="0"/>
          <w:spacing w:val="-4"/>
          <w:sz w:val="32"/>
          <w:szCs w:val="32"/>
          <w:highlight w:val="none"/>
          <w:lang w:eastAsia="zh-CN"/>
        </w:rPr>
        <w:t>多于计划采购种类</w:t>
      </w:r>
      <w:r>
        <w:rPr>
          <w:rStyle w:val="19"/>
          <w:rFonts w:hint="eastAsia" w:eastAsia="楷体"/>
          <w:b w:val="0"/>
          <w:bCs w:val="0"/>
          <w:spacing w:val="-4"/>
          <w:sz w:val="32"/>
          <w:szCs w:val="32"/>
          <w:highlight w:val="none"/>
        </w:rPr>
        <w:t>，实际完成超出61.54%，实际完成率：161.54%，故实际完成率得分为3分。</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数量指标“购置办公设备种类”的目标值是≥8种，2024年度我单位实际完成10种，原因是购置办公设备采购计划编制阶段缺乏足够的调研和论证导致实际采购种类</w:t>
      </w:r>
      <w:r>
        <w:rPr>
          <w:rStyle w:val="19"/>
          <w:rFonts w:hint="eastAsia" w:eastAsia="楷体"/>
          <w:b w:val="0"/>
          <w:bCs w:val="0"/>
          <w:spacing w:val="-4"/>
          <w:sz w:val="32"/>
          <w:szCs w:val="32"/>
          <w:highlight w:val="none"/>
          <w:lang w:eastAsia="zh-CN"/>
        </w:rPr>
        <w:t>多于计划采购种类</w:t>
      </w:r>
      <w:r>
        <w:rPr>
          <w:rStyle w:val="19"/>
          <w:rFonts w:hint="eastAsia" w:eastAsia="楷体"/>
          <w:b w:val="0"/>
          <w:bCs w:val="0"/>
          <w:spacing w:val="-4"/>
          <w:sz w:val="32"/>
          <w:szCs w:val="32"/>
          <w:highlight w:val="none"/>
        </w:rPr>
        <w:t>，实际完成超出25%</w:t>
      </w:r>
      <w:r>
        <w:rPr>
          <w:rStyle w:val="19"/>
          <w:rFonts w:hint="eastAsia" w:eastAsia="楷体"/>
          <w:b w:val="0"/>
          <w:bCs w:val="0"/>
          <w:spacing w:val="-4"/>
          <w:sz w:val="32"/>
          <w:szCs w:val="32"/>
          <w:highlight w:val="none"/>
          <w:lang w:eastAsia="zh-CN"/>
        </w:rPr>
        <w:t>，</w:t>
      </w:r>
      <w:r>
        <w:rPr>
          <w:rStyle w:val="19"/>
          <w:rFonts w:hint="eastAsia" w:eastAsia="楷体"/>
          <w:b w:val="0"/>
          <w:bCs w:val="0"/>
          <w:spacing w:val="-4"/>
          <w:sz w:val="32"/>
          <w:szCs w:val="32"/>
          <w:highlight w:val="none"/>
        </w:rPr>
        <w:t>实际完成率：125%，故实际完成率得分为3分。</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数量指标“租用车辆”的目标值是≥3辆，2024年度我单位实际完成3辆。实际完成率：100%，故实际完成率得分为4分。</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综上，数量指标得分为10分。</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2.产出质量</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设备家具购置验收合格率：我单位本年采购办公设备和家具均已验收完成，验收合格率100%。设备家具购置验收合格率得分为5分。</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车辆运行保障率：我单位本年租赁车辆已验收完成，验收合格率100%。运行保障达标率得分为5分。</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3.产出时效</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完成及时性：按照计划购置办公桌、会议桌、茶几、沙发、座椅、会议椅、书柜、长边柜、茶水柜、五节柜等21种办公家具；A3复合机、A4彩色打印机、投影仪、笔记本电脑等10种办公设备；租赁车辆3辆（其中1辆电车，2辆燃油用车），保障单位正常运转。</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故完成及时性得分为10分。</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4.产出成本情况</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项目预算控制率：本项目实际支出35.41万元，无超支情况，项目资金全部完成，得分为10分。</w:t>
      </w:r>
    </w:p>
    <w:p w14:paraId="274EB242">
      <w:pPr>
        <w:spacing w:line="540" w:lineRule="exact"/>
        <w:ind w:firstLine="627" w:firstLineChars="200"/>
        <w:rPr>
          <w:rFonts w:ascii="楷体" w:hAnsi="楷体" w:eastAsia="楷体"/>
          <w:b/>
          <w:spacing w:val="-4"/>
          <w:sz w:val="32"/>
          <w:szCs w:val="32"/>
          <w:highlight w:val="none"/>
        </w:rPr>
      </w:pPr>
      <w:r>
        <w:rPr>
          <w:rFonts w:hint="eastAsia" w:ascii="楷体" w:hAnsi="楷体" w:eastAsia="楷体"/>
          <w:b/>
          <w:spacing w:val="-4"/>
          <w:sz w:val="32"/>
          <w:szCs w:val="32"/>
          <w:highlight w:val="none"/>
        </w:rPr>
        <w:t>（四）</w:t>
      </w:r>
      <w:r>
        <w:rPr>
          <w:rStyle w:val="19"/>
          <w:rFonts w:hint="eastAsia" w:ascii="楷体" w:hAnsi="楷体" w:eastAsia="楷体"/>
          <w:spacing w:val="-4"/>
          <w:sz w:val="32"/>
          <w:szCs w:val="32"/>
          <w:highlight w:val="none"/>
        </w:rPr>
        <w:t>项目效益情况</w:t>
      </w:r>
    </w:p>
    <w:p w14:paraId="6229802F">
      <w:pPr>
        <w:spacing w:line="540" w:lineRule="exact"/>
        <w:ind w:firstLine="624" w:firstLineChars="200"/>
        <w:rPr>
          <w:rStyle w:val="19"/>
          <w:rFonts w:eastAsia="楷体"/>
          <w:b w:val="0"/>
          <w:bCs w:val="0"/>
          <w:spacing w:val="-4"/>
          <w:sz w:val="32"/>
          <w:szCs w:val="32"/>
          <w:highlight w:val="none"/>
        </w:rPr>
      </w:pPr>
      <w:r>
        <w:rPr>
          <w:rStyle w:val="19"/>
          <w:rFonts w:hint="eastAsia" w:eastAsia="楷体"/>
          <w:b w:val="0"/>
          <w:bCs w:val="0"/>
          <w:spacing w:val="-4"/>
          <w:sz w:val="32"/>
          <w:szCs w:val="32"/>
          <w:highlight w:val="none"/>
        </w:rPr>
        <w:t>项目效益指标由1个二级指标和2个三级指标构成，权重为20分，实际得分20分。</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（1）实施效益</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经济效益指标：不适用。</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社会效益指标：①评价指标“保障办公场所正常运行”，指标值：保持，实际完成值：达成年度指标。本项目的实施为保障办公室办公环境和办公质量，采购办公家具和办公设备且验收均已完成，可以很好的保障</w:t>
      </w:r>
      <w:r>
        <w:rPr>
          <w:rStyle w:val="19"/>
          <w:rFonts w:hint="eastAsia" w:eastAsia="楷体"/>
          <w:b w:val="0"/>
          <w:bCs w:val="0"/>
          <w:spacing w:val="-4"/>
          <w:sz w:val="32"/>
          <w:szCs w:val="32"/>
          <w:highlight w:val="none"/>
          <w:lang w:eastAsia="zh-CN"/>
        </w:rPr>
        <w:t>市委社会工作部</w:t>
      </w:r>
      <w:r>
        <w:rPr>
          <w:rStyle w:val="19"/>
          <w:rFonts w:hint="eastAsia" w:eastAsia="楷体"/>
          <w:b w:val="0"/>
          <w:bCs w:val="0"/>
          <w:spacing w:val="-4"/>
          <w:sz w:val="32"/>
          <w:szCs w:val="32"/>
          <w:highlight w:val="none"/>
        </w:rPr>
        <w:t>办公场所的正常运行。②评价指标“提升办公环境，提高工作效率”，指标值：提升，实际完成值：达成年度指标。本项目的实施为保障办公室办公环境和办公质量，采购办公家具和办公设备且验收均已完成，在一定程度上为工作人员的办公提供便捷，提高了工作效率的同时也提升了办公环境。</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生态效益指标：不适用。</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综上，该指标满分15分，得分15分。</w:t>
      </w:r>
    </w:p>
    <w:p w14:paraId="61D16D90">
      <w:pPr>
        <w:spacing w:line="540" w:lineRule="exact"/>
        <w:ind w:firstLine="624" w:firstLineChars="200"/>
        <w:rPr>
          <w:rStyle w:val="19"/>
          <w:rFonts w:eastAsia="楷体"/>
          <w:b w:val="0"/>
          <w:bCs w:val="0"/>
          <w:spacing w:val="-4"/>
          <w:sz w:val="32"/>
          <w:szCs w:val="32"/>
          <w:highlight w:val="none"/>
        </w:rPr>
      </w:pPr>
      <w:r>
        <w:rPr>
          <w:rStyle w:val="19"/>
          <w:rFonts w:hint="eastAsia" w:eastAsia="楷体"/>
          <w:b w:val="0"/>
          <w:bCs w:val="0"/>
          <w:spacing w:val="-4"/>
          <w:sz w:val="32"/>
          <w:szCs w:val="32"/>
          <w:highlight w:val="none"/>
        </w:rPr>
        <w:t>（1）满意度指标</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工作人员满意度：评价指标“对办公环境改善的满意度”，指标值：≥90%，实际完成值：100%。通过设置问卷调查的方式进行考评评价，因单位实际在岗干部职工不足20人，故调查样本总量为10个样本，有效调查问卷10份。其中，统计“对办公环境满意度”的平均值为100%。故满意度指标得分为5分。</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综上，该指标满分5分，得分5分。</w:t>
      </w:r>
    </w:p>
    <w:p w14:paraId="7799E153">
      <w:pPr>
        <w:spacing w:line="540" w:lineRule="exact"/>
        <w:ind w:firstLine="624" w:firstLineChars="200"/>
        <w:rPr>
          <w:rStyle w:val="19"/>
          <w:rFonts w:ascii="黑体" w:hAnsi="黑体" w:eastAsia="黑体"/>
          <w:b w:val="0"/>
          <w:spacing w:val="-4"/>
          <w:sz w:val="32"/>
          <w:szCs w:val="32"/>
          <w:highlight w:val="none"/>
        </w:rPr>
      </w:pPr>
      <w:r>
        <w:rPr>
          <w:rStyle w:val="19"/>
          <w:rFonts w:hint="eastAsia" w:ascii="黑体" w:hAnsi="黑体" w:eastAsia="黑体"/>
          <w:b w:val="0"/>
          <w:spacing w:val="-4"/>
          <w:sz w:val="32"/>
          <w:szCs w:val="32"/>
          <w:highlight w:val="none"/>
        </w:rPr>
        <w:t>五、主要经验及做法、存在的问题及原因分析</w:t>
      </w:r>
    </w:p>
    <w:p w14:paraId="10364B1A">
      <w:pPr>
        <w:spacing w:line="540" w:lineRule="exact"/>
        <w:ind w:firstLine="624" w:firstLineChars="200"/>
        <w:rPr>
          <w:rStyle w:val="19"/>
          <w:rFonts w:eastAsia="楷体"/>
          <w:highlight w:val="none"/>
        </w:rPr>
      </w:pPr>
      <w:r>
        <w:rPr>
          <w:rStyle w:val="19"/>
          <w:rFonts w:hint="eastAsia" w:eastAsia="楷体"/>
          <w:b w:val="0"/>
          <w:bCs w:val="0"/>
          <w:spacing w:val="-4"/>
          <w:sz w:val="32"/>
          <w:szCs w:val="32"/>
          <w:highlight w:val="none"/>
        </w:rPr>
        <w:t>（一）主要经验及做法</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1.明确目标和需求：在项目开始前，明确部门日常办公所需设备的目标和需求，报告要实现的功能，改善的效果等。有助于在项目实施过程中保持清晰的方向，避免不必要的修改和返工。</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2.制定详细的计划和预算：在项目实施前，应制定详细的计划和预算，包括采购规划表，资源分配，经费预算等。有助于确保项目按计划进行，并在预算范围内完成。</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3.选择合适的设备和家具：在项目实施过程中，选择性能稳定，质量可靠的设备和家具。确保办公室日常工作的正常开展，降低设备故障率和维护成本。</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4.重视设备验收和测试：在项目实施过程中，重视验收和测试，确保所有设备均能正常工作，达到预期性能。在项目完成后，进行实际使用测试，以确保系统满足实际需求。</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（二）存在的问题及原因分析</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1.</w:t>
      </w:r>
      <w:r>
        <w:rPr>
          <w:rStyle w:val="19"/>
          <w:rFonts w:hint="eastAsia" w:eastAsia="楷体"/>
          <w:b w:val="0"/>
          <w:bCs w:val="0"/>
          <w:spacing w:val="-4"/>
          <w:sz w:val="32"/>
          <w:szCs w:val="32"/>
          <w:highlight w:val="none"/>
          <w:lang w:eastAsia="zh-CN"/>
        </w:rPr>
        <w:t>市委社会工作部</w:t>
      </w:r>
      <w:r>
        <w:rPr>
          <w:rStyle w:val="19"/>
          <w:rFonts w:hint="eastAsia" w:eastAsia="楷体"/>
          <w:b w:val="0"/>
          <w:bCs w:val="0"/>
          <w:spacing w:val="-4"/>
          <w:sz w:val="32"/>
          <w:szCs w:val="32"/>
          <w:highlight w:val="none"/>
        </w:rPr>
        <w:t>在前期项目规划与预算申报过程中，因对工作需求的动态评估不足，导致部分关键采购项目未纳入初期申报方案</w:t>
      </w:r>
      <w:r>
        <w:rPr>
          <w:rStyle w:val="19"/>
          <w:rFonts w:hint="eastAsia" w:eastAsia="楷体"/>
          <w:b w:val="0"/>
          <w:bCs w:val="0"/>
          <w:spacing w:val="-4"/>
          <w:sz w:val="32"/>
          <w:szCs w:val="32"/>
          <w:highlight w:val="none"/>
          <w:lang w:eastAsia="zh-CN"/>
        </w:rPr>
        <w:t>，</w:t>
      </w:r>
      <w:r>
        <w:rPr>
          <w:rStyle w:val="19"/>
          <w:rFonts w:hint="eastAsia" w:eastAsia="楷体"/>
          <w:b w:val="0"/>
          <w:bCs w:val="0"/>
          <w:spacing w:val="-4"/>
          <w:sz w:val="32"/>
          <w:szCs w:val="32"/>
          <w:highlight w:val="none"/>
        </w:rPr>
        <w:t>这一疏漏在项目落地实施阶段逐渐显现</w:t>
      </w:r>
      <w:r>
        <w:rPr>
          <w:rStyle w:val="19"/>
          <w:rFonts w:hint="eastAsia" w:eastAsia="楷体"/>
          <w:b w:val="0"/>
          <w:bCs w:val="0"/>
          <w:spacing w:val="-4"/>
          <w:sz w:val="32"/>
          <w:szCs w:val="32"/>
          <w:highlight w:val="none"/>
          <w:lang w:eastAsia="zh-CN"/>
        </w:rPr>
        <w:t>。</w:t>
      </w:r>
      <w:r>
        <w:rPr>
          <w:rStyle w:val="19"/>
          <w:rFonts w:hint="eastAsia" w:eastAsia="楷体"/>
          <w:b w:val="0"/>
          <w:bCs w:val="0"/>
          <w:spacing w:val="-4"/>
          <w:sz w:val="32"/>
          <w:szCs w:val="32"/>
          <w:highlight w:val="none"/>
        </w:rPr>
        <w:t>为保障服务质量与进度，部门不得不通过协调办公经费缺口的方式，对遗漏项目进行补充采购。此次情况也为后续项目申报工作敲响了警钟，需进一步强化需求调研的全面性与预算编制的精细化流程。</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2.在新办公场所的空间规划过程中，前期对部分房间的功能布局与家具尺寸匹配度考量不足。原计划在某</w:t>
      </w:r>
      <w:r>
        <w:rPr>
          <w:rStyle w:val="19"/>
          <w:rFonts w:hint="eastAsia" w:eastAsia="楷体"/>
          <w:b w:val="0"/>
          <w:bCs w:val="0"/>
          <w:spacing w:val="-4"/>
          <w:sz w:val="32"/>
          <w:szCs w:val="32"/>
          <w:highlight w:val="none"/>
          <w:lang w:eastAsia="zh-CN"/>
        </w:rPr>
        <w:t>办公室</w:t>
      </w:r>
      <w:r>
        <w:rPr>
          <w:rStyle w:val="19"/>
          <w:rFonts w:hint="eastAsia" w:eastAsia="楷体"/>
          <w:b w:val="0"/>
          <w:bCs w:val="0"/>
          <w:spacing w:val="-4"/>
          <w:sz w:val="32"/>
          <w:szCs w:val="32"/>
          <w:highlight w:val="none"/>
        </w:rPr>
        <w:t>放置标准尺寸的大型茶几，以满足多人接待需求，但实际入场测量后发现，受房间开间进深限制，大型茶几摆放后会导致通道宽度不足，影响人员通行及整体空间动线流畅性。经设计团队与行政部门紧急磋商，为避免空间浪费及使用不便，决定将大型茶几更换为同风格的小型茶几。调整后，该区域既保留了接待功能，又通过合理缩放家具尺寸优化了空间利用率，同时通过搭配墙面装饰画与绿植点缀，维持了办公环境的美观度与舒适度。此次调整也为后续办公场所软装布置提供了经验参考，需在设计阶段强化实地勘测与家具尺寸预演环节。</w:t>
      </w:r>
    </w:p>
    <w:p w14:paraId="5BEB375E">
      <w:pPr>
        <w:spacing w:line="540" w:lineRule="exact"/>
        <w:ind w:firstLine="624" w:firstLineChars="200"/>
        <w:rPr>
          <w:rStyle w:val="19"/>
          <w:rFonts w:ascii="黑体" w:hAnsi="黑体" w:eastAsia="黑体"/>
          <w:b w:val="0"/>
          <w:spacing w:val="-4"/>
          <w:sz w:val="32"/>
          <w:szCs w:val="32"/>
          <w:highlight w:val="none"/>
        </w:rPr>
      </w:pPr>
      <w:r>
        <w:rPr>
          <w:rStyle w:val="19"/>
          <w:rFonts w:hint="eastAsia" w:ascii="黑体" w:hAnsi="黑体" w:eastAsia="黑体"/>
          <w:b w:val="0"/>
          <w:spacing w:val="-4"/>
          <w:sz w:val="32"/>
          <w:szCs w:val="32"/>
          <w:highlight w:val="none"/>
        </w:rPr>
        <w:t>六、有关建议</w:t>
      </w:r>
    </w:p>
    <w:p w14:paraId="0208BB2F">
      <w:pPr>
        <w:spacing w:line="540" w:lineRule="exact"/>
        <w:ind w:firstLine="624" w:firstLineChars="200"/>
        <w:rPr>
          <w:rStyle w:val="19"/>
          <w:rFonts w:eastAsia="楷体"/>
          <w:b w:val="0"/>
          <w:bCs w:val="0"/>
          <w:spacing w:val="-4"/>
          <w:sz w:val="32"/>
          <w:szCs w:val="32"/>
          <w:highlight w:val="none"/>
        </w:rPr>
      </w:pPr>
      <w:r>
        <w:rPr>
          <w:rStyle w:val="19"/>
          <w:rFonts w:hint="eastAsia" w:eastAsia="楷体"/>
          <w:b w:val="0"/>
          <w:bCs w:val="0"/>
          <w:spacing w:val="-4"/>
          <w:sz w:val="32"/>
          <w:szCs w:val="32"/>
          <w:highlight w:val="none"/>
        </w:rPr>
        <w:t>1.针对</w:t>
      </w:r>
      <w:r>
        <w:rPr>
          <w:rStyle w:val="19"/>
          <w:rFonts w:hint="eastAsia" w:eastAsia="楷体"/>
          <w:b w:val="0"/>
          <w:bCs w:val="0"/>
          <w:spacing w:val="-4"/>
          <w:sz w:val="32"/>
          <w:szCs w:val="32"/>
          <w:highlight w:val="none"/>
          <w:lang w:eastAsia="zh-CN"/>
        </w:rPr>
        <w:t>市委社会工作部</w:t>
      </w:r>
      <w:r>
        <w:rPr>
          <w:rStyle w:val="19"/>
          <w:rFonts w:hint="eastAsia" w:eastAsia="楷体"/>
          <w:b w:val="0"/>
          <w:bCs w:val="0"/>
          <w:spacing w:val="-4"/>
          <w:sz w:val="32"/>
          <w:szCs w:val="32"/>
          <w:highlight w:val="none"/>
        </w:rPr>
        <w:t>项目采购遗漏问题的改进建议：强化需求调研与动态评估①全流程需求摸排，在项目申报前，梳理全周期所需物资（如专业工具、应急设备、耗材等），形成需求清单台账。②建立动态增补机制，设立项目执行月度复盘会，跟踪物资使用情况，及时识别新增需求（如季节性服务物资、临时活动装备），避免因需求变化导致遗漏。③优化预算编制与审核流程，精细化预算科目。将采购项目按“核心服务物资”“辅助支持物资”“应急备用物资”分类编制，预留5%-10%的弹性预算空间，用于应对未预见需求。对单价较高或需定制的物资（如专业设备、信息系统账号），提前开展市场询价调研，确保预算金额与实际成本匹配。④多级审核机制，预算报告提交前，由项目</w:t>
      </w:r>
      <w:bookmarkStart w:id="0" w:name="_GoBack"/>
      <w:r>
        <w:rPr>
          <w:rStyle w:val="19"/>
          <w:rFonts w:hint="eastAsia" w:eastAsia="楷体"/>
          <w:b w:val="0"/>
          <w:bCs w:val="0"/>
          <w:spacing w:val="-4"/>
          <w:sz w:val="32"/>
          <w:szCs w:val="32"/>
          <w:highlight w:val="none"/>
        </w:rPr>
        <w:t>负责人初核、部门主管复核、财务人员终审，重点审核“需求关</w:t>
      </w:r>
      <w:bookmarkEnd w:id="0"/>
      <w:r>
        <w:rPr>
          <w:rStyle w:val="19"/>
          <w:rFonts w:hint="eastAsia" w:eastAsia="楷体"/>
          <w:b w:val="0"/>
          <w:bCs w:val="0"/>
          <w:spacing w:val="-4"/>
          <w:sz w:val="32"/>
          <w:szCs w:val="32"/>
          <w:highlight w:val="none"/>
        </w:rPr>
        <w:t>联性”“数据完整性”“场景适用性”，避免因沟通误差导致项目漏报。</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2.针对办公场所空间规划问题的改进建议：①强化前期勘测与数据精准度，营用三维实测与模拟布局入场前使用激光测距仪或3D扫描工具完成全尺寸空间测绘，生成带尺寸标注的CAD图纸或BIM模型，直观呈现房间长宽高、门窗位置、管道走向等细节。在模型中预演家具摆放，通过比例尺纸模/虚拟建模测试不同尺寸家具的空间占比，避免“视觉预估”导致的误差（如大型茶几与通道间距需≥80cm）。</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②建立家具尺寸数据库，提前收集常用家具（如茶几、会议桌、书架）的标准尺寸区间及品牌型号参数，标注“最小适用面积”（如大型茶几建议适配≥20㎡的</w:t>
      </w:r>
      <w:r>
        <w:rPr>
          <w:rStyle w:val="19"/>
          <w:rFonts w:hint="eastAsia" w:eastAsia="楷体"/>
          <w:b w:val="0"/>
          <w:bCs w:val="0"/>
          <w:spacing w:val="-4"/>
          <w:sz w:val="32"/>
          <w:szCs w:val="32"/>
          <w:highlight w:val="none"/>
          <w:lang w:eastAsia="zh-CN"/>
        </w:rPr>
        <w:t>办公室</w:t>
      </w:r>
      <w:r>
        <w:rPr>
          <w:rStyle w:val="19"/>
          <w:rFonts w:hint="eastAsia" w:eastAsia="楷体"/>
          <w:b w:val="0"/>
          <w:bCs w:val="0"/>
          <w:spacing w:val="-4"/>
          <w:sz w:val="32"/>
          <w:szCs w:val="32"/>
          <w:highlight w:val="none"/>
        </w:rPr>
        <w:t>），为空间规划提供量化参考。</w:t>
      </w:r>
    </w:p>
    <w:p w14:paraId="2EBBCD70">
      <w:pPr>
        <w:spacing w:line="540" w:lineRule="exact"/>
        <w:ind w:firstLine="624" w:firstLineChars="200"/>
        <w:rPr>
          <w:rStyle w:val="19"/>
          <w:rFonts w:ascii="黑体" w:hAnsi="黑体" w:eastAsia="黑体"/>
          <w:b w:val="0"/>
          <w:spacing w:val="-4"/>
          <w:sz w:val="32"/>
          <w:szCs w:val="32"/>
          <w:highlight w:val="none"/>
        </w:rPr>
      </w:pPr>
      <w:r>
        <w:rPr>
          <w:rStyle w:val="19"/>
          <w:rFonts w:hint="eastAsia" w:ascii="黑体" w:hAnsi="黑体" w:eastAsia="黑体"/>
          <w:b w:val="0"/>
          <w:spacing w:val="-4"/>
          <w:sz w:val="32"/>
          <w:szCs w:val="32"/>
          <w:highlight w:val="none"/>
        </w:rPr>
        <w:t>七、其他需要说明的问题</w:t>
      </w:r>
    </w:p>
    <w:p w14:paraId="12026D19">
      <w:pPr>
        <w:spacing w:line="540" w:lineRule="exact"/>
        <w:ind w:firstLine="624" w:firstLineChars="200"/>
        <w:rPr>
          <w:rStyle w:val="19"/>
          <w:rFonts w:eastAsia="楷体"/>
          <w:b w:val="0"/>
          <w:bCs w:val="0"/>
          <w:spacing w:val="-4"/>
          <w:sz w:val="32"/>
          <w:szCs w:val="32"/>
          <w:highlight w:val="none"/>
        </w:rPr>
      </w:pPr>
      <w:r>
        <w:rPr>
          <w:rStyle w:val="19"/>
          <w:rFonts w:hint="eastAsia" w:eastAsia="楷体"/>
          <w:b w:val="0"/>
          <w:bCs w:val="0"/>
          <w:spacing w:val="-4"/>
          <w:sz w:val="32"/>
          <w:szCs w:val="32"/>
          <w:highlight w:val="none"/>
        </w:rPr>
        <w:t>1.加大监管力度：在绩效评价的过程中，需要加强监督和管理，确保按要求提供服务，同时也需要加强对评价结果的监督和反馈，以保证评价工作的有效性。</w:t>
      </w:r>
      <w:r>
        <w:rPr>
          <w:rFonts w:hint="eastAsia" w:eastAsia="楷体"/>
          <w:b w:val="0"/>
          <w:bCs w:val="0"/>
          <w:spacing w:val="-4"/>
          <w:sz w:val="32"/>
          <w:szCs w:val="32"/>
          <w:highlight w:val="none"/>
        </w:rPr>
        <w:br w:type="textWrapping"/>
      </w:r>
      <w:r>
        <w:rPr>
          <w:rStyle w:val="19"/>
          <w:rFonts w:hint="eastAsia" w:eastAsia="楷体"/>
          <w:b w:val="0"/>
          <w:bCs w:val="0"/>
          <w:spacing w:val="-4"/>
          <w:sz w:val="32"/>
          <w:szCs w:val="32"/>
          <w:highlight w:val="none"/>
        </w:rPr>
        <w:t>2.加强培训和管理：为提供必要的培训和管理支持，帮助其提高服务水平和绩效表现，同时也需要制定相应的考核标准和监督机制，对工作内容和人员进行有效的监督和管理。</w:t>
      </w:r>
    </w:p>
    <w:p w14:paraId="17F7622C">
      <w:pPr>
        <w:spacing w:line="540" w:lineRule="exact"/>
        <w:ind w:firstLine="624" w:firstLineChars="200"/>
        <w:rPr>
          <w:rStyle w:val="19"/>
          <w:rFonts w:ascii="仿宋" w:hAnsi="仿宋" w:eastAsia="仿宋"/>
          <w:b w:val="0"/>
          <w:spacing w:val="-4"/>
          <w:sz w:val="32"/>
          <w:szCs w:val="32"/>
          <w:highlight w:val="none"/>
        </w:rPr>
      </w:pPr>
    </w:p>
    <w:p w14:paraId="669569CE">
      <w:pPr>
        <w:spacing w:line="540" w:lineRule="exact"/>
        <w:ind w:firstLine="624" w:firstLineChars="200"/>
        <w:rPr>
          <w:rStyle w:val="19"/>
          <w:rFonts w:ascii="仿宋" w:hAnsi="仿宋" w:eastAsia="仿宋"/>
          <w:b w:val="0"/>
          <w:spacing w:val="-4"/>
          <w:sz w:val="32"/>
          <w:szCs w:val="32"/>
          <w:highlight w:val="none"/>
        </w:rPr>
      </w:pPr>
    </w:p>
    <w:p w14:paraId="251D4D9D">
      <w:pPr>
        <w:spacing w:line="540" w:lineRule="exact"/>
        <w:ind w:firstLine="624" w:firstLineChars="200"/>
        <w:rPr>
          <w:rStyle w:val="19"/>
          <w:rFonts w:ascii="仿宋" w:hAnsi="仿宋" w:eastAsia="仿宋"/>
          <w:b w:val="0"/>
          <w:spacing w:val="-4"/>
          <w:sz w:val="32"/>
          <w:szCs w:val="32"/>
          <w:highlight w:val="none"/>
        </w:rPr>
      </w:pPr>
    </w:p>
    <w:p w14:paraId="092B48BA">
      <w:pPr>
        <w:spacing w:line="540" w:lineRule="exact"/>
        <w:ind w:firstLine="624" w:firstLineChars="200"/>
        <w:rPr>
          <w:rStyle w:val="19"/>
          <w:rFonts w:ascii="仿宋" w:hAnsi="仿宋" w:eastAsia="仿宋"/>
          <w:b w:val="0"/>
          <w:spacing w:val="-4"/>
          <w:sz w:val="32"/>
          <w:szCs w:val="32"/>
        </w:rPr>
      </w:pPr>
    </w:p>
    <w:p w14:paraId="40126CE9">
      <w:pPr>
        <w:spacing w:line="540" w:lineRule="exact"/>
        <w:ind w:firstLine="624" w:firstLineChars="200"/>
        <w:rPr>
          <w:rStyle w:val="19"/>
          <w:rFonts w:ascii="仿宋" w:hAnsi="仿宋" w:eastAsia="仿宋"/>
          <w:b w:val="0"/>
          <w:spacing w:val="-4"/>
          <w:sz w:val="32"/>
          <w:szCs w:val="32"/>
        </w:rPr>
      </w:pPr>
    </w:p>
    <w:sectPr>
      <w:footerReference r:id="rId3" w:type="default"/>
      <w:pgSz w:w="11906" w:h="16838"/>
      <w:pgMar w:top="1440" w:right="1558" w:bottom="1440"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14:paraId="1EF93CD2">
        <w:pPr>
          <w:pStyle w:val="12"/>
          <w:jc w:val="center"/>
        </w:pPr>
        <w:r>
          <w:fldChar w:fldCharType="begin"/>
        </w:r>
        <w:r>
          <w:instrText xml:space="preserve">PAGE   \* MERGEFORMAT</w:instrText>
        </w:r>
        <w:r>
          <w:fldChar w:fldCharType="separate"/>
        </w:r>
        <w:r>
          <w:rPr>
            <w:lang w:val="zh-CN"/>
          </w:rPr>
          <w:t>2</w:t>
        </w:r>
        <w:r>
          <w:fldChar w:fldCharType="end"/>
        </w:r>
      </w:p>
    </w:sdtContent>
  </w:sdt>
  <w:p w14:paraId="4CBEFBD9">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1B507E"/>
    <w:rsid w:val="1EB93707"/>
    <w:rsid w:val="2F4D2D73"/>
    <w:rsid w:val="44C06D59"/>
    <w:rsid w:val="495D034D"/>
    <w:rsid w:val="59D17A55"/>
    <w:rsid w:val="76DB3F53"/>
    <w:rsid w:val="7DB46688"/>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widowControl/>
      <w:spacing w:before="240" w:after="60"/>
      <w:jc w:val="left"/>
      <w:outlineLvl w:val="0"/>
    </w:pPr>
    <w:rPr>
      <w:rFonts w:asciiTheme="majorHAnsi" w:hAnsiTheme="majorHAnsi" w:eastAsiaTheme="majorEastAsia"/>
      <w:b/>
      <w:bCs/>
      <w:kern w:val="32"/>
      <w:sz w:val="32"/>
      <w:szCs w:val="32"/>
    </w:rPr>
  </w:style>
  <w:style w:type="paragraph" w:styleId="3">
    <w:name w:val="heading 2"/>
    <w:basedOn w:val="1"/>
    <w:next w:val="1"/>
    <w:link w:val="22"/>
    <w:semiHidden/>
    <w:unhideWhenUsed/>
    <w:qFormat/>
    <w:uiPriority w:val="9"/>
    <w:pPr>
      <w:keepNext/>
      <w:widowControl/>
      <w:spacing w:before="240" w:after="60"/>
      <w:jc w:val="left"/>
      <w:outlineLvl w:val="1"/>
    </w:pPr>
    <w:rPr>
      <w:rFonts w:asciiTheme="majorHAnsi" w:hAnsiTheme="majorHAnsi" w:eastAsiaTheme="majorEastAsia"/>
      <w:b/>
      <w:bCs/>
      <w:i/>
      <w:iCs/>
      <w:kern w:val="0"/>
      <w:sz w:val="28"/>
      <w:szCs w:val="28"/>
    </w:rPr>
  </w:style>
  <w:style w:type="paragraph" w:styleId="4">
    <w:name w:val="heading 3"/>
    <w:basedOn w:val="1"/>
    <w:next w:val="1"/>
    <w:link w:val="23"/>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paragraph" w:styleId="5">
    <w:name w:val="heading 4"/>
    <w:basedOn w:val="1"/>
    <w:next w:val="1"/>
    <w:link w:val="24"/>
    <w:semiHidden/>
    <w:unhideWhenUsed/>
    <w:qFormat/>
    <w:uiPriority w:val="9"/>
    <w:pPr>
      <w:keepNext/>
      <w:widowControl/>
      <w:spacing w:before="240" w:after="60"/>
      <w:jc w:val="left"/>
      <w:outlineLvl w:val="3"/>
    </w:pPr>
    <w:rPr>
      <w:rFonts w:asciiTheme="minorHAnsi" w:hAnsiTheme="minorHAnsi" w:eastAsiaTheme="minorEastAsia"/>
      <w:b/>
      <w:bCs/>
      <w:kern w:val="0"/>
      <w:sz w:val="28"/>
      <w:szCs w:val="28"/>
    </w:rPr>
  </w:style>
  <w:style w:type="paragraph" w:styleId="6">
    <w:name w:val="heading 5"/>
    <w:basedOn w:val="1"/>
    <w:next w:val="1"/>
    <w:link w:val="25"/>
    <w:semiHidden/>
    <w:unhideWhenUsed/>
    <w:qFormat/>
    <w:uiPriority w:val="9"/>
    <w:pPr>
      <w:widowControl/>
      <w:spacing w:before="240" w:after="60"/>
      <w:jc w:val="left"/>
      <w:outlineLvl w:val="4"/>
    </w:pPr>
    <w:rPr>
      <w:rFonts w:asciiTheme="minorHAnsi" w:hAnsiTheme="minorHAnsi" w:eastAsiaTheme="minorEastAsia"/>
      <w:b/>
      <w:bCs/>
      <w:i/>
      <w:iCs/>
      <w:kern w:val="0"/>
      <w:sz w:val="26"/>
      <w:szCs w:val="26"/>
    </w:rPr>
  </w:style>
  <w:style w:type="paragraph" w:styleId="7">
    <w:name w:val="heading 6"/>
    <w:basedOn w:val="1"/>
    <w:next w:val="1"/>
    <w:link w:val="26"/>
    <w:semiHidden/>
    <w:unhideWhenUsed/>
    <w:qFormat/>
    <w:uiPriority w:val="9"/>
    <w:pPr>
      <w:widowControl/>
      <w:spacing w:before="240" w:after="60"/>
      <w:jc w:val="left"/>
      <w:outlineLvl w:val="5"/>
    </w:pPr>
    <w:rPr>
      <w:rFonts w:asciiTheme="minorHAnsi" w:hAnsiTheme="minorHAnsi" w:eastAsiaTheme="minorEastAsia"/>
      <w:b/>
      <w:bCs/>
      <w:kern w:val="0"/>
      <w:sz w:val="22"/>
      <w:szCs w:val="22"/>
    </w:rPr>
  </w:style>
  <w:style w:type="paragraph" w:styleId="8">
    <w:name w:val="heading 7"/>
    <w:basedOn w:val="1"/>
    <w:next w:val="1"/>
    <w:link w:val="27"/>
    <w:semiHidden/>
    <w:unhideWhenUsed/>
    <w:qFormat/>
    <w:uiPriority w:val="9"/>
    <w:pPr>
      <w:widowControl/>
      <w:spacing w:before="240" w:after="60"/>
      <w:jc w:val="left"/>
      <w:outlineLvl w:val="6"/>
    </w:pPr>
    <w:rPr>
      <w:rFonts w:asciiTheme="minorHAnsi" w:hAnsiTheme="minorHAnsi" w:eastAsiaTheme="minorEastAsia"/>
      <w:kern w:val="0"/>
      <w:sz w:val="24"/>
    </w:rPr>
  </w:style>
  <w:style w:type="paragraph" w:styleId="9">
    <w:name w:val="heading 8"/>
    <w:basedOn w:val="1"/>
    <w:next w:val="1"/>
    <w:link w:val="28"/>
    <w:semiHidden/>
    <w:unhideWhenUsed/>
    <w:qFormat/>
    <w:uiPriority w:val="9"/>
    <w:pPr>
      <w:widowControl/>
      <w:spacing w:before="240" w:after="60"/>
      <w:jc w:val="left"/>
      <w:outlineLvl w:val="7"/>
    </w:pPr>
    <w:rPr>
      <w:rFonts w:asciiTheme="minorHAnsi" w:hAnsiTheme="minorHAnsi" w:eastAsiaTheme="minorEastAsia"/>
      <w:i/>
      <w:iCs/>
      <w:kern w:val="0"/>
      <w:sz w:val="24"/>
    </w:rPr>
  </w:style>
  <w:style w:type="paragraph" w:styleId="10">
    <w:name w:val="heading 9"/>
    <w:basedOn w:val="1"/>
    <w:next w:val="1"/>
    <w:link w:val="29"/>
    <w:semiHidden/>
    <w:unhideWhenUsed/>
    <w:qFormat/>
    <w:uiPriority w:val="9"/>
    <w:pPr>
      <w:widowControl/>
      <w:spacing w:before="240" w:after="60"/>
      <w:jc w:val="left"/>
      <w:outlineLvl w:val="8"/>
    </w:pPr>
    <w:rPr>
      <w:rFonts w:asciiTheme="majorHAnsi" w:hAnsiTheme="majorHAnsi" w:eastAsiaTheme="majorEastAsia"/>
      <w:kern w:val="0"/>
      <w:sz w:val="22"/>
      <w:szCs w:val="2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46"/>
    <w:semiHidden/>
    <w:unhideWhenUsed/>
    <w:qFormat/>
    <w:uiPriority w:val="99"/>
    <w:rPr>
      <w:sz w:val="18"/>
      <w:szCs w:val="18"/>
    </w:rPr>
  </w:style>
  <w:style w:type="paragraph" w:styleId="12">
    <w:name w:val="footer"/>
    <w:basedOn w:val="1"/>
    <w:link w:val="45"/>
    <w:unhideWhenUsed/>
    <w:qFormat/>
    <w:uiPriority w:val="99"/>
    <w:pPr>
      <w:tabs>
        <w:tab w:val="center" w:pos="4153"/>
        <w:tab w:val="right" w:pos="8306"/>
      </w:tabs>
      <w:snapToGrid w:val="0"/>
      <w:jc w:val="left"/>
    </w:pPr>
    <w:rPr>
      <w:rFonts w:ascii="Calibri" w:hAnsi="Calibri"/>
      <w:sz w:val="18"/>
      <w:szCs w:val="18"/>
    </w:rPr>
  </w:style>
  <w:style w:type="paragraph" w:styleId="13">
    <w:name w:val="header"/>
    <w:basedOn w:val="1"/>
    <w:link w:val="44"/>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Subtitle"/>
    <w:basedOn w:val="1"/>
    <w:next w:val="1"/>
    <w:link w:val="31"/>
    <w:qFormat/>
    <w:uiPriority w:val="11"/>
    <w:pPr>
      <w:widowControl/>
      <w:spacing w:after="60"/>
      <w:jc w:val="center"/>
      <w:outlineLvl w:val="1"/>
    </w:pPr>
    <w:rPr>
      <w:rFonts w:asciiTheme="majorHAnsi" w:hAnsiTheme="majorHAnsi" w:eastAsiaTheme="majorEastAsia"/>
      <w:kern w:val="0"/>
      <w:sz w:val="24"/>
    </w:rPr>
  </w:style>
  <w:style w:type="paragraph" w:styleId="15">
    <w:name w:val="Title"/>
    <w:basedOn w:val="1"/>
    <w:next w:val="1"/>
    <w:link w:val="30"/>
    <w:qFormat/>
    <w:uiPriority w:val="10"/>
    <w:pPr>
      <w:widowControl/>
      <w:spacing w:before="240" w:after="60"/>
      <w:jc w:val="center"/>
      <w:outlineLvl w:val="0"/>
    </w:pPr>
    <w:rPr>
      <w:rFonts w:asciiTheme="majorHAnsi" w:hAnsiTheme="majorHAnsi" w:eastAsiaTheme="majorEastAsia"/>
      <w:b/>
      <w:bCs/>
      <w:kern w:val="28"/>
      <w:sz w:val="32"/>
      <w:szCs w:val="32"/>
    </w:rPr>
  </w:style>
  <w:style w:type="table" w:styleId="1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Strong"/>
    <w:basedOn w:val="18"/>
    <w:qFormat/>
    <w:uiPriority w:val="0"/>
    <w:rPr>
      <w:b/>
      <w:bCs/>
    </w:rPr>
  </w:style>
  <w:style w:type="character" w:styleId="20">
    <w:name w:val="Emphasis"/>
    <w:basedOn w:val="18"/>
    <w:qFormat/>
    <w:uiPriority w:val="20"/>
    <w:rPr>
      <w:rFonts w:asciiTheme="minorHAnsi" w:hAnsiTheme="minorHAnsi"/>
      <w:b/>
      <w:i/>
      <w:iCs/>
    </w:rPr>
  </w:style>
  <w:style w:type="character" w:customStyle="1" w:styleId="21">
    <w:name w:val="标题 1 Char"/>
    <w:basedOn w:val="18"/>
    <w:link w:val="2"/>
    <w:qFormat/>
    <w:uiPriority w:val="9"/>
    <w:rPr>
      <w:rFonts w:asciiTheme="majorHAnsi" w:hAnsiTheme="majorHAnsi" w:eastAsiaTheme="majorEastAsia"/>
      <w:b/>
      <w:bCs/>
      <w:kern w:val="32"/>
      <w:sz w:val="32"/>
      <w:szCs w:val="32"/>
    </w:rPr>
  </w:style>
  <w:style w:type="character" w:customStyle="1" w:styleId="22">
    <w:name w:val="标题 2 Char"/>
    <w:basedOn w:val="18"/>
    <w:link w:val="3"/>
    <w:semiHidden/>
    <w:qFormat/>
    <w:uiPriority w:val="9"/>
    <w:rPr>
      <w:rFonts w:asciiTheme="majorHAnsi" w:hAnsiTheme="majorHAnsi" w:eastAsiaTheme="majorEastAsia"/>
      <w:b/>
      <w:bCs/>
      <w:i/>
      <w:iCs/>
      <w:sz w:val="28"/>
      <w:szCs w:val="28"/>
    </w:rPr>
  </w:style>
  <w:style w:type="character" w:customStyle="1" w:styleId="23">
    <w:name w:val="标题 3 Char"/>
    <w:basedOn w:val="18"/>
    <w:link w:val="4"/>
    <w:semiHidden/>
    <w:qFormat/>
    <w:uiPriority w:val="9"/>
    <w:rPr>
      <w:rFonts w:asciiTheme="majorHAnsi" w:hAnsiTheme="majorHAnsi" w:eastAsiaTheme="majorEastAsia"/>
      <w:b/>
      <w:bCs/>
      <w:sz w:val="26"/>
      <w:szCs w:val="26"/>
    </w:rPr>
  </w:style>
  <w:style w:type="character" w:customStyle="1" w:styleId="24">
    <w:name w:val="标题 4 Char"/>
    <w:basedOn w:val="18"/>
    <w:link w:val="5"/>
    <w:semiHidden/>
    <w:qFormat/>
    <w:uiPriority w:val="9"/>
    <w:rPr>
      <w:b/>
      <w:bCs/>
      <w:sz w:val="28"/>
      <w:szCs w:val="28"/>
    </w:rPr>
  </w:style>
  <w:style w:type="character" w:customStyle="1" w:styleId="25">
    <w:name w:val="标题 5 Char"/>
    <w:basedOn w:val="18"/>
    <w:link w:val="6"/>
    <w:semiHidden/>
    <w:qFormat/>
    <w:uiPriority w:val="9"/>
    <w:rPr>
      <w:b/>
      <w:bCs/>
      <w:i/>
      <w:iCs/>
      <w:sz w:val="26"/>
      <w:szCs w:val="26"/>
    </w:rPr>
  </w:style>
  <w:style w:type="character" w:customStyle="1" w:styleId="26">
    <w:name w:val="标题 6 Char"/>
    <w:basedOn w:val="18"/>
    <w:link w:val="7"/>
    <w:semiHidden/>
    <w:qFormat/>
    <w:uiPriority w:val="9"/>
    <w:rPr>
      <w:b/>
      <w:bCs/>
    </w:rPr>
  </w:style>
  <w:style w:type="character" w:customStyle="1" w:styleId="27">
    <w:name w:val="标题 7 Char"/>
    <w:basedOn w:val="18"/>
    <w:link w:val="8"/>
    <w:semiHidden/>
    <w:qFormat/>
    <w:uiPriority w:val="9"/>
    <w:rPr>
      <w:sz w:val="24"/>
      <w:szCs w:val="24"/>
    </w:rPr>
  </w:style>
  <w:style w:type="character" w:customStyle="1" w:styleId="28">
    <w:name w:val="标题 8 Char"/>
    <w:basedOn w:val="18"/>
    <w:link w:val="9"/>
    <w:semiHidden/>
    <w:qFormat/>
    <w:uiPriority w:val="9"/>
    <w:rPr>
      <w:i/>
      <w:iCs/>
      <w:sz w:val="24"/>
      <w:szCs w:val="24"/>
    </w:rPr>
  </w:style>
  <w:style w:type="character" w:customStyle="1" w:styleId="29">
    <w:name w:val="标题 9 Char"/>
    <w:basedOn w:val="18"/>
    <w:link w:val="10"/>
    <w:semiHidden/>
    <w:qFormat/>
    <w:uiPriority w:val="9"/>
    <w:rPr>
      <w:rFonts w:asciiTheme="majorHAnsi" w:hAnsiTheme="majorHAnsi" w:eastAsiaTheme="majorEastAsia"/>
    </w:rPr>
  </w:style>
  <w:style w:type="character" w:customStyle="1" w:styleId="30">
    <w:name w:val="标题 Char"/>
    <w:basedOn w:val="18"/>
    <w:link w:val="15"/>
    <w:qFormat/>
    <w:uiPriority w:val="10"/>
    <w:rPr>
      <w:rFonts w:asciiTheme="majorHAnsi" w:hAnsiTheme="majorHAnsi" w:eastAsiaTheme="majorEastAsia"/>
      <w:b/>
      <w:bCs/>
      <w:kern w:val="28"/>
      <w:sz w:val="32"/>
      <w:szCs w:val="32"/>
    </w:rPr>
  </w:style>
  <w:style w:type="character" w:customStyle="1" w:styleId="31">
    <w:name w:val="副标题 Char"/>
    <w:basedOn w:val="18"/>
    <w:link w:val="14"/>
    <w:qFormat/>
    <w:uiPriority w:val="11"/>
    <w:rPr>
      <w:rFonts w:asciiTheme="majorHAnsi" w:hAnsiTheme="majorHAnsi" w:eastAsiaTheme="majorEastAsia"/>
      <w:sz w:val="24"/>
      <w:szCs w:val="24"/>
    </w:rPr>
  </w:style>
  <w:style w:type="paragraph" w:styleId="32">
    <w:name w:val="No Spacing"/>
    <w:basedOn w:val="1"/>
    <w:qFormat/>
    <w:uiPriority w:val="1"/>
    <w:pPr>
      <w:widowControl/>
      <w:jc w:val="left"/>
    </w:pPr>
    <w:rPr>
      <w:rFonts w:asciiTheme="minorHAnsi" w:hAnsiTheme="minorHAnsi" w:eastAsiaTheme="minorEastAsia"/>
      <w:kern w:val="0"/>
      <w:sz w:val="24"/>
      <w:szCs w:val="32"/>
      <w:lang w:eastAsia="en-US" w:bidi="en-US"/>
    </w:rPr>
  </w:style>
  <w:style w:type="paragraph" w:styleId="33">
    <w:name w:val="List Paragraph"/>
    <w:basedOn w:val="1"/>
    <w:qFormat/>
    <w:uiPriority w:val="34"/>
    <w:pPr>
      <w:widowControl/>
      <w:ind w:left="720"/>
      <w:contextualSpacing/>
      <w:jc w:val="left"/>
    </w:pPr>
    <w:rPr>
      <w:rFonts w:asciiTheme="minorHAnsi" w:hAnsiTheme="minorHAnsi" w:eastAsiaTheme="minorEastAsia"/>
      <w:kern w:val="0"/>
      <w:sz w:val="24"/>
      <w:lang w:eastAsia="en-US" w:bidi="en-US"/>
    </w:rPr>
  </w:style>
  <w:style w:type="paragraph" w:styleId="34">
    <w:name w:val="Quote"/>
    <w:basedOn w:val="1"/>
    <w:next w:val="1"/>
    <w:link w:val="35"/>
    <w:qFormat/>
    <w:uiPriority w:val="29"/>
    <w:pPr>
      <w:widowControl/>
      <w:jc w:val="left"/>
    </w:pPr>
    <w:rPr>
      <w:rFonts w:asciiTheme="minorHAnsi" w:hAnsiTheme="minorHAnsi" w:eastAsiaTheme="minorEastAsia"/>
      <w:i/>
      <w:kern w:val="0"/>
      <w:sz w:val="24"/>
    </w:rPr>
  </w:style>
  <w:style w:type="character" w:customStyle="1" w:styleId="35">
    <w:name w:val="引用 Char"/>
    <w:basedOn w:val="18"/>
    <w:link w:val="34"/>
    <w:qFormat/>
    <w:uiPriority w:val="29"/>
    <w:rPr>
      <w:i/>
      <w:sz w:val="24"/>
      <w:szCs w:val="24"/>
    </w:rPr>
  </w:style>
  <w:style w:type="paragraph" w:styleId="36">
    <w:name w:val="Intense Quote"/>
    <w:basedOn w:val="1"/>
    <w:next w:val="1"/>
    <w:link w:val="37"/>
    <w:qFormat/>
    <w:uiPriority w:val="30"/>
    <w:pPr>
      <w:widowControl/>
      <w:ind w:left="720" w:right="720"/>
      <w:jc w:val="left"/>
    </w:pPr>
    <w:rPr>
      <w:rFonts w:asciiTheme="minorHAnsi" w:hAnsiTheme="minorHAnsi" w:eastAsiaTheme="minorEastAsia"/>
      <w:b/>
      <w:i/>
      <w:kern w:val="0"/>
      <w:sz w:val="24"/>
      <w:szCs w:val="22"/>
    </w:rPr>
  </w:style>
  <w:style w:type="character" w:customStyle="1" w:styleId="37">
    <w:name w:val="明显引用 Char"/>
    <w:basedOn w:val="18"/>
    <w:link w:val="36"/>
    <w:qFormat/>
    <w:uiPriority w:val="30"/>
    <w:rPr>
      <w:b/>
      <w:i/>
      <w:sz w:val="24"/>
    </w:rPr>
  </w:style>
  <w:style w:type="character" w:customStyle="1" w:styleId="38">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39">
    <w:name w:val="明显强调1"/>
    <w:basedOn w:val="18"/>
    <w:qFormat/>
    <w:uiPriority w:val="21"/>
    <w:rPr>
      <w:b/>
      <w:i/>
      <w:sz w:val="24"/>
      <w:szCs w:val="24"/>
      <w:u w:val="single"/>
    </w:rPr>
  </w:style>
  <w:style w:type="character" w:customStyle="1" w:styleId="40">
    <w:name w:val="不明显参考1"/>
    <w:basedOn w:val="18"/>
    <w:qFormat/>
    <w:uiPriority w:val="31"/>
    <w:rPr>
      <w:sz w:val="24"/>
      <w:szCs w:val="24"/>
      <w:u w:val="single"/>
    </w:rPr>
  </w:style>
  <w:style w:type="character" w:customStyle="1" w:styleId="41">
    <w:name w:val="明显参考1"/>
    <w:basedOn w:val="18"/>
    <w:qFormat/>
    <w:uiPriority w:val="32"/>
    <w:rPr>
      <w:b/>
      <w:sz w:val="24"/>
      <w:u w:val="single"/>
    </w:rPr>
  </w:style>
  <w:style w:type="character" w:customStyle="1" w:styleId="42">
    <w:name w:val="书籍标题1"/>
    <w:basedOn w:val="18"/>
    <w:qFormat/>
    <w:uiPriority w:val="33"/>
    <w:rPr>
      <w:rFonts w:asciiTheme="majorHAnsi" w:hAnsiTheme="majorHAnsi" w:eastAsiaTheme="majorEastAsia"/>
      <w:b/>
      <w:i/>
      <w:sz w:val="24"/>
      <w:szCs w:val="24"/>
    </w:rPr>
  </w:style>
  <w:style w:type="paragraph" w:customStyle="1" w:styleId="43">
    <w:name w:val="TOC 标题1"/>
    <w:basedOn w:val="2"/>
    <w:next w:val="1"/>
    <w:semiHidden/>
    <w:unhideWhenUsed/>
    <w:qFormat/>
    <w:uiPriority w:val="39"/>
    <w:pPr>
      <w:outlineLvl w:val="9"/>
    </w:pPr>
    <w:rPr>
      <w:lang w:eastAsia="en-US" w:bidi="en-US"/>
    </w:rPr>
  </w:style>
  <w:style w:type="character" w:customStyle="1" w:styleId="44">
    <w:name w:val="页眉 Char"/>
    <w:basedOn w:val="18"/>
    <w:link w:val="13"/>
    <w:qFormat/>
    <w:uiPriority w:val="99"/>
    <w:rPr>
      <w:rFonts w:ascii="Calibri" w:hAnsi="Calibri" w:eastAsia="宋体"/>
      <w:kern w:val="2"/>
      <w:sz w:val="18"/>
      <w:szCs w:val="18"/>
    </w:rPr>
  </w:style>
  <w:style w:type="character" w:customStyle="1" w:styleId="45">
    <w:name w:val="页脚 Char"/>
    <w:basedOn w:val="18"/>
    <w:link w:val="12"/>
    <w:qFormat/>
    <w:uiPriority w:val="99"/>
    <w:rPr>
      <w:rFonts w:ascii="Calibri" w:hAnsi="Calibri" w:eastAsia="宋体"/>
      <w:kern w:val="2"/>
      <w:sz w:val="18"/>
      <w:szCs w:val="18"/>
    </w:rPr>
  </w:style>
  <w:style w:type="character" w:customStyle="1" w:styleId="46">
    <w:name w:val="批注框文本 Char"/>
    <w:basedOn w:val="18"/>
    <w:link w:val="11"/>
    <w:semiHidden/>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AC8D1C95289B424182C977C1902B2A2F</vt:lpwstr>
  </property>
</Properties>
</file>

<file path=customXml/itemProps1.xml><?xml version="1.0" encoding="utf-8"?>
<ds:datastoreItem xmlns:ds="http://schemas.openxmlformats.org/officeDocument/2006/customXml" ds:itemID="{35eade1e-6be0-457b-8789-3662a490b96a}">
  <ds:schemaRefs/>
</ds:datastoreItem>
</file>

<file path=docProps/app.xml><?xml version="1.0" encoding="utf-8"?>
<Properties xmlns="http://schemas.openxmlformats.org/officeDocument/2006/extended-properties" xmlns:vt="http://schemas.openxmlformats.org/officeDocument/2006/docPropsVTypes">
  <Template>Normal</Template>
  <Company>市财政资金综合评价中心</Company>
  <Pages>25</Pages>
  <Words>98</Words>
  <Characters>559</Characters>
  <Lines>4</Lines>
  <Paragraphs>1</Paragraphs>
  <TotalTime>6</TotalTime>
  <ScaleCrop>false</ScaleCrop>
  <LinksUpToDate>false</LinksUpToDate>
  <CharactersWithSpaces>656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2025-04-28T05:31:00Z</dcterms:created>
  <dc:creator>赵 恺_xFF08_预算处_xFF09_</dc:creator>
  <cp:lastModifiedBy>Lenovo</cp:lastModifiedBy>
  <cp:lastPrinted>2018-12-31T10:56:00Z</cp:lastPrinted>
  <dcterms:modified xsi:type="dcterms:W3CDTF">2025-09-28T03:32:25Z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AC8D1C95289B424182C977C1902B2A2F</vt:lpwstr>
  </property>
</Properties>
</file>