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sz w:val="40"/>
          <w:szCs w:val="40"/>
        </w:rPr>
      </w:pPr>
      <w:r>
        <w:rPr>
          <w:rFonts w:ascii="Times New Roman" w:hAnsi="Times New Roman" w:eastAsia="方正小标宋简体" w:cs="Times New Roman"/>
          <w:sz w:val="40"/>
          <w:szCs w:val="40"/>
        </w:rPr>
        <w:t>202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6</w:t>
      </w:r>
      <w:r>
        <w:rPr>
          <w:rFonts w:ascii="Times New Roman" w:hAnsi="Times New Roman" w:eastAsia="方正小标宋简体" w:cs="Times New Roman"/>
          <w:sz w:val="40"/>
          <w:szCs w:val="40"/>
        </w:rPr>
        <w:t>年度乌鲁木齐市政府债务</w:t>
      </w: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sz w:val="40"/>
          <w:szCs w:val="40"/>
        </w:rPr>
      </w:pPr>
      <w:r>
        <w:rPr>
          <w:rFonts w:ascii="Times New Roman" w:hAnsi="Times New Roman" w:eastAsia="方正小标宋简体" w:cs="Times New Roman"/>
          <w:sz w:val="40"/>
          <w:szCs w:val="40"/>
        </w:rPr>
        <w:t>预算情况说明</w:t>
      </w:r>
    </w:p>
    <w:p>
      <w:pPr>
        <w:adjustRightInd w:val="0"/>
        <w:snapToGrid w:val="0"/>
        <w:spacing w:line="560" w:lineRule="exact"/>
        <w:rPr>
          <w:rFonts w:ascii="Times New Roman" w:hAnsi="Times New Roman" w:eastAsia="黑体" w:cs="Times New Roman"/>
          <w:sz w:val="30"/>
          <w:szCs w:val="30"/>
        </w:rPr>
      </w:pP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一、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2025</w:t>
      </w:r>
      <w:r>
        <w:rPr>
          <w:rFonts w:ascii="Times New Roman" w:hAnsi="Times New Roman" w:eastAsia="黑体" w:cs="Times New Roman"/>
          <w:sz w:val="30"/>
          <w:szCs w:val="30"/>
        </w:rPr>
        <w:t>年度政府债务限额总体情况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2025年度乌鲁木齐市政府债务限额总额为2546.68亿元，其中：市本级政府债务限额为1274.64亿元，所属区（县）政府债务限额为1272.04亿元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楷体" w:cs="Times New Roman"/>
          <w:b/>
          <w:bCs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（一）政府债务限额分类型情况。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b/>
          <w:bCs/>
          <w:sz w:val="30"/>
          <w:szCs w:val="30"/>
        </w:rPr>
        <w:t>1.一般债务限额总额情况。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2025年度乌鲁木齐市政府一般债务限额总额541.16亿元，其中：市本级政府一般债务限额为292.51亿元，所属区（县）政府一般债务限额为248.65亿元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b/>
          <w:bCs/>
          <w:sz w:val="30"/>
          <w:szCs w:val="30"/>
        </w:rPr>
        <w:t>2.专项债务限额总额情况。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2025年度乌鲁木齐市政府专项债务限额总额为2005.52亿元，其中：市本级政府专项债务限额为982.13亿元，所属区（县）政府专项债务限额为1023.39亿元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楷体" w:cs="Times New Roman"/>
          <w:b/>
          <w:bCs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（二）新增债务限额情况。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b/>
          <w:bCs/>
          <w:sz w:val="30"/>
          <w:szCs w:val="30"/>
        </w:rPr>
        <w:t>1.新增一般债务限额情况。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2025年度乌鲁木齐市政府新增一般债务限额总额21亿元，其中：市本级政府新增一般债务限额为4.07亿元，所属区（县）政府新增一般债务限额为16.93亿元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b/>
          <w:bCs/>
          <w:sz w:val="30"/>
          <w:szCs w:val="30"/>
        </w:rPr>
        <w:t>2.新增专项债务限额情况。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2025年度乌鲁木齐市政府新增专项债务限额总额为178.6亿元，其中：市本级政府新增专项债务限额为71.21亿元，所属区（县）政府新增专项债务限额为107.39亿元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二、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2025</w:t>
      </w:r>
      <w:r>
        <w:rPr>
          <w:rFonts w:ascii="Times New Roman" w:hAnsi="Times New Roman" w:eastAsia="黑体" w:cs="Times New Roman"/>
          <w:sz w:val="30"/>
          <w:szCs w:val="30"/>
        </w:rPr>
        <w:t>年度政府债务余额情况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2025年度乌鲁木齐市政府债务余额决算数为2458.46亿元，政府债务余额全部严格控制在限额2546.68亿元内，其中：市本级政府债务余额决算数为1205.69亿元，所属区（县）政府债务余额决算数为1252.77亿元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（一）一般债务余额决算数。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2025年度乌鲁木齐市政府一般债务余额决算数为519.59亿元，其中：市本级政府一般债务余额决算数为286.67亿元，所属区（县）政府一般债务余额决算数为232.92亿元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（二）专项债务余额决算数。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2025年度乌鲁木齐市政府专项债务余额决算数为1938.87亿元，其中：市本级政府专项债务余额决算数为919.02亿元，所属区（县）政府专项债务余额决算数为1019.85亿元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三、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2025</w:t>
      </w:r>
      <w:r>
        <w:rPr>
          <w:rFonts w:ascii="Times New Roman" w:hAnsi="Times New Roman" w:eastAsia="黑体" w:cs="Times New Roman"/>
          <w:sz w:val="30"/>
          <w:szCs w:val="30"/>
        </w:rPr>
        <w:t>年度政府债券发行使用情况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度乌鲁木齐市发行政府债券427.07亿元（新增债券157.75亿元、再融资债券269.32亿元），其中：市本级发行政府债券216.14亿元（新增债券33.43亿元、再融资债券182.71亿元），所属区（县）发行政府债券210.93亿元（新增债券124.32亿元、再融资债券86.61亿元）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（一）新增一般债券发行使用情况。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度乌鲁木齐市发行新增一般债券21亿元，其中：市本级发行新增一般债券4.07亿元，所属区（县）发行新增一般债券16.93亿元。上述债券资金主要用于其他社会事业、产业园区基础设施等领域（详见表2-3）。债券期限分别是7、10、15年期，债券平均利率为1.8%，债券还本付息通过一般公共预算收入偿还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（二）新增专项债券发行使用情况。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度乌鲁木齐市发行新增专项债券136.75亿元，其中：市本级发行新增专项债券29.36亿元，所属区（县）发行新增专项债券107.39亿元。上述债券资金主要用于职业教育、保障性租赁住房、供排水、卫生健康、供热等重点领域（详见表2-3）。债券期限分别是3、5、10、15、20、30年期，债券平均利率为2.08%，债券还本付息通过对应项目取得的政府性基金或专项收入等偿还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（三）再融资债券发行使用情况。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度乌鲁木齐市发行再融资债券269.32亿元（再融资一般债券28.3亿元、再融资专项债券241.02亿元），其中：市本级发行再融资债券182.71亿元（再融资一般债券12.07亿元、再融资专项债券170.64亿元），所属区（县）发行再融资债券86.61亿元（再融资一般债券16.23亿元、再融资专项债券70.38亿元）。上述债券资金全部用于偿还到期政府债券本金，债券期限分别是5、7、10、20、30年期，债券平均利率为2.06%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四、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2025</w:t>
      </w:r>
      <w:r>
        <w:rPr>
          <w:rFonts w:ascii="Times New Roman" w:hAnsi="Times New Roman" w:eastAsia="黑体" w:cs="Times New Roman"/>
          <w:sz w:val="30"/>
          <w:szCs w:val="30"/>
        </w:rPr>
        <w:t>年度政府债券还本付息情况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度乌鲁木齐市政府债券还本付息总额113.3亿元（本金48.82亿元，财政预算安排还本4.9亿元，再融资债券还本43.92亿元；财政预算安排付息64.48亿元），其中：市本级政府债券还本付息73.12亿元（本金41.22亿元，财政预算安排还本4.13亿元，再融资债券还本37.09亿元；财政预算安排付息31.9亿元），所属区（县）政府债券还本付息40.18亿元（本金7.6亿元，财政预算安排还本0.77亿元，再融资债券还本6.83亿元；财政预算安排付息32.58亿元）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（一）一般债券还本付息情况。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度乌鲁木齐市政府一般债券还本付息总额35.96亿元（本金21.02亿元，财政预算安排还本2.12亿元，再融资债券还本18.9亿元；财政预算安排付息14.94亿元），其中：市本级政府一般债券还本付息21.87亿元（本金13.42亿元，财政预算安排还本1.35亿元，再融资债券还本12.07亿元，财政预算安排付息8.45亿元），所属区（县）政府一般债券还本付息14.09亿元（本金7.6亿元，财政预算安排还本0.77亿元，再融资债券还本6.83亿元；财政预算安排付息6.49亿元）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（二）专项债券还本付息情况。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度乌鲁木齐市政府专项债券还本付息总额77.34亿元（本金27.8亿元，财政预算安排还本2.78亿元，再融资债券还本25.02亿元；财政预算安排付息49.54亿元），其中：市本级政府专项债券还本付息51.25亿元（本金27.8亿元，财政预算安排还本2.78亿元，再融资债券还本25.02亿元；财政预算安排付息23.45亿元），所属区（县）政府专项债券还本付息26.09亿元（本金0亿元，财政预算安排还本0亿元，再融资债券还本0亿元；财政预算安排付息26.09亿元）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五、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2026</w:t>
      </w:r>
      <w:r>
        <w:rPr>
          <w:rFonts w:ascii="Times New Roman" w:hAnsi="Times New Roman" w:eastAsia="黑体" w:cs="Times New Roman"/>
          <w:sz w:val="30"/>
          <w:szCs w:val="30"/>
        </w:rPr>
        <w:t>年度政府债券还本付息情况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2026年度乌鲁木齐市政府债券还本付息总额181.75亿元（本金103.03亿元，财政预算安排还本10.33亿元，再融资债券还本92.7亿元；财政预算安排付息78.72亿元），其中：市本级政府债券还本付息106.36亿元（本金68.98亿元，财政预算安排还本28.21亿元，再融资债券还本33.85亿元；财政预算安排付息37.38亿元），所属区（县）政府债券还本付息75.39亿元（本金34.05亿元，财政预算安排还本3.41亿元，再融资债券还本30.64亿元；财政预算安排付息41.34亿元）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（一）一般债券还本付息情况。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2026年度乌鲁木齐市政府一般债券还本付息总额68.01亿元（本金51.34亿元，财政预算安排还本5.14亿元，再融资债券还本46.2亿元；财政预算安排付息16.67亿元），其中：市本级政府一般债券还本付息39.88亿元（本金31.35亿元，财政预算安排还本3.14亿元，再融资债券还本28.21亿元，财政预算安排付息8.53亿元），所属区（县）政府一般债券还本付息28.13亿元（本金19.99亿元，财政预算安排还本2亿元，再融资债券还本17.99亿元；财政预算安排付息8.14亿元）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（二）专项债券还本付息情况。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2026年度乌鲁木齐市政府专项债券还本付息总额113.74亿元（本金51.69亿元，财政预算安排还本5.19亿元，再融资债券还本46.5亿元；财政预算安排付息62.05亿元），其中：市本级政府专项债券还本付息66.48亿元（本金37.63亿元，财政预算安排还本3.78亿元，再融资债券还本33.85亿元；财政预算安排付息28.85亿元），所属区（县）政府专项债券还本付息47.26亿元（本金14.06亿元，财政预算安排还本1.41亿元，再融资债券还本12.65亿元；财政预算安排付息33.2亿元）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六、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2025</w:t>
      </w:r>
      <w:r>
        <w:rPr>
          <w:rFonts w:ascii="Times New Roman" w:hAnsi="Times New Roman" w:eastAsia="黑体" w:cs="Times New Roman"/>
          <w:sz w:val="30"/>
          <w:szCs w:val="30"/>
        </w:rPr>
        <w:t>年度市本级政府专项债务情况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度乌鲁木齐市本级政府专项债券收入11.71亿元、支出3.6亿元、还本付息51.25亿元，专项债券项目对应专项收入共计2.86亿元。上述债券资金主要用于交通、能源、农林水利、生态环保、社会事业、城乡冷链物流基础设施、市政和产业园区基础设施、保障性安居工程等重点领域有一定收益的公益性政府投资项目建设。债券期限分别是10、15、20、30年期，债券平均利率为2.08%，债券还本付息资金已足额列入年初财政预算，对应项目取得的政府性基金或专项收入等偿还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520" w:lineRule="exact"/>
        <w:ind w:firstLine="600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 xml:space="preserve">附件：1 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2025</w:t>
      </w:r>
      <w:r>
        <w:rPr>
          <w:rFonts w:ascii="Times New Roman" w:hAnsi="Times New Roman" w:eastAsia="仿宋_GB2312" w:cs="Times New Roman"/>
          <w:sz w:val="30"/>
          <w:szCs w:val="30"/>
        </w:rPr>
        <w:t>年乌鲁木齐市政府债务限额、余额（含一般债务</w:t>
      </w:r>
    </w:p>
    <w:p>
      <w:pPr>
        <w:adjustRightInd w:val="0"/>
        <w:snapToGrid w:val="0"/>
        <w:spacing w:line="520" w:lineRule="exact"/>
        <w:ind w:firstLine="2100" w:firstLineChars="700"/>
        <w:rPr>
          <w:rFonts w:ascii="Times New Roman" w:hAnsi="Times New Roman" w:eastAsia="仿宋_GB2312" w:cs="Times New Roman"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eastAsia="仿宋_GB2312" w:cs="Times New Roman"/>
          <w:sz w:val="30"/>
          <w:szCs w:val="30"/>
        </w:rPr>
        <w:t>限额、余额和专项债务限额、余额）情况表</w:t>
      </w:r>
    </w:p>
    <w:p>
      <w:pPr>
        <w:adjustRightInd w:val="0"/>
        <w:snapToGrid w:val="0"/>
        <w:spacing w:line="520" w:lineRule="exact"/>
        <w:ind w:firstLine="1500" w:firstLineChars="5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 xml:space="preserve">2-1  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2025</w:t>
      </w:r>
      <w:r>
        <w:rPr>
          <w:rFonts w:ascii="Times New Roman" w:hAnsi="Times New Roman" w:eastAsia="仿宋_GB2312" w:cs="Times New Roman"/>
          <w:sz w:val="30"/>
          <w:szCs w:val="30"/>
        </w:rPr>
        <w:t>年乌鲁木齐市政府债券发行情况表</w:t>
      </w:r>
    </w:p>
    <w:p>
      <w:pPr>
        <w:adjustRightInd w:val="0"/>
        <w:snapToGrid w:val="0"/>
        <w:spacing w:line="520" w:lineRule="exact"/>
        <w:ind w:left="1491" w:leftChars="71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 xml:space="preserve">2-2  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2025</w:t>
      </w:r>
      <w:r>
        <w:rPr>
          <w:rFonts w:ascii="Times New Roman" w:hAnsi="Times New Roman" w:eastAsia="仿宋_GB2312" w:cs="Times New Roman"/>
          <w:sz w:val="30"/>
          <w:szCs w:val="30"/>
        </w:rPr>
        <w:t>年乌鲁木齐市政府债券发行情况明细表</w:t>
      </w:r>
    </w:p>
    <w:p>
      <w:pPr>
        <w:adjustRightInd w:val="0"/>
        <w:snapToGrid w:val="0"/>
        <w:spacing w:line="520" w:lineRule="exact"/>
        <w:ind w:firstLine="1500" w:firstLineChars="5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 xml:space="preserve">2-3  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2025</w:t>
      </w:r>
      <w:r>
        <w:rPr>
          <w:rFonts w:ascii="Times New Roman" w:hAnsi="Times New Roman" w:eastAsia="仿宋_GB2312" w:cs="Times New Roman"/>
          <w:sz w:val="30"/>
          <w:szCs w:val="30"/>
        </w:rPr>
        <w:t>年乌鲁木齐市新增债券使用情况表</w:t>
      </w:r>
    </w:p>
    <w:p>
      <w:pPr>
        <w:adjustRightInd w:val="0"/>
        <w:snapToGrid w:val="0"/>
        <w:spacing w:line="520" w:lineRule="exact"/>
        <w:ind w:left="2099" w:leftChars="714" w:hanging="600" w:hanging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 xml:space="preserve">2-4  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2025</w:t>
      </w:r>
      <w:r>
        <w:rPr>
          <w:rFonts w:ascii="Times New Roman" w:hAnsi="Times New Roman" w:eastAsia="仿宋_GB2312" w:cs="Times New Roman"/>
          <w:sz w:val="30"/>
          <w:szCs w:val="30"/>
        </w:rPr>
        <w:t>年乌鲁木齐市还本付息预计执行及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2026</w:t>
      </w:r>
      <w:r>
        <w:rPr>
          <w:rFonts w:ascii="Times New Roman" w:hAnsi="Times New Roman" w:eastAsia="仿宋_GB2312" w:cs="Times New Roman"/>
          <w:sz w:val="30"/>
          <w:szCs w:val="30"/>
        </w:rPr>
        <w:t>年还本付息预算情况表</w:t>
      </w:r>
    </w:p>
    <w:p>
      <w:pPr>
        <w:adjustRightInd w:val="0"/>
        <w:snapToGrid w:val="0"/>
        <w:spacing w:line="520" w:lineRule="exact"/>
        <w:ind w:left="1500" w:hanging="1500" w:hangingChars="5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 xml:space="preserve">          3    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2026</w:t>
      </w:r>
      <w:r>
        <w:rPr>
          <w:rFonts w:ascii="Times New Roman" w:hAnsi="Times New Roman" w:eastAsia="仿宋_GB2312" w:cs="Times New Roman"/>
          <w:sz w:val="30"/>
          <w:szCs w:val="30"/>
        </w:rPr>
        <w:t>年乌鲁木齐市政府债券资金使用安排情况表</w:t>
      </w:r>
    </w:p>
    <w:p>
      <w:pPr>
        <w:adjustRightInd w:val="0"/>
        <w:snapToGrid w:val="0"/>
        <w:spacing w:line="520" w:lineRule="exact"/>
        <w:ind w:firstLine="1500" w:firstLineChars="5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 xml:space="preserve">4-1  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2025</w:t>
      </w:r>
      <w:r>
        <w:rPr>
          <w:rFonts w:ascii="Times New Roman" w:hAnsi="Times New Roman" w:eastAsia="仿宋_GB2312" w:cs="Times New Roman"/>
          <w:sz w:val="30"/>
          <w:szCs w:val="30"/>
        </w:rPr>
        <w:t>年乌鲁木齐市本级政府专项债务表</w:t>
      </w:r>
    </w:p>
    <w:p>
      <w:pPr>
        <w:adjustRightInd w:val="0"/>
        <w:snapToGrid w:val="0"/>
        <w:spacing w:line="520" w:lineRule="exact"/>
        <w:ind w:firstLine="1500" w:firstLineChars="5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 xml:space="preserve">4-2  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2025</w:t>
      </w:r>
      <w:r>
        <w:rPr>
          <w:rFonts w:ascii="Times New Roman" w:hAnsi="Times New Roman" w:eastAsia="仿宋_GB2312" w:cs="Times New Roman"/>
          <w:sz w:val="30"/>
          <w:szCs w:val="30"/>
        </w:rPr>
        <w:t>年乌鲁木齐市本级政府专项债券项目表</w:t>
      </w:r>
    </w:p>
    <w:p>
      <w:pPr>
        <w:adjustRightInd w:val="0"/>
        <w:snapToGrid w:val="0"/>
        <w:spacing w:line="520" w:lineRule="exact"/>
        <w:ind w:firstLine="1500" w:firstLineChars="500"/>
        <w:rPr>
          <w:rFonts w:ascii="Times New Roman" w:hAnsi="Times New Roman" w:eastAsia="仿宋_GB2312" w:cs="Times New Roman"/>
          <w:sz w:val="30"/>
          <w:szCs w:val="30"/>
        </w:rPr>
      </w:pPr>
    </w:p>
    <w:sectPr>
      <w:footerReference r:id="rId3" w:type="default"/>
      <w:pgSz w:w="11906" w:h="16838"/>
      <w:pgMar w:top="2098" w:right="1587" w:bottom="1871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47209736"/>
      <w:docPartObj>
        <w:docPartGallery w:val="autotext"/>
      </w:docPartObj>
    </w:sdtPr>
    <w:sdtEndPr>
      <w:rPr>
        <w:sz w:val="28"/>
        <w:szCs w:val="28"/>
      </w:rPr>
    </w:sdtEndPr>
    <w:sdtContent>
      <w:p>
        <w:pPr>
          <w:pStyle w:val="3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-</w:t>
        </w:r>
        <w:r>
          <w:rPr>
            <w:sz w:val="28"/>
            <w:szCs w:val="28"/>
          </w:rPr>
          <w:t xml:space="preserve"> 2 -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27A"/>
    <w:rsid w:val="00011739"/>
    <w:rsid w:val="00076DBC"/>
    <w:rsid w:val="00096461"/>
    <w:rsid w:val="000C594B"/>
    <w:rsid w:val="001208F6"/>
    <w:rsid w:val="00130F3F"/>
    <w:rsid w:val="0013397D"/>
    <w:rsid w:val="00165A40"/>
    <w:rsid w:val="00176D3D"/>
    <w:rsid w:val="0017727A"/>
    <w:rsid w:val="001B0750"/>
    <w:rsid w:val="001B5353"/>
    <w:rsid w:val="001B669D"/>
    <w:rsid w:val="001B674C"/>
    <w:rsid w:val="001C7ABE"/>
    <w:rsid w:val="001D21E5"/>
    <w:rsid w:val="001E4D01"/>
    <w:rsid w:val="001F49B2"/>
    <w:rsid w:val="002501FB"/>
    <w:rsid w:val="00250557"/>
    <w:rsid w:val="00261B09"/>
    <w:rsid w:val="0028299B"/>
    <w:rsid w:val="00291135"/>
    <w:rsid w:val="002B247B"/>
    <w:rsid w:val="002C0F2C"/>
    <w:rsid w:val="002C2895"/>
    <w:rsid w:val="002E6C1C"/>
    <w:rsid w:val="002F691E"/>
    <w:rsid w:val="0030206C"/>
    <w:rsid w:val="00305B33"/>
    <w:rsid w:val="00335CE0"/>
    <w:rsid w:val="00380133"/>
    <w:rsid w:val="003946F0"/>
    <w:rsid w:val="003C12B5"/>
    <w:rsid w:val="003C20F8"/>
    <w:rsid w:val="00404454"/>
    <w:rsid w:val="00406E28"/>
    <w:rsid w:val="00423D5C"/>
    <w:rsid w:val="00432E72"/>
    <w:rsid w:val="00433E34"/>
    <w:rsid w:val="00441703"/>
    <w:rsid w:val="00450D11"/>
    <w:rsid w:val="00462D20"/>
    <w:rsid w:val="004702F5"/>
    <w:rsid w:val="00487611"/>
    <w:rsid w:val="004C7517"/>
    <w:rsid w:val="004E31B4"/>
    <w:rsid w:val="004F4D04"/>
    <w:rsid w:val="00502901"/>
    <w:rsid w:val="00513E97"/>
    <w:rsid w:val="005224E1"/>
    <w:rsid w:val="0054037A"/>
    <w:rsid w:val="00586E6F"/>
    <w:rsid w:val="005A7CBD"/>
    <w:rsid w:val="005C3122"/>
    <w:rsid w:val="005D5746"/>
    <w:rsid w:val="00614092"/>
    <w:rsid w:val="00620D13"/>
    <w:rsid w:val="00632B7D"/>
    <w:rsid w:val="00641AAC"/>
    <w:rsid w:val="006A4550"/>
    <w:rsid w:val="006F1DFF"/>
    <w:rsid w:val="006F4888"/>
    <w:rsid w:val="006F4993"/>
    <w:rsid w:val="006F54AA"/>
    <w:rsid w:val="00700201"/>
    <w:rsid w:val="0070757C"/>
    <w:rsid w:val="00735A99"/>
    <w:rsid w:val="00741A01"/>
    <w:rsid w:val="007520DE"/>
    <w:rsid w:val="00760E23"/>
    <w:rsid w:val="00766388"/>
    <w:rsid w:val="007A0DD1"/>
    <w:rsid w:val="007A6AD7"/>
    <w:rsid w:val="007B6E70"/>
    <w:rsid w:val="007D7FDA"/>
    <w:rsid w:val="007F08A7"/>
    <w:rsid w:val="008A04C5"/>
    <w:rsid w:val="008B7AD3"/>
    <w:rsid w:val="008D6E0A"/>
    <w:rsid w:val="008E16B2"/>
    <w:rsid w:val="008F549D"/>
    <w:rsid w:val="00954E1B"/>
    <w:rsid w:val="0096352A"/>
    <w:rsid w:val="00964F99"/>
    <w:rsid w:val="00967C32"/>
    <w:rsid w:val="00990152"/>
    <w:rsid w:val="009966CC"/>
    <w:rsid w:val="009B4249"/>
    <w:rsid w:val="009B45C6"/>
    <w:rsid w:val="009E120C"/>
    <w:rsid w:val="00A630EB"/>
    <w:rsid w:val="00A77605"/>
    <w:rsid w:val="00A96640"/>
    <w:rsid w:val="00AA5C10"/>
    <w:rsid w:val="00AD35EF"/>
    <w:rsid w:val="00AE2A09"/>
    <w:rsid w:val="00AE2E71"/>
    <w:rsid w:val="00AF6898"/>
    <w:rsid w:val="00B02DA0"/>
    <w:rsid w:val="00B07640"/>
    <w:rsid w:val="00B60BFC"/>
    <w:rsid w:val="00B86B58"/>
    <w:rsid w:val="00B92D12"/>
    <w:rsid w:val="00BA1F23"/>
    <w:rsid w:val="00BA5ACE"/>
    <w:rsid w:val="00BB5700"/>
    <w:rsid w:val="00BD65F7"/>
    <w:rsid w:val="00BF71C3"/>
    <w:rsid w:val="00C05D22"/>
    <w:rsid w:val="00C2725D"/>
    <w:rsid w:val="00C302B2"/>
    <w:rsid w:val="00C36757"/>
    <w:rsid w:val="00C643D9"/>
    <w:rsid w:val="00C84381"/>
    <w:rsid w:val="00C84FE4"/>
    <w:rsid w:val="00CE56D6"/>
    <w:rsid w:val="00D13BD5"/>
    <w:rsid w:val="00D22DD4"/>
    <w:rsid w:val="00D24366"/>
    <w:rsid w:val="00D27910"/>
    <w:rsid w:val="00D42A54"/>
    <w:rsid w:val="00D42C1B"/>
    <w:rsid w:val="00D463E2"/>
    <w:rsid w:val="00D56CA4"/>
    <w:rsid w:val="00D61ABD"/>
    <w:rsid w:val="00D85582"/>
    <w:rsid w:val="00DA6BB8"/>
    <w:rsid w:val="00DB3AA5"/>
    <w:rsid w:val="00DB4A25"/>
    <w:rsid w:val="00DB7556"/>
    <w:rsid w:val="00E007ED"/>
    <w:rsid w:val="00E11A3B"/>
    <w:rsid w:val="00E210C1"/>
    <w:rsid w:val="00E272CF"/>
    <w:rsid w:val="00E6369C"/>
    <w:rsid w:val="00E6602D"/>
    <w:rsid w:val="00EA3D63"/>
    <w:rsid w:val="00EE70FC"/>
    <w:rsid w:val="00F07472"/>
    <w:rsid w:val="00F20577"/>
    <w:rsid w:val="00F40565"/>
    <w:rsid w:val="00F75E72"/>
    <w:rsid w:val="01B36FE2"/>
    <w:rsid w:val="020752BE"/>
    <w:rsid w:val="04595E26"/>
    <w:rsid w:val="063F2F9D"/>
    <w:rsid w:val="090B4E5B"/>
    <w:rsid w:val="0BE56C62"/>
    <w:rsid w:val="0E082D70"/>
    <w:rsid w:val="141535E8"/>
    <w:rsid w:val="14D614C6"/>
    <w:rsid w:val="15270529"/>
    <w:rsid w:val="158536F1"/>
    <w:rsid w:val="182373F8"/>
    <w:rsid w:val="18823C8F"/>
    <w:rsid w:val="1A791179"/>
    <w:rsid w:val="1D57227F"/>
    <w:rsid w:val="1DDF0802"/>
    <w:rsid w:val="1F7A0A6B"/>
    <w:rsid w:val="213F64E9"/>
    <w:rsid w:val="230A0EF5"/>
    <w:rsid w:val="23F2182C"/>
    <w:rsid w:val="24D0426A"/>
    <w:rsid w:val="27A14794"/>
    <w:rsid w:val="2AB37734"/>
    <w:rsid w:val="2F935813"/>
    <w:rsid w:val="30F264E2"/>
    <w:rsid w:val="30F51D15"/>
    <w:rsid w:val="34961428"/>
    <w:rsid w:val="353C53B6"/>
    <w:rsid w:val="360C515C"/>
    <w:rsid w:val="399D7067"/>
    <w:rsid w:val="459A6030"/>
    <w:rsid w:val="4B080752"/>
    <w:rsid w:val="4CFC1B55"/>
    <w:rsid w:val="4DB47F12"/>
    <w:rsid w:val="4EFD0E9F"/>
    <w:rsid w:val="53013412"/>
    <w:rsid w:val="53F00EC8"/>
    <w:rsid w:val="56885F8D"/>
    <w:rsid w:val="57796094"/>
    <w:rsid w:val="594A66EC"/>
    <w:rsid w:val="59E94415"/>
    <w:rsid w:val="59EE6C85"/>
    <w:rsid w:val="5AF03569"/>
    <w:rsid w:val="5BFB1AAA"/>
    <w:rsid w:val="5E793247"/>
    <w:rsid w:val="6541174B"/>
    <w:rsid w:val="67F671F9"/>
    <w:rsid w:val="692F2D63"/>
    <w:rsid w:val="6ACF7A08"/>
    <w:rsid w:val="6B080355"/>
    <w:rsid w:val="71827528"/>
    <w:rsid w:val="71DB1086"/>
    <w:rsid w:val="77BB7AC7"/>
    <w:rsid w:val="79101B88"/>
    <w:rsid w:val="791768FB"/>
    <w:rsid w:val="7B24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558</Words>
  <Characters>3185</Characters>
  <Lines>26</Lines>
  <Paragraphs>7</Paragraphs>
  <TotalTime>1</TotalTime>
  <ScaleCrop>false</ScaleCrop>
  <LinksUpToDate>false</LinksUpToDate>
  <CharactersWithSpaces>3736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贾 林</cp:lastModifiedBy>
  <cp:lastPrinted>2025-02-10T11:23:00Z</cp:lastPrinted>
  <dcterms:modified xsi:type="dcterms:W3CDTF">2026-02-11T11:21:25Z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