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560" w:lineRule="exact"/>
        <w:jc w:val="center"/>
        <w:rPr>
          <w:rFonts w:ascii="Times New Roman" w:hAnsi="Times New Roman" w:eastAsia="方正小标宋简体" w:cs="Times New Roman"/>
          <w:sz w:val="40"/>
          <w:szCs w:val="40"/>
        </w:rPr>
      </w:pPr>
      <w:r>
        <w:rPr>
          <w:rFonts w:ascii="Times New Roman" w:hAnsi="Times New Roman" w:eastAsia="方正小标宋简体" w:cs="Times New Roman"/>
          <w:sz w:val="40"/>
          <w:szCs w:val="40"/>
        </w:rPr>
        <w:t>2025年度乌鲁木齐市政府债务</w:t>
      </w:r>
    </w:p>
    <w:p>
      <w:pPr>
        <w:adjustRightInd w:val="0"/>
        <w:snapToGrid w:val="0"/>
        <w:spacing w:line="560" w:lineRule="exact"/>
        <w:jc w:val="center"/>
        <w:rPr>
          <w:rFonts w:ascii="Times New Roman" w:hAnsi="Times New Roman" w:eastAsia="方正小标宋简体" w:cs="Times New Roman"/>
          <w:sz w:val="40"/>
          <w:szCs w:val="40"/>
        </w:rPr>
      </w:pPr>
      <w:r>
        <w:rPr>
          <w:rFonts w:ascii="Times New Roman" w:hAnsi="Times New Roman" w:eastAsia="方正小标宋简体" w:cs="Times New Roman"/>
          <w:sz w:val="40"/>
          <w:szCs w:val="40"/>
        </w:rPr>
        <w:t>预算情况说明</w:t>
      </w:r>
    </w:p>
    <w:p>
      <w:pPr>
        <w:adjustRightInd w:val="0"/>
        <w:snapToGrid w:val="0"/>
        <w:spacing w:line="560" w:lineRule="exact"/>
        <w:rPr>
          <w:rFonts w:ascii="Times New Roman" w:hAnsi="Times New Roman" w:eastAsia="黑体" w:cs="Times New Roman"/>
          <w:sz w:val="30"/>
          <w:szCs w:val="30"/>
        </w:rPr>
      </w:pPr>
    </w:p>
    <w:p>
      <w:pPr>
        <w:adjustRightInd w:val="0"/>
        <w:snapToGrid w:val="0"/>
        <w:spacing w:line="520" w:lineRule="exact"/>
        <w:ind w:firstLine="600" w:firstLineChars="200"/>
        <w:rPr>
          <w:rFonts w:ascii="Times New Roman" w:hAnsi="Times New Roman" w:eastAsia="黑体" w:cs="Times New Roman"/>
          <w:sz w:val="30"/>
          <w:szCs w:val="30"/>
        </w:rPr>
      </w:pPr>
      <w:r>
        <w:rPr>
          <w:rFonts w:ascii="Times New Roman" w:hAnsi="Times New Roman" w:eastAsia="黑体" w:cs="Times New Roman"/>
          <w:sz w:val="30"/>
          <w:szCs w:val="30"/>
        </w:rPr>
        <w:t>一、</w:t>
      </w:r>
      <w:r>
        <w:rPr>
          <w:rFonts w:hint="eastAsia" w:ascii="Times New Roman" w:hAnsi="Times New Roman" w:eastAsia="黑体" w:cs="Times New Roman"/>
          <w:sz w:val="30"/>
          <w:szCs w:val="30"/>
        </w:rPr>
        <w:t>2024</w:t>
      </w:r>
      <w:r>
        <w:rPr>
          <w:rFonts w:ascii="Times New Roman" w:hAnsi="Times New Roman" w:eastAsia="黑体" w:cs="Times New Roman"/>
          <w:sz w:val="30"/>
          <w:szCs w:val="30"/>
        </w:rPr>
        <w:t>年度政府债务限额总体情况</w:t>
      </w:r>
    </w:p>
    <w:p>
      <w:pPr>
        <w:adjustRightInd w:val="0"/>
        <w:snapToGrid w:val="0"/>
        <w:spacing w:line="520" w:lineRule="exact"/>
        <w:ind w:firstLine="600" w:firstLineChars="200"/>
        <w:rPr>
          <w:rFonts w:ascii="Times New Roman" w:hAnsi="Times New Roman" w:eastAsia="仿宋_GB2312" w:cs="Times New Roman"/>
          <w:sz w:val="30"/>
          <w:szCs w:val="30"/>
        </w:rPr>
      </w:pPr>
      <w:r>
        <w:rPr>
          <w:rFonts w:ascii="Times New Roman" w:hAnsi="Times New Roman" w:eastAsia="仿宋_GB2312" w:cs="Times New Roman"/>
          <w:sz w:val="30"/>
          <w:szCs w:val="30"/>
        </w:rPr>
        <w:t>2024年度乌鲁木齐市政府债务限额总额为</w:t>
      </w:r>
      <w:r>
        <w:rPr>
          <w:rFonts w:ascii="Times New Roman" w:hAnsi="Times New Roman" w:eastAsia="仿宋" w:cs="Times New Roman"/>
          <w:color w:val="000000"/>
          <w:kern w:val="0"/>
          <w:sz w:val="32"/>
          <w:szCs w:val="32"/>
          <w:lang w:bidi="ar"/>
        </w:rPr>
        <w:t>2166.70</w:t>
      </w:r>
      <w:r>
        <w:rPr>
          <w:rFonts w:ascii="Times New Roman" w:hAnsi="Times New Roman" w:eastAsia="仿宋_GB2312" w:cs="Times New Roman"/>
          <w:sz w:val="30"/>
          <w:szCs w:val="30"/>
        </w:rPr>
        <w:t>亿元，其中：市本级政府债务限额为</w:t>
      </w:r>
      <w:r>
        <w:rPr>
          <w:rFonts w:ascii="Times New Roman" w:hAnsi="Times New Roman" w:eastAsia="仿宋" w:cs="Times New Roman"/>
          <w:color w:val="000000"/>
          <w:kern w:val="0"/>
          <w:sz w:val="32"/>
          <w:szCs w:val="32"/>
          <w:lang w:bidi="ar"/>
        </w:rPr>
        <w:t>1089.01</w:t>
      </w:r>
      <w:r>
        <w:rPr>
          <w:rFonts w:ascii="Times New Roman" w:hAnsi="Times New Roman" w:eastAsia="仿宋_GB2312" w:cs="Times New Roman"/>
          <w:sz w:val="30"/>
          <w:szCs w:val="30"/>
        </w:rPr>
        <w:t>亿元，所属区（县）政府债务限额为</w:t>
      </w:r>
      <w:r>
        <w:rPr>
          <w:rFonts w:ascii="Times New Roman" w:hAnsi="Times New Roman" w:eastAsia="仿宋" w:cs="Times New Roman"/>
          <w:color w:val="000000"/>
          <w:kern w:val="0"/>
          <w:sz w:val="32"/>
          <w:szCs w:val="32"/>
          <w:lang w:bidi="ar"/>
        </w:rPr>
        <w:t>1077.69</w:t>
      </w:r>
      <w:r>
        <w:rPr>
          <w:rFonts w:ascii="Times New Roman" w:hAnsi="Times New Roman" w:eastAsia="仿宋_GB2312" w:cs="Times New Roman"/>
          <w:sz w:val="30"/>
          <w:szCs w:val="30"/>
        </w:rPr>
        <w:t>亿元。</w:t>
      </w:r>
    </w:p>
    <w:p>
      <w:pPr>
        <w:adjustRightInd w:val="0"/>
        <w:snapToGrid w:val="0"/>
        <w:spacing w:line="520" w:lineRule="exact"/>
        <w:ind w:firstLine="602" w:firstLineChars="200"/>
        <w:rPr>
          <w:rFonts w:ascii="Times New Roman" w:hAnsi="Times New Roman" w:eastAsia="楷体" w:cs="Times New Roman"/>
          <w:b/>
          <w:bCs/>
          <w:sz w:val="30"/>
          <w:szCs w:val="30"/>
        </w:rPr>
      </w:pPr>
      <w:r>
        <w:rPr>
          <w:rFonts w:ascii="Times New Roman" w:hAnsi="Times New Roman" w:eastAsia="楷体" w:cs="Times New Roman"/>
          <w:b/>
          <w:bCs/>
          <w:sz w:val="30"/>
          <w:szCs w:val="30"/>
        </w:rPr>
        <w:t>（一）政府债务限额分类型情况。</w:t>
      </w:r>
    </w:p>
    <w:p>
      <w:pPr>
        <w:adjustRightInd w:val="0"/>
        <w:snapToGrid w:val="0"/>
        <w:spacing w:line="500" w:lineRule="exact"/>
        <w:ind w:firstLine="602" w:firstLineChars="200"/>
        <w:rPr>
          <w:rFonts w:ascii="Times New Roman" w:hAnsi="Times New Roman" w:eastAsia="仿宋_GB2312" w:cs="Times New Roman"/>
          <w:sz w:val="30"/>
          <w:szCs w:val="30"/>
        </w:rPr>
      </w:pPr>
      <w:r>
        <w:rPr>
          <w:rFonts w:ascii="Times New Roman" w:hAnsi="Times New Roman" w:eastAsia="仿宋_GB2312" w:cs="Times New Roman"/>
          <w:b/>
          <w:bCs/>
          <w:sz w:val="30"/>
          <w:szCs w:val="30"/>
        </w:rPr>
        <w:t>1.一般债务限额总额情况。</w:t>
      </w:r>
      <w:r>
        <w:rPr>
          <w:rFonts w:ascii="Times New Roman" w:hAnsi="Times New Roman" w:eastAsia="仿宋_GB2312" w:cs="Times New Roman"/>
          <w:sz w:val="30"/>
          <w:szCs w:val="30"/>
        </w:rPr>
        <w:t>2024年度乌鲁木齐市政府一般债务限额总额535.01亿元，其中：市本级政府一般债务限额为303.84亿元，所属区（县）政府一般债务限额为231.17亿元。</w:t>
      </w:r>
    </w:p>
    <w:p>
      <w:pPr>
        <w:adjustRightInd w:val="0"/>
        <w:snapToGrid w:val="0"/>
        <w:spacing w:line="500" w:lineRule="exact"/>
        <w:ind w:firstLine="602" w:firstLineChars="200"/>
        <w:rPr>
          <w:rFonts w:ascii="Times New Roman" w:hAnsi="Times New Roman" w:eastAsia="仿宋_GB2312" w:cs="Times New Roman"/>
          <w:sz w:val="30"/>
          <w:szCs w:val="30"/>
        </w:rPr>
      </w:pPr>
      <w:r>
        <w:rPr>
          <w:rFonts w:ascii="Times New Roman" w:hAnsi="Times New Roman" w:eastAsia="仿宋_GB2312" w:cs="Times New Roman"/>
          <w:b/>
          <w:bCs/>
          <w:sz w:val="30"/>
          <w:szCs w:val="30"/>
        </w:rPr>
        <w:t>2.专项债务限额总额情况。</w:t>
      </w:r>
      <w:r>
        <w:rPr>
          <w:rFonts w:ascii="Times New Roman" w:hAnsi="Times New Roman" w:eastAsia="仿宋_GB2312" w:cs="Times New Roman"/>
          <w:sz w:val="30"/>
          <w:szCs w:val="30"/>
        </w:rPr>
        <w:t>2024年度乌鲁木齐市政府专项债务限额总额为1631.69亿元，其中：市本级政府专项债务限额为785.17亿元，所属区（县）政府专项债务限额为846.52亿元。</w:t>
      </w:r>
    </w:p>
    <w:p>
      <w:pPr>
        <w:adjustRightInd w:val="0"/>
        <w:snapToGrid w:val="0"/>
        <w:spacing w:line="500" w:lineRule="exact"/>
        <w:ind w:firstLine="602" w:firstLineChars="200"/>
        <w:rPr>
          <w:rFonts w:ascii="Times New Roman" w:hAnsi="Times New Roman" w:eastAsia="楷体" w:cs="Times New Roman"/>
          <w:b/>
          <w:bCs/>
          <w:sz w:val="30"/>
          <w:szCs w:val="30"/>
        </w:rPr>
      </w:pPr>
      <w:r>
        <w:rPr>
          <w:rFonts w:ascii="Times New Roman" w:hAnsi="Times New Roman" w:eastAsia="楷体" w:cs="Times New Roman"/>
          <w:b/>
          <w:bCs/>
          <w:sz w:val="30"/>
          <w:szCs w:val="30"/>
        </w:rPr>
        <w:t>（二）新增债务限额情况。</w:t>
      </w:r>
    </w:p>
    <w:p>
      <w:pPr>
        <w:adjustRightInd w:val="0"/>
        <w:snapToGrid w:val="0"/>
        <w:spacing w:line="500" w:lineRule="exact"/>
        <w:ind w:firstLine="602" w:firstLineChars="200"/>
        <w:rPr>
          <w:rFonts w:ascii="Times New Roman" w:hAnsi="Times New Roman" w:eastAsia="仿宋_GB2312" w:cs="Times New Roman"/>
          <w:sz w:val="30"/>
          <w:szCs w:val="30"/>
        </w:rPr>
      </w:pPr>
      <w:r>
        <w:rPr>
          <w:rFonts w:ascii="Times New Roman" w:hAnsi="Times New Roman" w:eastAsia="仿宋_GB2312" w:cs="Times New Roman"/>
          <w:b/>
          <w:bCs/>
          <w:sz w:val="30"/>
          <w:szCs w:val="30"/>
        </w:rPr>
        <w:t>1.新增一般债务限额情况。</w:t>
      </w:r>
      <w:r>
        <w:rPr>
          <w:rFonts w:ascii="Times New Roman" w:hAnsi="Times New Roman" w:eastAsia="仿宋_GB2312" w:cs="Times New Roman"/>
          <w:sz w:val="30"/>
          <w:szCs w:val="30"/>
        </w:rPr>
        <w:t>2024年度乌鲁木齐市政府新增一般债务限额总额</w:t>
      </w:r>
      <w:r>
        <w:rPr>
          <w:rFonts w:hint="eastAsia" w:ascii="Times New Roman" w:hAnsi="Times New Roman" w:eastAsia="仿宋_GB2312" w:cs="Times New Roman"/>
          <w:sz w:val="30"/>
          <w:szCs w:val="30"/>
        </w:rPr>
        <w:t>16.53</w:t>
      </w:r>
      <w:r>
        <w:rPr>
          <w:rFonts w:ascii="Times New Roman" w:hAnsi="Times New Roman" w:eastAsia="仿宋_GB2312" w:cs="Times New Roman"/>
          <w:sz w:val="30"/>
          <w:szCs w:val="30"/>
        </w:rPr>
        <w:t>亿元，其中：市本级政府新增一般债务限额为</w:t>
      </w:r>
      <w:r>
        <w:rPr>
          <w:rFonts w:hint="eastAsia" w:ascii="Times New Roman" w:hAnsi="Times New Roman" w:eastAsia="仿宋_GB2312" w:cs="Times New Roman"/>
          <w:sz w:val="30"/>
          <w:szCs w:val="30"/>
        </w:rPr>
        <w:t>2.64</w:t>
      </w:r>
      <w:r>
        <w:rPr>
          <w:rFonts w:ascii="Times New Roman" w:hAnsi="Times New Roman" w:eastAsia="仿宋_GB2312" w:cs="Times New Roman"/>
          <w:sz w:val="30"/>
          <w:szCs w:val="30"/>
        </w:rPr>
        <w:t>亿元，新增所属区（县）政府新增一般债务限额</w:t>
      </w:r>
      <w:r>
        <w:rPr>
          <w:rFonts w:hint="eastAsia" w:ascii="Times New Roman" w:hAnsi="Times New Roman" w:eastAsia="仿宋_GB2312" w:cs="Times New Roman"/>
          <w:sz w:val="30"/>
          <w:szCs w:val="30"/>
        </w:rPr>
        <w:t>13.89</w:t>
      </w:r>
      <w:r>
        <w:rPr>
          <w:rFonts w:ascii="Times New Roman" w:hAnsi="Times New Roman" w:eastAsia="仿宋_GB2312" w:cs="Times New Roman"/>
          <w:sz w:val="30"/>
          <w:szCs w:val="30"/>
        </w:rPr>
        <w:t>亿元。</w:t>
      </w:r>
    </w:p>
    <w:p>
      <w:pPr>
        <w:adjustRightInd w:val="0"/>
        <w:snapToGrid w:val="0"/>
        <w:spacing w:line="500" w:lineRule="exact"/>
        <w:ind w:firstLine="602" w:firstLineChars="200"/>
        <w:rPr>
          <w:rFonts w:ascii="Times New Roman" w:hAnsi="Times New Roman" w:eastAsia="仿宋_GB2312" w:cs="Times New Roman"/>
          <w:sz w:val="30"/>
          <w:szCs w:val="30"/>
        </w:rPr>
      </w:pPr>
      <w:r>
        <w:rPr>
          <w:rFonts w:ascii="Times New Roman" w:hAnsi="Times New Roman" w:eastAsia="仿宋_GB2312" w:cs="Times New Roman"/>
          <w:b/>
          <w:bCs/>
          <w:sz w:val="30"/>
          <w:szCs w:val="30"/>
        </w:rPr>
        <w:t>2.新增专项债务限额情况。</w:t>
      </w:r>
      <w:r>
        <w:rPr>
          <w:rFonts w:ascii="Times New Roman" w:hAnsi="Times New Roman" w:eastAsia="仿宋_GB2312" w:cs="Times New Roman"/>
          <w:sz w:val="30"/>
          <w:szCs w:val="30"/>
        </w:rPr>
        <w:t>2024年度乌鲁木齐市政府新增专项债务限额总额为378.30亿元，其中：市本级政府新增专项债务限额为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92.8</w:t>
      </w:r>
      <w:r>
        <w:rPr>
          <w:rFonts w:ascii="Times New Roman" w:hAnsi="Times New Roman" w:eastAsia="仿宋_GB2312" w:cs="Times New Roman"/>
          <w:sz w:val="30"/>
          <w:szCs w:val="30"/>
        </w:rPr>
        <w:t>亿元，所属区（县）新增政府专项债务限额为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285.5</w:t>
      </w:r>
      <w:r>
        <w:rPr>
          <w:rFonts w:ascii="Times New Roman" w:hAnsi="Times New Roman" w:eastAsia="仿宋_GB2312" w:cs="Times New Roman"/>
          <w:sz w:val="30"/>
          <w:szCs w:val="30"/>
        </w:rPr>
        <w:t>亿元。</w:t>
      </w:r>
    </w:p>
    <w:p>
      <w:pPr>
        <w:adjustRightInd w:val="0"/>
        <w:snapToGrid w:val="0"/>
        <w:spacing w:line="520" w:lineRule="exact"/>
        <w:ind w:firstLine="600" w:firstLineChars="200"/>
        <w:rPr>
          <w:rFonts w:ascii="Times New Roman" w:hAnsi="Times New Roman" w:eastAsia="黑体" w:cs="Times New Roman"/>
          <w:sz w:val="30"/>
          <w:szCs w:val="30"/>
        </w:rPr>
      </w:pPr>
      <w:r>
        <w:rPr>
          <w:rFonts w:ascii="Times New Roman" w:hAnsi="Times New Roman" w:eastAsia="黑体" w:cs="Times New Roman"/>
          <w:sz w:val="30"/>
          <w:szCs w:val="30"/>
        </w:rPr>
        <w:t>二、</w:t>
      </w:r>
      <w:r>
        <w:rPr>
          <w:rFonts w:hint="eastAsia" w:ascii="Times New Roman" w:hAnsi="Times New Roman" w:eastAsia="黑体" w:cs="Times New Roman"/>
          <w:sz w:val="30"/>
          <w:szCs w:val="30"/>
        </w:rPr>
        <w:t>2024</w:t>
      </w:r>
      <w:r>
        <w:rPr>
          <w:rFonts w:ascii="Times New Roman" w:hAnsi="Times New Roman" w:eastAsia="黑体" w:cs="Times New Roman"/>
          <w:sz w:val="30"/>
          <w:szCs w:val="30"/>
        </w:rPr>
        <w:t>年度政府债务余额情况</w:t>
      </w:r>
    </w:p>
    <w:p>
      <w:pPr>
        <w:adjustRightInd w:val="0"/>
        <w:snapToGrid w:val="0"/>
        <w:spacing w:line="520" w:lineRule="exact"/>
        <w:ind w:firstLine="600" w:firstLineChars="200"/>
        <w:rPr>
          <w:rFonts w:ascii="Times New Roman" w:hAnsi="Times New Roman" w:eastAsia="仿宋_GB2312" w:cs="Times New Roman"/>
          <w:sz w:val="30"/>
          <w:szCs w:val="30"/>
        </w:rPr>
      </w:pPr>
      <w:r>
        <w:rPr>
          <w:rFonts w:ascii="Times New Roman" w:hAnsi="Times New Roman" w:eastAsia="仿宋_GB2312" w:cs="Times New Roman"/>
          <w:sz w:val="30"/>
          <w:szCs w:val="30"/>
        </w:rPr>
        <w:t>2024年度乌鲁木齐市政府债务余额决算数为2083.50亿元，政府债务余额全部严格控制在限额</w:t>
      </w:r>
      <w:r>
        <w:rPr>
          <w:rFonts w:ascii="Times New Roman" w:hAnsi="Times New Roman" w:eastAsia="仿宋" w:cs="Times New Roman"/>
          <w:color w:val="000000"/>
          <w:kern w:val="0"/>
          <w:sz w:val="32"/>
          <w:szCs w:val="32"/>
          <w:lang w:bidi="ar"/>
        </w:rPr>
        <w:t>2166.70</w:t>
      </w:r>
      <w:r>
        <w:rPr>
          <w:rFonts w:ascii="Times New Roman" w:hAnsi="Times New Roman" w:eastAsia="仿宋_GB2312" w:cs="Times New Roman"/>
          <w:sz w:val="30"/>
          <w:szCs w:val="30"/>
        </w:rPr>
        <w:t>亿元内，其中：市本级政府债务余额决算数为1035.1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7</w:t>
      </w:r>
      <w:r>
        <w:rPr>
          <w:rFonts w:ascii="Times New Roman" w:hAnsi="Times New Roman" w:eastAsia="仿宋_GB2312" w:cs="Times New Roman"/>
          <w:sz w:val="30"/>
          <w:szCs w:val="30"/>
        </w:rPr>
        <w:t>亿元，所属区（县）政府债务余额决算数为1048.3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3</w:t>
      </w:r>
      <w:r>
        <w:rPr>
          <w:rFonts w:ascii="Times New Roman" w:hAnsi="Times New Roman" w:eastAsia="仿宋_GB2312" w:cs="Times New Roman"/>
          <w:sz w:val="30"/>
          <w:szCs w:val="30"/>
        </w:rPr>
        <w:t>亿元。</w:t>
      </w:r>
    </w:p>
    <w:p>
      <w:pPr>
        <w:adjustRightInd w:val="0"/>
        <w:snapToGrid w:val="0"/>
        <w:spacing w:line="520" w:lineRule="exact"/>
        <w:ind w:firstLine="602" w:firstLineChars="200"/>
        <w:rPr>
          <w:rFonts w:ascii="Times New Roman" w:hAnsi="Times New Roman" w:eastAsia="仿宋_GB2312" w:cs="Times New Roman"/>
          <w:sz w:val="30"/>
          <w:szCs w:val="30"/>
        </w:rPr>
      </w:pPr>
      <w:r>
        <w:rPr>
          <w:rFonts w:ascii="Times New Roman" w:hAnsi="Times New Roman" w:eastAsia="楷体" w:cs="Times New Roman"/>
          <w:b/>
          <w:bCs/>
          <w:sz w:val="30"/>
          <w:szCs w:val="30"/>
        </w:rPr>
        <w:t>（一）一般债务余额决算数。</w:t>
      </w:r>
      <w:r>
        <w:rPr>
          <w:rFonts w:ascii="Times New Roman" w:hAnsi="Times New Roman" w:eastAsia="仿宋_GB2312" w:cs="Times New Roman"/>
          <w:sz w:val="30"/>
          <w:szCs w:val="30"/>
        </w:rPr>
        <w:t>2024年度乌鲁木齐市政府一般债务余额决算数为494.6</w:t>
      </w:r>
      <w:r>
        <w:rPr>
          <w:rFonts w:hint="eastAsia" w:ascii="Times New Roman" w:hAnsi="Times New Roman" w:eastAsia="仿宋_GB2312" w:cs="Times New Roman"/>
          <w:sz w:val="30"/>
          <w:szCs w:val="30"/>
        </w:rPr>
        <w:t>0</w:t>
      </w:r>
      <w:r>
        <w:rPr>
          <w:rFonts w:ascii="Times New Roman" w:hAnsi="Times New Roman" w:eastAsia="仿宋_GB2312" w:cs="Times New Roman"/>
          <w:sz w:val="30"/>
          <w:szCs w:val="30"/>
        </w:rPr>
        <w:t>亿元，其中：市本级政府一般债务余额决算数为287.25亿元，所属区（县）政府一般债务余额决算数为207.3</w:t>
      </w:r>
      <w:r>
        <w:rPr>
          <w:rFonts w:hint="eastAsia" w:ascii="Times New Roman" w:hAnsi="Times New Roman" w:eastAsia="仿宋_GB2312" w:cs="Times New Roman"/>
          <w:sz w:val="30"/>
          <w:szCs w:val="30"/>
        </w:rPr>
        <w:t>5</w:t>
      </w:r>
      <w:r>
        <w:rPr>
          <w:rFonts w:ascii="Times New Roman" w:hAnsi="Times New Roman" w:eastAsia="仿宋_GB2312" w:cs="Times New Roman"/>
          <w:sz w:val="30"/>
          <w:szCs w:val="30"/>
        </w:rPr>
        <w:t>亿元。</w:t>
      </w:r>
    </w:p>
    <w:p>
      <w:pPr>
        <w:adjustRightInd w:val="0"/>
        <w:snapToGrid w:val="0"/>
        <w:spacing w:line="520" w:lineRule="exact"/>
        <w:ind w:firstLine="602" w:firstLineChars="200"/>
        <w:rPr>
          <w:rFonts w:ascii="Times New Roman" w:hAnsi="Times New Roman" w:eastAsia="仿宋_GB2312" w:cs="Times New Roman"/>
          <w:sz w:val="30"/>
          <w:szCs w:val="30"/>
        </w:rPr>
      </w:pPr>
      <w:r>
        <w:rPr>
          <w:rFonts w:ascii="Times New Roman" w:hAnsi="Times New Roman" w:eastAsia="楷体" w:cs="Times New Roman"/>
          <w:b/>
          <w:bCs/>
          <w:sz w:val="30"/>
          <w:szCs w:val="30"/>
        </w:rPr>
        <w:t>（二）专项债务余额决算数。</w:t>
      </w:r>
      <w:r>
        <w:rPr>
          <w:rFonts w:ascii="Times New Roman" w:hAnsi="Times New Roman" w:eastAsia="仿宋_GB2312" w:cs="Times New Roman"/>
          <w:sz w:val="30"/>
          <w:szCs w:val="30"/>
        </w:rPr>
        <w:t>2024年度乌鲁木齐市政府专项债务余额决算数为1588.</w:t>
      </w:r>
      <w:r>
        <w:rPr>
          <w:rFonts w:hint="eastAsia" w:ascii="Times New Roman" w:hAnsi="Times New Roman" w:eastAsia="仿宋_GB2312" w:cs="Times New Roman"/>
          <w:sz w:val="30"/>
          <w:szCs w:val="30"/>
        </w:rPr>
        <w:t>90</w:t>
      </w:r>
      <w:r>
        <w:rPr>
          <w:rFonts w:ascii="Times New Roman" w:hAnsi="Times New Roman" w:eastAsia="仿宋_GB2312" w:cs="Times New Roman"/>
          <w:sz w:val="30"/>
          <w:szCs w:val="30"/>
        </w:rPr>
        <w:t>亿元，其中：市本级政府专项债务余额决算数为747.9</w:t>
      </w:r>
      <w:r>
        <w:rPr>
          <w:rFonts w:hint="eastAsia" w:ascii="Times New Roman" w:hAnsi="Times New Roman" w:eastAsia="仿宋_GB2312" w:cs="Times New Roman"/>
          <w:sz w:val="30"/>
          <w:szCs w:val="30"/>
        </w:rPr>
        <w:t>2</w:t>
      </w:r>
      <w:r>
        <w:rPr>
          <w:rFonts w:ascii="Times New Roman" w:hAnsi="Times New Roman" w:eastAsia="仿宋_GB2312" w:cs="Times New Roman"/>
          <w:sz w:val="30"/>
          <w:szCs w:val="30"/>
        </w:rPr>
        <w:t>亿元，所属区（县）政府专项债务余额决算数为840.98亿元。</w:t>
      </w:r>
    </w:p>
    <w:p>
      <w:pPr>
        <w:adjustRightInd w:val="0"/>
        <w:snapToGrid w:val="0"/>
        <w:spacing w:line="520" w:lineRule="exact"/>
        <w:ind w:firstLine="600" w:firstLineChars="200"/>
        <w:rPr>
          <w:rFonts w:ascii="Times New Roman" w:hAnsi="Times New Roman" w:eastAsia="黑体" w:cs="Times New Roman"/>
          <w:sz w:val="30"/>
          <w:szCs w:val="30"/>
        </w:rPr>
      </w:pPr>
      <w:r>
        <w:rPr>
          <w:rFonts w:ascii="Times New Roman" w:hAnsi="Times New Roman" w:eastAsia="黑体" w:cs="Times New Roman"/>
          <w:sz w:val="30"/>
          <w:szCs w:val="30"/>
        </w:rPr>
        <w:t>三、</w:t>
      </w:r>
      <w:r>
        <w:rPr>
          <w:rFonts w:hint="eastAsia" w:ascii="Times New Roman" w:hAnsi="Times New Roman" w:eastAsia="黑体" w:cs="Times New Roman"/>
          <w:sz w:val="30"/>
          <w:szCs w:val="30"/>
        </w:rPr>
        <w:t>2024</w:t>
      </w:r>
      <w:r>
        <w:rPr>
          <w:rFonts w:ascii="Times New Roman" w:hAnsi="Times New Roman" w:eastAsia="黑体" w:cs="Times New Roman"/>
          <w:sz w:val="30"/>
          <w:szCs w:val="30"/>
        </w:rPr>
        <w:t>年度政府债券发行使用情况</w:t>
      </w:r>
    </w:p>
    <w:p>
      <w:pPr>
        <w:adjustRightInd w:val="0"/>
        <w:snapToGrid w:val="0"/>
        <w:spacing w:line="520" w:lineRule="exact"/>
        <w:ind w:firstLine="600" w:firstLineChars="200"/>
        <w:rPr>
          <w:rFonts w:ascii="Times New Roman" w:hAnsi="Times New Roman" w:eastAsia="仿宋_GB2312" w:cs="Times New Roman"/>
          <w:sz w:val="30"/>
          <w:szCs w:val="30"/>
        </w:rPr>
      </w:pPr>
      <w:r>
        <w:rPr>
          <w:rFonts w:ascii="Times New Roman" w:hAnsi="Times New Roman" w:eastAsia="仿宋_GB2312" w:cs="Times New Roman"/>
          <w:sz w:val="30"/>
          <w:szCs w:val="30"/>
        </w:rPr>
        <w:t>2024年度乌鲁木齐市发行政府债券715.87亿元（新增债券394.83亿元、再融资债券321.04亿元），其中：市本级发行政府债券428.85亿元（新增债券188.44亿元、再融资债券240.41亿元），所属区（县）发行政府债券</w:t>
      </w:r>
      <w:r>
        <w:rPr>
          <w:rFonts w:hint="eastAsia" w:ascii="Times New Roman" w:hAnsi="Times New Roman" w:eastAsia="仿宋_GB2312" w:cs="Times New Roman"/>
          <w:sz w:val="30"/>
          <w:szCs w:val="30"/>
        </w:rPr>
        <w:t>287.02</w:t>
      </w:r>
      <w:r>
        <w:rPr>
          <w:rFonts w:ascii="Times New Roman" w:hAnsi="Times New Roman" w:eastAsia="仿宋_GB2312" w:cs="Times New Roman"/>
          <w:sz w:val="30"/>
          <w:szCs w:val="30"/>
        </w:rPr>
        <w:t>亿元（新增债券</w:t>
      </w:r>
      <w:r>
        <w:rPr>
          <w:rFonts w:hint="eastAsia" w:ascii="Times New Roman" w:hAnsi="Times New Roman" w:eastAsia="仿宋_GB2312" w:cs="Times New Roman"/>
          <w:sz w:val="30"/>
          <w:szCs w:val="30"/>
        </w:rPr>
        <w:t>206.39</w:t>
      </w:r>
      <w:r>
        <w:rPr>
          <w:rFonts w:ascii="Times New Roman" w:hAnsi="Times New Roman" w:eastAsia="仿宋_GB2312" w:cs="Times New Roman"/>
          <w:sz w:val="30"/>
          <w:szCs w:val="30"/>
        </w:rPr>
        <w:t>亿元、再融资债券80.63亿元）。</w:t>
      </w:r>
    </w:p>
    <w:p>
      <w:pPr>
        <w:adjustRightInd w:val="0"/>
        <w:snapToGrid w:val="0"/>
        <w:spacing w:line="500" w:lineRule="exact"/>
        <w:ind w:firstLine="602" w:firstLineChars="200"/>
        <w:rPr>
          <w:rFonts w:ascii="Times New Roman" w:hAnsi="Times New Roman" w:eastAsia="仿宋_GB2312" w:cs="Times New Roman"/>
          <w:sz w:val="30"/>
          <w:szCs w:val="30"/>
        </w:rPr>
      </w:pPr>
      <w:r>
        <w:rPr>
          <w:rFonts w:ascii="Times New Roman" w:hAnsi="Times New Roman" w:eastAsia="楷体" w:cs="Times New Roman"/>
          <w:b/>
          <w:bCs/>
          <w:sz w:val="30"/>
          <w:szCs w:val="30"/>
        </w:rPr>
        <w:t>（一）新增一般债券发行使用情况。</w:t>
      </w:r>
      <w:r>
        <w:rPr>
          <w:rFonts w:ascii="Times New Roman" w:hAnsi="Times New Roman" w:eastAsia="仿宋_GB2312" w:cs="Times New Roman"/>
          <w:sz w:val="30"/>
          <w:szCs w:val="30"/>
        </w:rPr>
        <w:t>2024年度乌鲁木齐市发行新增一般债券16.53亿元，其中：市本级发行新增一般债券2.64亿元，所属区（县）发行新增一般债券13.89亿元。上述债券资金主要用于社会事业、市政和产业园区基础设施、保障性安居工程等领域</w:t>
      </w:r>
      <w:r>
        <w:rPr>
          <w:rFonts w:ascii="Times New Roman" w:hAnsi="Times New Roman" w:eastAsia="仿宋_GB2312" w:cs="Times New Roman"/>
          <w:sz w:val="32"/>
          <w:szCs w:val="32"/>
        </w:rPr>
        <w:t>（详见表2-3）</w:t>
      </w:r>
      <w:r>
        <w:rPr>
          <w:rFonts w:ascii="Times New Roman" w:hAnsi="Times New Roman" w:eastAsia="仿宋_GB2312" w:cs="Times New Roman"/>
          <w:sz w:val="30"/>
          <w:szCs w:val="30"/>
        </w:rPr>
        <w:t>。债券期限分别是5、7、10、15年期，债券平均利率为2.18%，债券还本付息通过一般公共预算收入偿还。</w:t>
      </w:r>
    </w:p>
    <w:p>
      <w:pPr>
        <w:adjustRightInd w:val="0"/>
        <w:snapToGrid w:val="0"/>
        <w:spacing w:line="520" w:lineRule="exact"/>
        <w:ind w:firstLine="602" w:firstLineChars="200"/>
        <w:rPr>
          <w:rFonts w:ascii="Times New Roman" w:hAnsi="Times New Roman" w:eastAsia="仿宋_GB2312" w:cs="Times New Roman"/>
          <w:sz w:val="30"/>
          <w:szCs w:val="30"/>
        </w:rPr>
      </w:pPr>
      <w:r>
        <w:rPr>
          <w:rFonts w:ascii="Times New Roman" w:hAnsi="Times New Roman" w:eastAsia="楷体" w:cs="Times New Roman"/>
          <w:b/>
          <w:bCs/>
          <w:sz w:val="30"/>
          <w:szCs w:val="30"/>
        </w:rPr>
        <w:t>（二）新增专项债券发行使用情况。</w:t>
      </w:r>
      <w:r>
        <w:rPr>
          <w:rFonts w:ascii="Times New Roman" w:hAnsi="Times New Roman" w:eastAsia="仿宋_GB2312" w:cs="Times New Roman"/>
          <w:sz w:val="30"/>
          <w:szCs w:val="30"/>
        </w:rPr>
        <w:t>2024年度乌鲁木齐市发行新增专项债券378.30亿元，其中：市本级发行新增专项债券185.8</w:t>
      </w:r>
      <w:r>
        <w:rPr>
          <w:rFonts w:hint="eastAsia" w:ascii="Times New Roman" w:hAnsi="Times New Roman" w:eastAsia="仿宋_GB2312" w:cs="Times New Roman"/>
          <w:sz w:val="30"/>
          <w:szCs w:val="30"/>
        </w:rPr>
        <w:t>0</w:t>
      </w:r>
      <w:r>
        <w:rPr>
          <w:rFonts w:ascii="Times New Roman" w:hAnsi="Times New Roman" w:eastAsia="仿宋_GB2312" w:cs="Times New Roman"/>
          <w:sz w:val="30"/>
          <w:szCs w:val="30"/>
        </w:rPr>
        <w:t>亿元，所属区（县）发行新增专项债券19</w:t>
      </w:r>
      <w:r>
        <w:rPr>
          <w:rFonts w:hint="eastAsia" w:ascii="Times New Roman" w:hAnsi="Times New Roman" w:eastAsia="仿宋_GB2312" w:cs="Times New Roman"/>
          <w:sz w:val="30"/>
          <w:szCs w:val="30"/>
        </w:rPr>
        <w:t>2</w:t>
      </w:r>
      <w:r>
        <w:rPr>
          <w:rFonts w:ascii="Times New Roman" w:hAnsi="Times New Roman" w:eastAsia="仿宋_GB2312" w:cs="Times New Roman"/>
          <w:sz w:val="30"/>
          <w:szCs w:val="30"/>
        </w:rPr>
        <w:t>.5</w:t>
      </w:r>
      <w:r>
        <w:rPr>
          <w:rFonts w:hint="eastAsia" w:ascii="Times New Roman" w:hAnsi="Times New Roman" w:eastAsia="仿宋_GB2312" w:cs="Times New Roman"/>
          <w:sz w:val="30"/>
          <w:szCs w:val="30"/>
        </w:rPr>
        <w:t>0</w:t>
      </w:r>
      <w:r>
        <w:rPr>
          <w:rFonts w:ascii="Times New Roman" w:hAnsi="Times New Roman" w:eastAsia="仿宋_GB2312" w:cs="Times New Roman"/>
          <w:sz w:val="30"/>
          <w:szCs w:val="30"/>
        </w:rPr>
        <w:t>亿元。上述债券资金主要用于市政和产业园区基础设施、社会事业、生态环保等领域</w:t>
      </w:r>
      <w:r>
        <w:rPr>
          <w:rFonts w:ascii="Times New Roman" w:hAnsi="Times New Roman" w:eastAsia="仿宋_GB2312" w:cs="Times New Roman"/>
          <w:sz w:val="32"/>
          <w:szCs w:val="32"/>
        </w:rPr>
        <w:t>（详见表2-3）</w:t>
      </w:r>
      <w:r>
        <w:rPr>
          <w:rFonts w:ascii="Times New Roman" w:hAnsi="Times New Roman" w:eastAsia="仿宋_GB2312" w:cs="Times New Roman"/>
          <w:sz w:val="30"/>
          <w:szCs w:val="30"/>
        </w:rPr>
        <w:t>。债券期限分别是7、10、15、20年期，债券平均利率为2.33%，债券还本付息通过对应项目取得的政府性基金或专项收入等偿还。</w:t>
      </w:r>
    </w:p>
    <w:p>
      <w:pPr>
        <w:adjustRightInd w:val="0"/>
        <w:snapToGrid w:val="0"/>
        <w:spacing w:line="520" w:lineRule="exact"/>
        <w:ind w:firstLine="602" w:firstLineChars="200"/>
        <w:rPr>
          <w:rFonts w:ascii="Times New Roman" w:hAnsi="Times New Roman" w:eastAsia="仿宋_GB2312" w:cs="Times New Roman"/>
          <w:sz w:val="30"/>
          <w:szCs w:val="30"/>
        </w:rPr>
      </w:pPr>
      <w:r>
        <w:rPr>
          <w:rFonts w:ascii="Times New Roman" w:hAnsi="Times New Roman" w:eastAsia="楷体" w:cs="Times New Roman"/>
          <w:b/>
          <w:bCs/>
          <w:sz w:val="30"/>
          <w:szCs w:val="30"/>
        </w:rPr>
        <w:t>（三）再融资债券发行使用情况。</w:t>
      </w:r>
      <w:r>
        <w:rPr>
          <w:rFonts w:ascii="Times New Roman" w:hAnsi="Times New Roman" w:eastAsia="仿宋_GB2312" w:cs="Times New Roman"/>
          <w:sz w:val="30"/>
          <w:szCs w:val="30"/>
        </w:rPr>
        <w:t>2024年度乌鲁木齐市发行再融资债券321.04亿元（再融资一般债券77.90亿元、再融资专项债券243.14亿元），其中：市本级发行再融资债券240.41亿元（再融资一般债券65.15亿元、再融资专项债券175.26亿元），所属区（县）发行再融资债券80.63亿元（再融资一般债券12.75亿元、再融资专项债券67.88亿元）。上述债券资金全部用于偿还到期政府债务本金，债券期限分别是5、7、10年期，债券平均利率为2.07%。</w:t>
      </w:r>
    </w:p>
    <w:p>
      <w:pPr>
        <w:adjustRightInd w:val="0"/>
        <w:snapToGrid w:val="0"/>
        <w:spacing w:line="520" w:lineRule="exact"/>
        <w:ind w:firstLine="600" w:firstLineChars="200"/>
        <w:rPr>
          <w:rFonts w:ascii="Times New Roman" w:hAnsi="Times New Roman" w:eastAsia="黑体" w:cs="Times New Roman"/>
          <w:sz w:val="30"/>
          <w:szCs w:val="30"/>
        </w:rPr>
      </w:pPr>
      <w:r>
        <w:rPr>
          <w:rFonts w:ascii="Times New Roman" w:hAnsi="Times New Roman" w:eastAsia="黑体" w:cs="Times New Roman"/>
          <w:sz w:val="30"/>
          <w:szCs w:val="30"/>
        </w:rPr>
        <w:t>四、</w:t>
      </w:r>
      <w:r>
        <w:rPr>
          <w:rFonts w:hint="eastAsia" w:ascii="Times New Roman" w:hAnsi="Times New Roman" w:eastAsia="黑体" w:cs="Times New Roman"/>
          <w:sz w:val="30"/>
          <w:szCs w:val="30"/>
        </w:rPr>
        <w:t>2024</w:t>
      </w:r>
      <w:r>
        <w:rPr>
          <w:rFonts w:ascii="Times New Roman" w:hAnsi="Times New Roman" w:eastAsia="黑体" w:cs="Times New Roman"/>
          <w:sz w:val="30"/>
          <w:szCs w:val="30"/>
        </w:rPr>
        <w:t>年度政府债券还本付息情况</w:t>
      </w:r>
    </w:p>
    <w:p>
      <w:pPr>
        <w:adjustRightInd w:val="0"/>
        <w:snapToGrid w:val="0"/>
        <w:spacing w:line="520" w:lineRule="exact"/>
        <w:ind w:firstLine="600" w:firstLineChars="200"/>
        <w:rPr>
          <w:rFonts w:ascii="Times New Roman" w:hAnsi="Times New Roman" w:eastAsia="仿宋_GB2312" w:cs="Times New Roman"/>
          <w:sz w:val="30"/>
          <w:szCs w:val="30"/>
        </w:rPr>
      </w:pPr>
      <w:r>
        <w:rPr>
          <w:rFonts w:ascii="Times New Roman" w:hAnsi="Times New Roman" w:eastAsia="仿宋_GB2312" w:cs="Times New Roman"/>
          <w:sz w:val="30"/>
          <w:szCs w:val="30"/>
        </w:rPr>
        <w:t>2024年度乌鲁木齐市政府债券还本付息总额184.83亿元（本金</w:t>
      </w:r>
      <w:r>
        <w:rPr>
          <w:rFonts w:hint="eastAsia" w:ascii="Times New Roman" w:hAnsi="Times New Roman" w:eastAsia="仿宋_GB2312" w:cs="Times New Roman"/>
          <w:sz w:val="30"/>
          <w:szCs w:val="30"/>
        </w:rPr>
        <w:t>133.48亿元，</w:t>
      </w:r>
      <w:r>
        <w:rPr>
          <w:rFonts w:ascii="Times New Roman" w:hAnsi="Times New Roman" w:eastAsia="仿宋_GB2312" w:cs="Times New Roman"/>
          <w:sz w:val="30"/>
          <w:szCs w:val="30"/>
        </w:rPr>
        <w:t>财政预算安排还本19.98亿元、再融资债券还本113.5亿元；财政预算安排付息51.35亿元），其中：市本级政府债券还本付息151.87元（本金</w:t>
      </w:r>
      <w:r>
        <w:rPr>
          <w:rFonts w:hint="eastAsia" w:ascii="Times New Roman" w:hAnsi="Times New Roman" w:eastAsia="仿宋_GB2312" w:cs="Times New Roman"/>
          <w:sz w:val="30"/>
          <w:szCs w:val="30"/>
        </w:rPr>
        <w:t>121.47亿元，</w:t>
      </w:r>
      <w:r>
        <w:rPr>
          <w:rFonts w:ascii="Times New Roman" w:hAnsi="Times New Roman" w:eastAsia="仿宋_GB2312" w:cs="Times New Roman"/>
          <w:sz w:val="30"/>
          <w:szCs w:val="30"/>
        </w:rPr>
        <w:t>财政预算安排还本18.67亿元、再融资债券还本102.8亿元；财政预算安排付息30.40亿元），所属区（县）政府债券还本付息32.96亿元（本金</w:t>
      </w:r>
      <w:r>
        <w:rPr>
          <w:rFonts w:hint="eastAsia" w:ascii="Times New Roman" w:hAnsi="Times New Roman" w:eastAsia="仿宋_GB2312" w:cs="Times New Roman"/>
          <w:sz w:val="30"/>
          <w:szCs w:val="30"/>
        </w:rPr>
        <w:t>12.01亿元，</w:t>
      </w:r>
      <w:r>
        <w:rPr>
          <w:rFonts w:ascii="Times New Roman" w:hAnsi="Times New Roman" w:eastAsia="仿宋_GB2312" w:cs="Times New Roman"/>
          <w:sz w:val="30"/>
          <w:szCs w:val="30"/>
        </w:rPr>
        <w:t>财政预算安排还本1.31亿元、再融资债券还本10.70亿元；财政预算安排付息20.95亿元）。</w:t>
      </w:r>
    </w:p>
    <w:p>
      <w:pPr>
        <w:adjustRightInd w:val="0"/>
        <w:snapToGrid w:val="0"/>
        <w:spacing w:line="520" w:lineRule="exact"/>
        <w:ind w:firstLine="602" w:firstLineChars="200"/>
        <w:rPr>
          <w:rFonts w:ascii="Times New Roman" w:hAnsi="Times New Roman" w:eastAsia="黑体" w:cs="Times New Roman"/>
          <w:sz w:val="30"/>
          <w:szCs w:val="30"/>
        </w:rPr>
      </w:pPr>
      <w:r>
        <w:rPr>
          <w:rFonts w:ascii="Times New Roman" w:hAnsi="Times New Roman" w:eastAsia="楷体" w:cs="Times New Roman"/>
          <w:b/>
          <w:bCs/>
          <w:sz w:val="30"/>
          <w:szCs w:val="30"/>
        </w:rPr>
        <w:t>（一）一般债券还本付息情况。</w:t>
      </w:r>
      <w:r>
        <w:rPr>
          <w:rFonts w:ascii="Times New Roman" w:hAnsi="Times New Roman" w:eastAsia="仿宋_GB2312" w:cs="Times New Roman"/>
          <w:sz w:val="30"/>
          <w:szCs w:val="30"/>
        </w:rPr>
        <w:t>2024年度乌鲁木齐市政府一般债券还本付息总额54.69亿元（本金</w:t>
      </w:r>
      <w:r>
        <w:rPr>
          <w:rFonts w:hint="eastAsia" w:ascii="Times New Roman" w:hAnsi="Times New Roman" w:eastAsia="仿宋_GB2312" w:cs="Times New Roman"/>
          <w:sz w:val="30"/>
          <w:szCs w:val="30"/>
        </w:rPr>
        <w:t>39.92亿元，</w:t>
      </w:r>
      <w:r>
        <w:rPr>
          <w:rFonts w:ascii="Times New Roman" w:hAnsi="Times New Roman" w:eastAsia="仿宋_GB2312" w:cs="Times New Roman"/>
          <w:sz w:val="30"/>
          <w:szCs w:val="30"/>
        </w:rPr>
        <w:t>财政预算安排还本9.02亿元、再融资债券还本30.9亿元；财政预算安排付息14.77亿元），其中：市本级政府一般债券还本付息48.18亿元（本金</w:t>
      </w:r>
      <w:r>
        <w:rPr>
          <w:rFonts w:hint="eastAsia" w:ascii="Times New Roman" w:hAnsi="Times New Roman" w:eastAsia="仿宋_GB2312" w:cs="Times New Roman"/>
          <w:sz w:val="30"/>
          <w:szCs w:val="30"/>
        </w:rPr>
        <w:t>39.41亿元，</w:t>
      </w:r>
      <w:r>
        <w:rPr>
          <w:rFonts w:ascii="Times New Roman" w:hAnsi="Times New Roman" w:eastAsia="仿宋_GB2312" w:cs="Times New Roman"/>
          <w:sz w:val="30"/>
          <w:szCs w:val="30"/>
        </w:rPr>
        <w:t>财政预算安排还本8.91亿元、再融资债券还本30.5亿元；财政预算安排付息8.77亿元），所属区（县）政府一般债券还本付息6.51亿元（本金</w:t>
      </w:r>
      <w:r>
        <w:rPr>
          <w:rFonts w:hint="eastAsia" w:ascii="Times New Roman" w:hAnsi="Times New Roman" w:eastAsia="仿宋_GB2312" w:cs="Times New Roman"/>
          <w:sz w:val="30"/>
          <w:szCs w:val="30"/>
        </w:rPr>
        <w:t>0.51亿元，</w:t>
      </w:r>
      <w:r>
        <w:rPr>
          <w:rFonts w:ascii="Times New Roman" w:hAnsi="Times New Roman" w:eastAsia="仿宋_GB2312" w:cs="Times New Roman"/>
          <w:sz w:val="30"/>
          <w:szCs w:val="30"/>
        </w:rPr>
        <w:t>财政预算安排还本0.11亿元、再融资债券还本0.40亿元；财政预算安排付息6.00亿元）。</w:t>
      </w:r>
    </w:p>
    <w:p>
      <w:pPr>
        <w:adjustRightInd w:val="0"/>
        <w:snapToGrid w:val="0"/>
        <w:spacing w:line="520" w:lineRule="exact"/>
        <w:ind w:firstLine="602" w:firstLineChars="200"/>
        <w:rPr>
          <w:rFonts w:ascii="Times New Roman" w:hAnsi="Times New Roman" w:eastAsia="仿宋_GB2312" w:cs="Times New Roman"/>
          <w:sz w:val="30"/>
          <w:szCs w:val="30"/>
        </w:rPr>
      </w:pPr>
      <w:r>
        <w:rPr>
          <w:rFonts w:ascii="Times New Roman" w:hAnsi="Times New Roman" w:eastAsia="楷体" w:cs="Times New Roman"/>
          <w:b/>
          <w:bCs/>
          <w:sz w:val="30"/>
          <w:szCs w:val="30"/>
        </w:rPr>
        <w:t>（二）专项债券还本付息情况。</w:t>
      </w:r>
      <w:r>
        <w:rPr>
          <w:rFonts w:ascii="Times New Roman" w:hAnsi="Times New Roman" w:eastAsia="仿宋_GB2312" w:cs="Times New Roman"/>
          <w:sz w:val="30"/>
          <w:szCs w:val="30"/>
        </w:rPr>
        <w:t>2024年度乌鲁木齐市政府专项债券还本付息总额130.14亿元（本金</w:t>
      </w:r>
      <w:r>
        <w:rPr>
          <w:rFonts w:hint="eastAsia" w:ascii="Times New Roman" w:hAnsi="Times New Roman" w:eastAsia="仿宋_GB2312" w:cs="Times New Roman"/>
          <w:sz w:val="30"/>
          <w:szCs w:val="30"/>
        </w:rPr>
        <w:t>93.56亿元，</w:t>
      </w:r>
      <w:r>
        <w:rPr>
          <w:rFonts w:ascii="Times New Roman" w:hAnsi="Times New Roman" w:eastAsia="仿宋_GB2312" w:cs="Times New Roman"/>
          <w:sz w:val="30"/>
          <w:szCs w:val="30"/>
        </w:rPr>
        <w:t>财政预算安排还本10.96亿元、再融资债券还本82.60亿元；财政预算安排付息36.58亿元），其中：市本级政府专项债券还本付息103.69亿元（本金</w:t>
      </w:r>
      <w:r>
        <w:rPr>
          <w:rFonts w:hint="eastAsia" w:ascii="Times New Roman" w:hAnsi="Times New Roman" w:eastAsia="仿宋_GB2312" w:cs="Times New Roman"/>
          <w:sz w:val="30"/>
          <w:szCs w:val="30"/>
        </w:rPr>
        <w:t>82.06亿元，</w:t>
      </w:r>
      <w:r>
        <w:rPr>
          <w:rFonts w:ascii="Times New Roman" w:hAnsi="Times New Roman" w:eastAsia="仿宋_GB2312" w:cs="Times New Roman"/>
          <w:sz w:val="30"/>
          <w:szCs w:val="30"/>
        </w:rPr>
        <w:t>财政预算安排还本9.76亿元、再融资债券还本72.30亿元；财政预算安排付息21.63亿元），所属区（县）政府专项债券还本付息26.45亿元（本金</w:t>
      </w:r>
      <w:r>
        <w:rPr>
          <w:rFonts w:hint="eastAsia" w:ascii="Times New Roman" w:hAnsi="Times New Roman" w:eastAsia="仿宋_GB2312" w:cs="Times New Roman"/>
          <w:sz w:val="30"/>
          <w:szCs w:val="30"/>
        </w:rPr>
        <w:t>11.50亿元，</w:t>
      </w:r>
      <w:r>
        <w:rPr>
          <w:rFonts w:ascii="Times New Roman" w:hAnsi="Times New Roman" w:eastAsia="仿宋_GB2312" w:cs="Times New Roman"/>
          <w:sz w:val="30"/>
          <w:szCs w:val="30"/>
        </w:rPr>
        <w:t>财政预算安排还本1.20亿元、再融资债券还本10.30亿元；财政预算安排付息14.95亿元）。</w:t>
      </w:r>
    </w:p>
    <w:p>
      <w:pPr>
        <w:adjustRightInd w:val="0"/>
        <w:snapToGrid w:val="0"/>
        <w:spacing w:line="520" w:lineRule="exact"/>
        <w:ind w:firstLine="600" w:firstLineChars="200"/>
        <w:rPr>
          <w:rFonts w:ascii="Times New Roman" w:hAnsi="Times New Roman" w:eastAsia="黑体" w:cs="Times New Roman"/>
          <w:sz w:val="30"/>
          <w:szCs w:val="30"/>
        </w:rPr>
      </w:pPr>
      <w:r>
        <w:rPr>
          <w:rFonts w:ascii="Times New Roman" w:hAnsi="Times New Roman" w:eastAsia="黑体" w:cs="Times New Roman"/>
          <w:sz w:val="30"/>
          <w:szCs w:val="30"/>
        </w:rPr>
        <w:t>五、</w:t>
      </w:r>
      <w:r>
        <w:rPr>
          <w:rFonts w:hint="eastAsia" w:ascii="Times New Roman" w:hAnsi="Times New Roman" w:eastAsia="黑体" w:cs="Times New Roman"/>
          <w:sz w:val="30"/>
          <w:szCs w:val="30"/>
        </w:rPr>
        <w:t>2025</w:t>
      </w:r>
      <w:r>
        <w:rPr>
          <w:rFonts w:ascii="Times New Roman" w:hAnsi="Times New Roman" w:eastAsia="黑体" w:cs="Times New Roman"/>
          <w:sz w:val="30"/>
          <w:szCs w:val="30"/>
        </w:rPr>
        <w:t>年度政府债券还本付息情况</w:t>
      </w:r>
    </w:p>
    <w:p>
      <w:pPr>
        <w:adjustRightInd w:val="0"/>
        <w:snapToGrid w:val="0"/>
        <w:spacing w:line="520" w:lineRule="exact"/>
        <w:ind w:firstLine="600" w:firstLineChars="200"/>
        <w:rPr>
          <w:rFonts w:ascii="Times New Roman" w:hAnsi="Times New Roman" w:eastAsia="仿宋_GB2312" w:cs="Times New Roman"/>
          <w:sz w:val="30"/>
          <w:szCs w:val="30"/>
        </w:rPr>
      </w:pPr>
      <w:r>
        <w:rPr>
          <w:rFonts w:ascii="Times New Roman" w:hAnsi="Times New Roman" w:eastAsia="仿宋_GB2312" w:cs="Times New Roman"/>
          <w:sz w:val="30"/>
          <w:szCs w:val="30"/>
        </w:rPr>
        <w:t>2025年度乌鲁木齐市政府债券还本付息总额118.32亿元（本金</w:t>
      </w:r>
      <w:r>
        <w:rPr>
          <w:rFonts w:hint="eastAsia" w:ascii="Times New Roman" w:hAnsi="Times New Roman" w:eastAsia="仿宋_GB2312" w:cs="Times New Roman"/>
          <w:sz w:val="30"/>
          <w:szCs w:val="30"/>
        </w:rPr>
        <w:t>48.81亿元，</w:t>
      </w:r>
      <w:r>
        <w:rPr>
          <w:rFonts w:ascii="Times New Roman" w:hAnsi="Times New Roman" w:eastAsia="仿宋_GB2312" w:cs="Times New Roman"/>
          <w:sz w:val="30"/>
          <w:szCs w:val="30"/>
        </w:rPr>
        <w:t>财政预算安排还本4.89亿元、再融资债券还本43.92亿元；财政预算安排付息69.51亿元），其中：市本级政府债券还本付息76.35亿元（本金</w:t>
      </w:r>
      <w:r>
        <w:rPr>
          <w:rFonts w:hint="eastAsia" w:ascii="Times New Roman" w:hAnsi="Times New Roman" w:eastAsia="仿宋_GB2312" w:cs="Times New Roman"/>
          <w:sz w:val="30"/>
          <w:szCs w:val="30"/>
        </w:rPr>
        <w:t>41.22亿元，</w:t>
      </w:r>
      <w:r>
        <w:rPr>
          <w:rFonts w:ascii="Times New Roman" w:hAnsi="Times New Roman" w:eastAsia="仿宋_GB2312" w:cs="Times New Roman"/>
          <w:sz w:val="30"/>
          <w:szCs w:val="30"/>
        </w:rPr>
        <w:t>财政预算安排还本4.13亿元、再融资债券还本37.09亿元；财政预算安排付息35.13亿元），所属区（县）政府债券还本付息41.9</w:t>
      </w:r>
      <w:r>
        <w:rPr>
          <w:rFonts w:hint="eastAsia" w:ascii="Times New Roman" w:hAnsi="Times New Roman" w:eastAsia="仿宋_GB2312" w:cs="Times New Roman"/>
          <w:sz w:val="30"/>
          <w:szCs w:val="30"/>
        </w:rPr>
        <w:t>7</w:t>
      </w:r>
      <w:r>
        <w:rPr>
          <w:rFonts w:ascii="Times New Roman" w:hAnsi="Times New Roman" w:eastAsia="仿宋_GB2312" w:cs="Times New Roman"/>
          <w:sz w:val="30"/>
          <w:szCs w:val="30"/>
        </w:rPr>
        <w:t>亿元（本金</w:t>
      </w:r>
      <w:r>
        <w:rPr>
          <w:rFonts w:hint="eastAsia" w:ascii="Times New Roman" w:hAnsi="Times New Roman" w:eastAsia="仿宋_GB2312" w:cs="Times New Roman"/>
          <w:sz w:val="30"/>
          <w:szCs w:val="30"/>
        </w:rPr>
        <w:t>7.59亿元，</w:t>
      </w:r>
      <w:r>
        <w:rPr>
          <w:rFonts w:ascii="Times New Roman" w:hAnsi="Times New Roman" w:eastAsia="仿宋_GB2312" w:cs="Times New Roman"/>
          <w:sz w:val="30"/>
          <w:szCs w:val="30"/>
        </w:rPr>
        <w:t>财政预算安排还本0.76亿元、再融资债券还本6.83亿元；财政预算安排付息34.38亿元）。</w:t>
      </w:r>
    </w:p>
    <w:p>
      <w:pPr>
        <w:adjustRightInd w:val="0"/>
        <w:snapToGrid w:val="0"/>
        <w:spacing w:line="520" w:lineRule="exact"/>
        <w:ind w:firstLine="602" w:firstLineChars="200"/>
        <w:rPr>
          <w:rFonts w:ascii="Times New Roman" w:hAnsi="Times New Roman" w:eastAsia="黑体" w:cs="Times New Roman"/>
          <w:sz w:val="30"/>
          <w:szCs w:val="30"/>
        </w:rPr>
      </w:pPr>
      <w:r>
        <w:rPr>
          <w:rFonts w:ascii="Times New Roman" w:hAnsi="Times New Roman" w:eastAsia="楷体" w:cs="Times New Roman"/>
          <w:b/>
          <w:bCs/>
          <w:sz w:val="30"/>
          <w:szCs w:val="30"/>
        </w:rPr>
        <w:t>（一）一般债券还本付息情况。</w:t>
      </w:r>
      <w:r>
        <w:rPr>
          <w:rFonts w:ascii="Times New Roman" w:hAnsi="Times New Roman" w:eastAsia="仿宋_GB2312" w:cs="Times New Roman"/>
          <w:sz w:val="30"/>
          <w:szCs w:val="30"/>
        </w:rPr>
        <w:t>2025年度乌鲁木齐市政府一般债券还本付息总额36.83亿元（本金</w:t>
      </w:r>
      <w:r>
        <w:rPr>
          <w:rFonts w:hint="eastAsia" w:ascii="Times New Roman" w:hAnsi="Times New Roman" w:eastAsia="仿宋_GB2312" w:cs="Times New Roman"/>
          <w:sz w:val="30"/>
          <w:szCs w:val="30"/>
        </w:rPr>
        <w:t>21.01亿元，</w:t>
      </w:r>
      <w:r>
        <w:rPr>
          <w:rFonts w:ascii="Times New Roman" w:hAnsi="Times New Roman" w:eastAsia="仿宋_GB2312" w:cs="Times New Roman"/>
          <w:sz w:val="30"/>
          <w:szCs w:val="30"/>
        </w:rPr>
        <w:t>财政预算安排还本2.21亿元、再融资债券还本18.80亿元；财政预算安排付息15.82亿元），其中：市本级政府一般债券还本付息21.91亿元（本金</w:t>
      </w:r>
      <w:r>
        <w:rPr>
          <w:rFonts w:hint="eastAsia" w:ascii="Times New Roman" w:hAnsi="Times New Roman" w:eastAsia="仿宋_GB2312" w:cs="Times New Roman"/>
          <w:sz w:val="30"/>
          <w:szCs w:val="30"/>
        </w:rPr>
        <w:t>13.42亿元，</w:t>
      </w:r>
      <w:r>
        <w:rPr>
          <w:rFonts w:ascii="Times New Roman" w:hAnsi="Times New Roman" w:eastAsia="仿宋_GB2312" w:cs="Times New Roman"/>
          <w:sz w:val="30"/>
          <w:szCs w:val="30"/>
        </w:rPr>
        <w:t>财政预算安排还本1.35亿元、再融资债券还本12.07亿元；财政预算安排付息8.49亿元），所属区（县）政府一般债券还本付息14.92亿元（本金</w:t>
      </w:r>
      <w:r>
        <w:rPr>
          <w:rFonts w:hint="eastAsia" w:ascii="Times New Roman" w:hAnsi="Times New Roman" w:eastAsia="仿宋_GB2312" w:cs="Times New Roman"/>
          <w:sz w:val="30"/>
          <w:szCs w:val="30"/>
        </w:rPr>
        <w:t>7.59亿元，</w:t>
      </w:r>
      <w:r>
        <w:rPr>
          <w:rFonts w:ascii="Times New Roman" w:hAnsi="Times New Roman" w:eastAsia="仿宋_GB2312" w:cs="Times New Roman"/>
          <w:sz w:val="30"/>
          <w:szCs w:val="30"/>
        </w:rPr>
        <w:t>财政预算安排还本0.86亿元、再融资债券还本6.73亿元；财政预算安排付息7.33亿元）。</w:t>
      </w:r>
    </w:p>
    <w:p>
      <w:pPr>
        <w:adjustRightInd w:val="0"/>
        <w:snapToGrid w:val="0"/>
        <w:spacing w:line="520" w:lineRule="exact"/>
        <w:ind w:firstLine="602" w:firstLineChars="200"/>
        <w:rPr>
          <w:rFonts w:ascii="Times New Roman" w:hAnsi="Times New Roman" w:eastAsia="仿宋_GB2312" w:cs="Times New Roman"/>
          <w:sz w:val="30"/>
          <w:szCs w:val="30"/>
        </w:rPr>
      </w:pPr>
      <w:r>
        <w:rPr>
          <w:rFonts w:ascii="Times New Roman" w:hAnsi="Times New Roman" w:eastAsia="楷体" w:cs="Times New Roman"/>
          <w:b/>
          <w:bCs/>
          <w:sz w:val="30"/>
          <w:szCs w:val="30"/>
        </w:rPr>
        <w:t>（二）专项债券还本付息情况。</w:t>
      </w:r>
      <w:r>
        <w:rPr>
          <w:rFonts w:ascii="Times New Roman" w:hAnsi="Times New Roman" w:eastAsia="仿宋_GB2312" w:cs="Times New Roman"/>
          <w:sz w:val="30"/>
          <w:szCs w:val="30"/>
        </w:rPr>
        <w:t>2025年度乌鲁木齐市政府专项债券还本付息总额81.49亿元（本金</w:t>
      </w:r>
      <w:r>
        <w:rPr>
          <w:rFonts w:hint="eastAsia" w:ascii="Times New Roman" w:hAnsi="Times New Roman" w:eastAsia="仿宋_GB2312" w:cs="Times New Roman"/>
          <w:sz w:val="30"/>
          <w:szCs w:val="30"/>
        </w:rPr>
        <w:t>27.80亿元，</w:t>
      </w:r>
      <w:r>
        <w:rPr>
          <w:rFonts w:ascii="Times New Roman" w:hAnsi="Times New Roman" w:eastAsia="仿宋_GB2312" w:cs="Times New Roman"/>
          <w:sz w:val="30"/>
          <w:szCs w:val="30"/>
        </w:rPr>
        <w:t>财政预算安排还本2.78亿元、再融资债券还本25.02亿元；财政预算安排付息53.69亿元），其中：市本级政府专项债券还本付息54.44亿元（本金</w:t>
      </w:r>
      <w:r>
        <w:rPr>
          <w:rFonts w:hint="eastAsia" w:ascii="Times New Roman" w:hAnsi="Times New Roman" w:eastAsia="仿宋_GB2312" w:cs="Times New Roman"/>
          <w:sz w:val="30"/>
          <w:szCs w:val="30"/>
        </w:rPr>
        <w:t>27.80亿元，</w:t>
      </w:r>
      <w:r>
        <w:rPr>
          <w:rFonts w:ascii="Times New Roman" w:hAnsi="Times New Roman" w:eastAsia="仿宋_GB2312" w:cs="Times New Roman"/>
          <w:sz w:val="30"/>
          <w:szCs w:val="30"/>
        </w:rPr>
        <w:t>财政预算安排还本2.78亿元、再融资债券还本25.02亿元；财政预算安排付息26.64亿元），所属区（县）政府专项债券还本付息27.05亿元（本金</w:t>
      </w:r>
      <w:r>
        <w:rPr>
          <w:rFonts w:hint="eastAsia" w:ascii="Times New Roman" w:hAnsi="Times New Roman" w:eastAsia="仿宋_GB2312" w:cs="Times New Roman"/>
          <w:sz w:val="30"/>
          <w:szCs w:val="30"/>
        </w:rPr>
        <w:t>0亿元，</w:t>
      </w:r>
      <w:r>
        <w:rPr>
          <w:rFonts w:ascii="Times New Roman" w:hAnsi="Times New Roman" w:eastAsia="仿宋_GB2312" w:cs="Times New Roman"/>
          <w:sz w:val="30"/>
          <w:szCs w:val="30"/>
        </w:rPr>
        <w:t>财政预算安排还本0亿元、再融资债券还本0亿元；财政预算安排付息27.05亿元）。</w:t>
      </w:r>
    </w:p>
    <w:p>
      <w:pPr>
        <w:adjustRightInd w:val="0"/>
        <w:snapToGrid w:val="0"/>
        <w:spacing w:line="520" w:lineRule="exact"/>
        <w:ind w:firstLine="600" w:firstLineChars="200"/>
        <w:rPr>
          <w:rFonts w:ascii="Times New Roman" w:hAnsi="Times New Roman" w:eastAsia="黑体" w:cs="Times New Roman"/>
          <w:sz w:val="30"/>
          <w:szCs w:val="30"/>
        </w:rPr>
      </w:pPr>
      <w:r>
        <w:rPr>
          <w:rFonts w:ascii="Times New Roman" w:hAnsi="Times New Roman" w:eastAsia="黑体" w:cs="Times New Roman"/>
          <w:sz w:val="30"/>
          <w:szCs w:val="30"/>
        </w:rPr>
        <w:t>六、</w:t>
      </w:r>
      <w:r>
        <w:rPr>
          <w:rFonts w:hint="eastAsia" w:ascii="Times New Roman" w:hAnsi="Times New Roman" w:eastAsia="黑体" w:cs="Times New Roman"/>
          <w:sz w:val="30"/>
          <w:szCs w:val="30"/>
        </w:rPr>
        <w:t>2024</w:t>
      </w:r>
      <w:r>
        <w:rPr>
          <w:rFonts w:ascii="Times New Roman" w:hAnsi="Times New Roman" w:eastAsia="黑体" w:cs="Times New Roman"/>
          <w:sz w:val="30"/>
          <w:szCs w:val="30"/>
        </w:rPr>
        <w:t>年度市本级政府专项债务情况</w:t>
      </w:r>
    </w:p>
    <w:p>
      <w:pPr>
        <w:adjustRightInd w:val="0"/>
        <w:snapToGrid w:val="0"/>
        <w:spacing w:line="520" w:lineRule="exact"/>
        <w:ind w:firstLine="600" w:firstLineChars="200"/>
        <w:rPr>
          <w:rFonts w:ascii="Times New Roman" w:hAnsi="Times New Roman" w:eastAsia="仿宋_GB2312" w:cs="Times New Roman"/>
          <w:sz w:val="30"/>
          <w:szCs w:val="30"/>
        </w:rPr>
      </w:pPr>
      <w:r>
        <w:rPr>
          <w:rFonts w:ascii="Times New Roman" w:hAnsi="Times New Roman" w:eastAsia="仿宋_GB2312" w:cs="Times New Roman"/>
          <w:sz w:val="30"/>
          <w:szCs w:val="30"/>
        </w:rPr>
        <w:t>2024年度市本级政府专项债券收入9.8亿元、支出4.85亿元、还本付息103.69亿元，专项债券项目对应专项收入共计2.82亿元。上述债券资金主要用于保障性安居工程、生态环保、社会事业等重点领域有一定收益的公益性政府投资项目建设</w:t>
      </w:r>
      <w:r>
        <w:rPr>
          <w:rFonts w:ascii="Times New Roman" w:hAnsi="Times New Roman" w:eastAsia="仿宋_GB2312" w:cs="Times New Roman"/>
          <w:sz w:val="30"/>
          <w:szCs w:val="30"/>
        </w:rPr>
        <w:t>。债券期限分别是10、15、20年期，债券平均利率为2.40%，债券还本付息资金已足额列入年初财政预算，对应项目取得的政府性基金或专项收入等偿还。</w:t>
      </w:r>
    </w:p>
    <w:p>
      <w:pPr>
        <w:adjustRightInd w:val="0"/>
        <w:snapToGrid w:val="0"/>
        <w:spacing w:line="520" w:lineRule="exact"/>
        <w:ind w:firstLine="600"/>
        <w:rPr>
          <w:rFonts w:ascii="Times New Roman" w:hAnsi="Times New Roman" w:eastAsia="仿宋_GB2312" w:cs="Times New Roman"/>
          <w:sz w:val="30"/>
          <w:szCs w:val="30"/>
        </w:rPr>
      </w:pPr>
    </w:p>
    <w:p>
      <w:pPr>
        <w:adjustRightInd w:val="0"/>
        <w:snapToGrid w:val="0"/>
        <w:spacing w:line="520" w:lineRule="exact"/>
        <w:ind w:left="1496" w:leftChars="284" w:hanging="900" w:hangingChars="300"/>
        <w:rPr>
          <w:rFonts w:ascii="Times New Roman" w:hAnsi="Times New Roman" w:eastAsia="仿宋_GB2312" w:cs="Times New Roman"/>
          <w:sz w:val="30"/>
          <w:szCs w:val="30"/>
        </w:rPr>
      </w:pPr>
      <w:r>
        <w:rPr>
          <w:rFonts w:ascii="Times New Roman" w:hAnsi="Times New Roman" w:eastAsia="仿宋_GB2312" w:cs="Times New Roman"/>
          <w:sz w:val="30"/>
          <w:szCs w:val="30"/>
        </w:rPr>
        <w:t>附件：1-1  2024年乌鲁木齐市政府一般债务限额、余额情况表</w:t>
      </w:r>
    </w:p>
    <w:p>
      <w:pPr>
        <w:adjustRightInd w:val="0"/>
        <w:snapToGrid w:val="0"/>
        <w:spacing w:line="520" w:lineRule="exact"/>
        <w:ind w:firstLine="1500" w:firstLineChars="500"/>
        <w:rPr>
          <w:rFonts w:ascii="Times New Roman" w:hAnsi="Times New Roman" w:eastAsia="仿宋_GB2312" w:cs="Times New Roman"/>
          <w:sz w:val="30"/>
          <w:szCs w:val="30"/>
        </w:rPr>
      </w:pPr>
      <w:r>
        <w:rPr>
          <w:rFonts w:ascii="Times New Roman" w:hAnsi="Times New Roman" w:eastAsia="仿宋_GB2312" w:cs="Times New Roman"/>
          <w:sz w:val="30"/>
          <w:szCs w:val="30"/>
        </w:rPr>
        <w:t>1-2  2024年乌鲁木齐市政府专项债务限额、余额情况表</w:t>
      </w:r>
    </w:p>
    <w:p>
      <w:pPr>
        <w:adjustRightInd w:val="0"/>
        <w:snapToGrid w:val="0"/>
        <w:spacing w:line="520" w:lineRule="exact"/>
        <w:ind w:left="2145" w:leftChars="710" w:hanging="654" w:hangingChars="218"/>
        <w:rPr>
          <w:rFonts w:ascii="Times New Roman" w:hAnsi="Times New Roman" w:eastAsia="仿宋_GB2312" w:cs="Times New Roman"/>
          <w:sz w:val="30"/>
          <w:szCs w:val="30"/>
        </w:rPr>
      </w:pPr>
      <w:r>
        <w:rPr>
          <w:rFonts w:ascii="Times New Roman" w:hAnsi="Times New Roman" w:eastAsia="仿宋_GB2312" w:cs="Times New Roman"/>
          <w:sz w:val="30"/>
          <w:szCs w:val="30"/>
        </w:rPr>
        <w:t>1-3</w:t>
      </w:r>
      <w:bookmarkStart w:id="0" w:name="_GoBack"/>
      <w:bookmarkEnd w:id="0"/>
      <w:r>
        <w:rPr>
          <w:rFonts w:ascii="Times New Roman" w:hAnsi="Times New Roman" w:eastAsia="仿宋_GB2312" w:cs="Times New Roman"/>
          <w:sz w:val="30"/>
          <w:szCs w:val="30"/>
        </w:rPr>
        <w:t xml:space="preserve">  2024年乌鲁木齐市政府债务限额、余额（含一般债务限额、余额和专项债务限额、余额）情况表</w:t>
      </w:r>
    </w:p>
    <w:p>
      <w:pPr>
        <w:adjustRightInd w:val="0"/>
        <w:snapToGrid w:val="0"/>
        <w:spacing w:line="520" w:lineRule="exact"/>
        <w:ind w:firstLine="1500" w:firstLineChars="500"/>
        <w:rPr>
          <w:rFonts w:ascii="Times New Roman" w:hAnsi="Times New Roman" w:eastAsia="仿宋_GB2312" w:cs="Times New Roman"/>
          <w:sz w:val="30"/>
          <w:szCs w:val="30"/>
        </w:rPr>
      </w:pPr>
      <w:r>
        <w:rPr>
          <w:rFonts w:ascii="Times New Roman" w:hAnsi="Times New Roman" w:eastAsia="仿宋_GB2312" w:cs="Times New Roman"/>
          <w:sz w:val="30"/>
          <w:szCs w:val="30"/>
        </w:rPr>
        <w:t>2-1  2024年乌鲁木齐市政府债券发行情况表</w:t>
      </w:r>
    </w:p>
    <w:p>
      <w:pPr>
        <w:adjustRightInd w:val="0"/>
        <w:snapToGrid w:val="0"/>
        <w:spacing w:line="520" w:lineRule="exact"/>
        <w:ind w:left="1491" w:leftChars="710"/>
        <w:rPr>
          <w:rFonts w:ascii="Times New Roman" w:hAnsi="Times New Roman" w:eastAsia="仿宋_GB2312" w:cs="Times New Roman"/>
          <w:sz w:val="30"/>
          <w:szCs w:val="30"/>
        </w:rPr>
      </w:pPr>
      <w:r>
        <w:rPr>
          <w:rFonts w:ascii="Times New Roman" w:hAnsi="Times New Roman" w:eastAsia="仿宋_GB2312" w:cs="Times New Roman"/>
          <w:sz w:val="30"/>
          <w:szCs w:val="30"/>
        </w:rPr>
        <w:t>2-2  2024年乌鲁木齐市政府债券发行情况明细表</w:t>
      </w:r>
    </w:p>
    <w:p>
      <w:pPr>
        <w:adjustRightInd w:val="0"/>
        <w:snapToGrid w:val="0"/>
        <w:spacing w:line="520" w:lineRule="exact"/>
        <w:ind w:firstLine="1500" w:firstLineChars="500"/>
        <w:rPr>
          <w:rFonts w:ascii="Times New Roman" w:hAnsi="Times New Roman" w:eastAsia="仿宋_GB2312" w:cs="Times New Roman"/>
          <w:sz w:val="30"/>
          <w:szCs w:val="30"/>
        </w:rPr>
      </w:pPr>
      <w:r>
        <w:rPr>
          <w:rFonts w:ascii="Times New Roman" w:hAnsi="Times New Roman" w:eastAsia="仿宋_GB2312" w:cs="Times New Roman"/>
          <w:sz w:val="30"/>
          <w:szCs w:val="30"/>
        </w:rPr>
        <w:t>2-3  2024年乌鲁木齐市新增债券使用情况表</w:t>
      </w:r>
    </w:p>
    <w:p>
      <w:pPr>
        <w:adjustRightInd w:val="0"/>
        <w:snapToGrid w:val="0"/>
        <w:spacing w:line="520" w:lineRule="exact"/>
        <w:ind w:left="2099" w:leftChars="714" w:hanging="600" w:hangingChars="200"/>
        <w:rPr>
          <w:rFonts w:ascii="Times New Roman" w:hAnsi="Times New Roman" w:eastAsia="仿宋_GB2312" w:cs="Times New Roman"/>
          <w:sz w:val="30"/>
          <w:szCs w:val="30"/>
        </w:rPr>
      </w:pPr>
      <w:r>
        <w:rPr>
          <w:rFonts w:ascii="Times New Roman" w:hAnsi="Times New Roman" w:eastAsia="仿宋_GB2312" w:cs="Times New Roman"/>
          <w:sz w:val="30"/>
          <w:szCs w:val="30"/>
        </w:rPr>
        <w:t>2-4  2024年乌鲁木齐市还本付息预计执行及2025年还本付息预算情况表</w:t>
      </w:r>
    </w:p>
    <w:p>
      <w:pPr>
        <w:adjustRightInd w:val="0"/>
        <w:snapToGrid w:val="0"/>
        <w:spacing w:line="520" w:lineRule="exact"/>
        <w:ind w:left="1500" w:hanging="1500" w:hangingChars="500"/>
        <w:rPr>
          <w:rFonts w:ascii="Times New Roman" w:hAnsi="Times New Roman" w:eastAsia="仿宋_GB2312" w:cs="Times New Roman"/>
          <w:sz w:val="30"/>
          <w:szCs w:val="30"/>
        </w:rPr>
      </w:pPr>
      <w:r>
        <w:rPr>
          <w:rFonts w:ascii="Times New Roman" w:hAnsi="Times New Roman" w:eastAsia="仿宋_GB2312" w:cs="Times New Roman"/>
          <w:sz w:val="30"/>
          <w:szCs w:val="30"/>
        </w:rPr>
        <w:t xml:space="preserve">          3    2025年乌鲁木齐市政府债券资金使用安排情况表</w:t>
      </w:r>
    </w:p>
    <w:p>
      <w:pPr>
        <w:adjustRightInd w:val="0"/>
        <w:snapToGrid w:val="0"/>
        <w:spacing w:line="520" w:lineRule="exact"/>
        <w:ind w:firstLine="1500" w:firstLineChars="500"/>
        <w:rPr>
          <w:rFonts w:ascii="Times New Roman" w:hAnsi="Times New Roman" w:eastAsia="仿宋_GB2312" w:cs="Times New Roman"/>
          <w:sz w:val="30"/>
          <w:szCs w:val="30"/>
        </w:rPr>
      </w:pPr>
      <w:r>
        <w:rPr>
          <w:rFonts w:ascii="Times New Roman" w:hAnsi="Times New Roman" w:eastAsia="仿宋_GB2312" w:cs="Times New Roman"/>
          <w:sz w:val="30"/>
          <w:szCs w:val="30"/>
        </w:rPr>
        <w:t>4-1  2024年乌鲁木齐市本级政府专项债务表</w:t>
      </w:r>
    </w:p>
    <w:p>
      <w:pPr>
        <w:adjustRightInd w:val="0"/>
        <w:snapToGrid w:val="0"/>
        <w:spacing w:line="520" w:lineRule="exact"/>
        <w:ind w:firstLine="1500" w:firstLineChars="500"/>
        <w:rPr>
          <w:rFonts w:ascii="Times New Roman" w:hAnsi="Times New Roman" w:eastAsia="仿宋_GB2312" w:cs="Times New Roman"/>
          <w:sz w:val="30"/>
          <w:szCs w:val="30"/>
        </w:rPr>
      </w:pPr>
      <w:r>
        <w:rPr>
          <w:rFonts w:ascii="Times New Roman" w:hAnsi="Times New Roman" w:eastAsia="仿宋_GB2312" w:cs="Times New Roman"/>
          <w:sz w:val="30"/>
          <w:szCs w:val="30"/>
        </w:rPr>
        <w:t>4-2  2024年乌鲁木齐市本级政府专项债券项目表</w:t>
      </w:r>
    </w:p>
    <w:p>
      <w:pPr>
        <w:adjustRightInd w:val="0"/>
        <w:snapToGrid w:val="0"/>
        <w:spacing w:line="520" w:lineRule="exact"/>
        <w:ind w:firstLine="1500" w:firstLineChars="500"/>
        <w:rPr>
          <w:rFonts w:ascii="Times New Roman" w:hAnsi="Times New Roman" w:eastAsia="仿宋_GB2312" w:cs="Times New Roman"/>
          <w:sz w:val="30"/>
          <w:szCs w:val="30"/>
        </w:rPr>
      </w:pPr>
    </w:p>
    <w:sectPr>
      <w:footerReference r:id="rId3" w:type="default"/>
      <w:pgSz w:w="11906" w:h="16838"/>
      <w:pgMar w:top="2098" w:right="1587" w:bottom="1871" w:left="1587" w:header="851" w:footer="992" w:gutter="0"/>
      <w:pgNumType w:fmt="numberInDash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Arial Unicode MS"/>
    <w:panose1 w:val="00000000000000000000"/>
    <w:charset w:val="86"/>
    <w:family w:val="auto"/>
    <w:pitch w:val="default"/>
    <w:sig w:usb0="00000000" w:usb1="00000000" w:usb2="00000012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547209736"/>
      <w:docPartObj>
        <w:docPartGallery w:val="AutoText"/>
      </w:docPartObj>
    </w:sdtPr>
    <w:sdtEndPr>
      <w:rPr>
        <w:sz w:val="28"/>
        <w:szCs w:val="28"/>
      </w:rPr>
    </w:sdtEndPr>
    <w:sdtContent>
      <w:p>
        <w:pPr>
          <w:pStyle w:val="3"/>
          <w:jc w:val="right"/>
          <w:rPr>
            <w:sz w:val="28"/>
            <w:szCs w:val="28"/>
          </w:rPr>
        </w:pPr>
        <w:r>
          <w:rPr>
            <w:sz w:val="28"/>
            <w:szCs w:val="28"/>
          </w:rPr>
          <w:fldChar w:fldCharType="begin"/>
        </w:r>
        <w:r>
          <w:rPr>
            <w:sz w:val="28"/>
            <w:szCs w:val="28"/>
          </w:rPr>
          <w:instrText xml:space="preserve">PAGE   \* MERGEFORMAT</w:instrText>
        </w:r>
        <w:r>
          <w:rPr>
            <w:sz w:val="28"/>
            <w:szCs w:val="28"/>
          </w:rPr>
          <w:fldChar w:fldCharType="separate"/>
        </w:r>
        <w:r>
          <w:rPr>
            <w:sz w:val="28"/>
            <w:szCs w:val="28"/>
            <w:lang w:val="zh-CN"/>
          </w:rPr>
          <w:t>-</w:t>
        </w:r>
        <w:r>
          <w:rPr>
            <w:sz w:val="28"/>
            <w:szCs w:val="28"/>
          </w:rPr>
          <w:t xml:space="preserve"> 2 -</w:t>
        </w:r>
        <w:r>
          <w:rPr>
            <w:sz w:val="28"/>
            <w:szCs w:val="28"/>
          </w:rPr>
          <w:fldChar w:fldCharType="end"/>
        </w:r>
      </w:p>
    </w:sdtContent>
  </w:sdt>
  <w:p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727A"/>
    <w:rsid w:val="00011739"/>
    <w:rsid w:val="00076DBC"/>
    <w:rsid w:val="00096461"/>
    <w:rsid w:val="000C594B"/>
    <w:rsid w:val="001208F6"/>
    <w:rsid w:val="00130F3F"/>
    <w:rsid w:val="0013397D"/>
    <w:rsid w:val="00165A40"/>
    <w:rsid w:val="00176D3D"/>
    <w:rsid w:val="0017727A"/>
    <w:rsid w:val="001B0750"/>
    <w:rsid w:val="001B5353"/>
    <w:rsid w:val="001B669D"/>
    <w:rsid w:val="001B674C"/>
    <w:rsid w:val="001C7ABE"/>
    <w:rsid w:val="001D21E5"/>
    <w:rsid w:val="001E4D01"/>
    <w:rsid w:val="001F49B2"/>
    <w:rsid w:val="002501FB"/>
    <w:rsid w:val="00250557"/>
    <w:rsid w:val="00261B09"/>
    <w:rsid w:val="0028299B"/>
    <w:rsid w:val="00291135"/>
    <w:rsid w:val="002B247B"/>
    <w:rsid w:val="002C0F2C"/>
    <w:rsid w:val="002C2895"/>
    <w:rsid w:val="002E6C1C"/>
    <w:rsid w:val="002F691E"/>
    <w:rsid w:val="0030206C"/>
    <w:rsid w:val="00305B33"/>
    <w:rsid w:val="00335CE0"/>
    <w:rsid w:val="00380133"/>
    <w:rsid w:val="003946F0"/>
    <w:rsid w:val="003C12B5"/>
    <w:rsid w:val="003C20F8"/>
    <w:rsid w:val="00404454"/>
    <w:rsid w:val="00406E28"/>
    <w:rsid w:val="00423D5C"/>
    <w:rsid w:val="00432E72"/>
    <w:rsid w:val="00433E34"/>
    <w:rsid w:val="00441703"/>
    <w:rsid w:val="00450D11"/>
    <w:rsid w:val="00462D20"/>
    <w:rsid w:val="004702F5"/>
    <w:rsid w:val="00487611"/>
    <w:rsid w:val="004C7517"/>
    <w:rsid w:val="004E31B4"/>
    <w:rsid w:val="004F4D04"/>
    <w:rsid w:val="00502901"/>
    <w:rsid w:val="00513E97"/>
    <w:rsid w:val="005224E1"/>
    <w:rsid w:val="0054037A"/>
    <w:rsid w:val="00586E6F"/>
    <w:rsid w:val="005A7CBD"/>
    <w:rsid w:val="005C3122"/>
    <w:rsid w:val="005D5746"/>
    <w:rsid w:val="00614092"/>
    <w:rsid w:val="00620D13"/>
    <w:rsid w:val="00632B7D"/>
    <w:rsid w:val="00641AAC"/>
    <w:rsid w:val="006A4550"/>
    <w:rsid w:val="006F1DFF"/>
    <w:rsid w:val="006F4888"/>
    <w:rsid w:val="006F4993"/>
    <w:rsid w:val="006F54AA"/>
    <w:rsid w:val="00700201"/>
    <w:rsid w:val="0070757C"/>
    <w:rsid w:val="00735A99"/>
    <w:rsid w:val="00741A01"/>
    <w:rsid w:val="007520DE"/>
    <w:rsid w:val="00760E23"/>
    <w:rsid w:val="00766388"/>
    <w:rsid w:val="007A0DD1"/>
    <w:rsid w:val="007A6AD7"/>
    <w:rsid w:val="007B6E70"/>
    <w:rsid w:val="007D7FDA"/>
    <w:rsid w:val="007F08A7"/>
    <w:rsid w:val="008A04C5"/>
    <w:rsid w:val="008B7AD3"/>
    <w:rsid w:val="008D6E0A"/>
    <w:rsid w:val="008E16B2"/>
    <w:rsid w:val="008F549D"/>
    <w:rsid w:val="00954E1B"/>
    <w:rsid w:val="0096352A"/>
    <w:rsid w:val="00964F99"/>
    <w:rsid w:val="00967C32"/>
    <w:rsid w:val="00990152"/>
    <w:rsid w:val="009966CC"/>
    <w:rsid w:val="009B4249"/>
    <w:rsid w:val="009B45C6"/>
    <w:rsid w:val="009E120C"/>
    <w:rsid w:val="00A630EB"/>
    <w:rsid w:val="00A77605"/>
    <w:rsid w:val="00A96640"/>
    <w:rsid w:val="00AA5C10"/>
    <w:rsid w:val="00AD35EF"/>
    <w:rsid w:val="00AE2A09"/>
    <w:rsid w:val="00AE2E71"/>
    <w:rsid w:val="00AF6898"/>
    <w:rsid w:val="00B02DA0"/>
    <w:rsid w:val="00B07640"/>
    <w:rsid w:val="00B60BFC"/>
    <w:rsid w:val="00B86B58"/>
    <w:rsid w:val="00B92D12"/>
    <w:rsid w:val="00BA1F23"/>
    <w:rsid w:val="00BA5ACE"/>
    <w:rsid w:val="00BB5700"/>
    <w:rsid w:val="00BD65F7"/>
    <w:rsid w:val="00BF71C3"/>
    <w:rsid w:val="00C05D22"/>
    <w:rsid w:val="00C2725D"/>
    <w:rsid w:val="00C302B2"/>
    <w:rsid w:val="00C36757"/>
    <w:rsid w:val="00C643D9"/>
    <w:rsid w:val="00C84381"/>
    <w:rsid w:val="00C84FE4"/>
    <w:rsid w:val="00CE56D6"/>
    <w:rsid w:val="00D13BD5"/>
    <w:rsid w:val="00D22DD4"/>
    <w:rsid w:val="00D24366"/>
    <w:rsid w:val="00D27910"/>
    <w:rsid w:val="00D42A54"/>
    <w:rsid w:val="00D42C1B"/>
    <w:rsid w:val="00D463E2"/>
    <w:rsid w:val="00D56CA4"/>
    <w:rsid w:val="00D61ABD"/>
    <w:rsid w:val="00D85582"/>
    <w:rsid w:val="00DA6BB8"/>
    <w:rsid w:val="00DB3AA5"/>
    <w:rsid w:val="00DB4A25"/>
    <w:rsid w:val="00DB7556"/>
    <w:rsid w:val="00E007ED"/>
    <w:rsid w:val="00E11A3B"/>
    <w:rsid w:val="00E210C1"/>
    <w:rsid w:val="00E272CF"/>
    <w:rsid w:val="00E6369C"/>
    <w:rsid w:val="00E6602D"/>
    <w:rsid w:val="00EA3D63"/>
    <w:rsid w:val="00EE70FC"/>
    <w:rsid w:val="00F07472"/>
    <w:rsid w:val="00F20577"/>
    <w:rsid w:val="00F40565"/>
    <w:rsid w:val="00F75E72"/>
    <w:rsid w:val="01B36FE2"/>
    <w:rsid w:val="020752BE"/>
    <w:rsid w:val="04595E26"/>
    <w:rsid w:val="063F2F9D"/>
    <w:rsid w:val="090B4E5B"/>
    <w:rsid w:val="0BE56C62"/>
    <w:rsid w:val="0E082D70"/>
    <w:rsid w:val="141535E8"/>
    <w:rsid w:val="14D614C6"/>
    <w:rsid w:val="158536F1"/>
    <w:rsid w:val="182373F8"/>
    <w:rsid w:val="18823C8F"/>
    <w:rsid w:val="1A791179"/>
    <w:rsid w:val="1D57227F"/>
    <w:rsid w:val="1DDF0802"/>
    <w:rsid w:val="1F7A0A6B"/>
    <w:rsid w:val="213F64E9"/>
    <w:rsid w:val="230A0EF5"/>
    <w:rsid w:val="23F2182C"/>
    <w:rsid w:val="24D0426A"/>
    <w:rsid w:val="27A14794"/>
    <w:rsid w:val="2AB37734"/>
    <w:rsid w:val="2F935813"/>
    <w:rsid w:val="30F264E2"/>
    <w:rsid w:val="30F51D15"/>
    <w:rsid w:val="353C53B6"/>
    <w:rsid w:val="360C515C"/>
    <w:rsid w:val="399D7067"/>
    <w:rsid w:val="459A6030"/>
    <w:rsid w:val="4B080752"/>
    <w:rsid w:val="4CFC1B55"/>
    <w:rsid w:val="4DB47F12"/>
    <w:rsid w:val="4EFD0E9F"/>
    <w:rsid w:val="53013412"/>
    <w:rsid w:val="53F00EC8"/>
    <w:rsid w:val="56885F8D"/>
    <w:rsid w:val="57796094"/>
    <w:rsid w:val="59E94415"/>
    <w:rsid w:val="59EE6C85"/>
    <w:rsid w:val="5AF03569"/>
    <w:rsid w:val="5BFB1AAA"/>
    <w:rsid w:val="5E793247"/>
    <w:rsid w:val="6541174B"/>
    <w:rsid w:val="67F671F9"/>
    <w:rsid w:val="692F2D63"/>
    <w:rsid w:val="6ACF7A08"/>
    <w:rsid w:val="6B080355"/>
    <w:rsid w:val="71827528"/>
    <w:rsid w:val="71DB1086"/>
    <w:rsid w:val="77BB7AC7"/>
    <w:rsid w:val="791768FB"/>
    <w:rsid w:val="7B245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qFormat/>
    <w:uiPriority w:val="0"/>
    <w:rPr>
      <w:sz w:val="18"/>
      <w:szCs w:val="18"/>
    </w:rPr>
  </w:style>
  <w:style w:type="paragraph" w:styleId="3">
    <w:name w:val="footer"/>
    <w:basedOn w:val="1"/>
    <w:link w:val="8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qFormat/>
    <w:uiPriority w:val="0"/>
    <w:rPr>
      <w:kern w:val="2"/>
      <w:sz w:val="18"/>
      <w:szCs w:val="18"/>
    </w:rPr>
  </w:style>
  <w:style w:type="character" w:customStyle="1" w:styleId="8">
    <w:name w:val="页脚 Char"/>
    <w:basedOn w:val="6"/>
    <w:link w:val="3"/>
    <w:qFormat/>
    <w:uiPriority w:val="99"/>
    <w:rPr>
      <w:kern w:val="2"/>
      <w:sz w:val="18"/>
      <w:szCs w:val="18"/>
    </w:rPr>
  </w:style>
  <w:style w:type="character" w:customStyle="1" w:styleId="9">
    <w:name w:val="批注框文本 Char"/>
    <w:basedOn w:val="6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6</Pages>
  <Words>558</Words>
  <Characters>3185</Characters>
  <Lines>26</Lines>
  <Paragraphs>7</Paragraphs>
  <TotalTime>557</TotalTime>
  <ScaleCrop>false</ScaleCrop>
  <LinksUpToDate>false</LinksUpToDate>
  <CharactersWithSpaces>3736</CharactersWithSpaces>
  <Application>WPS Office_11.8.2.10154_F1E327BC-269C-435d-A152-05C5408002CA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2021-07-28T09:41:00Z</dcterms:created>
  <dc:creator>Administrator</dc:creator>
  <cp:lastModifiedBy>贾 林</cp:lastModifiedBy>
  <cp:lastPrinted>2025-02-10T11:23:00Z</cp:lastPrinted>
  <dcterms:modified xsi:type="dcterms:W3CDTF">2025-09-10T10:12:39Z</dcterms:modified>
  <cp:revision>86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2052-11.8.2.10154</vt:lpwstr>
  </property>
</Properties>
</file>