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settings.xml" ContentType="application/vnd.openxmlformats-officedocument.wordprocessingml.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60" w:lineRule="exact"/>
        <w:jc w:val="center"/>
        <w:outlineLvl w:val="0"/>
        <w:rPr>
          <w:rFonts w:ascii="Times New Roman" w:eastAsia="方正小标宋_GBK" w:cs="Times New Roman" w:hAnsi="Times New Roman"/>
          <w:bCs/>
          <w:kern w:val="36"/>
          <w:sz w:val="44"/>
          <w:szCs w:val="44"/>
        </w:rPr>
      </w:pPr>
      <w:r>
        <w:rPr>
          <w:rFonts w:ascii="Times New Roman" w:eastAsia="方正小标宋_GBK" w:cs="Times New Roman" w:hAnsi="Times New Roman"/>
          <w:bCs/>
          <w:kern w:val="36"/>
          <w:sz w:val="44"/>
          <w:szCs w:val="44"/>
        </w:rPr>
        <w:t>乌鲁木齐市本级汇总202</w:t>
      </w:r>
      <w:r>
        <w:rPr>
          <w:rFonts w:ascii="Times New Roman" w:eastAsia="方正小标宋_GBK" w:cs="Times New Roman" w:hAnsi="Times New Roman" w:hint="eastAsia"/>
          <w:bCs/>
          <w:kern w:val="36"/>
          <w:sz w:val="44"/>
          <w:szCs w:val="44"/>
        </w:rPr>
        <w:t>1</w:t>
      </w:r>
      <w:r>
        <w:rPr>
          <w:rFonts w:ascii="Times New Roman" w:eastAsia="方正小标宋_GBK" w:cs="Times New Roman" w:hAnsi="Times New Roman"/>
          <w:bCs/>
          <w:kern w:val="36"/>
          <w:sz w:val="44"/>
          <w:szCs w:val="44"/>
        </w:rPr>
        <w:t>年度一般公共预算财政拨款</w:t>
      </w:r>
      <w:r>
        <w:rPr>
          <w:rFonts w:ascii="Times New Roman" w:eastAsia="方正小标宋_GBK" w:cs="Times New Roman" w:hAnsi="Times New Roman" w:hint="eastAsia"/>
          <w:bCs/>
          <w:kern w:val="36"/>
          <w:sz w:val="44"/>
          <w:szCs w:val="44"/>
        </w:rPr>
        <w:t>“</w:t>
      </w:r>
      <w:r>
        <w:rPr>
          <w:rFonts w:ascii="Times New Roman" w:eastAsia="方正小标宋_GBK" w:cs="Times New Roman" w:hAnsi="Times New Roman"/>
          <w:bCs/>
          <w:kern w:val="36"/>
          <w:sz w:val="44"/>
          <w:szCs w:val="44"/>
        </w:rPr>
        <w:t>三公</w:t>
      </w:r>
      <w:r>
        <w:rPr>
          <w:rFonts w:ascii="Times New Roman" w:eastAsia="方正小标宋_GBK" w:cs="Times New Roman" w:hAnsi="Times New Roman" w:hint="eastAsia"/>
          <w:bCs/>
          <w:kern w:val="36"/>
          <w:sz w:val="44"/>
          <w:szCs w:val="44"/>
        </w:rPr>
        <w:t>”</w:t>
      </w:r>
      <w:r>
        <w:rPr>
          <w:rFonts w:ascii="Times New Roman" w:eastAsia="方正小标宋_GBK" w:cs="Times New Roman" w:hAnsi="Times New Roman"/>
          <w:bCs/>
          <w:kern w:val="36"/>
          <w:sz w:val="44"/>
          <w:szCs w:val="44"/>
        </w:rPr>
        <w:t>经费公开说明</w:t>
      </w:r>
    </w:p>
    <w:p>
      <w:pPr>
        <w:spacing w:line="560" w:lineRule="exact"/>
        <w:ind w:firstLineChars="200" w:firstLine="640"/>
        <w:rPr>
          <w:rFonts w:ascii="Times New Roman" w:eastAsia="方正黑体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黑体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一、乌鲁木齐市本级预算单位、人员及车辆基本情况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sz w:val="32"/>
          <w:szCs w:val="32"/>
        </w:rPr>
        <w:t>年度，乌鲁木齐市本级共66个一级预算部门，实有人数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38,532</w:t>
      </w:r>
      <w:r>
        <w:rPr>
          <w:rFonts w:ascii="Times New Roman" w:eastAsia="方正仿宋_GBK" w:cs="Times New Roman" w:hAnsi="Times New Roman"/>
          <w:sz w:val="32"/>
          <w:szCs w:val="32"/>
        </w:rPr>
        <w:t>人，其中：在职人员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38,156</w:t>
      </w:r>
      <w:r>
        <w:rPr>
          <w:rFonts w:ascii="Times New Roman" w:eastAsia="方正仿宋_GBK" w:cs="Times New Roman" w:hAnsi="Times New Roman"/>
          <w:sz w:val="32"/>
          <w:szCs w:val="32"/>
        </w:rPr>
        <w:t>人，离休人员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122</w:t>
      </w:r>
      <w:r>
        <w:rPr>
          <w:rFonts w:ascii="Times New Roman" w:eastAsia="方正仿宋_GBK" w:cs="Times New Roman" w:hAnsi="Times New Roman"/>
          <w:sz w:val="32"/>
          <w:szCs w:val="32"/>
        </w:rPr>
        <w:t>人，退休人员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254</w:t>
      </w:r>
      <w:r>
        <w:rPr>
          <w:rFonts w:ascii="Times New Roman" w:eastAsia="方正仿宋_GBK" w:cs="Times New Roman" w:hAnsi="Times New Roman"/>
          <w:sz w:val="32"/>
          <w:szCs w:val="32"/>
        </w:rPr>
        <w:t>人。公务用车总数6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,881</w:t>
      </w:r>
      <w:r>
        <w:rPr>
          <w:rFonts w:ascii="Times New Roman" w:eastAsia="方正仿宋_GBK" w:cs="Times New Roman" w:hAnsi="Times New Roman"/>
          <w:sz w:val="32"/>
          <w:szCs w:val="32"/>
        </w:rPr>
        <w:t>辆（其中：副部（省）级及以上领导用车0辆，主要领导干部用车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</w:t>
      </w:r>
      <w:r>
        <w:rPr>
          <w:rFonts w:ascii="Times New Roman" w:eastAsia="方正仿宋_GBK" w:cs="Times New Roman" w:hAnsi="Times New Roman"/>
          <w:sz w:val="32"/>
          <w:szCs w:val="32"/>
        </w:rPr>
        <w:t>辆，机要通信用车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</w:t>
      </w:r>
      <w:r>
        <w:rPr>
          <w:rFonts w:ascii="Times New Roman" w:eastAsia="方正仿宋_GBK" w:cs="Times New Roman" w:hAnsi="Times New Roman"/>
          <w:sz w:val="32"/>
          <w:szCs w:val="32"/>
        </w:rPr>
        <w:t>辆，应急保障用车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45</w:t>
      </w:r>
      <w:r>
        <w:rPr>
          <w:rFonts w:ascii="Times New Roman" w:eastAsia="方正仿宋_GBK" w:cs="Times New Roman" w:hAnsi="Times New Roman"/>
          <w:sz w:val="32"/>
          <w:szCs w:val="32"/>
        </w:rPr>
        <w:t>辆，执法执勤用车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3,751</w:t>
      </w:r>
      <w:r>
        <w:rPr>
          <w:rFonts w:ascii="Times New Roman" w:eastAsia="方正仿宋_GBK" w:cs="Times New Roman" w:hAnsi="Times New Roman"/>
          <w:sz w:val="32"/>
          <w:szCs w:val="32"/>
        </w:rPr>
        <w:t>辆，特种专业技术用车1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,214</w:t>
      </w:r>
      <w:r>
        <w:rPr>
          <w:rFonts w:ascii="Times New Roman" w:eastAsia="方正仿宋_GBK" w:cs="Times New Roman" w:hAnsi="Times New Roman"/>
          <w:sz w:val="32"/>
          <w:szCs w:val="32"/>
        </w:rPr>
        <w:t>辆，离退休干部用车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辆，其他用车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1,865</w:t>
      </w:r>
      <w:r>
        <w:rPr>
          <w:rFonts w:ascii="Times New Roman" w:eastAsia="方正仿宋_GBK" w:cs="Times New Roman" w:hAnsi="Times New Roman"/>
          <w:sz w:val="32"/>
          <w:szCs w:val="32"/>
        </w:rPr>
        <w:t>辆）。</w:t>
      </w:r>
    </w:p>
    <w:p>
      <w:pPr>
        <w:spacing w:line="560" w:lineRule="exact"/>
        <w:ind w:firstLineChars="200" w:firstLine="640"/>
        <w:rPr>
          <w:rFonts w:ascii="Times New Roman" w:eastAsia="方正黑体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二、乌鲁木齐市本级一般公共预算财政拨款“三公”经费支出总体情况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sz w:val="32"/>
          <w:szCs w:val="32"/>
        </w:rPr>
        <w:t>年度，乌鲁木齐市本级一般公共预算财政拨款“三公”经费支出合计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</w:t>
      </w:r>
      <w:r>
        <w:rPr>
          <w:rFonts w:ascii="Times New Roman" w:eastAsia="方正仿宋_GBK" w:cs="Times New Roman" w:hAnsi="Times New Roman"/>
          <w:sz w:val="32"/>
          <w:szCs w:val="32"/>
        </w:rPr>
        <w:t>,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035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</w:t>
      </w:r>
      <w:r>
        <w:rPr>
          <w:rFonts w:ascii="Times New Roman" w:eastAsia="方正仿宋_GBK" w:cs="Times New Roman" w:hAnsi="Times New Roman"/>
          <w:sz w:val="32"/>
          <w:szCs w:val="32"/>
        </w:rPr>
        <w:t>万元（包括基本支出和项目支出安排的经费），同比减少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1,015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33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33.28</w:t>
      </w:r>
      <w:r>
        <w:rPr>
          <w:rFonts w:ascii="Times New Roman" w:eastAsia="方正仿宋_GBK" w:cs="Times New Roman" w:hAnsi="Times New Roman"/>
          <w:sz w:val="32"/>
          <w:szCs w:val="32"/>
        </w:rPr>
        <w:t>%，各部门单位贯彻落实中央、自治区和市委有关落实厉行节约、反对铺张浪费规定，采取措施，降低支出。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其中：因公出国（境）经费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万元，同比减少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0.24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100</w:t>
      </w:r>
      <w:r>
        <w:rPr>
          <w:rFonts w:ascii="Times New Roman" w:eastAsia="方正仿宋_GBK" w:cs="Times New Roman" w:hAnsi="Times New Roman"/>
          <w:sz w:val="32"/>
          <w:szCs w:val="32"/>
        </w:rPr>
        <w:t>%，主要是部门单位去年削减出国考察、培训等安排。公务用车购置及运行维护费2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,015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</w:t>
      </w:r>
      <w:r>
        <w:rPr>
          <w:rFonts w:ascii="Times New Roman" w:eastAsia="方正仿宋_GBK" w:cs="Times New Roman" w:hAnsi="Times New Roman"/>
          <w:sz w:val="32"/>
          <w:szCs w:val="32"/>
        </w:rPr>
        <w:t>万元，同比减少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909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91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31.11</w:t>
      </w:r>
      <w:r>
        <w:rPr>
          <w:rFonts w:ascii="Times New Roman" w:eastAsia="方正仿宋_GBK" w:cs="Times New Roman" w:hAnsi="Times New Roman"/>
          <w:sz w:val="32"/>
          <w:szCs w:val="32"/>
        </w:rPr>
        <w:t>%（公务用车购置费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万元，同比减少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11.19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100</w:t>
      </w:r>
      <w:r>
        <w:rPr>
          <w:rFonts w:ascii="Times New Roman" w:eastAsia="方正仿宋_GBK" w:cs="Times New Roman" w:hAnsi="Times New Roman"/>
          <w:sz w:val="32"/>
          <w:szCs w:val="32"/>
        </w:rPr>
        <w:t>%，主要是减少购置用车，费用降低；公务用车运行维护费2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,015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</w:t>
      </w:r>
      <w:r>
        <w:rPr>
          <w:rFonts w:ascii="Times New Roman" w:eastAsia="方正仿宋_GBK" w:cs="Times New Roman" w:hAnsi="Times New Roman"/>
          <w:sz w:val="32"/>
          <w:szCs w:val="32"/>
        </w:rPr>
        <w:t>万元，同比减少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898.72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30.84</w:t>
      </w:r>
      <w:r>
        <w:rPr>
          <w:rFonts w:ascii="Times New Roman" w:eastAsia="方正仿宋_GBK" w:cs="Times New Roman" w:hAnsi="Times New Roman"/>
          <w:sz w:val="32"/>
          <w:szCs w:val="32"/>
        </w:rPr>
        <w:t>%，主要是加强车辆管理，降低运行成本）。各部门单位严把车辆管控关，严格遵守公务车辆配置标准和管理制度，减少使用高耗油车辆，严禁公车私用。公务接待费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19.9</w:t>
      </w:r>
      <w:r>
        <w:rPr>
          <w:rFonts w:ascii="Times New Roman" w:eastAsia="方正仿宋_GBK" w:cs="Times New Roman" w:hAnsi="Times New Roman"/>
          <w:sz w:val="32"/>
          <w:szCs w:val="32"/>
        </w:rPr>
        <w:t>万元，同比减少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105.19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84.09</w:t>
      </w:r>
      <w:r>
        <w:rPr>
          <w:rFonts w:ascii="Times New Roman" w:eastAsia="方正仿宋_GBK" w:cs="Times New Roman" w:hAnsi="Times New Roman"/>
          <w:sz w:val="32"/>
          <w:szCs w:val="32"/>
        </w:rPr>
        <w:t>%（国内接待费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19.9</w:t>
      </w:r>
      <w:r>
        <w:rPr>
          <w:rFonts w:ascii="Times New Roman" w:eastAsia="方正仿宋_GBK" w:cs="Times New Roman" w:hAnsi="Times New Roman"/>
          <w:sz w:val="32"/>
          <w:szCs w:val="32"/>
        </w:rPr>
        <w:t>万元，同比减少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105.19</w:t>
      </w:r>
      <w:r>
        <w:rPr>
          <w:rFonts w:ascii="Times New Roman" w:eastAsia="方正仿宋_GBK" w:cs="Times New Roman" w:hAnsi="Times New Roman"/>
          <w:sz w:val="32"/>
          <w:szCs w:val="32"/>
        </w:rPr>
        <w:t>万元，下降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84.09</w:t>
      </w:r>
      <w:r>
        <w:rPr>
          <w:rFonts w:ascii="Times New Roman" w:eastAsia="方正仿宋_GBK" w:cs="Times New Roman" w:hAnsi="Times New Roman"/>
          <w:sz w:val="32"/>
          <w:szCs w:val="32"/>
        </w:rPr>
        <w:t>%，其中：外事接待费0万元，与上年一致；国（境）外接待费0万元，与上年一致），各部门单位严把监督检查关，对接待费严格控制，减少一切不必要的公务接待开支。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sz w:val="32"/>
          <w:szCs w:val="32"/>
        </w:rPr>
        <w:t>年度，乌鲁木齐市本级因公出国（境）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个团组，因公出国（境）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人次；公务用车购置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辆；公务用车保有量1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,422</w:t>
      </w:r>
      <w:r>
        <w:rPr>
          <w:rFonts w:ascii="Times New Roman" w:eastAsia="方正仿宋_GBK" w:cs="Times New Roman" w:hAnsi="Times New Roman"/>
          <w:sz w:val="32"/>
          <w:szCs w:val="32"/>
        </w:rPr>
        <w:t>辆；国内公务接待30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9</w:t>
      </w:r>
      <w:r>
        <w:rPr>
          <w:rFonts w:ascii="Times New Roman" w:eastAsia="方正仿宋_GBK" w:cs="Times New Roman" w:hAnsi="Times New Roman"/>
          <w:sz w:val="32"/>
          <w:szCs w:val="32"/>
        </w:rPr>
        <w:t>批次，其中：外事接待0批次；国内公务接待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3,244</w:t>
      </w:r>
      <w:r>
        <w:rPr>
          <w:rFonts w:ascii="Times New Roman" w:eastAsia="方正仿宋_GBK" w:cs="Times New Roman" w:hAnsi="Times New Roman"/>
          <w:sz w:val="32"/>
          <w:szCs w:val="32"/>
        </w:rPr>
        <w:t>人次，其中：外事接待0人次；国（境）外公务接待0批次；国（境）外公务接待0人次。</w:t>
      </w:r>
    </w:p>
    <w:p>
      <w:pPr>
        <w:spacing w:line="560" w:lineRule="exact"/>
        <w:jc w:val="center"/>
        <w:rPr>
          <w:rFonts w:ascii="Times New Roman" w:eastAsia="方正楷体_GBK" w:cs="Times New Roman" w:hAnsi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20</w:t>
      </w:r>
      <w:r>
        <w:rPr>
          <w:rFonts w:ascii="Times New Roman" w:eastAsia="方正楷体_GBK" w:cs="Times New Roman" w:hAnsi="Times New Roman" w:hint="eastAsia"/>
          <w:sz w:val="32"/>
          <w:szCs w:val="32"/>
        </w:rPr>
        <w:t>20</w:t>
      </w:r>
      <w:r>
        <w:rPr>
          <w:rFonts w:ascii="Times New Roman" w:eastAsia="方正楷体_GBK" w:cs="Times New Roman" w:hAnsi="Times New Roman"/>
          <w:sz w:val="32"/>
          <w:szCs w:val="32"/>
        </w:rPr>
        <w:t>-20</w:t>
      </w:r>
      <w:r>
        <w:rPr>
          <w:rFonts w:ascii="Times New Roman" w:eastAsia="方正楷体_GBK" w:cs="Times New Roman" w:hAnsi="Times New Roman" w:hint="eastAsia"/>
          <w:sz w:val="32"/>
          <w:szCs w:val="32"/>
        </w:rPr>
        <w:t>21</w:t>
      </w:r>
      <w:r>
        <w:rPr>
          <w:rFonts w:ascii="Times New Roman" w:eastAsia="方正楷体_GBK" w:cs="Times New Roman" w:hAnsi="Times New Roman"/>
          <w:sz w:val="32"/>
          <w:szCs w:val="32"/>
        </w:rPr>
        <w:t>年度“三公”经费情况（万元）</w:t>
      </w: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  <w: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-95250</wp:posOffset>
            </wp:positionH>
            <wp:positionV relativeFrom="paragraph">
              <wp:posOffset>133350</wp:posOffset>
            </wp:positionV>
            <wp:extent cx="5581649" cy="3276600"/>
            <wp:effectExtent l="0" t="0" r="0" b="0"/>
            <wp:wrapNone/>
            <wp:docPr id="1" name="图表 3"/>
            <wp:cNvGraphicFramePr>
              <a:graphicFrameLocks noChangeAspect="0"/>
            </wp:cNvGraphicFramePr>
            <a:graphic>
              <a:graphicData uri="http://schemas.openxmlformats.org/drawingml/2006/chart">
                <c:chart xmlns:c="http://schemas.openxmlformats.org/drawingml/2006/chart" r:id="rId2"/>
              </a:graphicData>
            </a:graphic>
          </wp:anchor>
        </w:drawing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sz w:val="32"/>
          <w:szCs w:val="32"/>
        </w:rPr>
        <w:t>年度，乌鲁木齐市本级一般公共预算财政拨款“三公”经费支出合计预算数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2,531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85</w:t>
      </w:r>
      <w:r>
        <w:rPr>
          <w:rFonts w:ascii="Times New Roman" w:eastAsia="方正仿宋_GBK" w:cs="Times New Roman" w:hAnsi="Times New Roman"/>
          <w:sz w:val="32"/>
          <w:szCs w:val="32"/>
        </w:rPr>
        <w:t>万元，预决算差异率-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19.62</w:t>
      </w:r>
      <w:r>
        <w:rPr>
          <w:rFonts w:ascii="Times New Roman" w:eastAsia="方正仿宋_GBK" w:cs="Times New Roman" w:hAnsi="Times New Roman"/>
          <w:sz w:val="32"/>
          <w:szCs w:val="32"/>
        </w:rPr>
        <w:t>%。各部门单位认真贯彻落实中央、自治区和市委厉行节约的各项规定，严格控制和降低行政运行成本，大力压缩“三公”经费支出规模。其中：因公出国（境）经费预算数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万元，预决算差异率0%；公务用车购置及运行维护费预算数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2,348.9</w:t>
      </w:r>
      <w:r>
        <w:rPr>
          <w:rFonts w:ascii="Times New Roman" w:eastAsia="方正仿宋_GBK" w:cs="Times New Roman" w:hAnsi="Times New Roman"/>
          <w:sz w:val="32"/>
          <w:szCs w:val="32"/>
        </w:rPr>
        <w:t>万元，预决算差异率-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14.2</w:t>
      </w:r>
      <w:r>
        <w:rPr>
          <w:rFonts w:ascii="Times New Roman" w:eastAsia="方正仿宋_GBK" w:cs="Times New Roman" w:hAnsi="Times New Roman"/>
          <w:sz w:val="32"/>
          <w:szCs w:val="32"/>
        </w:rPr>
        <w:t>%（公务用车购置费预算数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0</w:t>
      </w:r>
      <w:r>
        <w:rPr>
          <w:rFonts w:ascii="Times New Roman" w:eastAsia="方正仿宋_GBK" w:cs="Times New Roman" w:hAnsi="Times New Roman"/>
          <w:sz w:val="32"/>
          <w:szCs w:val="32"/>
        </w:rPr>
        <w:t>万元，预决算差异率0%；公务用车运行维护费预算数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ab/>
        <w:t>2,348</w:t>
      </w:r>
      <w:r>
        <w:rPr>
          <w:rFonts w:ascii="Times New Roman" w:eastAsia="方正仿宋_GBK" w:cs="Times New Roman" w:hAnsi="Times New Roman"/>
          <w:sz w:val="32"/>
          <w:szCs w:val="32"/>
        </w:rPr>
        <w:t>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9</w:t>
      </w:r>
      <w:r>
        <w:rPr>
          <w:rFonts w:ascii="Times New Roman" w:eastAsia="方正仿宋_GBK" w:cs="Times New Roman" w:hAnsi="Times New Roman"/>
          <w:sz w:val="32"/>
          <w:szCs w:val="32"/>
        </w:rPr>
        <w:t>万元，预决算差异率-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14.2</w:t>
      </w:r>
      <w:r>
        <w:rPr>
          <w:rFonts w:ascii="Times New Roman" w:eastAsia="方正仿宋_GBK" w:cs="Times New Roman" w:hAnsi="Times New Roman"/>
          <w:sz w:val="32"/>
          <w:szCs w:val="32"/>
        </w:rPr>
        <w:t>%）；公务接待费预算数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182.95</w:t>
      </w:r>
      <w:r>
        <w:rPr>
          <w:rFonts w:ascii="Times New Roman" w:eastAsia="方正仿宋_GBK" w:cs="Times New Roman" w:hAnsi="Times New Roman"/>
          <w:sz w:val="32"/>
          <w:szCs w:val="32"/>
        </w:rPr>
        <w:t>万元，预决算差异率-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89.12</w:t>
      </w:r>
      <w:r>
        <w:rPr>
          <w:rFonts w:ascii="Times New Roman" w:eastAsia="方正仿宋_GBK" w:cs="Times New Roman" w:hAnsi="Times New Roman"/>
          <w:sz w:val="32"/>
          <w:szCs w:val="32"/>
        </w:rPr>
        <w:t>%。</w:t>
      </w:r>
    </w:p>
    <w:p>
      <w:pPr>
        <w:spacing w:line="560" w:lineRule="exact"/>
        <w:jc w:val="center"/>
        <w:rPr>
          <w:rFonts w:ascii="Times New Roman" w:eastAsia="方正楷体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jc w:val="center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202</w:t>
      </w:r>
      <w:r>
        <w:rPr>
          <w:rFonts w:ascii="Times New Roman" w:eastAsia="方正楷体_GBK" w:cs="Times New Roman" w:hAnsi="Times New Roman" w:hint="eastAsia"/>
          <w:sz w:val="32"/>
          <w:szCs w:val="32"/>
        </w:rPr>
        <w:t>1</w:t>
      </w:r>
      <w:r>
        <w:rPr>
          <w:rFonts w:ascii="Times New Roman" w:eastAsia="方正楷体_GBK" w:cs="Times New Roman" w:hAnsi="Times New Roman"/>
          <w:sz w:val="32"/>
          <w:szCs w:val="32"/>
        </w:rPr>
        <w:t>年度“三公”经费预决算对比情况（万元）</w:t>
      </w: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  <w: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85725</wp:posOffset>
            </wp:positionH>
            <wp:positionV relativeFrom="paragraph">
              <wp:posOffset>209550</wp:posOffset>
            </wp:positionV>
            <wp:extent cx="5062220" cy="3476625"/>
            <wp:effectExtent l="0" t="0" r="0" b="0"/>
            <wp:wrapNone/>
            <wp:docPr id="2" name="图表 1"/>
            <wp:cNvGraphicFramePr>
              <a:graphicFrameLocks noChangeAspect="0"/>
            </wp:cNvGraphicFramePr>
            <a:graphic>
              <a:graphicData uri="http://schemas.openxmlformats.org/drawingml/2006/chart">
                <c:chart xmlns:c="http://schemas.openxmlformats.org/drawingml/2006/chart" r:id="rId3"/>
              </a:graphicData>
            </a:graphic>
          </wp:anchor>
        </w:drawing>
      </w: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spacing w:line="560" w:lineRule="exact"/>
        <w:ind w:firstLineChars="200" w:firstLine="640"/>
        <w:rPr>
          <w:rFonts w:ascii="Times New Roman" w:eastAsia="方正黑体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三、名词解释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（一）因公出国（境）费：</w:t>
      </w:r>
      <w:r>
        <w:rPr>
          <w:rFonts w:ascii="Times New Roman" w:eastAsia="方正仿宋_GBK" w:cs="Times New Roman" w:hAnsi="Times New Roman"/>
          <w:sz w:val="32"/>
          <w:szCs w:val="32"/>
        </w:rPr>
        <w:t>反映单位公务出国（境）的国际旅费、国外城市间交通费、住宿费、伙食费、培训费、公杂费等支出。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（二）公务用车购置及运行维护费：</w:t>
      </w:r>
      <w:r>
        <w:rPr>
          <w:rFonts w:ascii="Times New Roman" w:eastAsia="方正仿宋_GBK" w:cs="Times New Roman" w:hAnsi="Times New Roman"/>
          <w:sz w:val="32"/>
          <w:szCs w:val="32"/>
        </w:rPr>
        <w:t>公务用车购置反映公务用车购置支出（含车辆购置税、牌照费）；公务用车运行维护费反映单位按规定保留的公务用车燃料费、维修费、过桥过路费、保险费、安全奖励费用等支出。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（三）公务接待费用：</w:t>
      </w:r>
      <w:r>
        <w:rPr>
          <w:rFonts w:ascii="Times New Roman" w:eastAsia="方正仿宋_GBK" w:cs="Times New Roman" w:hAnsi="Times New Roman"/>
          <w:sz w:val="32"/>
          <w:szCs w:val="32"/>
        </w:rPr>
        <w:t>反映单位按规定开支的各类公务接待（含外宾接待）费用。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文泉驿正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 w:hAnsi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pPr>
      <w:widowControl/>
      <w:spacing w:before="100" w:beforeAutospacing="1" w:after="100" w:afterAutospacing="1"/>
      <w:jc w:val="left"/>
      <w:outlineLvl w:val="2"/>
    </w:pPr>
    <w:rPr>
      <w:rFonts w:ascii="宋体" w:eastAsia="宋体" w:cs="宋体" w:hAnsi="宋体"/>
      <w:b/>
      <w:bCs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paragraph" w:styleId="16">
    <w:name w:val="Balloon Text"/>
    <w:basedOn w:val="0"/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char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char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2020年</c:v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'2021年度'!$B$4:$J$4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'2021年度'!$B$6:$J$6</c:f>
              <c:numCache>
                <c:formatCode>#,##0.00_ </c:formatCode>
                <c:ptCount val="9"/>
                <c:pt idx="0">
                  <c:v>3050.53</c:v>
                </c:pt>
                <c:pt idx="1">
                  <c:v>0.24</c:v>
                </c:pt>
                <c:pt idx="2">
                  <c:v>2925.21</c:v>
                </c:pt>
                <c:pt idx="3">
                  <c:v>11.19</c:v>
                </c:pt>
                <c:pt idx="4">
                  <c:v>2914.02</c:v>
                </c:pt>
                <c:pt idx="5">
                  <c:v>125.09</c:v>
                </c:pt>
                <c:pt idx="6">
                  <c:v>125.09</c:v>
                </c:pt>
                <c:pt idx="7">
                  <c:v>0.0</c:v>
                </c:pt>
                <c:pt idx="8">
                  <c:v>0.0</c:v>
                </c:pt>
              </c:numCache>
            </c:numRef>
          </c:val>
        </c:ser>
        <c:ser>
          <c:idx val="2"/>
          <c:order val="1"/>
          <c:tx>
            <c:v>2021年</c:v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'2021年度'!$B$4:$J$4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'2021年度'!$B$7:$J$7</c:f>
              <c:numCache>
                <c:formatCode>#,##0.00_ </c:formatCode>
                <c:ptCount val="9"/>
                <c:pt idx="0">
                  <c:v>2035.2</c:v>
                </c:pt>
                <c:pt idx="1">
                  <c:v>0.0</c:v>
                </c:pt>
                <c:pt idx="2">
                  <c:v>2015.3</c:v>
                </c:pt>
                <c:pt idx="3">
                  <c:v>0.0</c:v>
                </c:pt>
                <c:pt idx="4">
                  <c:v>2015.3</c:v>
                </c:pt>
                <c:pt idx="5">
                  <c:v>19.9</c:v>
                </c:pt>
                <c:pt idx="6">
                  <c:v>19.9</c:v>
                </c:pt>
                <c:pt idx="7">
                  <c:v>0.0</c:v>
                </c:pt>
                <c:pt idx="8">
                  <c:v>0.0</c:v>
                </c:pt>
              </c:numCache>
            </c:numRef>
          </c:val>
        </c:ser>
        <c:gapWidth val="150"/>
        <c:axId val="0"/>
        <c:axId val="1"/>
      </c:barChart>
      <c:catAx>
        <c:axId val="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文泉驿正黑"/>
                <a:ea typeface="文泉驿正黑"/>
                <a:cs typeface="Lucida Sans"/>
              </a:defRPr>
            </a:pPr>
            <a:endParaRPr lang="zh-CN"/>
          </a:p>
        </c:txPr>
        <c:crosses val="autoZero"/>
        <c:auto val="1"/>
        <c:lblOffset val="100"/>
        <c:lblAlgn val="ctr"/>
        <c:noMultiLvlLbl val="0"/>
        <c:crossAx val="1"/>
      </c:catAx>
      <c:valAx>
        <c:axId val="1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文泉驿正黑"/>
                <a:ea typeface="文泉驿正黑"/>
                <a:cs typeface="Lucida Sans"/>
              </a:defRPr>
            </a:pPr>
            <a:endParaRPr lang="zh-CN"/>
          </a:p>
        </c:txPr>
        <c:crossesAt val="1.0"/>
        <c:crossBetween val="between"/>
        <c:crossAx val="0"/>
      </c:valAx>
      <c:spPr>
        <a:solidFill>
          <a:srgbClr val="FFFFFF"/>
        </a:solidFill>
      </c:spPr>
    </c:plotArea>
    <c:legend>
      <c:legendPos val="r"/>
      <c:layout/>
      <c:overlay val="0"/>
      <c:spPr>
        <a:noFill/>
        <a:ln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文泉驿正黑"/>
              <a:ea typeface="文泉驿正黑"/>
              <a:cs typeface="Lucida Sans"/>
            </a:defRPr>
          </a:pPr>
          <a:endParaRPr lang="zh-CN"/>
        </a:p>
      </c:txPr>
    </c:legend>
    <c:plotVisOnly val="1"/>
    <c:dispBlanksAs val="gap"/>
    <c:showDLblsOverMax val="0"/>
  </c:chart>
  <c:spPr/>
  <c:txPr>
    <a:bodyPr/>
    <a:lstStyle/>
    <a:p>
      <a:pPr>
        <a:defRPr sz="1000" b="0" i="0" u="none" strike="noStrike" baseline="0">
          <a:solidFill>
            <a:srgbClr val="000000"/>
          </a:solidFill>
          <a:latin typeface="文泉驿正黑"/>
          <a:ea typeface="文泉驿正黑"/>
          <a:cs typeface="Lucida Sans"/>
        </a:defRPr>
      </a:pPr>
      <a:endParaRPr lang="zh-CN"/>
    </a:p>
  </c:txPr>
  <c:printSettings>
    <c:headerFooter/>
    <c:pageMargins b="0.75" l="0.7" r="0.7" t="0.75" header="0.3" footer="0.3"/>
    <c:pageSetup/>
  </c:printSettings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预算数</c:v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'2021年度 (2)'!$B$13:$G$13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'2021年度 (2)'!$B$15:$G$15</c:f>
              <c:numCache>
                <c:formatCode>#,##0.00_ </c:formatCode>
                <c:ptCount val="6"/>
                <c:pt idx="0">
                  <c:v>2531.85</c:v>
                </c:pt>
                <c:pt idx="1">
                  <c:v>0.0</c:v>
                </c:pt>
                <c:pt idx="2">
                  <c:v>2348.9</c:v>
                </c:pt>
                <c:pt idx="3">
                  <c:v>0.0</c:v>
                </c:pt>
                <c:pt idx="4">
                  <c:v>2348.9</c:v>
                </c:pt>
                <c:pt idx="5">
                  <c:v>182.95</c:v>
                </c:pt>
              </c:numCache>
            </c:numRef>
          </c:val>
        </c:ser>
        <c:ser>
          <c:idx val="2"/>
          <c:order val="1"/>
          <c:tx>
            <c:v>决算数</c:v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'2021年度 (2)'!$B$13:$G$13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'2021年度 (2)'!$B$16:$G$16</c:f>
              <c:numCache>
                <c:formatCode>#,##0.00_ </c:formatCode>
                <c:ptCount val="6"/>
                <c:pt idx="0">
                  <c:v>2035.2</c:v>
                </c:pt>
                <c:pt idx="1">
                  <c:v>0.0</c:v>
                </c:pt>
                <c:pt idx="2">
                  <c:v>2015.3</c:v>
                </c:pt>
                <c:pt idx="3">
                  <c:v>0.0</c:v>
                </c:pt>
                <c:pt idx="4">
                  <c:v>2015.3</c:v>
                </c:pt>
                <c:pt idx="5">
                  <c:v>19.9</c:v>
                </c:pt>
              </c:numCache>
            </c:numRef>
          </c:val>
        </c:ser>
        <c:gapWidth val="150"/>
        <c:axId val="0"/>
        <c:axId val="1"/>
      </c:barChart>
      <c:catAx>
        <c:axId val="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文泉驿正黑"/>
                <a:ea typeface="文泉驿正黑"/>
                <a:cs typeface="Lucida Sans"/>
              </a:defRPr>
            </a:pPr>
            <a:endParaRPr lang="zh-CN"/>
          </a:p>
        </c:txPr>
        <c:crosses val="autoZero"/>
        <c:auto val="1"/>
        <c:lblOffset val="100"/>
        <c:lblAlgn val="ctr"/>
        <c:noMultiLvlLbl val="0"/>
        <c:crossAx val="1"/>
      </c:catAx>
      <c:valAx>
        <c:axId val="1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文泉驿正黑"/>
                <a:ea typeface="文泉驿正黑"/>
                <a:cs typeface="Lucida Sans"/>
              </a:defRPr>
            </a:pPr>
            <a:endParaRPr lang="zh-CN"/>
          </a:p>
        </c:txPr>
        <c:crossesAt val="1.0"/>
        <c:crossBetween val="between"/>
        <c:crossAx val="0"/>
      </c:valAx>
      <c:spPr>
        <a:solidFill>
          <a:srgbClr val="FFFFFF"/>
        </a:solidFill>
      </c:spPr>
    </c:plotArea>
    <c:legend>
      <c:legendPos val="r"/>
      <c:layout/>
      <c:overlay val="0"/>
      <c:spPr>
        <a:noFill/>
        <a:ln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文泉驿正黑"/>
              <a:ea typeface="文泉驿正黑"/>
              <a:cs typeface="Lucida Sans"/>
            </a:defRPr>
          </a:pPr>
          <a:endParaRPr lang="zh-CN"/>
        </a:p>
      </c:txPr>
    </c:legend>
    <c:plotVisOnly val="1"/>
    <c:dispBlanksAs val="gap"/>
    <c:showDLblsOverMax val="0"/>
  </c:chart>
  <c:spPr/>
  <c:txPr>
    <a:bodyPr/>
    <a:lstStyle/>
    <a:p>
      <a:pPr>
        <a:defRPr sz="1000" b="0" i="0" u="none" strike="noStrike" baseline="0">
          <a:solidFill>
            <a:srgbClr val="000000"/>
          </a:solidFill>
          <a:latin typeface="文泉驿正黑"/>
          <a:ea typeface="文泉驿正黑"/>
          <a:cs typeface="Lucida Sans"/>
        </a:defRPr>
      </a:pPr>
      <a:endParaRPr lang="zh-CN"/>
    </a:p>
  </c:txPr>
  <c:printSettings>
    <c:headerFooter/>
    <c:pageMargins b="0.75" l="0.7" r="0.7" t="0.75" header="0.3" footer="0.3"/>
    <c:pageSetup/>
  </c:printSettings>
  <c:externalData r:id="rId1">
    <c:autoUpdate val="0"/>
  </c:externalData>
</c:chartSpac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2782364-C32A-4EFD-906B-D27A0B63E0B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290</TotalTime>
  <Application>Yozo_Office27021597764231179</Application>
  <Pages>4</Pages>
  <Words>0</Words>
  <Characters>1117</Characters>
  <Lines>0</Lines>
  <Paragraphs>38</Paragraphs>
  <CharactersWithSpaces>1490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微软系统</dc:creator>
  <cp:lastModifiedBy>user</cp:lastModifiedBy>
  <cp:revision>108</cp:revision>
  <dcterms:created xsi:type="dcterms:W3CDTF">2021-08-19T10:02:00Z</dcterms:created>
  <dcterms:modified xsi:type="dcterms:W3CDTF">2025-05-27T05:37:52Z</dcterms:modified>
</cp:coreProperties>
</file>