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B9D7">
      <w:pPr>
        <w:widowControl/>
        <w:spacing w:before="100" w:beforeAutospacing="1" w:after="100" w:afterAutospacing="1" w:line="560" w:lineRule="exact"/>
        <w:outlineLvl w:val="0"/>
        <w:rPr>
          <w:rFonts w:ascii="方正黑体_GBK" w:hAnsi="Times New Roman" w:eastAsia="方正黑体_GBK" w:cs="Times New Roman"/>
          <w:bCs/>
          <w:kern w:val="36"/>
          <w:sz w:val="32"/>
          <w:szCs w:val="32"/>
        </w:rPr>
      </w:pPr>
    </w:p>
    <w:p w14:paraId="2F88CEED">
      <w:pPr>
        <w:widowControl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乌鲁木齐市本级2020年度一般公共预算</w:t>
      </w:r>
    </w:p>
    <w:p w14:paraId="302C82AC">
      <w:pPr>
        <w:widowControl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财政拨款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三公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经费公开说明</w:t>
      </w:r>
    </w:p>
    <w:p w14:paraId="2EFAF6D0"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 w14:paraId="5CFBF2D0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一、乌鲁木齐市本级预算单位、人员及车辆基本情况</w:t>
      </w:r>
    </w:p>
    <w:p w14:paraId="4090C3C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2020年度，乌鲁木齐市本级共66个一级预算部门，财政供养人员共计37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153人。其中：行政编制财政供养人员12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376人，事业编制财政供养人员24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402人，离退休人员375人（其中：离休149人，退休人员226人）。公务用车总数6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974辆（其中：副部（省）级及以上领导用车0辆，主要领导干部用车8辆，机要通信用车16辆，应急保障用车33辆，执法执勤用车3585辆，特种专业技术用车1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203辆，离退休干部用车1辆,其他用车2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128辆）。</w:t>
      </w:r>
    </w:p>
    <w:p w14:paraId="517CE5E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二、乌鲁木齐市本级一般公共预算财政拨款“三公”经费支出总体情况</w:t>
      </w:r>
    </w:p>
    <w:p w14:paraId="77B6DC3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度，乌鲁木齐市本级一般公共预算财政拨款“三公”经费支出合计3,050.53万元（包括基本支出和项目支出安排的经费），同比减少670.99万元，各部门单位贯彻落实中央、自治区和市委有关落实厉行节约、反对铺张浪费规定，采取措施，降低支出。</w:t>
      </w:r>
    </w:p>
    <w:p w14:paraId="2419459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其中：因公出国（境）经费0.24万元，同比减少56.03万元，主要是部门单位去年大规模削减出国考察、培训等安排。公务用车购置及运行费2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925.21万元，同比减少602.42万元（公务用车购置费11.19万元，同比减少83.59万元，主要是减少购置用车，费用降低；公务用车运行维护费2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914.02万元，同比减少518.83万元，主要是加强车辆管理，降低运行成本）。各部门单位严把车辆管控关，严格遵守公务车辆配置标准和管理制度，减少使用高耗油车辆，严禁公车私用。公务接待费125.09万元，同比减少12.53万元（国内接待费125.09万元，同比减少12.53万元，其中：外事接待费0万元，同比减少0.83万元，主要是今年部分单位外事接待任务减少；国（境）外接待费0万元），各部门单位严把监督检查关，对接待费严格控制，减少一切不必要的公务接待开支。</w:t>
      </w:r>
    </w:p>
    <w:p w14:paraId="13EFB67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2020年度，乌鲁木齐市本级因公出国（境）1个团组，因公出国（境）1人次；公务用车购置1辆；公务用车保有量1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783辆；国内公务接待302批次，其中：外事接待0批次，国内公务接待4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822人次，其中：外事接待0人次；国（境）外公务接待0批次；国（境）外公务接待0人次。</w:t>
      </w:r>
    </w:p>
    <w:p w14:paraId="1A3DCD15"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2019-2020年度“三公”经费</w:t>
      </w:r>
      <w:bookmarkStart w:id="0" w:name="_GoBack"/>
      <w:bookmarkEnd w:id="0"/>
      <w:r>
        <w:rPr>
          <w:rFonts w:ascii="Times New Roman" w:hAnsi="Times New Roman" w:eastAsia="方正楷体_GBK" w:cs="Times New Roman"/>
          <w:sz w:val="32"/>
          <w:szCs w:val="32"/>
        </w:rPr>
        <w:t>情况（万元）</w:t>
      </w:r>
    </w:p>
    <w:p w14:paraId="7B23F87F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19700" cy="29718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B39E2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2020年度，乌鲁木齐市本级一般公共预算财政拨款“三公”经费支出合计预算数4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038.79万元，预决算差异率24.47%。各部门单位认真贯彻落实中央、自治区和市委厉行节约的各项规定，严格控制和降低行政运行成本，大力压缩“三公”经费支出规模。其中：因公出国（境）经费预算数0.24万元，预决算差异率0%；公务用车购置及运行费预算数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782.67万元，预决算差异率22.67%；（公务用车购置费预算数11.19万元，预决算差异率0%；公务用车运行维护费预算数3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,</w:t>
      </w:r>
      <w:r>
        <w:rPr>
          <w:rFonts w:ascii="Times New Roman" w:hAnsi="Times New Roman" w:eastAsia="方正仿宋_GBK" w:cs="Times New Roman"/>
          <w:sz w:val="32"/>
          <w:szCs w:val="32"/>
        </w:rPr>
        <w:t>771.48万元，预决算差异率22.74%）；公务接待费预算数255.89万元，预决算差异率51.12%。</w:t>
      </w:r>
    </w:p>
    <w:p w14:paraId="12DA7881">
      <w:pPr>
        <w:spacing w:line="560" w:lineRule="exact"/>
        <w:ind w:firstLine="627" w:firstLineChars="196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2020年度“三公”经费预决算对比情况（万元）</w:t>
      </w:r>
    </w:p>
    <w:p w14:paraId="49DECEAA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5062220" cy="3476625"/>
            <wp:effectExtent l="0" t="0" r="2413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BD43648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三、名词解释</w:t>
      </w:r>
    </w:p>
    <w:p w14:paraId="5E2F17B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（一）因公出国（境）费：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反映单位公务出国（境）的国际旅费、国外城市间交通费、住宿费、伙食费、培训费、公杂费等支出。</w:t>
      </w:r>
    </w:p>
    <w:p w14:paraId="67C921E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（二）公务用车购置及运行维护费：</w:t>
      </w:r>
      <w:r>
        <w:rPr>
          <w:rFonts w:ascii="Times New Roman" w:hAnsi="Times New Roman" w:eastAsia="方正仿宋_GBK" w:cs="Times New Roman"/>
          <w:sz w:val="32"/>
          <w:szCs w:val="32"/>
        </w:rPr>
        <w:t>公务用车购置反映公务用车车辆购置支出（含车辆购置税、牌照费）；公务用车运行维护费反映部门单位按规定保留的公务用车燃料费、维修费、过桥过路费、保险费、安全奖励费用等支出。</w:t>
      </w:r>
    </w:p>
    <w:p w14:paraId="7B5A545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（三）公务接待费用：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4"/>
    <w:rsid w:val="000020EC"/>
    <w:rsid w:val="00005FD4"/>
    <w:rsid w:val="000104C8"/>
    <w:rsid w:val="0001317B"/>
    <w:rsid w:val="00020052"/>
    <w:rsid w:val="00025301"/>
    <w:rsid w:val="00026081"/>
    <w:rsid w:val="000300BF"/>
    <w:rsid w:val="0003166A"/>
    <w:rsid w:val="00032B76"/>
    <w:rsid w:val="000333EF"/>
    <w:rsid w:val="00041478"/>
    <w:rsid w:val="00045145"/>
    <w:rsid w:val="00045F44"/>
    <w:rsid w:val="000470FD"/>
    <w:rsid w:val="0006136C"/>
    <w:rsid w:val="00063F26"/>
    <w:rsid w:val="00065930"/>
    <w:rsid w:val="0008335C"/>
    <w:rsid w:val="00085BD1"/>
    <w:rsid w:val="000A4523"/>
    <w:rsid w:val="000B1D85"/>
    <w:rsid w:val="000B1E9A"/>
    <w:rsid w:val="000B213A"/>
    <w:rsid w:val="000B4386"/>
    <w:rsid w:val="000B4C47"/>
    <w:rsid w:val="000C4DE0"/>
    <w:rsid w:val="000C6D2A"/>
    <w:rsid w:val="000D3BE5"/>
    <w:rsid w:val="000D51EC"/>
    <w:rsid w:val="000E074C"/>
    <w:rsid w:val="000E3E27"/>
    <w:rsid w:val="000E6A5A"/>
    <w:rsid w:val="000F2BCC"/>
    <w:rsid w:val="000F6CED"/>
    <w:rsid w:val="00106134"/>
    <w:rsid w:val="00112955"/>
    <w:rsid w:val="00115D0D"/>
    <w:rsid w:val="001204AB"/>
    <w:rsid w:val="00133E43"/>
    <w:rsid w:val="00142C58"/>
    <w:rsid w:val="00150AF3"/>
    <w:rsid w:val="001546AA"/>
    <w:rsid w:val="00154A72"/>
    <w:rsid w:val="00161316"/>
    <w:rsid w:val="001655F8"/>
    <w:rsid w:val="00171125"/>
    <w:rsid w:val="00172E50"/>
    <w:rsid w:val="00174CD5"/>
    <w:rsid w:val="00196EF0"/>
    <w:rsid w:val="001A31C3"/>
    <w:rsid w:val="001A6DC6"/>
    <w:rsid w:val="001C35E0"/>
    <w:rsid w:val="001C3AF7"/>
    <w:rsid w:val="001D7DCD"/>
    <w:rsid w:val="001E40E1"/>
    <w:rsid w:val="001E6DE4"/>
    <w:rsid w:val="001F42EB"/>
    <w:rsid w:val="001F48AB"/>
    <w:rsid w:val="001F6B1A"/>
    <w:rsid w:val="002004EC"/>
    <w:rsid w:val="002007B0"/>
    <w:rsid w:val="00203D29"/>
    <w:rsid w:val="00206C16"/>
    <w:rsid w:val="002070C2"/>
    <w:rsid w:val="00210C5C"/>
    <w:rsid w:val="00213F8E"/>
    <w:rsid w:val="002160CB"/>
    <w:rsid w:val="00221076"/>
    <w:rsid w:val="0022170E"/>
    <w:rsid w:val="002220DD"/>
    <w:rsid w:val="0022520F"/>
    <w:rsid w:val="002309CE"/>
    <w:rsid w:val="0023236F"/>
    <w:rsid w:val="0025162E"/>
    <w:rsid w:val="0025239A"/>
    <w:rsid w:val="002628FD"/>
    <w:rsid w:val="00265953"/>
    <w:rsid w:val="00267950"/>
    <w:rsid w:val="0027608A"/>
    <w:rsid w:val="00286A3C"/>
    <w:rsid w:val="00287376"/>
    <w:rsid w:val="00292DFF"/>
    <w:rsid w:val="00294D81"/>
    <w:rsid w:val="00296F12"/>
    <w:rsid w:val="002A58F7"/>
    <w:rsid w:val="002A5D8C"/>
    <w:rsid w:val="002B0D56"/>
    <w:rsid w:val="002B6C39"/>
    <w:rsid w:val="002C7D5B"/>
    <w:rsid w:val="002D2429"/>
    <w:rsid w:val="002D77E7"/>
    <w:rsid w:val="002E0C70"/>
    <w:rsid w:val="002E674C"/>
    <w:rsid w:val="002F021E"/>
    <w:rsid w:val="002F0BE8"/>
    <w:rsid w:val="002F7303"/>
    <w:rsid w:val="003048FA"/>
    <w:rsid w:val="00306817"/>
    <w:rsid w:val="003140C1"/>
    <w:rsid w:val="00323F42"/>
    <w:rsid w:val="003440E3"/>
    <w:rsid w:val="00353B64"/>
    <w:rsid w:val="003719AA"/>
    <w:rsid w:val="003828B7"/>
    <w:rsid w:val="003845B1"/>
    <w:rsid w:val="0038489D"/>
    <w:rsid w:val="003870B3"/>
    <w:rsid w:val="00392BEF"/>
    <w:rsid w:val="003A1F19"/>
    <w:rsid w:val="003A417C"/>
    <w:rsid w:val="003A4253"/>
    <w:rsid w:val="003A4BB8"/>
    <w:rsid w:val="003A5279"/>
    <w:rsid w:val="003A7802"/>
    <w:rsid w:val="003B1DA1"/>
    <w:rsid w:val="003B256D"/>
    <w:rsid w:val="003B2D95"/>
    <w:rsid w:val="003B6D21"/>
    <w:rsid w:val="003C2883"/>
    <w:rsid w:val="003C3122"/>
    <w:rsid w:val="003D2AE9"/>
    <w:rsid w:val="003D43EC"/>
    <w:rsid w:val="003D65CA"/>
    <w:rsid w:val="003E3056"/>
    <w:rsid w:val="003E4C8F"/>
    <w:rsid w:val="00400F45"/>
    <w:rsid w:val="00401572"/>
    <w:rsid w:val="00401AB7"/>
    <w:rsid w:val="00416B2E"/>
    <w:rsid w:val="00417027"/>
    <w:rsid w:val="0042739F"/>
    <w:rsid w:val="00437066"/>
    <w:rsid w:val="004372E8"/>
    <w:rsid w:val="00441750"/>
    <w:rsid w:val="004424DC"/>
    <w:rsid w:val="00444871"/>
    <w:rsid w:val="0044571B"/>
    <w:rsid w:val="00460952"/>
    <w:rsid w:val="00463CC8"/>
    <w:rsid w:val="00465CFF"/>
    <w:rsid w:val="00476B40"/>
    <w:rsid w:val="00484ACC"/>
    <w:rsid w:val="00485819"/>
    <w:rsid w:val="004909D3"/>
    <w:rsid w:val="00493B7F"/>
    <w:rsid w:val="004A1511"/>
    <w:rsid w:val="004B4633"/>
    <w:rsid w:val="004C2DCA"/>
    <w:rsid w:val="004C32E1"/>
    <w:rsid w:val="004C34FE"/>
    <w:rsid w:val="004C3F75"/>
    <w:rsid w:val="004D6425"/>
    <w:rsid w:val="004D6B47"/>
    <w:rsid w:val="004E40B5"/>
    <w:rsid w:val="004F2F16"/>
    <w:rsid w:val="004F69D5"/>
    <w:rsid w:val="004F6E30"/>
    <w:rsid w:val="0050105D"/>
    <w:rsid w:val="005056D9"/>
    <w:rsid w:val="005066F5"/>
    <w:rsid w:val="00521FB5"/>
    <w:rsid w:val="00531E31"/>
    <w:rsid w:val="00534141"/>
    <w:rsid w:val="00535FB1"/>
    <w:rsid w:val="005412DA"/>
    <w:rsid w:val="005416DA"/>
    <w:rsid w:val="005458D2"/>
    <w:rsid w:val="00546687"/>
    <w:rsid w:val="005468DA"/>
    <w:rsid w:val="005469C4"/>
    <w:rsid w:val="00554694"/>
    <w:rsid w:val="00554BCC"/>
    <w:rsid w:val="00562656"/>
    <w:rsid w:val="00577DC1"/>
    <w:rsid w:val="005808F8"/>
    <w:rsid w:val="005853A6"/>
    <w:rsid w:val="005870A8"/>
    <w:rsid w:val="00587E9F"/>
    <w:rsid w:val="005A20DA"/>
    <w:rsid w:val="005A6D39"/>
    <w:rsid w:val="005B0A93"/>
    <w:rsid w:val="005B1CB9"/>
    <w:rsid w:val="005C006A"/>
    <w:rsid w:val="005C2C01"/>
    <w:rsid w:val="005D0642"/>
    <w:rsid w:val="005D314C"/>
    <w:rsid w:val="005D5D50"/>
    <w:rsid w:val="005D7AED"/>
    <w:rsid w:val="005F6AC8"/>
    <w:rsid w:val="00603289"/>
    <w:rsid w:val="00607508"/>
    <w:rsid w:val="00612C23"/>
    <w:rsid w:val="0061661E"/>
    <w:rsid w:val="006170D2"/>
    <w:rsid w:val="00626B39"/>
    <w:rsid w:val="00631039"/>
    <w:rsid w:val="00632FA4"/>
    <w:rsid w:val="00634BE8"/>
    <w:rsid w:val="006465F9"/>
    <w:rsid w:val="00646AE1"/>
    <w:rsid w:val="00650B38"/>
    <w:rsid w:val="00651A6D"/>
    <w:rsid w:val="00654F4A"/>
    <w:rsid w:val="00655CD4"/>
    <w:rsid w:val="0066084F"/>
    <w:rsid w:val="006624DC"/>
    <w:rsid w:val="006625C4"/>
    <w:rsid w:val="00675AA8"/>
    <w:rsid w:val="00676EB2"/>
    <w:rsid w:val="00682AD8"/>
    <w:rsid w:val="00692249"/>
    <w:rsid w:val="006922F7"/>
    <w:rsid w:val="006949A3"/>
    <w:rsid w:val="006A136C"/>
    <w:rsid w:val="006A20CF"/>
    <w:rsid w:val="006A272E"/>
    <w:rsid w:val="006A6B41"/>
    <w:rsid w:val="006A6C63"/>
    <w:rsid w:val="006B046F"/>
    <w:rsid w:val="006B0772"/>
    <w:rsid w:val="006B7D18"/>
    <w:rsid w:val="006C2447"/>
    <w:rsid w:val="006C310F"/>
    <w:rsid w:val="006C5D21"/>
    <w:rsid w:val="006D040F"/>
    <w:rsid w:val="006D089A"/>
    <w:rsid w:val="006D0C6F"/>
    <w:rsid w:val="006D1650"/>
    <w:rsid w:val="006D5E26"/>
    <w:rsid w:val="00710C17"/>
    <w:rsid w:val="00714302"/>
    <w:rsid w:val="007241BE"/>
    <w:rsid w:val="00725894"/>
    <w:rsid w:val="0072599F"/>
    <w:rsid w:val="00726444"/>
    <w:rsid w:val="00731375"/>
    <w:rsid w:val="00734AB4"/>
    <w:rsid w:val="00735E66"/>
    <w:rsid w:val="00744B5A"/>
    <w:rsid w:val="007506D2"/>
    <w:rsid w:val="00755FDE"/>
    <w:rsid w:val="00772BE9"/>
    <w:rsid w:val="007734AA"/>
    <w:rsid w:val="00776A6D"/>
    <w:rsid w:val="007846D1"/>
    <w:rsid w:val="00792AD9"/>
    <w:rsid w:val="00795EFD"/>
    <w:rsid w:val="007A50FF"/>
    <w:rsid w:val="007A5C07"/>
    <w:rsid w:val="007A72EB"/>
    <w:rsid w:val="007A760A"/>
    <w:rsid w:val="007B07A6"/>
    <w:rsid w:val="007B4DD6"/>
    <w:rsid w:val="007C0659"/>
    <w:rsid w:val="007D02F9"/>
    <w:rsid w:val="007D0AE8"/>
    <w:rsid w:val="007D6A85"/>
    <w:rsid w:val="007D6CC3"/>
    <w:rsid w:val="007E3957"/>
    <w:rsid w:val="007E6843"/>
    <w:rsid w:val="007F4EBA"/>
    <w:rsid w:val="008023B6"/>
    <w:rsid w:val="00804EA5"/>
    <w:rsid w:val="008139A1"/>
    <w:rsid w:val="00814C9F"/>
    <w:rsid w:val="00834741"/>
    <w:rsid w:val="00843CA1"/>
    <w:rsid w:val="0084643E"/>
    <w:rsid w:val="00847916"/>
    <w:rsid w:val="00852739"/>
    <w:rsid w:val="00852AA3"/>
    <w:rsid w:val="00861104"/>
    <w:rsid w:val="00865236"/>
    <w:rsid w:val="00870653"/>
    <w:rsid w:val="00870EBA"/>
    <w:rsid w:val="00871DAC"/>
    <w:rsid w:val="00872430"/>
    <w:rsid w:val="00874408"/>
    <w:rsid w:val="00880CC0"/>
    <w:rsid w:val="00885608"/>
    <w:rsid w:val="0088739F"/>
    <w:rsid w:val="0089033F"/>
    <w:rsid w:val="008906C1"/>
    <w:rsid w:val="008B186E"/>
    <w:rsid w:val="008B2C4C"/>
    <w:rsid w:val="008B3FCE"/>
    <w:rsid w:val="008B5527"/>
    <w:rsid w:val="008B6EEF"/>
    <w:rsid w:val="008C2F2D"/>
    <w:rsid w:val="008D0048"/>
    <w:rsid w:val="008D20DE"/>
    <w:rsid w:val="008D664C"/>
    <w:rsid w:val="008D708A"/>
    <w:rsid w:val="0090032A"/>
    <w:rsid w:val="00901AC1"/>
    <w:rsid w:val="0090437A"/>
    <w:rsid w:val="009112C4"/>
    <w:rsid w:val="0091542A"/>
    <w:rsid w:val="00916FFF"/>
    <w:rsid w:val="00926275"/>
    <w:rsid w:val="0093080C"/>
    <w:rsid w:val="009312E3"/>
    <w:rsid w:val="00932ABA"/>
    <w:rsid w:val="009427AF"/>
    <w:rsid w:val="0095296F"/>
    <w:rsid w:val="009530CB"/>
    <w:rsid w:val="00961F5B"/>
    <w:rsid w:val="00962120"/>
    <w:rsid w:val="009777AC"/>
    <w:rsid w:val="00984D47"/>
    <w:rsid w:val="00984D84"/>
    <w:rsid w:val="009931E6"/>
    <w:rsid w:val="009935E4"/>
    <w:rsid w:val="00997DB0"/>
    <w:rsid w:val="009A6C72"/>
    <w:rsid w:val="009B08EF"/>
    <w:rsid w:val="009B096C"/>
    <w:rsid w:val="009B2BAD"/>
    <w:rsid w:val="009B2D2E"/>
    <w:rsid w:val="009B47C9"/>
    <w:rsid w:val="009C1118"/>
    <w:rsid w:val="009C55C4"/>
    <w:rsid w:val="009D1DCA"/>
    <w:rsid w:val="009D4678"/>
    <w:rsid w:val="009D5DD4"/>
    <w:rsid w:val="009D6721"/>
    <w:rsid w:val="009D6E68"/>
    <w:rsid w:val="009E296B"/>
    <w:rsid w:val="00A010AC"/>
    <w:rsid w:val="00A05BE0"/>
    <w:rsid w:val="00A1058B"/>
    <w:rsid w:val="00A13B7A"/>
    <w:rsid w:val="00A14093"/>
    <w:rsid w:val="00A1474C"/>
    <w:rsid w:val="00A21F30"/>
    <w:rsid w:val="00A222C9"/>
    <w:rsid w:val="00A238C4"/>
    <w:rsid w:val="00A37AC5"/>
    <w:rsid w:val="00A470E4"/>
    <w:rsid w:val="00A52BAF"/>
    <w:rsid w:val="00A5580D"/>
    <w:rsid w:val="00A642E5"/>
    <w:rsid w:val="00A764C3"/>
    <w:rsid w:val="00A81FD7"/>
    <w:rsid w:val="00A917C4"/>
    <w:rsid w:val="00A963DE"/>
    <w:rsid w:val="00AA0E9B"/>
    <w:rsid w:val="00AA2338"/>
    <w:rsid w:val="00AB125C"/>
    <w:rsid w:val="00AB1B7B"/>
    <w:rsid w:val="00AB629F"/>
    <w:rsid w:val="00AC1E73"/>
    <w:rsid w:val="00AD4380"/>
    <w:rsid w:val="00AD64E2"/>
    <w:rsid w:val="00AE082E"/>
    <w:rsid w:val="00AE20B2"/>
    <w:rsid w:val="00AE2B22"/>
    <w:rsid w:val="00AE3226"/>
    <w:rsid w:val="00AE66C2"/>
    <w:rsid w:val="00AF5519"/>
    <w:rsid w:val="00AF5FB1"/>
    <w:rsid w:val="00B013F7"/>
    <w:rsid w:val="00B03971"/>
    <w:rsid w:val="00B03C2E"/>
    <w:rsid w:val="00B07072"/>
    <w:rsid w:val="00B105B9"/>
    <w:rsid w:val="00B144F4"/>
    <w:rsid w:val="00B2435E"/>
    <w:rsid w:val="00B27720"/>
    <w:rsid w:val="00B312EC"/>
    <w:rsid w:val="00B327C3"/>
    <w:rsid w:val="00B53673"/>
    <w:rsid w:val="00B606E0"/>
    <w:rsid w:val="00B6424A"/>
    <w:rsid w:val="00B70BEB"/>
    <w:rsid w:val="00B8328F"/>
    <w:rsid w:val="00B85199"/>
    <w:rsid w:val="00B9725C"/>
    <w:rsid w:val="00B972CA"/>
    <w:rsid w:val="00B974E8"/>
    <w:rsid w:val="00BA1F53"/>
    <w:rsid w:val="00BA423A"/>
    <w:rsid w:val="00BA6AF8"/>
    <w:rsid w:val="00BB1622"/>
    <w:rsid w:val="00BC35ED"/>
    <w:rsid w:val="00BC566C"/>
    <w:rsid w:val="00BC76A1"/>
    <w:rsid w:val="00BD6273"/>
    <w:rsid w:val="00BD7BFA"/>
    <w:rsid w:val="00BE4A98"/>
    <w:rsid w:val="00BE535D"/>
    <w:rsid w:val="00C15823"/>
    <w:rsid w:val="00C215F1"/>
    <w:rsid w:val="00C37255"/>
    <w:rsid w:val="00C41D55"/>
    <w:rsid w:val="00C43186"/>
    <w:rsid w:val="00C43EF0"/>
    <w:rsid w:val="00C43FB0"/>
    <w:rsid w:val="00C44A20"/>
    <w:rsid w:val="00C45B64"/>
    <w:rsid w:val="00C46049"/>
    <w:rsid w:val="00C52154"/>
    <w:rsid w:val="00C527EB"/>
    <w:rsid w:val="00C55081"/>
    <w:rsid w:val="00C60073"/>
    <w:rsid w:val="00C631EA"/>
    <w:rsid w:val="00C63570"/>
    <w:rsid w:val="00C710D0"/>
    <w:rsid w:val="00C72802"/>
    <w:rsid w:val="00CA4D62"/>
    <w:rsid w:val="00CB15C5"/>
    <w:rsid w:val="00CB2483"/>
    <w:rsid w:val="00CB5C62"/>
    <w:rsid w:val="00CC25F3"/>
    <w:rsid w:val="00CC42A7"/>
    <w:rsid w:val="00CC5684"/>
    <w:rsid w:val="00CE0A22"/>
    <w:rsid w:val="00CE12C2"/>
    <w:rsid w:val="00CE2783"/>
    <w:rsid w:val="00CE42A3"/>
    <w:rsid w:val="00CF684F"/>
    <w:rsid w:val="00D007B1"/>
    <w:rsid w:val="00D12F51"/>
    <w:rsid w:val="00D134E5"/>
    <w:rsid w:val="00D1397A"/>
    <w:rsid w:val="00D15F1B"/>
    <w:rsid w:val="00D1731F"/>
    <w:rsid w:val="00D20761"/>
    <w:rsid w:val="00D20998"/>
    <w:rsid w:val="00D21E6A"/>
    <w:rsid w:val="00D25931"/>
    <w:rsid w:val="00D26656"/>
    <w:rsid w:val="00D26C69"/>
    <w:rsid w:val="00D30541"/>
    <w:rsid w:val="00D33238"/>
    <w:rsid w:val="00D338B4"/>
    <w:rsid w:val="00D34FA2"/>
    <w:rsid w:val="00D368F2"/>
    <w:rsid w:val="00D369D9"/>
    <w:rsid w:val="00D4270F"/>
    <w:rsid w:val="00D52650"/>
    <w:rsid w:val="00D529D3"/>
    <w:rsid w:val="00D54AFC"/>
    <w:rsid w:val="00D6235E"/>
    <w:rsid w:val="00D7099B"/>
    <w:rsid w:val="00D713B7"/>
    <w:rsid w:val="00D743B7"/>
    <w:rsid w:val="00D74F1D"/>
    <w:rsid w:val="00D76034"/>
    <w:rsid w:val="00D7697F"/>
    <w:rsid w:val="00D820A3"/>
    <w:rsid w:val="00D844BE"/>
    <w:rsid w:val="00D86CFF"/>
    <w:rsid w:val="00DA01EC"/>
    <w:rsid w:val="00DA072D"/>
    <w:rsid w:val="00DA18DC"/>
    <w:rsid w:val="00DB0572"/>
    <w:rsid w:val="00DC1758"/>
    <w:rsid w:val="00DD1C60"/>
    <w:rsid w:val="00DD312C"/>
    <w:rsid w:val="00DD3755"/>
    <w:rsid w:val="00DD452D"/>
    <w:rsid w:val="00DE122B"/>
    <w:rsid w:val="00DE641E"/>
    <w:rsid w:val="00DE7584"/>
    <w:rsid w:val="00DF00A5"/>
    <w:rsid w:val="00DF10C7"/>
    <w:rsid w:val="00DF1882"/>
    <w:rsid w:val="00E018EC"/>
    <w:rsid w:val="00E05EFD"/>
    <w:rsid w:val="00E12B41"/>
    <w:rsid w:val="00E203CA"/>
    <w:rsid w:val="00E21C92"/>
    <w:rsid w:val="00E224F7"/>
    <w:rsid w:val="00E31731"/>
    <w:rsid w:val="00E32C6E"/>
    <w:rsid w:val="00E37EF1"/>
    <w:rsid w:val="00E44717"/>
    <w:rsid w:val="00E44764"/>
    <w:rsid w:val="00E51126"/>
    <w:rsid w:val="00E56DB9"/>
    <w:rsid w:val="00E62BEB"/>
    <w:rsid w:val="00E64803"/>
    <w:rsid w:val="00E76038"/>
    <w:rsid w:val="00E94FDF"/>
    <w:rsid w:val="00E95773"/>
    <w:rsid w:val="00EA321D"/>
    <w:rsid w:val="00EA3BFB"/>
    <w:rsid w:val="00EA71F6"/>
    <w:rsid w:val="00EB6A2F"/>
    <w:rsid w:val="00EB7795"/>
    <w:rsid w:val="00EC2244"/>
    <w:rsid w:val="00ED5CCD"/>
    <w:rsid w:val="00ED76C6"/>
    <w:rsid w:val="00EF25F1"/>
    <w:rsid w:val="00EF5C86"/>
    <w:rsid w:val="00EF6BA2"/>
    <w:rsid w:val="00F04006"/>
    <w:rsid w:val="00F05143"/>
    <w:rsid w:val="00F12988"/>
    <w:rsid w:val="00F230B3"/>
    <w:rsid w:val="00F27997"/>
    <w:rsid w:val="00F407E5"/>
    <w:rsid w:val="00F52AF8"/>
    <w:rsid w:val="00F535BE"/>
    <w:rsid w:val="00F54E59"/>
    <w:rsid w:val="00F61216"/>
    <w:rsid w:val="00F67392"/>
    <w:rsid w:val="00F70B68"/>
    <w:rsid w:val="00F72832"/>
    <w:rsid w:val="00F8447D"/>
    <w:rsid w:val="00F921E9"/>
    <w:rsid w:val="00F92C51"/>
    <w:rsid w:val="00FA6D4C"/>
    <w:rsid w:val="00FA7754"/>
    <w:rsid w:val="00FA7C2B"/>
    <w:rsid w:val="00FA7CB9"/>
    <w:rsid w:val="00FB3041"/>
    <w:rsid w:val="00FB615B"/>
    <w:rsid w:val="00FC0111"/>
    <w:rsid w:val="00FC5823"/>
    <w:rsid w:val="00FC594D"/>
    <w:rsid w:val="00FD59CD"/>
    <w:rsid w:val="00FD7107"/>
    <w:rsid w:val="00FE0CEC"/>
    <w:rsid w:val="00FE160B"/>
    <w:rsid w:val="00FE20A1"/>
    <w:rsid w:val="00FF0B5D"/>
    <w:rsid w:val="00FF7F62"/>
    <w:rsid w:val="27EB1DB3"/>
    <w:rsid w:val="2C4A3FDD"/>
    <w:rsid w:val="4D1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icrosoft%20Word%20&#20013;&#30340;&#22270;&#34920;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2019年</c:f>
              <c:strCache>
                <c:ptCount val="1"/>
                <c:pt idx="0">
                  <c:v>2019年</c:v>
                </c:pt>
              </c:strCache>
            </c:strRef>
          </c:tx>
          <c:invertIfNegative val="0"/>
          <c:dLbls>
            <c:delete val="1"/>
          </c:dLbls>
          <c:cat>
            <c:strRef>
              <c:f>'[Microsoft Word 中的图表]Sheet1'!$B$4:$J$5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'[Microsoft Word 中的图表]Sheet1'!$B$6:$J$6</c:f>
              <c:numCache>
                <c:formatCode>#,##0.00_ </c:formatCode>
                <c:ptCount val="9"/>
                <c:pt idx="0">
                  <c:v>4375.24</c:v>
                </c:pt>
                <c:pt idx="1">
                  <c:v>50.39</c:v>
                </c:pt>
                <c:pt idx="2">
                  <c:v>4163.51</c:v>
                </c:pt>
                <c:pt idx="3">
                  <c:v>55.12</c:v>
                </c:pt>
                <c:pt idx="4">
                  <c:v>4108.39</c:v>
                </c:pt>
                <c:pt idx="5">
                  <c:v>161.34</c:v>
                </c:pt>
                <c:pt idx="6">
                  <c:v>161.34</c:v>
                </c:pt>
                <c:pt idx="7">
                  <c:v>5.86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2020年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dLbls>
            <c:delete val="1"/>
          </c:dLbls>
          <c:cat>
            <c:strRef>
              <c:f>'[Microsoft Word 中的图表]Sheet1'!$B$4:$J$5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'[Microsoft Word 中的图表]Sheet1'!$B$7:$J$7</c:f>
              <c:numCache>
                <c:formatCode>#,##0.00_ </c:formatCode>
                <c:ptCount val="9"/>
                <c:pt idx="0">
                  <c:v>3721.52</c:v>
                </c:pt>
                <c:pt idx="1">
                  <c:v>56.27</c:v>
                </c:pt>
                <c:pt idx="2">
                  <c:v>3527.63</c:v>
                </c:pt>
                <c:pt idx="3">
                  <c:v>94.78</c:v>
                </c:pt>
                <c:pt idx="4">
                  <c:v>3432.85</c:v>
                </c:pt>
                <c:pt idx="5">
                  <c:v>137.62</c:v>
                </c:pt>
                <c:pt idx="6">
                  <c:v>137.62</c:v>
                </c:pt>
                <c:pt idx="7">
                  <c:v>0.83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485824"/>
        <c:axId val="235487616"/>
      </c:barChart>
      <c:catAx>
        <c:axId val="235485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5487616"/>
        <c:crosses val="autoZero"/>
        <c:auto val="1"/>
        <c:lblAlgn val="ctr"/>
        <c:lblOffset val="100"/>
        <c:noMultiLvlLbl val="0"/>
      </c:catAx>
      <c:valAx>
        <c:axId val="235487616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548582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预算数</c:f>
              <c:strCache>
                <c:ptCount val="1"/>
                <c:pt idx="0">
                  <c:v>预算数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Sheet1!$B$13:$G$14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Sheet1!$B$15:$G$15</c:f>
              <c:numCache>
                <c:formatCode>#,##0.00_ </c:formatCode>
                <c:ptCount val="6"/>
                <c:pt idx="0">
                  <c:v>4038.79</c:v>
                </c:pt>
                <c:pt idx="1">
                  <c:v>0.24</c:v>
                </c:pt>
                <c:pt idx="2" c:formatCode="#,##0.00">
                  <c:v>3782.67</c:v>
                </c:pt>
                <c:pt idx="3" c:formatCode="General">
                  <c:v>11.19</c:v>
                </c:pt>
                <c:pt idx="4" c:formatCode="#,##0.00">
                  <c:v>3771.48</c:v>
                </c:pt>
                <c:pt idx="5" c:formatCode="General">
                  <c:v>255.89</c:v>
                </c:pt>
              </c:numCache>
            </c:numRef>
          </c:val>
        </c:ser>
        <c:ser>
          <c:idx val="1"/>
          <c:order val="1"/>
          <c:tx>
            <c:strRef>
              <c:f>决算数</c:f>
              <c:strCache>
                <c:ptCount val="1"/>
                <c:pt idx="0">
                  <c:v>决算数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Sheet1!$B$13:$G$14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Sheet1!$B$16:$G$16</c:f>
              <c:numCache>
                <c:formatCode>#,##0.00</c:formatCode>
                <c:ptCount val="6"/>
                <c:pt idx="0">
                  <c:v>3050.53</c:v>
                </c:pt>
                <c:pt idx="1" c:formatCode="General">
                  <c:v>0.24</c:v>
                </c:pt>
                <c:pt idx="2">
                  <c:v>2925.21</c:v>
                </c:pt>
                <c:pt idx="3" c:formatCode="General">
                  <c:v>11.19</c:v>
                </c:pt>
                <c:pt idx="4" c:formatCode="#,##0.00_ ">
                  <c:v>2914.02</c:v>
                </c:pt>
                <c:pt idx="5" c:formatCode="#,##0.00_ ">
                  <c:v>125.09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08480"/>
        <c:axId val="235510016"/>
      </c:barChart>
      <c:catAx>
        <c:axId val="23550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5510016"/>
        <c:crosses val="autoZero"/>
        <c:auto val="1"/>
        <c:lblAlgn val="ctr"/>
        <c:lblOffset val="100"/>
        <c:noMultiLvlLbl val="0"/>
      </c:catAx>
      <c:valAx>
        <c:axId val="235510016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550848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222</Words>
  <Characters>1266</Characters>
  <Lines>10</Lines>
  <Paragraphs>2</Paragraphs>
  <TotalTime>2</TotalTime>
  <ScaleCrop>false</ScaleCrop>
  <LinksUpToDate>false</LinksUpToDate>
  <CharactersWithSpaces>1486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2021-08-19T10:02:00Z</dcterms:created>
  <dc:creator>微软系统</dc:creator>
  <cp:lastModifiedBy>mk</cp:lastModifiedBy>
  <dcterms:modified xsi:type="dcterms:W3CDTF">2025-03-25T05:07:41Z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B868DB27DC10427D89C5D123A68DF4EC_12</vt:lpwstr>
  </property>
</Properties>
</file>