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D2" w:rsidRDefault="008234FE" w:rsidP="00AC1FD2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关于完善城乡居民高血压糖尿病门诊用药</w:t>
      </w:r>
    </w:p>
    <w:p w:rsidR="005C13A3" w:rsidRDefault="008234FE" w:rsidP="00AC1FD2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保障机制的通知</w:t>
      </w:r>
    </w:p>
    <w:p w:rsidR="005C13A3" w:rsidRDefault="005C13A3">
      <w:pPr>
        <w:ind w:firstLineChars="0" w:firstLine="0"/>
      </w:pPr>
    </w:p>
    <w:p w:rsidR="005C13A3" w:rsidRDefault="008234FE" w:rsidP="00AC1FD2">
      <w:pPr>
        <w:widowControl w:val="0"/>
        <w:spacing w:line="600" w:lineRule="exact"/>
        <w:ind w:firstLineChars="0" w:firstLine="0"/>
        <w:contextualSpacing/>
      </w:pPr>
      <w:r>
        <w:rPr>
          <w:rFonts w:hint="eastAsia"/>
        </w:rPr>
        <w:t>市各区（县）医保局、财政局、卫健委、市场监管局</w:t>
      </w:r>
      <w:r>
        <w:rPr>
          <w:rFonts w:hint="eastAsia"/>
        </w:rPr>
        <w:t>: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</w:pPr>
      <w:r>
        <w:rPr>
          <w:rFonts w:hint="eastAsia"/>
        </w:rPr>
        <w:t>为贯彻落实自治区医疗保障局、自治区财政厅、自治区卫生健康委、自治区药监局联合印发的《自治区完善城乡居民高血压糖尿病门诊用药保障机制实施方案》</w:t>
      </w:r>
      <w:r>
        <w:rPr>
          <w:rFonts w:hint="eastAsia"/>
        </w:rPr>
        <w:t>(</w:t>
      </w:r>
      <w:r>
        <w:rPr>
          <w:rFonts w:hint="eastAsia"/>
        </w:rPr>
        <w:t>新医保〔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110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ascii="方正仿宋_GBK" w:hAnsi="仿宋_GB2312" w:cs="仿宋_GB2312" w:hint="eastAsia"/>
          <w:kern w:val="2"/>
          <w:szCs w:val="32"/>
        </w:rPr>
        <w:t xml:space="preserve"> 和《关于做好自治区城乡居民高血压糖尿病门诊用药保障工作的</w:t>
      </w:r>
      <w:r>
        <w:rPr>
          <w:rFonts w:hint="eastAsia"/>
        </w:rPr>
        <w:t>通知》</w:t>
      </w:r>
      <w:r>
        <w:rPr>
          <w:rFonts w:hint="eastAsia"/>
        </w:rPr>
        <w:t>(</w:t>
      </w:r>
      <w:r>
        <w:rPr>
          <w:rFonts w:hint="eastAsia"/>
        </w:rPr>
        <w:t>新医保函〔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212</w:t>
      </w:r>
      <w:r>
        <w:rPr>
          <w:rFonts w:hint="eastAsia"/>
        </w:rPr>
        <w:t>号</w:t>
      </w:r>
      <w:r>
        <w:rPr>
          <w:rFonts w:hint="eastAsia"/>
        </w:rPr>
        <w:t xml:space="preserve">) </w:t>
      </w:r>
      <w:r>
        <w:rPr>
          <w:rFonts w:hint="eastAsia"/>
        </w:rPr>
        <w:t>文件精神，为进一步减轻城乡居民高血压、糖尿病</w:t>
      </w:r>
      <w:r>
        <w:rPr>
          <w:rFonts w:hint="eastAsia"/>
        </w:rPr>
        <w:t>(</w:t>
      </w:r>
      <w:r>
        <w:rPr>
          <w:rFonts w:hint="eastAsia"/>
        </w:rPr>
        <w:t>以下简称“两病”</w:t>
      </w:r>
      <w:r>
        <w:rPr>
          <w:rFonts w:hint="eastAsia"/>
        </w:rPr>
        <w:t>)</w:t>
      </w:r>
      <w:r>
        <w:rPr>
          <w:rFonts w:hint="eastAsia"/>
        </w:rPr>
        <w:t>患者医疗费用负担，结合我市实际，现就完善“两病”患者门诊用药保障有关事项通知如下</w:t>
      </w:r>
      <w:r>
        <w:rPr>
          <w:rFonts w:hint="eastAsia"/>
        </w:rPr>
        <w:t>: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一、保障</w:t>
      </w:r>
      <w:r>
        <w:rPr>
          <w:rFonts w:ascii="方正黑体_GBK" w:eastAsia="方正黑体_GBK" w:hAnsi="方正黑体_GBK" w:cs="方正黑体_GBK" w:hint="eastAsia"/>
          <w:bCs/>
          <w:kern w:val="2"/>
          <w:szCs w:val="32"/>
        </w:rPr>
        <w:t>对象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</w:pPr>
      <w:r>
        <w:rPr>
          <w:rFonts w:hint="eastAsia"/>
        </w:rPr>
        <w:t>符合下列全部条件的患者，享受本通知确定的“两病”门诊保障待遇：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（一）我市城乡居民基本医疗保险的参保人员。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（二）经具备能力的医疗机构诊断，明确患有“两病”确需采取药物治疗。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（三）未达到城乡居民医保门诊特殊慢性病鉴定标准。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</w:pPr>
      <w:r>
        <w:rPr>
          <w:rFonts w:hint="eastAsia"/>
        </w:rPr>
        <w:t>达到城乡居民医保慢性病鉴定标准的患者，按相关政策享受门诊特殊慢性病保障待遇，不重复享受本通知规定的门诊待遇。</w:t>
      </w:r>
    </w:p>
    <w:p w:rsidR="005C13A3" w:rsidRDefault="008234FE" w:rsidP="00AC1FD2">
      <w:pPr>
        <w:widowControl w:val="0"/>
        <w:spacing w:line="600" w:lineRule="exact"/>
        <w:ind w:firstLineChars="250" w:firstLine="800"/>
        <w:contextualSpacing/>
        <w:rPr>
          <w:rFonts w:ascii="方正黑体_GBK" w:eastAsia="方正黑体_GBK" w:hAnsi="方正黑体_GBK" w:cs="方正黑体_GBK"/>
          <w:bCs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2"/>
          <w:szCs w:val="32"/>
        </w:rPr>
        <w:t>二、用药范围</w:t>
      </w:r>
    </w:p>
    <w:p w:rsidR="005C13A3" w:rsidRDefault="008234FE" w:rsidP="00AC1FD2">
      <w:pPr>
        <w:widowControl w:val="0"/>
        <w:spacing w:line="600" w:lineRule="exact"/>
        <w:ind w:firstLineChars="100" w:firstLine="320"/>
        <w:contextualSpacing/>
      </w:pPr>
      <w:r>
        <w:rPr>
          <w:rFonts w:hint="eastAsia"/>
        </w:rPr>
        <w:lastRenderedPageBreak/>
        <w:t>“两病”患者门诊降血压或降血糖的药物，要按最新版国家基本医疗保险药品目录所列品种，优先选用目录甲类药品，优先选用国家基本药物，优先选用通过一致性评价的品种，优先选用集中招标采购中选药品。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  <w:rPr>
          <w:rFonts w:ascii="方正黑体_GBK" w:eastAsia="方正黑体_GBK" w:hAnsi="方正黑体_GBK" w:cs="方正黑体_GBK"/>
          <w:bCs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2"/>
          <w:szCs w:val="32"/>
        </w:rPr>
        <w:t>三、保障水平</w:t>
      </w:r>
    </w:p>
    <w:p w:rsidR="005C13A3" w:rsidRDefault="00AC1FD2" w:rsidP="00AC1FD2">
      <w:pPr>
        <w:widowControl w:val="0"/>
        <w:spacing w:line="600" w:lineRule="exact"/>
        <w:ind w:firstLineChars="160" w:firstLine="512"/>
        <w:contextualSpacing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（一）</w:t>
      </w:r>
      <w:r w:rsidRPr="00AC1FD2">
        <w:rPr>
          <w:rFonts w:ascii="方正楷体_GBK" w:eastAsia="方正楷体_GBK" w:hAnsi="方正楷体_GBK" w:cs="方正楷体_GBK" w:hint="eastAsia"/>
        </w:rPr>
        <w:t>起付线</w:t>
      </w:r>
      <w:r>
        <w:rPr>
          <w:rFonts w:ascii="方正楷体_GBK" w:eastAsia="方正楷体_GBK" w:hAnsi="方正楷体_GBK" w:cs="方正楷体_GBK" w:hint="eastAsia"/>
        </w:rPr>
        <w:t>。</w:t>
      </w:r>
      <w:r w:rsidR="008234FE" w:rsidRPr="00AC1FD2">
        <w:rPr>
          <w:rFonts w:ascii="方正仿宋_GBK" w:hAnsi="方正楷体_GBK" w:cs="方正楷体_GBK" w:hint="eastAsia"/>
        </w:rPr>
        <w:t>“两病”门诊报销不设起付线。</w:t>
      </w:r>
    </w:p>
    <w:p w:rsidR="005C13A3" w:rsidRPr="00AC1FD2" w:rsidRDefault="008234FE" w:rsidP="00AC1FD2">
      <w:pPr>
        <w:widowControl w:val="0"/>
        <w:spacing w:line="600" w:lineRule="exact"/>
        <w:ind w:firstLineChars="150" w:firstLine="480"/>
        <w:contextualSpacing/>
        <w:rPr>
          <w:rFonts w:cs="Times New Roman"/>
        </w:rPr>
      </w:pPr>
      <w:r>
        <w:rPr>
          <w:rFonts w:ascii="方正楷体_GBK" w:eastAsia="方正楷体_GBK" w:hAnsi="方正楷体_GBK" w:cs="方正楷体_GBK" w:hint="eastAsia"/>
        </w:rPr>
        <w:t>（二）报销比例。</w:t>
      </w:r>
      <w:r w:rsidRPr="00AC1FD2">
        <w:rPr>
          <w:rFonts w:cs="Times New Roman"/>
        </w:rPr>
        <w:t>“</w:t>
      </w:r>
      <w:r w:rsidRPr="00AC1FD2">
        <w:rPr>
          <w:rFonts w:cs="Times New Roman"/>
        </w:rPr>
        <w:t>两病</w:t>
      </w:r>
      <w:r w:rsidRPr="00AC1FD2">
        <w:rPr>
          <w:rFonts w:cs="Times New Roman"/>
        </w:rPr>
        <w:t>”</w:t>
      </w:r>
      <w:r w:rsidRPr="00AC1FD2">
        <w:rPr>
          <w:rFonts w:cs="Times New Roman"/>
        </w:rPr>
        <w:t>参保患者在二级及以下定点基层医疗机构门诊发生的降血压、降血糖药品费用由统筹基金支付，政策范围内支付比例为</w:t>
      </w:r>
      <w:r w:rsidRPr="00AC1FD2">
        <w:rPr>
          <w:rFonts w:cs="Times New Roman"/>
        </w:rPr>
        <w:t>70%</w:t>
      </w:r>
      <w:r w:rsidRPr="00AC1FD2">
        <w:rPr>
          <w:rFonts w:cs="Times New Roman"/>
        </w:rPr>
        <w:t>。</w:t>
      </w:r>
    </w:p>
    <w:p w:rsidR="005C13A3" w:rsidRPr="00AC1FD2" w:rsidRDefault="008234FE" w:rsidP="00AC1FD2">
      <w:pPr>
        <w:widowControl w:val="0"/>
        <w:spacing w:line="600" w:lineRule="exact"/>
        <w:ind w:firstLineChars="150" w:firstLine="480"/>
        <w:contextualSpacing/>
        <w:rPr>
          <w:rFonts w:cs="Times New Roman"/>
        </w:rPr>
      </w:pPr>
      <w:r>
        <w:rPr>
          <w:rFonts w:ascii="方正楷体_GBK" w:eastAsia="方正楷体_GBK" w:hAnsi="方正楷体_GBK" w:cs="方正楷体_GBK" w:hint="eastAsia"/>
        </w:rPr>
        <w:t>（三）支付限额。</w:t>
      </w:r>
      <w:r w:rsidRPr="00AC1FD2">
        <w:rPr>
          <w:rFonts w:cs="Times New Roman"/>
        </w:rPr>
        <w:t>统筹年度内高血压支付限额为：</w:t>
      </w:r>
      <w:r w:rsidRPr="00AC1FD2">
        <w:rPr>
          <w:rFonts w:cs="Times New Roman"/>
        </w:rPr>
        <w:t>300</w:t>
      </w:r>
      <w:r w:rsidRPr="00AC1FD2">
        <w:rPr>
          <w:rFonts w:cs="Times New Roman"/>
        </w:rPr>
        <w:t>元，糖尿病支付限额为：</w:t>
      </w:r>
      <w:r w:rsidRPr="00AC1FD2">
        <w:rPr>
          <w:rFonts w:cs="Times New Roman"/>
        </w:rPr>
        <w:t>400</w:t>
      </w:r>
      <w:r w:rsidRPr="00AC1FD2">
        <w:rPr>
          <w:rFonts w:cs="Times New Roman"/>
        </w:rPr>
        <w:t>元，同时合并高血压和糖尿病的，支付限额合并计算。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四、支付标准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  <w:rPr>
          <w:rFonts w:ascii="方正仿宋_GBK"/>
        </w:rPr>
      </w:pPr>
      <w:r>
        <w:rPr>
          <w:rFonts w:ascii="方正仿宋_GBK" w:hint="eastAsia"/>
        </w:rPr>
        <w:t>本通知所指支付标准，仅适用于城乡居民“两病”门诊用药，参保人员在门诊使用“两病”用药后，医保基金以《乌鲁木齐市城乡居民高血压糖尿病门诊用药医保支付标准》（见附件）作为结算基准，按政策按比例报销，其他规格按照现行药品差比价规则进行规格差比调整。我市将依据自治区医疗保障局公布的支付标准，适时调整医保支付标准。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  <w:rPr>
          <w:rFonts w:ascii="方正仿宋_GBK"/>
        </w:rPr>
      </w:pPr>
      <w:r>
        <w:rPr>
          <w:rFonts w:ascii="方正仿宋_GBK" w:hint="eastAsia"/>
        </w:rPr>
        <w:t>支付标准是医保基金支付“两病”门诊药品费用的基准。价格高于支付标准的，医保基金根据支付标准按规定比例支付，其余</w:t>
      </w:r>
      <w:r>
        <w:rPr>
          <w:rFonts w:ascii="方正仿宋_GBK" w:hint="eastAsia"/>
        </w:rPr>
        <w:lastRenderedPageBreak/>
        <w:t>部分由患者负担。价格不高于支付标准的，医保基金和患者根据实际价格按规定比例支付。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五、医疗服务管理</w:t>
      </w:r>
    </w:p>
    <w:p w:rsidR="005C13A3" w:rsidRDefault="008234FE" w:rsidP="00AC1FD2">
      <w:pPr>
        <w:widowControl w:val="0"/>
        <w:spacing w:line="600" w:lineRule="exact"/>
        <w:ind w:firstLineChars="160" w:firstLine="512"/>
        <w:contextualSpacing/>
      </w:pPr>
      <w:r>
        <w:rPr>
          <w:rFonts w:ascii="方正楷体_GBK" w:eastAsia="方正楷体_GBK" w:hAnsi="方正楷体_GBK" w:cs="方正楷体_GBK" w:hint="eastAsia"/>
          <w:bCs/>
          <w:kern w:val="2"/>
          <w:szCs w:val="32"/>
        </w:rPr>
        <w:t>（一）确诊机构及标准。</w:t>
      </w:r>
      <w:r>
        <w:rPr>
          <w:rFonts w:hint="eastAsia"/>
        </w:rPr>
        <w:t>乡镇卫生院、社区卫生服务中心或二级公立医院负责“两病”确诊，高血压病根据《国家基层高血压防治管理指南</w:t>
      </w:r>
      <w:r>
        <w:rPr>
          <w:rFonts w:hint="eastAsia"/>
        </w:rPr>
        <w:t>(2017)</w:t>
      </w:r>
      <w:r>
        <w:rPr>
          <w:rFonts w:hint="eastAsia"/>
        </w:rPr>
        <w:t>》等技术规范进行确诊，糖尿病根据《国家基层糖尿病防治管理指南</w:t>
      </w:r>
      <w:r>
        <w:rPr>
          <w:rFonts w:hint="eastAsia"/>
        </w:rPr>
        <w:t>(2018)</w:t>
      </w:r>
      <w:r>
        <w:rPr>
          <w:rFonts w:hint="eastAsia"/>
        </w:rPr>
        <w:t>》等技术规范进行确诊。卫健部门已经建立健康档案的“两病”患者直接纳入保障范围。确诊为“两病”的患者由医疗机构进行备案管理。</w:t>
      </w:r>
    </w:p>
    <w:p w:rsidR="005C13A3" w:rsidRDefault="008234FE" w:rsidP="00AC1FD2">
      <w:pPr>
        <w:widowControl w:val="0"/>
        <w:spacing w:line="600" w:lineRule="exact"/>
        <w:ind w:firstLineChars="100" w:firstLine="320"/>
        <w:contextualSpacing/>
        <w:rPr>
          <w:rFonts w:ascii="方正楷体_GBK" w:eastAsia="方正楷体_GBK" w:cs="Times New Roman"/>
          <w:bCs/>
          <w:kern w:val="2"/>
          <w:szCs w:val="32"/>
        </w:rPr>
      </w:pPr>
      <w:r>
        <w:rPr>
          <w:rFonts w:hint="eastAsia"/>
        </w:rPr>
        <w:t xml:space="preserve"> </w:t>
      </w:r>
      <w:r>
        <w:rPr>
          <w:rFonts w:ascii="方正楷体_GBK" w:eastAsia="方正楷体_GBK" w:hAnsi="方正楷体_GBK" w:cs="方正楷体_GBK" w:hint="eastAsia"/>
          <w:bCs/>
          <w:kern w:val="2"/>
          <w:szCs w:val="32"/>
        </w:rPr>
        <w:t>（二）处方管理。</w:t>
      </w:r>
      <w:r>
        <w:rPr>
          <w:rFonts w:hint="eastAsia"/>
        </w:rPr>
        <w:t>“两病”患者在选择的定点医疗机构门诊就医时，医师可视病情适当延长门诊处方用量，药品用量不超过药品说明书规定的最大剂量，医疗机构应当保障患者用药需求，但要避免重复开药。</w:t>
      </w:r>
    </w:p>
    <w:p w:rsidR="005C13A3" w:rsidRDefault="008234FE" w:rsidP="00AC1FD2">
      <w:pPr>
        <w:widowControl w:val="0"/>
        <w:spacing w:line="600" w:lineRule="exact"/>
        <w:ind w:firstLineChars="150" w:firstLine="480"/>
        <w:contextualSpacing/>
      </w:pPr>
      <w:bookmarkStart w:id="0" w:name="_GoBack"/>
      <w:bookmarkEnd w:id="0"/>
      <w:r>
        <w:rPr>
          <w:rFonts w:ascii="方正楷体_GBK" w:eastAsia="方正楷体_GBK" w:cs="Times New Roman" w:hint="eastAsia"/>
          <w:bCs/>
          <w:kern w:val="2"/>
          <w:szCs w:val="32"/>
        </w:rPr>
        <w:t>（三）保障药品供应。</w:t>
      </w:r>
      <w:r>
        <w:rPr>
          <w:rFonts w:hint="eastAsia"/>
        </w:rPr>
        <w:t>各有关部门要确保药品质量和供应，医疗机构要优先</w:t>
      </w:r>
      <w:r>
        <w:rPr>
          <w:rFonts w:ascii="方正楷体_GBK" w:eastAsia="方正楷体_GBK" w:cs="Times New Roman" w:hint="eastAsia"/>
          <w:bCs/>
          <w:kern w:val="2"/>
          <w:szCs w:val="32"/>
        </w:rPr>
        <w:t>使用</w:t>
      </w:r>
      <w:r>
        <w:rPr>
          <w:rFonts w:hint="eastAsia"/>
        </w:rPr>
        <w:t>集中采购中选药品，不得以费用控制、药占比、医疗机构用药品种规格数量要求、药事委员会审定等为由影响中选药品的供应保障与合理使用。</w:t>
      </w:r>
    </w:p>
    <w:p w:rsidR="005C13A3" w:rsidRDefault="008234FE" w:rsidP="00AC1FD2">
      <w:pPr>
        <w:widowControl w:val="0"/>
        <w:spacing w:line="600" w:lineRule="exact"/>
        <w:ind w:firstLineChars="210" w:firstLine="672"/>
        <w:contextualSpacing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六、工作要求</w:t>
      </w:r>
    </w:p>
    <w:p w:rsidR="005C13A3" w:rsidRDefault="008234FE" w:rsidP="00AC1FD2">
      <w:pPr>
        <w:widowControl w:val="0"/>
        <w:spacing w:line="600" w:lineRule="exact"/>
        <w:ind w:firstLineChars="160" w:firstLine="512"/>
        <w:contextualSpacing/>
      </w:pPr>
      <w:r>
        <w:rPr>
          <w:rFonts w:ascii="方正楷体_GBK" w:eastAsia="方正楷体_GBK" w:hAnsi="方正楷体_GBK" w:cs="方正楷体_GBK" w:hint="eastAsia"/>
          <w:bCs/>
          <w:kern w:val="2"/>
          <w:szCs w:val="32"/>
        </w:rPr>
        <w:t>（一）确保政策待遇落实。</w:t>
      </w:r>
      <w:r>
        <w:rPr>
          <w:rFonts w:hint="eastAsia"/>
        </w:rPr>
        <w:t>各单位要高度重视“两病”门诊用药保障工作，认真做好与现有城乡居民医保“两病”门诊特殊慢性病和普通门诊待遇的衔接，避免重复报销、重复享受待遇，推动</w:t>
      </w:r>
      <w:r>
        <w:rPr>
          <w:rFonts w:hint="eastAsia"/>
        </w:rPr>
        <w:lastRenderedPageBreak/>
        <w:t>合理诊疗和科学施治。鼓励签约家庭医生服务并建立“两病”管理档案。</w:t>
      </w:r>
    </w:p>
    <w:p w:rsidR="005C13A3" w:rsidRDefault="008234FE" w:rsidP="00AC1FD2">
      <w:pPr>
        <w:widowControl w:val="0"/>
        <w:spacing w:line="600" w:lineRule="exact"/>
        <w:ind w:firstLineChars="160" w:firstLine="512"/>
        <w:contextualSpacing/>
      </w:pPr>
      <w:r>
        <w:rPr>
          <w:rFonts w:ascii="方正楷体_GBK" w:eastAsia="方正楷体_GBK" w:cs="Times New Roman" w:hint="eastAsia"/>
          <w:bCs/>
          <w:kern w:val="2"/>
          <w:szCs w:val="32"/>
        </w:rPr>
        <w:t>（二）加强部门协同配合。</w:t>
      </w:r>
      <w:r>
        <w:rPr>
          <w:rFonts w:hint="eastAsia"/>
        </w:rPr>
        <w:t>医疗保障部门会同相关部门做好“两病”患者门诊用药保障工作，密切跟踪工作进展，确保群众享受待遇。财政部门要积极参与“两病”用药保障有关工作，按规定保障所需工作经费。卫健部门要做好</w:t>
      </w:r>
      <w:r>
        <w:rPr>
          <w:rFonts w:hint="eastAsia"/>
        </w:rPr>
        <w:t>"</w:t>
      </w:r>
      <w:r>
        <w:rPr>
          <w:rFonts w:hint="eastAsia"/>
        </w:rPr>
        <w:t>两病“患者的健康管理，加强医疗服务行为监管，进一步健全完善</w:t>
      </w:r>
      <w:r>
        <w:rPr>
          <w:rFonts w:hint="eastAsia"/>
        </w:rPr>
        <w:t>"</w:t>
      </w:r>
      <w:r>
        <w:rPr>
          <w:rFonts w:hint="eastAsia"/>
        </w:rPr>
        <w:t>两病”用药指南和规范，规范诊疗行为，确保集中带量采购药品合理使用；市场</w:t>
      </w:r>
      <w:r w:rsidRPr="00AC1FD2">
        <w:rPr>
          <w:rFonts w:hint="eastAsia"/>
          <w:spacing w:val="-6"/>
        </w:rPr>
        <w:t>监督管理部门负责做好“两病”用药流通、配送等环节的监督管理</w:t>
      </w:r>
      <w:r>
        <w:rPr>
          <w:rFonts w:hint="eastAsia"/>
        </w:rPr>
        <w:t>。</w:t>
      </w:r>
    </w:p>
    <w:p w:rsidR="005C13A3" w:rsidRDefault="008234FE" w:rsidP="00AC1FD2">
      <w:pPr>
        <w:widowControl w:val="0"/>
        <w:spacing w:line="600" w:lineRule="exact"/>
        <w:ind w:firstLine="640"/>
        <w:contextualSpacing/>
      </w:pPr>
      <w:r>
        <w:rPr>
          <w:rFonts w:ascii="方正楷体_GBK" w:eastAsia="方正楷体_GBK" w:cs="Times New Roman" w:hint="eastAsia"/>
          <w:bCs/>
          <w:kern w:val="2"/>
          <w:szCs w:val="32"/>
        </w:rPr>
        <w:t>（三）强化医保基金监管。</w:t>
      </w:r>
      <w:r>
        <w:rPr>
          <w:rFonts w:hint="eastAsia"/>
        </w:rPr>
        <w:t>开展医保智能监控，推动监管转向事前事中事后并重。健全监督举报、智能监控、现场检查、信</w:t>
      </w:r>
    </w:p>
    <w:p w:rsidR="005C13A3" w:rsidRDefault="008234FE" w:rsidP="00AC1FD2">
      <w:pPr>
        <w:widowControl w:val="0"/>
        <w:spacing w:line="600" w:lineRule="exact"/>
        <w:ind w:firstLineChars="0" w:firstLine="0"/>
        <w:contextualSpacing/>
      </w:pPr>
      <w:r>
        <w:rPr>
          <w:rFonts w:hint="eastAsia"/>
        </w:rPr>
        <w:t>用管理等机制，持续打击欺诈骗保行为，加强对“两病”认定、重复报销、重复享受待遇等违规行为的监督检查，减少医保基金“跑冒滴漏”</w:t>
      </w:r>
      <w:r>
        <w:rPr>
          <w:rFonts w:hint="eastAsia"/>
        </w:rPr>
        <w:t>,</w:t>
      </w:r>
      <w:r>
        <w:rPr>
          <w:rFonts w:hint="eastAsia"/>
        </w:rPr>
        <w:t>构建稽核检查的长效机制。进一步发挥医保、卫健、公安、市场监管等部门联合监管、联合调查、联合办案的机制，加大对定点医疗机构监管力度，持续打造不敢骗、不能骗的高压态势，切实保障医保基金安全。</w:t>
      </w:r>
    </w:p>
    <w:p w:rsidR="005C13A3" w:rsidRDefault="008234FE" w:rsidP="00AC1FD2">
      <w:pPr>
        <w:widowControl w:val="0"/>
        <w:spacing w:line="600" w:lineRule="exact"/>
        <w:ind w:firstLineChars="210" w:firstLine="672"/>
        <w:contextualSpacing/>
      </w:pPr>
      <w:r>
        <w:rPr>
          <w:rFonts w:hint="eastAsia"/>
        </w:rPr>
        <w:t>本通知自发文之日起实施。</w:t>
      </w:r>
    </w:p>
    <w:p w:rsidR="005C13A3" w:rsidRPr="00EE67B1" w:rsidRDefault="005C13A3" w:rsidP="00EE67B1">
      <w:pPr>
        <w:widowControl w:val="0"/>
        <w:spacing w:line="600" w:lineRule="exact"/>
        <w:ind w:leftChars="182" w:left="1422" w:hangingChars="300" w:hanging="840"/>
        <w:contextualSpacing/>
        <w:rPr>
          <w:spacing w:val="-20"/>
        </w:rPr>
      </w:pPr>
    </w:p>
    <w:sectPr w:rsidR="005C13A3" w:rsidRPr="00EE67B1" w:rsidSect="00AC1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1985" w:left="1531" w:header="851" w:footer="1587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BF" w:rsidRDefault="002D2FBF" w:rsidP="00AC1FD2">
      <w:pPr>
        <w:spacing w:line="240" w:lineRule="auto"/>
        <w:ind w:firstLine="640"/>
      </w:pPr>
      <w:r>
        <w:separator/>
      </w:r>
    </w:p>
  </w:endnote>
  <w:endnote w:type="continuationSeparator" w:id="0">
    <w:p w:rsidR="002D2FBF" w:rsidRDefault="002D2FBF" w:rsidP="00AC1FD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82119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AC1FD2" w:rsidRPr="00AC1FD2" w:rsidRDefault="00AC1FD2" w:rsidP="00AC1FD2">
        <w:pPr>
          <w:pStyle w:val="a6"/>
          <w:ind w:firstLineChars="0" w:firstLine="0"/>
          <w:rPr>
            <w:rFonts w:cs="Times New Roman"/>
            <w:sz w:val="28"/>
            <w:szCs w:val="28"/>
          </w:rPr>
        </w:pPr>
        <w:r>
          <w:rPr>
            <w:rFonts w:cs="Times New Roman" w:hint="eastAsia"/>
            <w:sz w:val="28"/>
            <w:szCs w:val="28"/>
          </w:rPr>
          <w:t>—</w:t>
        </w:r>
        <w:r>
          <w:rPr>
            <w:rFonts w:cs="Times New Roman" w:hint="eastAsia"/>
            <w:sz w:val="28"/>
            <w:szCs w:val="28"/>
          </w:rPr>
          <w:t xml:space="preserve"> </w:t>
        </w:r>
        <w:r w:rsidRPr="00AC1FD2">
          <w:rPr>
            <w:rFonts w:cs="Times New Roman"/>
            <w:sz w:val="28"/>
            <w:szCs w:val="28"/>
          </w:rPr>
          <w:fldChar w:fldCharType="begin"/>
        </w:r>
        <w:r w:rsidRPr="00AC1FD2">
          <w:rPr>
            <w:rFonts w:cs="Times New Roman"/>
            <w:sz w:val="28"/>
            <w:szCs w:val="28"/>
          </w:rPr>
          <w:instrText>PAGE   \* MERGEFORMAT</w:instrText>
        </w:r>
        <w:r w:rsidRPr="00AC1FD2">
          <w:rPr>
            <w:rFonts w:cs="Times New Roman"/>
            <w:sz w:val="28"/>
            <w:szCs w:val="28"/>
          </w:rPr>
          <w:fldChar w:fldCharType="separate"/>
        </w:r>
        <w:r w:rsidR="00FA5938" w:rsidRPr="00FA5938">
          <w:rPr>
            <w:rFonts w:cs="Times New Roman"/>
            <w:noProof/>
            <w:sz w:val="28"/>
            <w:szCs w:val="28"/>
            <w:lang w:val="zh-CN"/>
          </w:rPr>
          <w:t>4</w:t>
        </w:r>
        <w:r w:rsidRPr="00AC1FD2"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 w:hint="eastAsia"/>
            <w:sz w:val="28"/>
            <w:szCs w:val="28"/>
          </w:rPr>
          <w:t xml:space="preserve"> </w:t>
        </w:r>
        <w:r>
          <w:rPr>
            <w:rFonts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658741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AC1FD2" w:rsidRPr="00AC1FD2" w:rsidRDefault="00AC1FD2" w:rsidP="00AC1FD2">
        <w:pPr>
          <w:pStyle w:val="a6"/>
          <w:ind w:firstLine="360"/>
          <w:jc w:val="right"/>
          <w:rPr>
            <w:rFonts w:cs="Times New Roman"/>
            <w:sz w:val="28"/>
            <w:szCs w:val="28"/>
          </w:rPr>
        </w:pPr>
        <w:r>
          <w:rPr>
            <w:rFonts w:cs="Times New Roman" w:hint="eastAsia"/>
            <w:sz w:val="28"/>
            <w:szCs w:val="28"/>
          </w:rPr>
          <w:t>—</w:t>
        </w:r>
        <w:r>
          <w:rPr>
            <w:rFonts w:cs="Times New Roman" w:hint="eastAsia"/>
            <w:sz w:val="28"/>
            <w:szCs w:val="28"/>
          </w:rPr>
          <w:t xml:space="preserve"> </w:t>
        </w:r>
        <w:r w:rsidRPr="00AC1FD2">
          <w:rPr>
            <w:rFonts w:cs="Times New Roman"/>
            <w:sz w:val="28"/>
            <w:szCs w:val="28"/>
          </w:rPr>
          <w:fldChar w:fldCharType="begin"/>
        </w:r>
        <w:r w:rsidRPr="00AC1FD2">
          <w:rPr>
            <w:rFonts w:cs="Times New Roman"/>
            <w:sz w:val="28"/>
            <w:szCs w:val="28"/>
          </w:rPr>
          <w:instrText>PAGE   \* MERGEFORMAT</w:instrText>
        </w:r>
        <w:r w:rsidRPr="00AC1FD2">
          <w:rPr>
            <w:rFonts w:cs="Times New Roman"/>
            <w:sz w:val="28"/>
            <w:szCs w:val="28"/>
          </w:rPr>
          <w:fldChar w:fldCharType="separate"/>
        </w:r>
        <w:r w:rsidR="00FA5938" w:rsidRPr="00FA5938">
          <w:rPr>
            <w:rFonts w:cs="Times New Roman"/>
            <w:noProof/>
            <w:sz w:val="28"/>
            <w:szCs w:val="28"/>
            <w:lang w:val="zh-CN"/>
          </w:rPr>
          <w:t>3</w:t>
        </w:r>
        <w:r w:rsidRPr="00AC1FD2"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 w:hint="eastAsia"/>
            <w:sz w:val="28"/>
            <w:szCs w:val="28"/>
          </w:rPr>
          <w:t xml:space="preserve"> </w:t>
        </w:r>
        <w:r>
          <w:rPr>
            <w:rFonts w:cs="Times New Roman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3" w:rsidRDefault="005C13A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BF" w:rsidRDefault="002D2FBF" w:rsidP="00AC1FD2">
      <w:pPr>
        <w:spacing w:line="240" w:lineRule="auto"/>
        <w:ind w:firstLine="640"/>
      </w:pPr>
      <w:r>
        <w:separator/>
      </w:r>
    </w:p>
  </w:footnote>
  <w:footnote w:type="continuationSeparator" w:id="0">
    <w:p w:rsidR="002D2FBF" w:rsidRDefault="002D2FBF" w:rsidP="00AC1FD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3" w:rsidRPr="00AC1FD2" w:rsidRDefault="005C13A3" w:rsidP="008234FE">
    <w:pPr>
      <w:pStyle w:val="a8"/>
      <w:pBdr>
        <w:bottom w:val="single" w:sz="6" w:space="0" w:color="auto"/>
      </w:pBdr>
      <w:tabs>
        <w:tab w:val="clear" w:pos="8306"/>
        <w:tab w:val="left" w:pos="4620"/>
        <w:tab w:val="left" w:pos="5040"/>
        <w:tab w:val="left" w:pos="5880"/>
      </w:tabs>
      <w:ind w:firstLineChars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3" w:rsidRDefault="005C13A3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3" w:rsidRDefault="005C13A3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0D9"/>
    <w:multiLevelType w:val="hybridMultilevel"/>
    <w:tmpl w:val="B09E5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29"/>
    <w:rsid w:val="000546C8"/>
    <w:rsid w:val="000B1FD3"/>
    <w:rsid w:val="00160FF5"/>
    <w:rsid w:val="001801EE"/>
    <w:rsid w:val="001A23CF"/>
    <w:rsid w:val="00220028"/>
    <w:rsid w:val="00251EDF"/>
    <w:rsid w:val="00291E6C"/>
    <w:rsid w:val="002A19B8"/>
    <w:rsid w:val="002A60BC"/>
    <w:rsid w:val="002D2FBF"/>
    <w:rsid w:val="002E1CD8"/>
    <w:rsid w:val="002F1A24"/>
    <w:rsid w:val="003140F7"/>
    <w:rsid w:val="00316C6C"/>
    <w:rsid w:val="00321D27"/>
    <w:rsid w:val="00362963"/>
    <w:rsid w:val="00446B20"/>
    <w:rsid w:val="00450A29"/>
    <w:rsid w:val="00450B72"/>
    <w:rsid w:val="004639BC"/>
    <w:rsid w:val="004D2AE5"/>
    <w:rsid w:val="004E7B8A"/>
    <w:rsid w:val="00510F2B"/>
    <w:rsid w:val="00515EDA"/>
    <w:rsid w:val="00515FF1"/>
    <w:rsid w:val="005638DA"/>
    <w:rsid w:val="00565DCD"/>
    <w:rsid w:val="0058290B"/>
    <w:rsid w:val="005C13A3"/>
    <w:rsid w:val="0068139C"/>
    <w:rsid w:val="00683240"/>
    <w:rsid w:val="007210E7"/>
    <w:rsid w:val="007B4C17"/>
    <w:rsid w:val="008234FE"/>
    <w:rsid w:val="00871AD5"/>
    <w:rsid w:val="0088240E"/>
    <w:rsid w:val="008937EC"/>
    <w:rsid w:val="008D5FF8"/>
    <w:rsid w:val="008E108D"/>
    <w:rsid w:val="00904530"/>
    <w:rsid w:val="00936989"/>
    <w:rsid w:val="00965DB5"/>
    <w:rsid w:val="0096794B"/>
    <w:rsid w:val="00993839"/>
    <w:rsid w:val="009965CF"/>
    <w:rsid w:val="00AC1FD2"/>
    <w:rsid w:val="00AE7F14"/>
    <w:rsid w:val="00AF6AE9"/>
    <w:rsid w:val="00B11FEE"/>
    <w:rsid w:val="00B66A85"/>
    <w:rsid w:val="00B97D8E"/>
    <w:rsid w:val="00BC14E2"/>
    <w:rsid w:val="00BE0BD0"/>
    <w:rsid w:val="00BF518A"/>
    <w:rsid w:val="00BF745B"/>
    <w:rsid w:val="00C45394"/>
    <w:rsid w:val="00C57596"/>
    <w:rsid w:val="00C66EE3"/>
    <w:rsid w:val="00CA2C94"/>
    <w:rsid w:val="00CE2945"/>
    <w:rsid w:val="00D1267A"/>
    <w:rsid w:val="00D31775"/>
    <w:rsid w:val="00DA0715"/>
    <w:rsid w:val="00DF10BF"/>
    <w:rsid w:val="00E0263F"/>
    <w:rsid w:val="00E330DC"/>
    <w:rsid w:val="00E508F5"/>
    <w:rsid w:val="00EE67B1"/>
    <w:rsid w:val="00F0626A"/>
    <w:rsid w:val="00F529CF"/>
    <w:rsid w:val="00FA5938"/>
    <w:rsid w:val="00FD256C"/>
    <w:rsid w:val="0295356D"/>
    <w:rsid w:val="25E22052"/>
    <w:rsid w:val="2ACE4846"/>
    <w:rsid w:val="38AE5531"/>
    <w:rsid w:val="41315423"/>
    <w:rsid w:val="55557313"/>
    <w:rsid w:val="66805457"/>
    <w:rsid w:val="70A74944"/>
    <w:rsid w:val="72F9044B"/>
    <w:rsid w:val="780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D9810A"/>
  <w15:docId w15:val="{5B77697C-DB6F-4F66-ACBE-393B1EC7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spacing w:line="560" w:lineRule="exact"/>
      <w:ind w:firstLineChars="200" w:firstLine="200"/>
      <w:jc w:val="both"/>
    </w:pPr>
    <w:rPr>
      <w:rFonts w:ascii="Times New Roman" w:eastAsia="方正仿宋_GBK" w:hAnsi="Times New Roman" w:cstheme="minorBidi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rsid w:val="00565DC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EC86B-47A6-412F-B513-07FA8BCD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25</cp:revision>
  <cp:lastPrinted>2019-12-17T13:35:00Z</cp:lastPrinted>
  <dcterms:created xsi:type="dcterms:W3CDTF">2019-12-03T04:16:00Z</dcterms:created>
  <dcterms:modified xsi:type="dcterms:W3CDTF">2021-12-02T03:13:00Z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