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utoSpaceDE w:val="0"/>
        <w:autoSpaceDN w:val="0"/>
        <w:adjustRightInd w:val="0"/>
        <w:snapToGrid w:val="0"/>
        <w:spacing w:line="560" w:lineRule="exact"/>
        <w:jc w:val="center"/>
        <w:textAlignment w:val="baseline"/>
        <w:rPr>
          <w:rFonts w:hint="default" w:ascii="Times New Roman" w:hAnsi="Times New Roman" w:eastAsia="方正小标宋_GBK" w:cs="Times New Roman"/>
          <w:sz w:val="44"/>
          <w:szCs w:val="44"/>
          <w:highlight w:val="none"/>
          <w:lang w:val="zh-TW"/>
        </w:rPr>
      </w:pPr>
      <w:bookmarkStart w:id="0" w:name="OLE_LINK2"/>
      <w:bookmarkStart w:id="1" w:name="OLE_LINK1"/>
    </w:p>
    <w:p>
      <w:pPr>
        <w:widowControl/>
        <w:autoSpaceDE w:val="0"/>
        <w:autoSpaceDN w:val="0"/>
        <w:adjustRightInd w:val="0"/>
        <w:snapToGrid w:val="0"/>
        <w:spacing w:line="560" w:lineRule="exact"/>
        <w:jc w:val="center"/>
        <w:textAlignment w:val="baseline"/>
        <w:rPr>
          <w:rFonts w:hint="default" w:ascii="Times New Roman" w:hAnsi="Times New Roman" w:eastAsia="方正小标宋_GBK" w:cs="Times New Roman"/>
          <w:sz w:val="44"/>
          <w:szCs w:val="44"/>
          <w:highlight w:val="none"/>
          <w:lang w:val="zh-TW"/>
        </w:rPr>
      </w:pPr>
      <w:bookmarkStart w:id="74" w:name="_GoBack"/>
      <w:bookmarkEnd w:id="74"/>
      <w:r>
        <w:rPr>
          <w:rFonts w:hint="default" w:ascii="Times New Roman" w:hAnsi="Times New Roman" w:eastAsia="方正小标宋_GBK" w:cs="Times New Roman"/>
          <w:sz w:val="44"/>
          <w:szCs w:val="44"/>
          <w:highlight w:val="none"/>
          <w:lang w:val="zh-TW"/>
        </w:rPr>
        <w:t>乌鲁木齐市</w:t>
      </w:r>
      <w:r>
        <w:rPr>
          <w:rFonts w:hint="eastAsia" w:ascii="Times New Roman" w:hAnsi="Times New Roman" w:eastAsia="方正小标宋_GBK" w:cs="Times New Roman"/>
          <w:sz w:val="44"/>
          <w:szCs w:val="44"/>
          <w:highlight w:val="none"/>
        </w:rPr>
        <w:t>长期护理保险</w:t>
      </w:r>
      <w:r>
        <w:rPr>
          <w:rFonts w:hint="default" w:ascii="Times New Roman" w:hAnsi="Times New Roman" w:eastAsia="方正小标宋_GBK" w:cs="Times New Roman"/>
          <w:sz w:val="44"/>
          <w:szCs w:val="44"/>
          <w:highlight w:val="none"/>
          <w:lang w:val="zh-TW"/>
        </w:rPr>
        <w:t>实施细则</w:t>
      </w:r>
    </w:p>
    <w:bookmarkEnd w:id="0"/>
    <w:bookmarkEnd w:id="1"/>
    <w:p>
      <w:pPr>
        <w:widowControl/>
        <w:autoSpaceDE w:val="0"/>
        <w:autoSpaceDN w:val="0"/>
        <w:adjustRightInd w:val="0"/>
        <w:snapToGrid w:val="0"/>
        <w:spacing w:line="560" w:lineRule="exact"/>
        <w:jc w:val="center"/>
        <w:textAlignment w:val="baseline"/>
        <w:rPr>
          <w:rFonts w:hint="eastAsia" w:ascii="方正楷体_GBK" w:hAnsi="方正楷体_GBK" w:eastAsia="方正楷体_GBK" w:cs="方正楷体_GBK"/>
          <w:sz w:val="32"/>
          <w:szCs w:val="32"/>
          <w:highlight w:val="none"/>
          <w:lang w:val="zh-TW"/>
        </w:rPr>
      </w:pPr>
      <w:r>
        <w:rPr>
          <w:rFonts w:hint="eastAsia" w:ascii="方正楷体_GBK" w:hAnsi="方正楷体_GBK" w:eastAsia="方正楷体_GBK" w:cs="方正楷体_GBK"/>
          <w:sz w:val="32"/>
          <w:szCs w:val="32"/>
          <w:highlight w:val="none"/>
          <w:lang w:val="zh-TW"/>
        </w:rPr>
        <w:t>（征求意见稿）</w:t>
      </w:r>
    </w:p>
    <w:p>
      <w:pPr>
        <w:widowControl/>
        <w:autoSpaceDE w:val="0"/>
        <w:autoSpaceDN w:val="0"/>
        <w:adjustRightInd w:val="0"/>
        <w:snapToGrid w:val="0"/>
        <w:spacing w:line="560" w:lineRule="exact"/>
        <w:ind w:firstLine="640" w:firstLineChars="200"/>
        <w:textAlignment w:val="baseline"/>
        <w:rPr>
          <w:rFonts w:hint="default" w:ascii="Times New Roman" w:hAnsi="Times New Roman" w:eastAsia="+仿宋_GB2312" w:cs="Times New Roman"/>
          <w:sz w:val="32"/>
          <w:highlight w:val="none"/>
        </w:rPr>
      </w:pPr>
    </w:p>
    <w:p>
      <w:pPr>
        <w:widowControl/>
        <w:autoSpaceDE w:val="0"/>
        <w:autoSpaceDN w:val="0"/>
        <w:adjustRightInd w:val="0"/>
        <w:snapToGrid w:val="0"/>
        <w:spacing w:line="560" w:lineRule="exact"/>
        <w:jc w:val="center"/>
        <w:textAlignment w:val="baseline"/>
        <w:outlineLvl w:val="0"/>
        <w:rPr>
          <w:rFonts w:hint="default" w:ascii="Times New Roman" w:hAnsi="Times New Roman" w:eastAsia="方正黑体_GBK" w:cs="Times New Roman"/>
          <w:sz w:val="32"/>
          <w:szCs w:val="32"/>
          <w:highlight w:val="none"/>
          <w:lang w:val="zh-TW"/>
        </w:rPr>
      </w:pPr>
      <w:bookmarkStart w:id="2" w:name="_Toc28226"/>
      <w:r>
        <w:rPr>
          <w:rFonts w:hint="default" w:ascii="Times New Roman" w:hAnsi="Times New Roman" w:eastAsia="方正黑体_GBK" w:cs="Times New Roman"/>
          <w:sz w:val="32"/>
          <w:szCs w:val="32"/>
          <w:highlight w:val="none"/>
        </w:rPr>
        <w:t xml:space="preserve">第一章 </w:t>
      </w:r>
      <w:r>
        <w:rPr>
          <w:rFonts w:hint="default" w:ascii="Times New Roman" w:hAnsi="Times New Roman" w:eastAsia="方正黑体_GBK" w:cs="Times New Roman"/>
          <w:sz w:val="32"/>
          <w:szCs w:val="32"/>
          <w:highlight w:val="none"/>
          <w:lang w:val="zh-TW"/>
        </w:rPr>
        <w:t>总</w:t>
      </w:r>
      <w:r>
        <w:rPr>
          <w:rFonts w:hint="eastAsia" w:ascii="Times New Roman" w:hAnsi="Times New Roman" w:eastAsia="方正黑体_GBK" w:cs="Times New Roman"/>
          <w:sz w:val="32"/>
          <w:szCs w:val="32"/>
          <w:highlight w:val="none"/>
        </w:rPr>
        <w:t xml:space="preserve"> </w:t>
      </w:r>
      <w:r>
        <w:rPr>
          <w:rFonts w:hint="default" w:ascii="Times New Roman" w:hAnsi="Times New Roman" w:eastAsia="方正黑体_GBK" w:cs="Times New Roman"/>
          <w:sz w:val="32"/>
          <w:szCs w:val="32"/>
          <w:highlight w:val="none"/>
          <w:lang w:val="zh-TW"/>
        </w:rPr>
        <w:t>则</w:t>
      </w:r>
      <w:bookmarkEnd w:id="2"/>
    </w:p>
    <w:p>
      <w:pPr>
        <w:widowControl/>
        <w:autoSpaceDE w:val="0"/>
        <w:autoSpaceDN w:val="0"/>
        <w:adjustRightInd w:val="0"/>
        <w:snapToGrid w:val="0"/>
        <w:spacing w:line="560" w:lineRule="exact"/>
        <w:ind w:firstLine="640" w:firstLineChars="200"/>
        <w:textAlignment w:val="baseline"/>
        <w:rPr>
          <w:rFonts w:hint="default" w:ascii="Times New Roman" w:hAnsi="Times New Roman" w:eastAsia="方正仿宋_GBK" w:cs="Times New Roman"/>
          <w:sz w:val="32"/>
          <w:szCs w:val="32"/>
          <w:highlight w:val="none"/>
        </w:rPr>
      </w:pPr>
      <w:r>
        <w:rPr>
          <w:rFonts w:hint="default" w:ascii="方正楷体_GBK" w:hAnsi="方正楷体_GBK" w:eastAsia="方正楷体_GBK" w:cs="方正楷体_GBK"/>
          <w:sz w:val="32"/>
          <w:szCs w:val="32"/>
          <w:highlight w:val="none"/>
          <w:lang w:val="zh-TW"/>
        </w:rPr>
        <w:t>第一条</w:t>
      </w:r>
      <w:r>
        <w:rPr>
          <w:rFonts w:hint="default" w:ascii="方正楷体_GBK" w:hAnsi="方正楷体_GBK" w:eastAsia="方正楷体_GBK" w:cs="方正楷体_GBK"/>
          <w:sz w:val="32"/>
          <w:szCs w:val="32"/>
          <w:highlight w:val="none"/>
        </w:rPr>
        <w:t xml:space="preserve"> </w:t>
      </w:r>
      <w:r>
        <w:rPr>
          <w:rFonts w:hint="default" w:ascii="Times New Roman" w:hAnsi="Times New Roman" w:eastAsia="方正仿宋_GBK" w:cs="Times New Roman"/>
          <w:sz w:val="32"/>
          <w:szCs w:val="32"/>
          <w:highlight w:val="none"/>
        </w:rPr>
        <w:t>为进一步健全社会保障体系，积极应对人口老龄化，妥善解决失能人员长期护理保障问题</w:t>
      </w:r>
      <w:r>
        <w:rPr>
          <w:rFonts w:hint="default" w:ascii="Times New Roman" w:hAnsi="Times New Roman" w:eastAsia="方正仿宋_GBK" w:cs="Times New Roman"/>
          <w:color w:val="000000"/>
          <w:sz w:val="32"/>
          <w:szCs w:val="32"/>
          <w:highlight w:val="none"/>
        </w:rPr>
        <w:t>，根据《关于印发〈新疆维吾尔自治区建立</w:t>
      </w:r>
      <w:r>
        <w:rPr>
          <w:rFonts w:hint="eastAsia" w:ascii="Times New Roman" w:hAnsi="Times New Roman" w:eastAsia="方正仿宋_GBK" w:cs="Times New Roman"/>
          <w:color w:val="000000"/>
          <w:sz w:val="32"/>
          <w:szCs w:val="32"/>
          <w:highlight w:val="none"/>
        </w:rPr>
        <w:t>长期护理保险</w:t>
      </w:r>
      <w:r>
        <w:rPr>
          <w:rFonts w:hint="default" w:ascii="Times New Roman" w:hAnsi="Times New Roman" w:eastAsia="方正仿宋_GBK" w:cs="Times New Roman"/>
          <w:color w:val="000000"/>
          <w:sz w:val="32"/>
          <w:szCs w:val="32"/>
          <w:highlight w:val="none"/>
        </w:rPr>
        <w:t>制度实施方案〉</w:t>
      </w:r>
      <w:r>
        <w:rPr>
          <w:rFonts w:hint="default" w:ascii="Times New Roman" w:hAnsi="Times New Roman" w:eastAsia="方正仿宋_GBK" w:cs="Times New Roman"/>
          <w:sz w:val="32"/>
          <w:szCs w:val="32"/>
          <w:highlight w:val="none"/>
        </w:rPr>
        <w:t>的通知</w:t>
      </w:r>
      <w:r>
        <w:rPr>
          <w:rFonts w:hint="default" w:ascii="Times New Roman" w:hAnsi="Times New Roman" w:eastAsia="方正仿宋_GBK" w:cs="Times New Roman"/>
          <w:color w:val="000000"/>
          <w:sz w:val="32"/>
          <w:szCs w:val="32"/>
          <w:highlight w:val="none"/>
        </w:rPr>
        <w:t>》</w:t>
      </w:r>
      <w:r>
        <w:rPr>
          <w:rFonts w:hint="default" w:ascii="Times New Roman" w:hAnsi="Times New Roman" w:eastAsia="方正仿宋_GBK" w:cs="Times New Roman"/>
          <w:sz w:val="32"/>
          <w:szCs w:val="32"/>
          <w:highlight w:val="none"/>
        </w:rPr>
        <w:t>有关规定，结合我市实际，制定本实施细则。</w:t>
      </w:r>
    </w:p>
    <w:p>
      <w:pPr>
        <w:widowControl/>
        <w:autoSpaceDE w:val="0"/>
        <w:autoSpaceDN w:val="0"/>
        <w:adjustRightInd w:val="0"/>
        <w:snapToGrid w:val="0"/>
        <w:spacing w:line="560" w:lineRule="exact"/>
        <w:ind w:firstLine="640" w:firstLineChars="200"/>
        <w:textAlignment w:val="baseline"/>
        <w:rPr>
          <w:rFonts w:hint="default" w:ascii="Times New Roman" w:hAnsi="Times New Roman" w:eastAsia="方正仿宋_GBK" w:cs="Times New Roman"/>
          <w:color w:val="000000"/>
          <w:sz w:val="32"/>
          <w:szCs w:val="32"/>
          <w:highlight w:val="none"/>
        </w:rPr>
      </w:pPr>
      <w:r>
        <w:rPr>
          <w:rFonts w:hint="default" w:ascii="方正楷体_GBK" w:hAnsi="方正楷体_GBK" w:eastAsia="方正楷体_GBK" w:cs="方正楷体_GBK"/>
          <w:sz w:val="32"/>
          <w:szCs w:val="32"/>
          <w:highlight w:val="none"/>
        </w:rPr>
        <w:t>第二条</w:t>
      </w:r>
      <w:r>
        <w:rPr>
          <w:rFonts w:hint="eastAsia" w:ascii="方正楷体_GBK" w:hAnsi="方正楷体_GBK" w:eastAsia="方正楷体_GBK" w:cs="方正楷体_GBK"/>
          <w:sz w:val="32"/>
          <w:szCs w:val="32"/>
          <w:highlight w:val="none"/>
        </w:rPr>
        <w:t xml:space="preserve"> </w:t>
      </w:r>
      <w:r>
        <w:rPr>
          <w:rFonts w:hint="eastAsia" w:ascii="Times New Roman" w:hAnsi="Times New Roman" w:eastAsia="方正仿宋_GBK" w:cs="Times New Roman"/>
          <w:color w:val="000000"/>
          <w:sz w:val="32"/>
          <w:szCs w:val="32"/>
          <w:highlight w:val="none"/>
        </w:rPr>
        <w:t>长期护理保险</w:t>
      </w:r>
      <w:r>
        <w:rPr>
          <w:rFonts w:hint="default" w:ascii="Times New Roman" w:hAnsi="Times New Roman" w:eastAsia="方正仿宋_GBK" w:cs="Times New Roman"/>
          <w:color w:val="000000"/>
          <w:sz w:val="32"/>
          <w:szCs w:val="32"/>
          <w:highlight w:val="none"/>
        </w:rPr>
        <w:t>（以下简称</w:t>
      </w:r>
      <w:r>
        <w:rPr>
          <w:rFonts w:hint="eastAsia" w:ascii="方正仿宋_GBK" w:hAnsi="方正仿宋_GBK" w:eastAsia="方正仿宋_GBK" w:cs="方正仿宋_GBK"/>
          <w:color w:val="000000"/>
          <w:sz w:val="32"/>
          <w:szCs w:val="32"/>
          <w:highlight w:val="none"/>
        </w:rPr>
        <w:t>“长护险”</w:t>
      </w:r>
      <w:r>
        <w:rPr>
          <w:rFonts w:hint="default" w:ascii="Times New Roman" w:hAnsi="Times New Roman" w:eastAsia="方正仿宋_GBK" w:cs="Times New Roman"/>
          <w:color w:val="000000"/>
          <w:sz w:val="32"/>
          <w:szCs w:val="32"/>
          <w:highlight w:val="none"/>
        </w:rPr>
        <w:t>），是为失能人员的基本生活照料和与之密切相关的医疗护理提供服务或资金保障的社会保险制度，是我国社会保障体系的重要组成部分，是实施积极应对人口老龄化国家战略的重要内容。</w:t>
      </w:r>
    </w:p>
    <w:p>
      <w:pPr>
        <w:widowControl/>
        <w:autoSpaceDE w:val="0"/>
        <w:autoSpaceDN w:val="0"/>
        <w:adjustRightInd w:val="0"/>
        <w:snapToGrid w:val="0"/>
        <w:spacing w:line="560" w:lineRule="exact"/>
        <w:ind w:firstLine="640" w:firstLineChars="200"/>
        <w:textAlignment w:val="baseline"/>
        <w:rPr>
          <w:rFonts w:hint="eastAsia" w:ascii="方正仿宋_GBK" w:hAnsi="方正仿宋_GBK" w:eastAsia="方正仿宋_GBK" w:cs="方正仿宋_GBK"/>
          <w:sz w:val="32"/>
          <w:szCs w:val="32"/>
          <w:highlight w:val="none"/>
        </w:rPr>
      </w:pPr>
      <w:r>
        <w:rPr>
          <w:rFonts w:hint="default" w:ascii="方正楷体_GBK" w:hAnsi="方正楷体_GBK" w:eastAsia="方正楷体_GBK" w:cs="方正楷体_GBK"/>
          <w:sz w:val="32"/>
          <w:szCs w:val="32"/>
          <w:highlight w:val="none"/>
        </w:rPr>
        <w:t>第</w:t>
      </w:r>
      <w:r>
        <w:rPr>
          <w:rFonts w:hint="eastAsia" w:ascii="方正楷体_GBK" w:hAnsi="方正楷体_GBK" w:eastAsia="方正楷体_GBK" w:cs="方正楷体_GBK"/>
          <w:sz w:val="32"/>
          <w:szCs w:val="32"/>
          <w:highlight w:val="none"/>
        </w:rPr>
        <w:t>三</w:t>
      </w:r>
      <w:r>
        <w:rPr>
          <w:rFonts w:hint="default" w:ascii="方正楷体_GBK" w:hAnsi="方正楷体_GBK" w:eastAsia="方正楷体_GBK" w:cs="方正楷体_GBK"/>
          <w:sz w:val="32"/>
          <w:szCs w:val="32"/>
          <w:highlight w:val="none"/>
        </w:rPr>
        <w:t xml:space="preserve">条 </w:t>
      </w:r>
      <w:r>
        <w:rPr>
          <w:rFonts w:hint="eastAsia" w:ascii="方正仿宋_GBK" w:hAnsi="方正仿宋_GBK" w:eastAsia="方正仿宋_GBK" w:cs="方正仿宋_GBK"/>
          <w:sz w:val="32"/>
          <w:szCs w:val="32"/>
          <w:highlight w:val="none"/>
        </w:rPr>
        <w:t>市医疗保障部门牵头负责长护险工作，执行国家、自治区长护险基金筹集、基金管理等政策措施，指导并监督长护险工作的实施；</w:t>
      </w:r>
    </w:p>
    <w:p>
      <w:pPr>
        <w:widowControl/>
        <w:autoSpaceDE w:val="0"/>
        <w:autoSpaceDN w:val="0"/>
        <w:adjustRightInd w:val="0"/>
        <w:snapToGrid w:val="0"/>
        <w:spacing w:line="560" w:lineRule="exact"/>
        <w:ind w:firstLine="640" w:firstLineChars="200"/>
        <w:textAlignment w:val="baseline"/>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财政部门</w:t>
      </w:r>
      <w:r>
        <w:rPr>
          <w:rFonts w:hint="eastAsia" w:ascii="Times New Roman" w:hAnsi="Times New Roman" w:eastAsia="方正仿宋_GBK" w:cs="Times New Roman"/>
          <w:color w:val="000000"/>
          <w:sz w:val="32"/>
          <w:szCs w:val="32"/>
          <w:highlight w:val="none"/>
        </w:rPr>
        <w:t>负责</w:t>
      </w:r>
      <w:r>
        <w:rPr>
          <w:rFonts w:hint="default" w:ascii="Times New Roman" w:hAnsi="Times New Roman" w:eastAsia="方正仿宋_GBK" w:cs="Times New Roman"/>
          <w:color w:val="000000"/>
          <w:sz w:val="32"/>
          <w:szCs w:val="32"/>
          <w:highlight w:val="none"/>
        </w:rPr>
        <w:t>及时足额安排相关财政补助资金</w:t>
      </w:r>
      <w:r>
        <w:rPr>
          <w:rFonts w:hint="eastAsia" w:ascii="Times New Roman" w:hAnsi="Times New Roman" w:eastAsia="方正仿宋_GBK" w:cs="Times New Roman"/>
          <w:color w:val="000000"/>
          <w:sz w:val="32"/>
          <w:szCs w:val="32"/>
          <w:highlight w:val="none"/>
        </w:rPr>
        <w:t>，</w:t>
      </w:r>
      <w:r>
        <w:rPr>
          <w:rFonts w:hint="default" w:ascii="Times New Roman" w:hAnsi="Times New Roman" w:eastAsia="方正仿宋_GBK" w:cs="Times New Roman"/>
          <w:color w:val="000000"/>
          <w:sz w:val="32"/>
          <w:szCs w:val="32"/>
          <w:highlight w:val="none"/>
        </w:rPr>
        <w:t>配合医保部门做好基金测算等工作；</w:t>
      </w:r>
    </w:p>
    <w:p>
      <w:pPr>
        <w:widowControl/>
        <w:autoSpaceDE w:val="0"/>
        <w:autoSpaceDN w:val="0"/>
        <w:adjustRightInd w:val="0"/>
        <w:snapToGrid w:val="0"/>
        <w:spacing w:line="560" w:lineRule="exact"/>
        <w:ind w:firstLine="640" w:firstLineChars="200"/>
        <w:textAlignment w:val="baseline"/>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税务部门</w:t>
      </w:r>
      <w:r>
        <w:rPr>
          <w:rFonts w:hint="eastAsia" w:ascii="Times New Roman" w:hAnsi="Times New Roman" w:eastAsia="方正仿宋_GBK" w:cs="Times New Roman"/>
          <w:color w:val="000000"/>
          <w:sz w:val="32"/>
          <w:szCs w:val="32"/>
          <w:highlight w:val="none"/>
        </w:rPr>
        <w:t>负责</w:t>
      </w:r>
      <w:r>
        <w:rPr>
          <w:rFonts w:hint="default" w:ascii="Times New Roman" w:hAnsi="Times New Roman" w:eastAsia="方正仿宋_GBK" w:cs="Times New Roman"/>
          <w:color w:val="000000"/>
          <w:sz w:val="32"/>
          <w:szCs w:val="32"/>
          <w:highlight w:val="none"/>
        </w:rPr>
        <w:t>做好保费征收等</w:t>
      </w:r>
      <w:bookmarkStart w:id="3" w:name="OLE_LINK9"/>
      <w:r>
        <w:rPr>
          <w:rFonts w:hint="default" w:ascii="Times New Roman" w:hAnsi="Times New Roman" w:eastAsia="方正仿宋_GBK" w:cs="Times New Roman"/>
          <w:color w:val="000000"/>
          <w:sz w:val="32"/>
          <w:szCs w:val="32"/>
          <w:highlight w:val="none"/>
        </w:rPr>
        <w:t>工作</w:t>
      </w:r>
      <w:bookmarkEnd w:id="3"/>
      <w:r>
        <w:rPr>
          <w:rFonts w:hint="default" w:ascii="Times New Roman" w:hAnsi="Times New Roman" w:eastAsia="方正仿宋_GBK" w:cs="Times New Roman"/>
          <w:color w:val="000000"/>
          <w:sz w:val="32"/>
          <w:szCs w:val="32"/>
          <w:highlight w:val="none"/>
        </w:rPr>
        <w:t>；</w:t>
      </w:r>
    </w:p>
    <w:p>
      <w:pPr>
        <w:widowControl/>
        <w:autoSpaceDE w:val="0"/>
        <w:autoSpaceDN w:val="0"/>
        <w:adjustRightInd w:val="0"/>
        <w:snapToGrid w:val="0"/>
        <w:spacing w:line="560" w:lineRule="exact"/>
        <w:ind w:firstLine="640" w:firstLineChars="200"/>
        <w:textAlignment w:val="baseline"/>
        <w:rPr>
          <w:rFonts w:hint="default" w:ascii="Times New Roman" w:hAnsi="Times New Roman" w:eastAsia="方正仿宋_GBK" w:cs="Times New Roman"/>
          <w:color w:val="000000"/>
          <w:sz w:val="32"/>
          <w:szCs w:val="32"/>
          <w:highlight w:val="none"/>
        </w:rPr>
      </w:pPr>
      <w:r>
        <w:rPr>
          <w:rFonts w:hint="eastAsia" w:ascii="Times New Roman" w:hAnsi="Times New Roman" w:eastAsia="方正仿宋_GBK" w:cs="Times New Roman"/>
          <w:color w:val="000000"/>
          <w:sz w:val="32"/>
          <w:szCs w:val="32"/>
          <w:highlight w:val="none"/>
        </w:rPr>
        <w:t>民政部门负责做好养老服务与长护险的政策衔接，统筹养老服务资源配置，推动养老服务机构参与长护险服务供给，配合做好养老服务领域长期照护师的职业技能培训、等级认定和激励保障工作，推动将长期照护师纳入养老服务人才培养体系；</w:t>
      </w:r>
    </w:p>
    <w:p>
      <w:pPr>
        <w:widowControl/>
        <w:autoSpaceDE w:val="0"/>
        <w:autoSpaceDN w:val="0"/>
        <w:adjustRightInd w:val="0"/>
        <w:snapToGrid w:val="0"/>
        <w:spacing w:line="560" w:lineRule="exact"/>
        <w:ind w:firstLine="640" w:firstLineChars="200"/>
        <w:textAlignment w:val="baseline"/>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卫生健康部门</w:t>
      </w:r>
      <w:r>
        <w:rPr>
          <w:rFonts w:hint="eastAsia" w:ascii="Times New Roman" w:hAnsi="Times New Roman" w:eastAsia="方正仿宋_GBK" w:cs="Times New Roman"/>
          <w:color w:val="000000"/>
          <w:sz w:val="32"/>
          <w:szCs w:val="32"/>
          <w:highlight w:val="none"/>
        </w:rPr>
        <w:t>负责</w:t>
      </w:r>
      <w:r>
        <w:rPr>
          <w:rFonts w:hint="default" w:ascii="Times New Roman" w:hAnsi="Times New Roman" w:eastAsia="方正仿宋_GBK" w:cs="Times New Roman"/>
          <w:color w:val="000000"/>
          <w:sz w:val="32"/>
          <w:szCs w:val="32"/>
          <w:highlight w:val="none"/>
        </w:rPr>
        <w:t>鼓励基层医疗卫生机构提供长护险服务</w:t>
      </w:r>
      <w:r>
        <w:rPr>
          <w:rFonts w:hint="eastAsia" w:ascii="Times New Roman" w:hAnsi="Times New Roman" w:eastAsia="方正仿宋_GBK" w:cs="Times New Roman"/>
          <w:color w:val="000000"/>
          <w:sz w:val="32"/>
          <w:szCs w:val="32"/>
          <w:highlight w:val="none"/>
        </w:rPr>
        <w:t>，</w:t>
      </w:r>
      <w:r>
        <w:rPr>
          <w:rFonts w:hint="default" w:ascii="Times New Roman" w:hAnsi="Times New Roman" w:eastAsia="方正仿宋_GBK" w:cs="Times New Roman"/>
          <w:color w:val="000000"/>
          <w:sz w:val="32"/>
          <w:szCs w:val="32"/>
          <w:highlight w:val="none"/>
        </w:rPr>
        <w:t>发挥家庭医生在失能等级评估中的作用</w:t>
      </w:r>
      <w:r>
        <w:rPr>
          <w:rFonts w:hint="eastAsia" w:ascii="Times New Roman" w:hAnsi="Times New Roman" w:eastAsia="方正仿宋_GBK" w:cs="Times New Roman"/>
          <w:color w:val="000000"/>
          <w:sz w:val="32"/>
          <w:szCs w:val="32"/>
          <w:highlight w:val="none"/>
        </w:rPr>
        <w:t>，组织医护人员参与到失能等级评估工作中，配合组建评估专家库</w:t>
      </w:r>
      <w:r>
        <w:rPr>
          <w:rFonts w:hint="default" w:ascii="Times New Roman" w:hAnsi="Times New Roman" w:eastAsia="方正仿宋_GBK" w:cs="Times New Roman"/>
          <w:color w:val="000000"/>
          <w:sz w:val="32"/>
          <w:szCs w:val="32"/>
          <w:highlight w:val="none"/>
        </w:rPr>
        <w:t>等工作；</w:t>
      </w:r>
    </w:p>
    <w:p>
      <w:pPr>
        <w:widowControl/>
        <w:autoSpaceDE w:val="0"/>
        <w:autoSpaceDN w:val="0"/>
        <w:adjustRightInd w:val="0"/>
        <w:snapToGrid w:val="0"/>
        <w:spacing w:line="560" w:lineRule="exact"/>
        <w:ind w:firstLine="640" w:firstLineChars="200"/>
        <w:textAlignment w:val="baseline"/>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残联部门</w:t>
      </w:r>
      <w:r>
        <w:rPr>
          <w:rFonts w:hint="eastAsia" w:ascii="Times New Roman" w:hAnsi="Times New Roman" w:eastAsia="方正仿宋_GBK" w:cs="Times New Roman"/>
          <w:color w:val="000000"/>
          <w:sz w:val="32"/>
          <w:szCs w:val="32"/>
          <w:highlight w:val="none"/>
        </w:rPr>
        <w:t>负责</w:t>
      </w:r>
      <w:r>
        <w:rPr>
          <w:rFonts w:hint="default" w:ascii="Times New Roman" w:hAnsi="Times New Roman" w:eastAsia="方正仿宋_GBK" w:cs="Times New Roman"/>
          <w:color w:val="000000"/>
          <w:sz w:val="32"/>
          <w:szCs w:val="32"/>
          <w:highlight w:val="none"/>
        </w:rPr>
        <w:t>做好残疾人参保相关工作，残疾人康复、托养与长护险的衔接工作；</w:t>
      </w:r>
    </w:p>
    <w:p>
      <w:pPr>
        <w:widowControl/>
        <w:autoSpaceDE w:val="0"/>
        <w:autoSpaceDN w:val="0"/>
        <w:adjustRightInd w:val="0"/>
        <w:snapToGrid w:val="0"/>
        <w:spacing w:line="560" w:lineRule="exact"/>
        <w:ind w:firstLine="640" w:firstLineChars="200"/>
        <w:textAlignment w:val="baseline"/>
        <w:rPr>
          <w:rFonts w:hint="default" w:ascii="Times New Roman" w:hAnsi="Times New Roman" w:eastAsia="方正仿宋_GBK" w:cs="Times New Roman"/>
          <w:strike w:val="0"/>
          <w:dstrike w:val="0"/>
          <w:color w:val="000000"/>
          <w:sz w:val="32"/>
          <w:szCs w:val="32"/>
          <w:highlight w:val="none"/>
        </w:rPr>
      </w:pPr>
      <w:r>
        <w:rPr>
          <w:rFonts w:hint="default" w:ascii="Times New Roman" w:hAnsi="Times New Roman" w:eastAsia="方正仿宋_GBK" w:cs="Times New Roman"/>
          <w:strike w:val="0"/>
          <w:dstrike w:val="0"/>
          <w:color w:val="000000"/>
          <w:sz w:val="32"/>
          <w:szCs w:val="32"/>
          <w:highlight w:val="none"/>
        </w:rPr>
        <w:t>人社部门负责指导行业部门开展长期照护师职业技能培训、等级认定，共享退休人员养老金数据和工伤保险生活护理费数据，配合做好失能人员评</w:t>
      </w:r>
      <w:r>
        <w:rPr>
          <w:rFonts w:hint="eastAsia" w:ascii="Times New Roman" w:hAnsi="Times New Roman" w:eastAsia="方正仿宋_GBK" w:cs="Times New Roman"/>
          <w:strike w:val="0"/>
          <w:dstrike w:val="0"/>
          <w:color w:val="000000"/>
          <w:sz w:val="32"/>
          <w:szCs w:val="32"/>
          <w:highlight w:val="none"/>
        </w:rPr>
        <w:t>定</w:t>
      </w:r>
      <w:r>
        <w:rPr>
          <w:rFonts w:hint="default" w:ascii="Times New Roman" w:hAnsi="Times New Roman" w:eastAsia="方正仿宋_GBK" w:cs="Times New Roman"/>
          <w:strike w:val="0"/>
          <w:dstrike w:val="0"/>
          <w:color w:val="000000"/>
          <w:sz w:val="32"/>
          <w:szCs w:val="32"/>
          <w:highlight w:val="none"/>
        </w:rPr>
        <w:t>工作；</w:t>
      </w:r>
    </w:p>
    <w:p>
      <w:pPr>
        <w:widowControl/>
        <w:autoSpaceDE w:val="0"/>
        <w:autoSpaceDN w:val="0"/>
        <w:adjustRightInd w:val="0"/>
        <w:snapToGrid w:val="0"/>
        <w:spacing w:line="560" w:lineRule="exact"/>
        <w:ind w:firstLine="640" w:firstLineChars="200"/>
        <w:textAlignment w:val="baseline"/>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农业农村部门</w:t>
      </w:r>
      <w:r>
        <w:rPr>
          <w:rFonts w:hint="eastAsia" w:ascii="Times New Roman" w:hAnsi="Times New Roman" w:eastAsia="方正仿宋_GBK" w:cs="Times New Roman"/>
          <w:color w:val="000000"/>
          <w:sz w:val="32"/>
          <w:szCs w:val="32"/>
          <w:highlight w:val="none"/>
        </w:rPr>
        <w:t>负责</w:t>
      </w:r>
      <w:r>
        <w:rPr>
          <w:rFonts w:hint="default" w:ascii="Times New Roman" w:hAnsi="Times New Roman" w:eastAsia="方正仿宋_GBK" w:cs="Times New Roman"/>
          <w:color w:val="000000"/>
          <w:sz w:val="32"/>
          <w:szCs w:val="32"/>
          <w:highlight w:val="none"/>
        </w:rPr>
        <w:t>防止返贫致贫对象认定和帮扶工作；</w:t>
      </w:r>
    </w:p>
    <w:p>
      <w:pPr>
        <w:widowControl/>
        <w:autoSpaceDE w:val="0"/>
        <w:autoSpaceDN w:val="0"/>
        <w:adjustRightInd w:val="0"/>
        <w:snapToGrid w:val="0"/>
        <w:spacing w:line="560" w:lineRule="exact"/>
        <w:ind w:firstLine="640" w:firstLineChars="200"/>
        <w:textAlignment w:val="baseline"/>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市场监督管理部门负责配合做好长期护理服务市场价格监督检查工作；</w:t>
      </w:r>
    </w:p>
    <w:p>
      <w:pPr>
        <w:widowControl/>
        <w:autoSpaceDE w:val="0"/>
        <w:autoSpaceDN w:val="0"/>
        <w:adjustRightInd w:val="0"/>
        <w:snapToGrid w:val="0"/>
        <w:spacing w:line="560" w:lineRule="exact"/>
        <w:ind w:firstLine="640" w:firstLineChars="200"/>
        <w:textAlignment w:val="baseline"/>
        <w:rPr>
          <w:rFonts w:hint="default"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金融监督管理部门负责做好参与长护险的商业保险机构的监管工作；</w:t>
      </w:r>
    </w:p>
    <w:p>
      <w:pPr>
        <w:widowControl/>
        <w:autoSpaceDE w:val="0"/>
        <w:autoSpaceDN w:val="0"/>
        <w:adjustRightInd w:val="0"/>
        <w:snapToGrid w:val="0"/>
        <w:spacing w:line="560" w:lineRule="exact"/>
        <w:ind w:firstLine="640" w:firstLineChars="200"/>
        <w:textAlignment w:val="baseline"/>
        <w:rPr>
          <w:rFonts w:hint="eastAsia" w:ascii="Times New Roman" w:hAnsi="Times New Roman" w:eastAsia="方正仿宋_GBK" w:cs="Times New Roman"/>
          <w:color w:val="000000"/>
          <w:sz w:val="32"/>
          <w:szCs w:val="32"/>
          <w:highlight w:val="none"/>
        </w:rPr>
      </w:pPr>
      <w:r>
        <w:rPr>
          <w:rFonts w:hint="default" w:ascii="Times New Roman" w:hAnsi="Times New Roman" w:eastAsia="方正仿宋_GBK" w:cs="Times New Roman"/>
          <w:color w:val="000000"/>
          <w:sz w:val="32"/>
          <w:szCs w:val="32"/>
          <w:highlight w:val="none"/>
        </w:rPr>
        <w:t>民政部门、卫生健康部门、残联与医保部门加强保险体系和服务体系协同联动</w:t>
      </w:r>
      <w:r>
        <w:rPr>
          <w:rFonts w:hint="eastAsia" w:ascii="Times New Roman" w:hAnsi="Times New Roman" w:eastAsia="方正仿宋_GBK" w:cs="Times New Roman"/>
          <w:color w:val="000000"/>
          <w:sz w:val="32"/>
          <w:szCs w:val="32"/>
          <w:highlight w:val="none"/>
        </w:rPr>
        <w:t>，</w:t>
      </w:r>
      <w:r>
        <w:rPr>
          <w:rFonts w:hint="default" w:ascii="Times New Roman" w:hAnsi="Times New Roman" w:eastAsia="方正仿宋_GBK" w:cs="Times New Roman"/>
          <w:color w:val="000000"/>
          <w:sz w:val="32"/>
          <w:szCs w:val="32"/>
          <w:highlight w:val="none"/>
        </w:rPr>
        <w:t>探索失能等级评估结果跨部门互认机制等，共同做好相关保险与补贴制度的衔接</w:t>
      </w:r>
      <w:r>
        <w:rPr>
          <w:rFonts w:hint="eastAsia" w:ascii="Times New Roman" w:hAnsi="Times New Roman" w:eastAsia="方正仿宋_GBK" w:cs="Times New Roman"/>
          <w:color w:val="000000"/>
          <w:sz w:val="32"/>
          <w:szCs w:val="32"/>
          <w:highlight w:val="none"/>
        </w:rPr>
        <w:t>。</w:t>
      </w:r>
    </w:p>
    <w:p>
      <w:pPr>
        <w:pStyle w:val="13"/>
        <w:spacing w:after="0" w:line="560" w:lineRule="exact"/>
        <w:ind w:firstLine="640" w:firstLineChars="200"/>
        <w:jc w:val="both"/>
        <w:rPr>
          <w:rFonts w:hint="default" w:ascii="Times New Roman" w:hAnsi="Times New Roman" w:eastAsia="方正仿宋_GBK" w:cs="Times New Roman"/>
          <w:szCs w:val="32"/>
          <w:highlight w:val="none"/>
        </w:rPr>
      </w:pPr>
      <w:r>
        <w:rPr>
          <w:rFonts w:ascii="方正楷体_GBK" w:hAnsi="方正楷体_GBK" w:eastAsia="方正楷体_GBK" w:cs="方正楷体_GBK"/>
          <w:szCs w:val="32"/>
          <w:highlight w:val="none"/>
        </w:rPr>
        <w:t>第四条</w:t>
      </w:r>
      <w:r>
        <w:rPr>
          <w:rFonts w:ascii="方正楷体_GBK" w:hAnsi="方正楷体_GBK" w:eastAsia="方正楷体_GBK" w:cs="方正楷体_GBK"/>
          <w:color w:val="000000"/>
          <w:szCs w:val="32"/>
          <w:highlight w:val="none"/>
        </w:rPr>
        <w:t xml:space="preserve"> </w:t>
      </w:r>
      <w:r>
        <w:rPr>
          <w:rFonts w:hint="default" w:ascii="Times New Roman" w:hAnsi="Times New Roman" w:eastAsia="方正仿宋_GBK" w:cs="Times New Roman"/>
          <w:szCs w:val="32"/>
          <w:highlight w:val="none"/>
        </w:rPr>
        <w:t>市医疗保障部门负责长护险政策的组织实施，对定点评估机构、定点长护服务机构及</w:t>
      </w:r>
      <w:bookmarkStart w:id="4" w:name="OLE_LINK4"/>
      <w:r>
        <w:rPr>
          <w:rFonts w:hint="default" w:ascii="Times New Roman" w:hAnsi="Times New Roman" w:eastAsia="方正仿宋_GBK" w:cs="Times New Roman"/>
          <w:szCs w:val="32"/>
          <w:highlight w:val="none"/>
        </w:rPr>
        <w:t>第三方</w:t>
      </w:r>
      <w:r>
        <w:rPr>
          <w:rFonts w:ascii="Times New Roman" w:hAnsi="Times New Roman" w:eastAsia="方正仿宋_GBK" w:cs="Times New Roman"/>
          <w:szCs w:val="32"/>
          <w:highlight w:val="none"/>
        </w:rPr>
        <w:t>经办机构</w:t>
      </w:r>
      <w:bookmarkEnd w:id="4"/>
      <w:r>
        <w:rPr>
          <w:rFonts w:hint="default" w:ascii="Times New Roman" w:hAnsi="Times New Roman" w:eastAsia="方正仿宋_GBK" w:cs="Times New Roman"/>
          <w:szCs w:val="32"/>
          <w:highlight w:val="none"/>
        </w:rPr>
        <w:t>实施监督管理，指导市医疗保障经办机构开展协议管理、核查考核、费用审核结算、信息系统建设等具体经办工作。</w:t>
      </w:r>
    </w:p>
    <w:p>
      <w:pPr>
        <w:pStyle w:val="13"/>
        <w:spacing w:after="0" w:line="560" w:lineRule="exact"/>
        <w:ind w:firstLine="640" w:firstLineChars="200"/>
        <w:jc w:val="both"/>
        <w:rPr>
          <w:rFonts w:hint="default" w:ascii="Times New Roman" w:hAnsi="Times New Roman" w:eastAsia="方正仿宋_GBK" w:cs="Times New Roman"/>
          <w:color w:val="000000"/>
          <w:szCs w:val="32"/>
          <w:highlight w:val="none"/>
        </w:rPr>
      </w:pPr>
      <w:r>
        <w:rPr>
          <w:rFonts w:hint="default" w:ascii="Times New Roman" w:hAnsi="Times New Roman" w:eastAsia="方正仿宋_GBK" w:cs="Times New Roman"/>
          <w:szCs w:val="32"/>
          <w:highlight w:val="none"/>
        </w:rPr>
        <w:t>市医疗保障经办机构具体负责</w:t>
      </w:r>
      <w:bookmarkStart w:id="5" w:name="OLE_LINK7"/>
      <w:r>
        <w:rPr>
          <w:rFonts w:hint="default" w:ascii="Times New Roman" w:hAnsi="Times New Roman" w:eastAsia="方正仿宋_GBK" w:cs="Times New Roman"/>
          <w:szCs w:val="32"/>
          <w:highlight w:val="none"/>
        </w:rPr>
        <w:t>长护险经办服务工作，</w:t>
      </w:r>
      <w:bookmarkStart w:id="6" w:name="OLE_LINK5"/>
      <w:bookmarkStart w:id="7" w:name="OLE_LINK6"/>
      <w:r>
        <w:rPr>
          <w:rFonts w:hint="default" w:ascii="Times New Roman" w:hAnsi="Times New Roman" w:eastAsia="方正仿宋_GBK" w:cs="Times New Roman"/>
          <w:szCs w:val="32"/>
          <w:highlight w:val="none"/>
        </w:rPr>
        <w:t>可通过公开招标等方式引入社会力量</w:t>
      </w:r>
      <w:r>
        <w:rPr>
          <w:rFonts w:ascii="Times New Roman" w:hAnsi="Times New Roman" w:eastAsia="方正仿宋_GBK" w:cs="Times New Roman"/>
          <w:szCs w:val="32"/>
          <w:highlight w:val="none"/>
        </w:rPr>
        <w:t>（第三方经办机构）</w:t>
      </w:r>
      <w:r>
        <w:rPr>
          <w:rFonts w:hint="default" w:ascii="Times New Roman" w:hAnsi="Times New Roman" w:eastAsia="方正仿宋_GBK" w:cs="Times New Roman"/>
          <w:szCs w:val="32"/>
          <w:highlight w:val="none"/>
        </w:rPr>
        <w:t>参与经办管理服务</w:t>
      </w:r>
      <w:bookmarkEnd w:id="5"/>
      <w:bookmarkEnd w:id="6"/>
      <w:bookmarkEnd w:id="7"/>
      <w:r>
        <w:rPr>
          <w:rFonts w:hint="default" w:ascii="Times New Roman" w:hAnsi="Times New Roman" w:eastAsia="方正仿宋_GBK" w:cs="Times New Roman"/>
          <w:szCs w:val="32"/>
          <w:highlight w:val="none"/>
        </w:rPr>
        <w:t>，具体经办规程按照市医疗保障部门制定的经办协议执行。市医疗保障经办机构应逐步健全不同主体的协议管理制度，完善协议文本，细化协议条款，压实履约主体责任，强化协议执行监督。</w:t>
      </w:r>
    </w:p>
    <w:p>
      <w:pPr>
        <w:widowControl/>
        <w:autoSpaceDE w:val="0"/>
        <w:autoSpaceDN w:val="0"/>
        <w:adjustRightInd w:val="0"/>
        <w:snapToGrid w:val="0"/>
        <w:spacing w:line="560" w:lineRule="exact"/>
        <w:jc w:val="center"/>
        <w:textAlignment w:val="baseline"/>
        <w:rPr>
          <w:rFonts w:hint="eastAsia" w:ascii="Times New Roman" w:hAnsi="Times New Roman" w:eastAsia="方正黑体_GBK" w:cs="Times New Roman"/>
          <w:color w:val="000000"/>
          <w:sz w:val="32"/>
          <w:szCs w:val="32"/>
          <w:highlight w:val="none"/>
        </w:rPr>
      </w:pPr>
      <w:bookmarkStart w:id="8" w:name="_Toc17384"/>
      <w:r>
        <w:rPr>
          <w:rFonts w:hint="default" w:ascii="Times New Roman" w:hAnsi="Times New Roman" w:eastAsia="方正黑体_GBK" w:cs="Times New Roman"/>
          <w:sz w:val="32"/>
          <w:szCs w:val="32"/>
          <w:highlight w:val="none"/>
        </w:rPr>
        <w:t xml:space="preserve">第二章 </w:t>
      </w:r>
      <w:r>
        <w:rPr>
          <w:rFonts w:hint="default" w:ascii="Times New Roman" w:hAnsi="Times New Roman" w:eastAsia="方正黑体_GBK" w:cs="Times New Roman"/>
          <w:sz w:val="32"/>
          <w:szCs w:val="32"/>
          <w:highlight w:val="none"/>
          <w:lang w:val="zh-TW"/>
        </w:rPr>
        <w:t>参保</w:t>
      </w:r>
      <w:bookmarkEnd w:id="8"/>
      <w:r>
        <w:rPr>
          <w:rFonts w:hint="eastAsia" w:ascii="Times New Roman" w:hAnsi="Times New Roman" w:eastAsia="方正黑体_GBK" w:cs="Times New Roman"/>
          <w:sz w:val="32"/>
          <w:szCs w:val="32"/>
          <w:highlight w:val="none"/>
        </w:rPr>
        <w:t>筹资</w:t>
      </w:r>
    </w:p>
    <w:p>
      <w:pPr>
        <w:spacing w:line="560" w:lineRule="exact"/>
        <w:ind w:firstLine="640" w:firstLineChars="200"/>
        <w:rPr>
          <w:rFonts w:hint="default" w:ascii="Times New Roman" w:hAnsi="Times New Roman" w:eastAsia="方正仿宋_GBK" w:cs="Times New Roman"/>
          <w:sz w:val="32"/>
          <w:szCs w:val="32"/>
          <w:highlight w:val="none"/>
        </w:rPr>
      </w:pPr>
      <w:r>
        <w:rPr>
          <w:rFonts w:hint="default" w:ascii="方正楷体_GBK" w:hAnsi="方正楷体_GBK" w:eastAsia="方正楷体_GBK" w:cs="方正楷体_GBK"/>
          <w:sz w:val="32"/>
          <w:szCs w:val="32"/>
          <w:highlight w:val="none"/>
        </w:rPr>
        <w:t>第</w:t>
      </w:r>
      <w:r>
        <w:rPr>
          <w:rFonts w:hint="eastAsia" w:ascii="方正楷体_GBK" w:hAnsi="方正楷体_GBK" w:eastAsia="方正楷体_GBK" w:cs="方正楷体_GBK"/>
          <w:sz w:val="32"/>
          <w:szCs w:val="32"/>
          <w:highlight w:val="none"/>
        </w:rPr>
        <w:t>五</w:t>
      </w:r>
      <w:r>
        <w:rPr>
          <w:rFonts w:hint="default" w:ascii="方正楷体_GBK" w:hAnsi="方正楷体_GBK" w:eastAsia="方正楷体_GBK" w:cs="方正楷体_GBK"/>
          <w:sz w:val="32"/>
          <w:szCs w:val="32"/>
          <w:highlight w:val="none"/>
        </w:rPr>
        <w:t xml:space="preserve">条 </w:t>
      </w:r>
      <w:r>
        <w:rPr>
          <w:rFonts w:hint="default" w:ascii="Times New Roman" w:hAnsi="Times New Roman" w:eastAsia="方正仿宋_GBK" w:cs="Times New Roman"/>
          <w:sz w:val="32"/>
          <w:szCs w:val="32"/>
          <w:highlight w:val="none"/>
        </w:rPr>
        <w:t>参保范围。</w:t>
      </w:r>
      <w:r>
        <w:rPr>
          <w:rFonts w:hint="eastAsia" w:ascii="Times New Roman" w:hAnsi="Times New Roman" w:eastAsia="方正仿宋_GBK" w:cs="Times New Roman"/>
          <w:sz w:val="32"/>
          <w:szCs w:val="32"/>
          <w:highlight w:val="none"/>
        </w:rPr>
        <w:t>所有用人单位（包括企业、事业单位、机关、社会组织等）以及单位职工、退休人员、灵活就业人员和未就业城乡居民等按照属地管理原则，参加长护险</w:t>
      </w:r>
      <w:r>
        <w:rPr>
          <w:rFonts w:hint="default" w:ascii="Times New Roman" w:hAnsi="Times New Roman" w:eastAsia="方正仿宋_GBK" w:cs="Times New Roman"/>
          <w:sz w:val="32"/>
          <w:szCs w:val="32"/>
          <w:highlight w:val="none"/>
        </w:rPr>
        <w:t>。长护险</w:t>
      </w:r>
      <w:r>
        <w:rPr>
          <w:rFonts w:hint="eastAsia" w:ascii="Times New Roman" w:hAnsi="Times New Roman" w:eastAsia="方正仿宋_GBK" w:cs="Times New Roman"/>
          <w:sz w:val="32"/>
          <w:szCs w:val="32"/>
          <w:highlight w:val="none"/>
        </w:rPr>
        <w:t>与基本医疗保险同步参保、同步缴费。</w:t>
      </w:r>
      <w:bookmarkStart w:id="9" w:name="OLE_LINK30"/>
      <w:bookmarkStart w:id="10" w:name="OLE_LINK29"/>
      <w:r>
        <w:rPr>
          <w:rFonts w:hint="eastAsia" w:ascii="Times New Roman" w:hAnsi="Times New Roman" w:eastAsia="方正仿宋_GBK" w:cs="Times New Roman"/>
          <w:sz w:val="32"/>
          <w:szCs w:val="32"/>
          <w:highlight w:val="none"/>
        </w:rPr>
        <w:t>自治区本级参保职工参加乌鲁木齐市长护险</w:t>
      </w:r>
      <w:bookmarkEnd w:id="9"/>
      <w:bookmarkEnd w:id="10"/>
      <w:r>
        <w:rPr>
          <w:rFonts w:hint="eastAsia" w:ascii="Times New Roman" w:hAnsi="Times New Roman" w:eastAsia="方正仿宋_GBK" w:cs="Times New Roman"/>
          <w:sz w:val="32"/>
          <w:szCs w:val="32"/>
          <w:highlight w:val="none"/>
        </w:rPr>
        <w:t>。</w:t>
      </w:r>
    </w:p>
    <w:p>
      <w:pPr>
        <w:spacing w:line="560" w:lineRule="exact"/>
        <w:ind w:firstLine="640" w:firstLineChars="200"/>
        <w:rPr>
          <w:rFonts w:hint="default" w:ascii="Times New Roman" w:hAnsi="Times New Roman" w:eastAsia="方正仿宋_GBK" w:cs="Times New Roman"/>
          <w:sz w:val="32"/>
          <w:szCs w:val="32"/>
          <w:highlight w:val="none"/>
        </w:rPr>
      </w:pPr>
      <w:r>
        <w:rPr>
          <w:rFonts w:hint="default" w:ascii="方正楷体_GBK" w:hAnsi="方正楷体_GBK" w:eastAsia="方正楷体_GBK" w:cs="方正楷体_GBK"/>
          <w:sz w:val="32"/>
          <w:szCs w:val="32"/>
          <w:highlight w:val="none"/>
        </w:rPr>
        <w:t>第</w:t>
      </w:r>
      <w:r>
        <w:rPr>
          <w:rFonts w:hint="eastAsia" w:ascii="方正楷体_GBK" w:hAnsi="方正楷体_GBK" w:eastAsia="方正楷体_GBK" w:cs="方正楷体_GBK"/>
          <w:sz w:val="32"/>
          <w:szCs w:val="32"/>
          <w:highlight w:val="none"/>
        </w:rPr>
        <w:t>六</w:t>
      </w:r>
      <w:r>
        <w:rPr>
          <w:rFonts w:hint="default" w:ascii="方正楷体_GBK" w:hAnsi="方正楷体_GBK" w:eastAsia="方正楷体_GBK" w:cs="方正楷体_GBK"/>
          <w:sz w:val="32"/>
          <w:szCs w:val="32"/>
          <w:highlight w:val="none"/>
        </w:rPr>
        <w:t>条</w:t>
      </w:r>
      <w:r>
        <w:rPr>
          <w:rFonts w:hint="default" w:ascii="Times New Roman" w:hAnsi="Times New Roman" w:eastAsia="方正仿宋_GBK" w:cs="Times New Roman"/>
          <w:sz w:val="32"/>
          <w:szCs w:val="32"/>
          <w:highlight w:val="none"/>
        </w:rPr>
        <w:t xml:space="preserve"> 筹资标准。长护险通过个人缴费、单位缴费、</w:t>
      </w:r>
      <w:r>
        <w:rPr>
          <w:rFonts w:hint="eastAsia" w:ascii="Times New Roman" w:hAnsi="Times New Roman" w:eastAsia="方正仿宋_GBK" w:cs="Times New Roman"/>
          <w:sz w:val="32"/>
          <w:szCs w:val="32"/>
          <w:highlight w:val="none"/>
        </w:rPr>
        <w:t>政府</w:t>
      </w:r>
      <w:r>
        <w:rPr>
          <w:rFonts w:hint="default" w:ascii="Times New Roman" w:hAnsi="Times New Roman" w:eastAsia="方正仿宋_GBK" w:cs="Times New Roman"/>
          <w:sz w:val="32"/>
          <w:szCs w:val="32"/>
          <w:highlight w:val="none"/>
        </w:rPr>
        <w:t>补助、社会捐助等方式筹资。鼓励通过慈善捐赠、社会互助等多种渠道，对特定困难群体参保的个人缴费部分和享受待遇时的自付费用给予补助。</w:t>
      </w:r>
    </w:p>
    <w:p>
      <w:pPr>
        <w:spacing w:line="560" w:lineRule="exact"/>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（一）单位职工。长护险缴费费率为0.3%，由用人单位和个人按</w:t>
      </w:r>
      <w:r>
        <w:rPr>
          <w:rFonts w:hint="eastAsia" w:ascii="Times New Roman" w:hAnsi="Times New Roman" w:eastAsia="方正仿宋_GBK" w:cs="Times New Roman"/>
          <w:sz w:val="32"/>
          <w:szCs w:val="32"/>
          <w:highlight w:val="none"/>
        </w:rPr>
        <w:t>同</w:t>
      </w:r>
      <w:r>
        <w:rPr>
          <w:rFonts w:hint="default" w:ascii="Times New Roman" w:hAnsi="Times New Roman" w:eastAsia="方正仿宋_GBK" w:cs="Times New Roman"/>
          <w:sz w:val="32"/>
          <w:szCs w:val="32"/>
          <w:highlight w:val="none"/>
        </w:rPr>
        <w:t>比例分担，分别为0.15%，缴费基数与基本医保缴费基数保持一致。将职工基本医保单位费率由9</w:t>
      </w:r>
      <w:r>
        <w:rPr>
          <w:rFonts w:hint="eastAsia" w:ascii="Times New Roman" w:hAnsi="Times New Roman" w:eastAsia="方正仿宋_GBK" w:cs="Times New Roman"/>
          <w:sz w:val="32"/>
          <w:szCs w:val="32"/>
          <w:highlight w:val="none"/>
        </w:rPr>
        <w:t>.8</w:t>
      </w:r>
      <w:r>
        <w:rPr>
          <w:rFonts w:hint="default" w:ascii="Times New Roman" w:hAnsi="Times New Roman" w:eastAsia="方正仿宋_GBK" w:cs="Times New Roman"/>
          <w:sz w:val="32"/>
          <w:szCs w:val="32"/>
          <w:highlight w:val="none"/>
        </w:rPr>
        <w:t>%调整为</w:t>
      </w:r>
      <w:r>
        <w:rPr>
          <w:rFonts w:hint="eastAsia" w:ascii="Times New Roman" w:hAnsi="Times New Roman" w:eastAsia="方正仿宋_GBK" w:cs="Times New Roman"/>
          <w:sz w:val="32"/>
          <w:szCs w:val="32"/>
          <w:highlight w:val="none"/>
        </w:rPr>
        <w:t>9.65</w:t>
      </w:r>
      <w:r>
        <w:rPr>
          <w:rFonts w:hint="default" w:ascii="Times New Roman" w:hAnsi="Times New Roman" w:eastAsia="方正仿宋_GBK" w:cs="Times New Roman"/>
          <w:sz w:val="32"/>
          <w:szCs w:val="32"/>
          <w:highlight w:val="none"/>
        </w:rPr>
        <w:t>%，调整的0.15%用作长护险单位缴费费率。单位缴费应当由用人单位向税务部门按月申报缴纳，税务部门统一征收。</w:t>
      </w:r>
    </w:p>
    <w:p>
      <w:pPr>
        <w:spacing w:line="560" w:lineRule="exact"/>
        <w:ind w:firstLine="640" w:firstLineChars="200"/>
        <w:rPr>
          <w:rFonts w:hint="eastAsia"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（二）退休人员。长护险缴费费率为0.15%，</w:t>
      </w:r>
      <w:r>
        <w:rPr>
          <w:rFonts w:hint="eastAsia" w:ascii="Times New Roman" w:hAnsi="Times New Roman" w:eastAsia="方正仿宋_GBK" w:cs="Times New Roman"/>
          <w:sz w:val="32"/>
          <w:szCs w:val="32"/>
          <w:highlight w:val="none"/>
        </w:rPr>
        <w:t>由个人缴费。</w:t>
      </w:r>
      <w:r>
        <w:rPr>
          <w:rFonts w:hint="default" w:ascii="Times New Roman" w:hAnsi="Times New Roman" w:eastAsia="方正仿宋_GBK" w:cs="Times New Roman"/>
          <w:sz w:val="32"/>
          <w:szCs w:val="32"/>
          <w:highlight w:val="none"/>
        </w:rPr>
        <w:t>缴费基数为本人基本养老金，原用人单位不缴费。</w:t>
      </w:r>
    </w:p>
    <w:p>
      <w:pPr>
        <w:spacing w:line="560" w:lineRule="exact"/>
        <w:ind w:firstLine="640" w:firstLineChars="200"/>
        <w:rPr>
          <w:rFonts w:hint="default" w:ascii="Times New Roman" w:hAnsi="Times New Roman" w:eastAsia="方正仿宋_GBK" w:cs="Times New Roman"/>
          <w:kern w:val="21"/>
          <w:sz w:val="32"/>
          <w:szCs w:val="32"/>
          <w:highlight w:val="none"/>
        </w:rPr>
      </w:pPr>
      <w:r>
        <w:rPr>
          <w:rFonts w:hint="default" w:ascii="Times New Roman" w:hAnsi="Times New Roman" w:eastAsia="方正仿宋_GBK" w:cs="Times New Roman"/>
          <w:sz w:val="32"/>
          <w:szCs w:val="32"/>
          <w:highlight w:val="none"/>
        </w:rPr>
        <w:t>（三）灵活就业人员。长护险缴费费率为0.3%</w:t>
      </w:r>
      <w:r>
        <w:rPr>
          <w:rFonts w:hint="eastAsia" w:ascii="Times New Roman" w:hAnsi="Times New Roman" w:eastAsia="方正仿宋_GBK" w:cs="Times New Roman"/>
          <w:sz w:val="32"/>
          <w:szCs w:val="32"/>
          <w:highlight w:val="none"/>
        </w:rPr>
        <w:t>，由个人缴费</w:t>
      </w:r>
      <w:r>
        <w:rPr>
          <w:rFonts w:hint="eastAsia" w:ascii="Times New Roman" w:hAnsi="Times New Roman" w:eastAsia="方正仿宋_GBK" w:cs="Times New Roman"/>
          <w:kern w:val="21"/>
          <w:sz w:val="32"/>
          <w:szCs w:val="32"/>
          <w:highlight w:val="none"/>
        </w:rPr>
        <w:t>。按</w:t>
      </w:r>
      <w:r>
        <w:rPr>
          <w:rFonts w:hint="default" w:ascii="Times New Roman" w:hAnsi="Times New Roman" w:eastAsia="方正仿宋_GBK" w:cs="Times New Roman"/>
          <w:sz w:val="32"/>
          <w:szCs w:val="32"/>
          <w:highlight w:val="none"/>
        </w:rPr>
        <w:t>9%</w:t>
      </w:r>
      <w:r>
        <w:rPr>
          <w:rFonts w:hint="eastAsia" w:ascii="Times New Roman" w:hAnsi="Times New Roman" w:eastAsia="方正仿宋_GBK" w:cs="Times New Roman"/>
          <w:sz w:val="32"/>
          <w:szCs w:val="32"/>
          <w:highlight w:val="none"/>
        </w:rPr>
        <w:t>费率</w:t>
      </w:r>
      <w:r>
        <w:rPr>
          <w:rFonts w:hint="default" w:ascii="Times New Roman" w:hAnsi="Times New Roman" w:eastAsia="方正仿宋_GBK" w:cs="Times New Roman"/>
          <w:kern w:val="21"/>
          <w:sz w:val="32"/>
          <w:szCs w:val="32"/>
          <w:highlight w:val="none"/>
        </w:rPr>
        <w:t>参加职工基本医疗保险的灵活就业人员，职工基本医保费率由</w:t>
      </w:r>
      <w:r>
        <w:rPr>
          <w:rFonts w:hint="default" w:ascii="Times New Roman" w:hAnsi="Times New Roman" w:eastAsia="方正仿宋_GBK" w:cs="Times New Roman"/>
          <w:sz w:val="32"/>
          <w:szCs w:val="32"/>
          <w:highlight w:val="none"/>
        </w:rPr>
        <w:t>9%调整为</w:t>
      </w:r>
      <w:r>
        <w:rPr>
          <w:rFonts w:hint="eastAsia" w:ascii="Times New Roman" w:hAnsi="Times New Roman" w:eastAsia="方正仿宋_GBK" w:cs="Times New Roman"/>
          <w:sz w:val="32"/>
          <w:szCs w:val="32"/>
          <w:highlight w:val="none"/>
        </w:rPr>
        <w:t>8.85</w:t>
      </w:r>
      <w:r>
        <w:rPr>
          <w:rFonts w:hint="default" w:ascii="Times New Roman" w:hAnsi="Times New Roman" w:eastAsia="方正仿宋_GBK" w:cs="Times New Roman"/>
          <w:sz w:val="32"/>
          <w:szCs w:val="32"/>
          <w:highlight w:val="none"/>
        </w:rPr>
        <w:t>%</w:t>
      </w:r>
      <w:r>
        <w:rPr>
          <w:rFonts w:hint="eastAsia" w:ascii="Times New Roman" w:hAnsi="Times New Roman" w:eastAsia="方正仿宋_GBK" w:cs="Times New Roman"/>
          <w:kern w:val="21"/>
          <w:sz w:val="32"/>
          <w:szCs w:val="32"/>
          <w:highlight w:val="none"/>
        </w:rPr>
        <w:t>；参加生育保险的灵活就业人员（含领取失业保险金人员），</w:t>
      </w:r>
      <w:r>
        <w:rPr>
          <w:rFonts w:hint="default" w:ascii="Times New Roman" w:hAnsi="Times New Roman" w:eastAsia="方正仿宋_GBK" w:cs="Times New Roman"/>
          <w:kern w:val="21"/>
          <w:sz w:val="32"/>
          <w:szCs w:val="32"/>
          <w:highlight w:val="none"/>
        </w:rPr>
        <w:t>职工基本医保费率由</w:t>
      </w:r>
      <w:r>
        <w:rPr>
          <w:rFonts w:hint="default" w:ascii="Times New Roman" w:hAnsi="Times New Roman" w:eastAsia="方正仿宋_GBK" w:cs="Times New Roman"/>
          <w:sz w:val="32"/>
          <w:szCs w:val="32"/>
          <w:highlight w:val="none"/>
        </w:rPr>
        <w:t>9</w:t>
      </w:r>
      <w:r>
        <w:rPr>
          <w:rFonts w:hint="eastAsia" w:ascii="Times New Roman" w:hAnsi="Times New Roman" w:eastAsia="方正仿宋_GBK" w:cs="Times New Roman"/>
          <w:sz w:val="32"/>
          <w:szCs w:val="32"/>
          <w:highlight w:val="none"/>
        </w:rPr>
        <w:t>.8</w:t>
      </w:r>
      <w:r>
        <w:rPr>
          <w:rFonts w:hint="default" w:ascii="Times New Roman" w:hAnsi="Times New Roman" w:eastAsia="方正仿宋_GBK" w:cs="Times New Roman"/>
          <w:sz w:val="32"/>
          <w:szCs w:val="32"/>
          <w:highlight w:val="none"/>
        </w:rPr>
        <w:t>%调整为</w:t>
      </w:r>
      <w:r>
        <w:rPr>
          <w:rFonts w:hint="eastAsia" w:ascii="Times New Roman" w:hAnsi="Times New Roman" w:eastAsia="方正仿宋_GBK" w:cs="Times New Roman"/>
          <w:sz w:val="32"/>
          <w:szCs w:val="32"/>
          <w:highlight w:val="none"/>
        </w:rPr>
        <w:t>9.65</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kern w:val="21"/>
          <w:sz w:val="32"/>
          <w:szCs w:val="32"/>
          <w:highlight w:val="none"/>
        </w:rPr>
        <w:t>。</w:t>
      </w:r>
      <w:r>
        <w:rPr>
          <w:rFonts w:hint="eastAsia" w:ascii="Times New Roman" w:hAnsi="Times New Roman" w:eastAsia="方正仿宋_GBK" w:cs="Times New Roman"/>
          <w:kern w:val="21"/>
          <w:sz w:val="32"/>
          <w:szCs w:val="32"/>
          <w:highlight w:val="none"/>
        </w:rPr>
        <w:t>灵活就业人员</w:t>
      </w:r>
      <w:r>
        <w:rPr>
          <w:rFonts w:hint="default" w:ascii="Times New Roman" w:hAnsi="Times New Roman" w:eastAsia="方正仿宋_GBK" w:cs="Times New Roman"/>
          <w:kern w:val="21"/>
          <w:sz w:val="32"/>
          <w:szCs w:val="32"/>
          <w:highlight w:val="none"/>
        </w:rPr>
        <w:t>缴费基数按照自治区上年度社会平均工资的60%核定</w:t>
      </w:r>
      <w:r>
        <w:rPr>
          <w:rFonts w:hint="eastAsia" w:ascii="Times New Roman" w:hAnsi="Times New Roman" w:eastAsia="方正仿宋_GBK" w:cs="Times New Roman"/>
          <w:kern w:val="21"/>
          <w:sz w:val="32"/>
          <w:szCs w:val="32"/>
          <w:highlight w:val="none"/>
        </w:rPr>
        <w:t>，</w:t>
      </w:r>
      <w:bookmarkStart w:id="11" w:name="OLE_LINK43"/>
      <w:bookmarkStart w:id="12" w:name="OLE_LINK33"/>
      <w:r>
        <w:rPr>
          <w:rFonts w:hint="eastAsia" w:ascii="Times New Roman" w:hAnsi="Times New Roman" w:eastAsia="方正仿宋_GBK" w:cs="Times New Roman"/>
          <w:kern w:val="21"/>
          <w:sz w:val="32"/>
          <w:szCs w:val="32"/>
          <w:highlight w:val="none"/>
        </w:rPr>
        <w:t>领取失业保险金人员</w:t>
      </w:r>
      <w:bookmarkEnd w:id="11"/>
      <w:bookmarkEnd w:id="12"/>
      <w:r>
        <w:rPr>
          <w:rFonts w:hint="default" w:ascii="Times New Roman" w:hAnsi="Times New Roman" w:eastAsia="方正仿宋_GBK" w:cs="Times New Roman"/>
          <w:kern w:val="21"/>
          <w:sz w:val="32"/>
          <w:szCs w:val="32"/>
          <w:highlight w:val="none"/>
        </w:rPr>
        <w:t>缴费基数按照自治区上年度社会平均工资核定</w:t>
      </w:r>
      <w:r>
        <w:rPr>
          <w:rFonts w:hint="eastAsia" w:ascii="Times New Roman" w:hAnsi="Times New Roman" w:eastAsia="方正仿宋_GBK" w:cs="Times New Roman"/>
          <w:kern w:val="21"/>
          <w:sz w:val="32"/>
          <w:szCs w:val="32"/>
          <w:highlight w:val="none"/>
        </w:rPr>
        <w:t>，</w:t>
      </w:r>
      <w:r>
        <w:rPr>
          <w:rFonts w:hint="default" w:ascii="Times New Roman" w:hAnsi="Times New Roman" w:eastAsia="方正仿宋_GBK" w:cs="Times New Roman"/>
          <w:kern w:val="21"/>
          <w:sz w:val="32"/>
          <w:szCs w:val="32"/>
          <w:highlight w:val="none"/>
        </w:rPr>
        <w:t>征缴方式按月与基本医疗保险同步征收。</w:t>
      </w:r>
      <w:r>
        <w:rPr>
          <w:rFonts w:hint="eastAsia" w:ascii="Times New Roman" w:hAnsi="Times New Roman" w:eastAsia="方正仿宋_GBK" w:cs="Times New Roman"/>
          <w:kern w:val="21"/>
          <w:sz w:val="32"/>
          <w:szCs w:val="32"/>
          <w:highlight w:val="none"/>
        </w:rPr>
        <w:t>灵活就业人员也可选择按未就业城乡居民政策参保缴费。</w:t>
      </w:r>
    </w:p>
    <w:p>
      <w:pPr>
        <w:spacing w:line="560" w:lineRule="exact"/>
        <w:ind w:firstLine="640" w:firstLineChars="200"/>
        <w:rPr>
          <w:rFonts w:hint="default" w:ascii="Times New Roman" w:hAnsi="Times New Roman" w:eastAsia="方正仿宋_GBK" w:cs="Times New Roman"/>
          <w:kern w:val="21"/>
          <w:sz w:val="32"/>
          <w:szCs w:val="32"/>
          <w:highlight w:val="none"/>
        </w:rPr>
      </w:pPr>
      <w:r>
        <w:rPr>
          <w:rFonts w:hint="default" w:ascii="Times New Roman" w:hAnsi="Times New Roman" w:eastAsia="方正仿宋_GBK" w:cs="Times New Roman"/>
          <w:kern w:val="21"/>
          <w:sz w:val="32"/>
          <w:szCs w:val="32"/>
          <w:highlight w:val="none"/>
        </w:rPr>
        <w:t>（四）未就业城乡居民。参加未就业城乡居民基本医疗保险的参保人员，长护险费率从0.15%起步，之后每年增长0.05个百分点，2030年统一达到0.3%</w:t>
      </w:r>
      <w:r>
        <w:rPr>
          <w:rFonts w:hint="eastAsia" w:ascii="Times New Roman" w:hAnsi="Times New Roman" w:eastAsia="方正仿宋_GBK" w:cs="Times New Roman"/>
          <w:kern w:val="21"/>
          <w:sz w:val="32"/>
          <w:szCs w:val="32"/>
          <w:highlight w:val="none"/>
          <w:lang w:eastAsia="zh-CN"/>
        </w:rPr>
        <w:t>（</w:t>
      </w:r>
      <w:r>
        <w:rPr>
          <w:rFonts w:hint="eastAsia" w:ascii="Times New Roman" w:hAnsi="Times New Roman" w:eastAsia="方正仿宋_GBK" w:cs="Times New Roman"/>
          <w:kern w:val="21"/>
          <w:sz w:val="32"/>
          <w:szCs w:val="32"/>
          <w:highlight w:val="none"/>
          <w:lang w:val="en-US" w:eastAsia="zh-CN"/>
        </w:rPr>
        <w:t>各级财政补助标准可参照城乡居民基本医疗保险财政补助标准执行</w:t>
      </w:r>
      <w:r>
        <w:rPr>
          <w:rFonts w:hint="eastAsia" w:ascii="Times New Roman" w:hAnsi="Times New Roman" w:eastAsia="方正仿宋_GBK" w:cs="Times New Roman"/>
          <w:kern w:val="21"/>
          <w:sz w:val="32"/>
          <w:szCs w:val="32"/>
          <w:highlight w:val="none"/>
          <w:lang w:eastAsia="zh-CN"/>
        </w:rPr>
        <w:t>）</w:t>
      </w:r>
      <w:r>
        <w:rPr>
          <w:rFonts w:hint="default" w:ascii="Times New Roman" w:hAnsi="Times New Roman" w:eastAsia="方正仿宋_GBK" w:cs="Times New Roman"/>
          <w:kern w:val="21"/>
          <w:sz w:val="32"/>
          <w:szCs w:val="32"/>
          <w:highlight w:val="none"/>
        </w:rPr>
        <w:t>。筹资由个人</w:t>
      </w:r>
      <w:r>
        <w:rPr>
          <w:rFonts w:hint="eastAsia" w:ascii="Times New Roman" w:hAnsi="Times New Roman" w:eastAsia="方正仿宋_GBK" w:cs="Times New Roman"/>
          <w:kern w:val="21"/>
          <w:sz w:val="32"/>
          <w:szCs w:val="32"/>
          <w:highlight w:val="none"/>
          <w:lang w:val="en-US" w:eastAsia="zh-CN"/>
        </w:rPr>
        <w:t>和政府</w:t>
      </w:r>
      <w:r>
        <w:rPr>
          <w:rFonts w:hint="default" w:ascii="Times New Roman" w:hAnsi="Times New Roman" w:eastAsia="方正仿宋_GBK" w:cs="Times New Roman"/>
          <w:kern w:val="21"/>
          <w:sz w:val="32"/>
          <w:szCs w:val="32"/>
          <w:highlight w:val="none"/>
        </w:rPr>
        <w:t>按1:1等比例分担，按年度与未就业城乡居民基本医疗保险同步征收，缴费基数为自治区上年度城乡居民人均可支配收入。18周岁以下人员跟随父母或其他法定抚养人等参保，不单独筹资，孤儿等特殊群体无法跟从参保的，可视同参保。</w:t>
      </w:r>
    </w:p>
    <w:p>
      <w:pPr>
        <w:spacing w:line="560" w:lineRule="exact"/>
        <w:ind w:firstLine="640" w:firstLineChars="200"/>
        <w:rPr>
          <w:rFonts w:hint="default" w:ascii="Times New Roman" w:hAnsi="Times New Roman" w:eastAsia="方正仿宋_GBK" w:cs="Times New Roman"/>
          <w:kern w:val="21"/>
          <w:sz w:val="32"/>
          <w:szCs w:val="32"/>
          <w:highlight w:val="none"/>
        </w:rPr>
      </w:pPr>
      <w:r>
        <w:rPr>
          <w:rFonts w:hint="default" w:ascii="方正楷体_GBK" w:hAnsi="方正楷体_GBK" w:eastAsia="方正楷体_GBK" w:cs="方正楷体_GBK"/>
          <w:sz w:val="32"/>
          <w:szCs w:val="32"/>
          <w:highlight w:val="none"/>
        </w:rPr>
        <w:t>第</w:t>
      </w:r>
      <w:r>
        <w:rPr>
          <w:rFonts w:hint="eastAsia" w:ascii="方正楷体_GBK" w:hAnsi="方正楷体_GBK" w:eastAsia="方正楷体_GBK" w:cs="方正楷体_GBK"/>
          <w:sz w:val="32"/>
          <w:szCs w:val="32"/>
          <w:highlight w:val="none"/>
        </w:rPr>
        <w:t>七</w:t>
      </w:r>
      <w:r>
        <w:rPr>
          <w:rFonts w:hint="default" w:ascii="方正楷体_GBK" w:hAnsi="方正楷体_GBK" w:eastAsia="方正楷体_GBK" w:cs="方正楷体_GBK"/>
          <w:sz w:val="32"/>
          <w:szCs w:val="32"/>
          <w:highlight w:val="none"/>
        </w:rPr>
        <w:t xml:space="preserve">条 </w:t>
      </w:r>
      <w:r>
        <w:rPr>
          <w:rFonts w:hint="default" w:ascii="Times New Roman" w:hAnsi="Times New Roman" w:eastAsia="方正仿宋_GBK" w:cs="Times New Roman"/>
          <w:kern w:val="21"/>
          <w:sz w:val="32"/>
          <w:szCs w:val="32"/>
          <w:highlight w:val="none"/>
        </w:rPr>
        <w:t>对特困人员</w:t>
      </w:r>
      <w:r>
        <w:rPr>
          <w:rFonts w:hint="eastAsia" w:ascii="Times New Roman" w:hAnsi="Times New Roman" w:eastAsia="方正仿宋_GBK" w:cs="Times New Roman"/>
          <w:kern w:val="21"/>
          <w:sz w:val="32"/>
          <w:szCs w:val="32"/>
          <w:highlight w:val="none"/>
        </w:rPr>
        <w:t>（含孤儿）</w:t>
      </w:r>
      <w:r>
        <w:rPr>
          <w:rFonts w:hint="default" w:ascii="Times New Roman" w:hAnsi="Times New Roman" w:eastAsia="方正仿宋_GBK" w:cs="Times New Roman"/>
          <w:kern w:val="21"/>
          <w:sz w:val="32"/>
          <w:szCs w:val="32"/>
          <w:highlight w:val="none"/>
        </w:rPr>
        <w:t>、</w:t>
      </w:r>
      <w:r>
        <w:rPr>
          <w:rFonts w:hint="eastAsia" w:ascii="Times New Roman" w:hAnsi="Times New Roman" w:eastAsia="方正仿宋_GBK" w:cs="Times New Roman"/>
          <w:kern w:val="21"/>
          <w:sz w:val="32"/>
          <w:szCs w:val="32"/>
          <w:highlight w:val="none"/>
        </w:rPr>
        <w:t>最低生活保障对象</w:t>
      </w:r>
      <w:r>
        <w:rPr>
          <w:rFonts w:hint="default" w:ascii="Times New Roman" w:hAnsi="Times New Roman" w:eastAsia="方正仿宋_GBK" w:cs="Times New Roman"/>
          <w:kern w:val="21"/>
          <w:sz w:val="32"/>
          <w:szCs w:val="32"/>
          <w:highlight w:val="none"/>
        </w:rPr>
        <w:t>、</w:t>
      </w:r>
      <w:r>
        <w:rPr>
          <w:rFonts w:hint="eastAsia" w:ascii="Times New Roman" w:hAnsi="Times New Roman" w:eastAsia="方正仿宋_GBK" w:cs="Times New Roman"/>
          <w:kern w:val="21"/>
          <w:sz w:val="32"/>
          <w:szCs w:val="32"/>
          <w:highlight w:val="none"/>
        </w:rPr>
        <w:t>符合条件的防止返贫监测对象等</w:t>
      </w:r>
      <w:r>
        <w:rPr>
          <w:rFonts w:hint="default" w:ascii="Times New Roman" w:hAnsi="Times New Roman" w:eastAsia="方正仿宋_GBK" w:cs="Times New Roman"/>
          <w:kern w:val="21"/>
          <w:sz w:val="32"/>
          <w:szCs w:val="32"/>
          <w:highlight w:val="none"/>
        </w:rPr>
        <w:t>困难</w:t>
      </w:r>
      <w:r>
        <w:rPr>
          <w:rFonts w:hint="eastAsia" w:ascii="Times New Roman" w:hAnsi="Times New Roman" w:eastAsia="方正仿宋_GBK" w:cs="Times New Roman"/>
          <w:kern w:val="21"/>
          <w:sz w:val="32"/>
          <w:szCs w:val="32"/>
          <w:highlight w:val="none"/>
        </w:rPr>
        <w:t>群体</w:t>
      </w:r>
      <w:r>
        <w:rPr>
          <w:rFonts w:hint="default" w:ascii="Times New Roman" w:hAnsi="Times New Roman" w:eastAsia="方正仿宋_GBK" w:cs="Times New Roman"/>
          <w:kern w:val="21"/>
          <w:sz w:val="32"/>
          <w:szCs w:val="32"/>
          <w:highlight w:val="none"/>
        </w:rPr>
        <w:t>个人缴费部分予以分类资助。资助的具体标准按照自治区政策执行。</w:t>
      </w:r>
    </w:p>
    <w:p>
      <w:pPr>
        <w:spacing w:line="560" w:lineRule="exact"/>
        <w:ind w:firstLine="640" w:firstLineChars="200"/>
        <w:rPr>
          <w:rFonts w:hint="default" w:ascii="Times New Roman" w:hAnsi="Times New Roman" w:eastAsia="方正仿宋_GBK" w:cs="Times New Roman"/>
          <w:kern w:val="21"/>
          <w:sz w:val="32"/>
          <w:szCs w:val="32"/>
          <w:highlight w:val="none"/>
        </w:rPr>
      </w:pPr>
      <w:r>
        <w:rPr>
          <w:rFonts w:hint="default" w:ascii="方正楷体_GBK" w:hAnsi="方正楷体_GBK" w:eastAsia="方正楷体_GBK" w:cs="方正楷体_GBK"/>
          <w:sz w:val="32"/>
          <w:szCs w:val="32"/>
          <w:highlight w:val="none"/>
        </w:rPr>
        <w:t>第</w:t>
      </w:r>
      <w:r>
        <w:rPr>
          <w:rFonts w:hint="eastAsia" w:ascii="方正楷体_GBK" w:hAnsi="方正楷体_GBK" w:eastAsia="方正楷体_GBK" w:cs="方正楷体_GBK"/>
          <w:sz w:val="32"/>
          <w:szCs w:val="32"/>
          <w:highlight w:val="none"/>
        </w:rPr>
        <w:t>八</w:t>
      </w:r>
      <w:r>
        <w:rPr>
          <w:rFonts w:hint="default" w:ascii="方正楷体_GBK" w:hAnsi="方正楷体_GBK" w:eastAsia="方正楷体_GBK" w:cs="方正楷体_GBK"/>
          <w:sz w:val="32"/>
          <w:szCs w:val="32"/>
          <w:highlight w:val="none"/>
        </w:rPr>
        <w:t xml:space="preserve">条 </w:t>
      </w:r>
      <w:r>
        <w:rPr>
          <w:rFonts w:hint="default" w:ascii="Times New Roman" w:hAnsi="Times New Roman" w:eastAsia="方正仿宋_GBK" w:cs="Times New Roman"/>
          <w:kern w:val="21"/>
          <w:sz w:val="32"/>
          <w:szCs w:val="32"/>
          <w:highlight w:val="none"/>
        </w:rPr>
        <w:t>职工</w:t>
      </w:r>
      <w:r>
        <w:rPr>
          <w:rFonts w:hint="eastAsia" w:ascii="Times New Roman" w:hAnsi="Times New Roman" w:eastAsia="方正仿宋_GBK" w:cs="Times New Roman"/>
          <w:kern w:val="21"/>
          <w:sz w:val="32"/>
          <w:szCs w:val="32"/>
          <w:highlight w:val="none"/>
          <w:lang w:val="en-US" w:eastAsia="zh-CN"/>
        </w:rPr>
        <w:t>基本医疗保险</w:t>
      </w:r>
      <w:r>
        <w:rPr>
          <w:rFonts w:hint="default" w:ascii="Times New Roman" w:hAnsi="Times New Roman" w:eastAsia="方正仿宋_GBK" w:cs="Times New Roman"/>
          <w:kern w:val="21"/>
          <w:sz w:val="32"/>
          <w:szCs w:val="32"/>
          <w:highlight w:val="none"/>
        </w:rPr>
        <w:t>个人账户可</w:t>
      </w:r>
      <w:r>
        <w:rPr>
          <w:rFonts w:hint="eastAsia" w:ascii="Times New Roman" w:hAnsi="Times New Roman" w:eastAsia="方正仿宋_GBK" w:cs="Times New Roman"/>
          <w:kern w:val="21"/>
          <w:sz w:val="32"/>
          <w:szCs w:val="32"/>
          <w:highlight w:val="none"/>
          <w:lang w:val="en-US" w:eastAsia="zh-CN"/>
        </w:rPr>
        <w:t>以用于本人及近亲属</w:t>
      </w:r>
      <w:r>
        <w:rPr>
          <w:rFonts w:hint="default" w:ascii="Times New Roman" w:hAnsi="Times New Roman" w:eastAsia="方正仿宋_GBK" w:cs="Times New Roman"/>
          <w:kern w:val="21"/>
          <w:sz w:val="32"/>
          <w:szCs w:val="32"/>
          <w:highlight w:val="none"/>
        </w:rPr>
        <w:t>（包括配偶、父母、子女、兄弟姐妹、祖父母、外祖父母、孙子女、外孙子女）参加长护险的个人缴费。</w:t>
      </w:r>
    </w:p>
    <w:p>
      <w:pPr>
        <w:spacing w:line="560" w:lineRule="exact"/>
        <w:ind w:firstLine="640" w:firstLineChars="200"/>
        <w:rPr>
          <w:rFonts w:hint="default" w:ascii="Times New Roman" w:hAnsi="Times New Roman" w:eastAsia="方正仿宋_GBK" w:cs="Times New Roman"/>
          <w:kern w:val="21"/>
          <w:sz w:val="32"/>
          <w:szCs w:val="32"/>
          <w:highlight w:val="none"/>
        </w:rPr>
      </w:pPr>
      <w:r>
        <w:rPr>
          <w:rFonts w:hint="eastAsia" w:ascii="方正楷体_GBK" w:hAnsi="方正楷体_GBK" w:eastAsia="方正楷体_GBK" w:cs="方正楷体_GBK"/>
          <w:sz w:val="32"/>
          <w:szCs w:val="32"/>
          <w:highlight w:val="none"/>
        </w:rPr>
        <w:t>第九条</w:t>
      </w:r>
      <w:r>
        <w:rPr>
          <w:rFonts w:hint="eastAsia" w:ascii="方正楷体_GBK" w:hAnsi="方正楷体_GBK" w:eastAsia="方正楷体_GBK" w:cs="方正楷体_GBK"/>
          <w:kern w:val="21"/>
          <w:sz w:val="32"/>
          <w:szCs w:val="32"/>
          <w:highlight w:val="none"/>
        </w:rPr>
        <w:t xml:space="preserve"> </w:t>
      </w:r>
      <w:r>
        <w:rPr>
          <w:rFonts w:hint="default" w:ascii="Times New Roman" w:hAnsi="Times New Roman" w:eastAsia="方正仿宋_GBK" w:cs="Times New Roman"/>
          <w:kern w:val="21"/>
          <w:sz w:val="32"/>
          <w:szCs w:val="32"/>
          <w:highlight w:val="none"/>
        </w:rPr>
        <w:t>长护险</w:t>
      </w:r>
      <w:r>
        <w:rPr>
          <w:rFonts w:hint="eastAsia" w:ascii="Times New Roman" w:hAnsi="Times New Roman" w:eastAsia="方正仿宋_GBK" w:cs="Times New Roman"/>
          <w:kern w:val="21"/>
          <w:sz w:val="32"/>
          <w:szCs w:val="32"/>
          <w:highlight w:val="none"/>
        </w:rPr>
        <w:t>保费</w:t>
      </w:r>
      <w:r>
        <w:rPr>
          <w:rFonts w:hint="default" w:ascii="Times New Roman" w:hAnsi="Times New Roman" w:eastAsia="方正仿宋_GBK" w:cs="Times New Roman"/>
          <w:kern w:val="21"/>
          <w:sz w:val="32"/>
          <w:szCs w:val="32"/>
          <w:highlight w:val="none"/>
        </w:rPr>
        <w:t>退费</w:t>
      </w:r>
      <w:r>
        <w:rPr>
          <w:rFonts w:hint="eastAsia" w:ascii="Times New Roman" w:hAnsi="Times New Roman" w:eastAsia="方正仿宋_GBK" w:cs="Times New Roman"/>
          <w:kern w:val="21"/>
          <w:sz w:val="32"/>
          <w:szCs w:val="32"/>
          <w:highlight w:val="none"/>
        </w:rPr>
        <w:t>和不予退费的具体情形</w:t>
      </w:r>
      <w:r>
        <w:rPr>
          <w:rFonts w:hint="default" w:ascii="Times New Roman" w:hAnsi="Times New Roman" w:eastAsia="方正仿宋_GBK" w:cs="Times New Roman"/>
          <w:kern w:val="21"/>
          <w:sz w:val="32"/>
          <w:szCs w:val="32"/>
          <w:highlight w:val="none"/>
        </w:rPr>
        <w:t>参照基本医保政策的相关规定执行。</w:t>
      </w:r>
      <w:r>
        <w:rPr>
          <w:rFonts w:hint="eastAsia" w:ascii="Times New Roman" w:hAnsi="Times New Roman" w:eastAsia="方正仿宋_GBK" w:cs="Times New Roman"/>
          <w:kern w:val="21"/>
          <w:sz w:val="32"/>
          <w:szCs w:val="32"/>
          <w:highlight w:val="none"/>
        </w:rPr>
        <w:t>参保人按规定补缴基本医疗保险费时，其应缴未缴的长护险保费应同步补缴。</w:t>
      </w:r>
    </w:p>
    <w:p>
      <w:pPr>
        <w:spacing w:line="560" w:lineRule="exact"/>
        <w:jc w:val="center"/>
        <w:rPr>
          <w:rFonts w:hint="default" w:ascii="Times New Roman" w:hAnsi="Times New Roman" w:eastAsia="仿宋_GB2312" w:cs="Times New Roman"/>
          <w:kern w:val="21"/>
          <w:sz w:val="32"/>
          <w:szCs w:val="32"/>
          <w:highlight w:val="none"/>
        </w:rPr>
      </w:pPr>
      <w:r>
        <w:rPr>
          <w:rFonts w:hint="eastAsia" w:ascii="黑体" w:hAnsi="黑体" w:eastAsia="黑体" w:cs="黑体"/>
          <w:kern w:val="21"/>
          <w:sz w:val="32"/>
          <w:szCs w:val="32"/>
          <w:highlight w:val="none"/>
        </w:rPr>
        <w:t>第三章 待遇保障</w:t>
      </w:r>
    </w:p>
    <w:p>
      <w:pPr>
        <w:spacing w:line="560" w:lineRule="exact"/>
        <w:ind w:firstLine="640" w:firstLineChars="200"/>
        <w:rPr>
          <w:rFonts w:hint="default" w:ascii="Times New Roman" w:hAnsi="Times New Roman" w:eastAsia="方正仿宋_GBK" w:cs="Times New Roman"/>
          <w:kern w:val="21"/>
          <w:sz w:val="32"/>
          <w:szCs w:val="32"/>
          <w:highlight w:val="none"/>
        </w:rPr>
      </w:pPr>
      <w:r>
        <w:rPr>
          <w:rFonts w:hint="default" w:ascii="方正楷体_GBK" w:hAnsi="方正楷体_GBK" w:eastAsia="方正楷体_GBK" w:cs="方正楷体_GBK"/>
          <w:sz w:val="32"/>
          <w:szCs w:val="32"/>
          <w:highlight w:val="none"/>
        </w:rPr>
        <w:t xml:space="preserve">第十条 </w:t>
      </w:r>
      <w:r>
        <w:rPr>
          <w:rFonts w:hint="eastAsia" w:ascii="Times New Roman" w:hAnsi="Times New Roman" w:eastAsia="方正仿宋_GBK" w:cs="Times New Roman"/>
          <w:kern w:val="21"/>
          <w:sz w:val="32"/>
          <w:szCs w:val="32"/>
          <w:highlight w:val="none"/>
        </w:rPr>
        <w:t>享受条件</w:t>
      </w:r>
      <w:r>
        <w:rPr>
          <w:rFonts w:hint="default" w:ascii="Times New Roman" w:hAnsi="Times New Roman" w:eastAsia="方正仿宋_GBK" w:cs="Times New Roman"/>
          <w:kern w:val="21"/>
          <w:sz w:val="32"/>
          <w:szCs w:val="32"/>
          <w:highlight w:val="none"/>
        </w:rPr>
        <w:t>。按规定参保缴费</w:t>
      </w:r>
      <w:r>
        <w:rPr>
          <w:rFonts w:hint="eastAsia" w:ascii="Times New Roman" w:hAnsi="Times New Roman" w:eastAsia="方正仿宋_GBK" w:cs="Times New Roman"/>
          <w:kern w:val="21"/>
          <w:sz w:val="32"/>
          <w:szCs w:val="32"/>
          <w:highlight w:val="none"/>
        </w:rPr>
        <w:t>，</w:t>
      </w:r>
      <w:r>
        <w:rPr>
          <w:rFonts w:hint="default" w:ascii="Times New Roman" w:hAnsi="Times New Roman" w:eastAsia="方正仿宋_GBK" w:cs="Times New Roman"/>
          <w:kern w:val="21"/>
          <w:sz w:val="32"/>
          <w:szCs w:val="32"/>
          <w:highlight w:val="none"/>
        </w:rPr>
        <w:t>失能状态长期持续（一般为6个月以上），经申请通过评估认定的重度失能人员，可按规定享受长护险待遇。</w:t>
      </w:r>
    </w:p>
    <w:p>
      <w:pPr>
        <w:spacing w:line="560" w:lineRule="exact"/>
        <w:ind w:firstLine="640" w:firstLineChars="200"/>
        <w:rPr>
          <w:rFonts w:hint="default" w:ascii="Times New Roman" w:hAnsi="Times New Roman" w:eastAsia="方正仿宋_GBK" w:cs="Times New Roman"/>
          <w:kern w:val="21"/>
          <w:sz w:val="32"/>
          <w:szCs w:val="32"/>
          <w:highlight w:val="none"/>
        </w:rPr>
      </w:pPr>
      <w:r>
        <w:rPr>
          <w:rFonts w:hint="default" w:ascii="方正楷体_GBK" w:hAnsi="方正楷体_GBK" w:eastAsia="方正楷体_GBK" w:cs="方正楷体_GBK"/>
          <w:sz w:val="32"/>
          <w:szCs w:val="32"/>
          <w:highlight w:val="none"/>
        </w:rPr>
        <w:t>第十</w:t>
      </w:r>
      <w:r>
        <w:rPr>
          <w:rFonts w:hint="eastAsia" w:ascii="方正楷体_GBK" w:hAnsi="方正楷体_GBK" w:eastAsia="方正楷体_GBK" w:cs="方正楷体_GBK"/>
          <w:sz w:val="32"/>
          <w:szCs w:val="32"/>
          <w:highlight w:val="none"/>
        </w:rPr>
        <w:t>一</w:t>
      </w:r>
      <w:r>
        <w:rPr>
          <w:rFonts w:hint="default" w:ascii="方正楷体_GBK" w:hAnsi="方正楷体_GBK" w:eastAsia="方正楷体_GBK" w:cs="方正楷体_GBK"/>
          <w:sz w:val="32"/>
          <w:szCs w:val="32"/>
          <w:highlight w:val="none"/>
        </w:rPr>
        <w:t xml:space="preserve">条 </w:t>
      </w:r>
      <w:r>
        <w:rPr>
          <w:rFonts w:hint="default" w:ascii="Times New Roman" w:hAnsi="Times New Roman" w:eastAsia="方正仿宋_GBK" w:cs="Times New Roman"/>
          <w:kern w:val="21"/>
          <w:sz w:val="32"/>
          <w:szCs w:val="32"/>
          <w:highlight w:val="none"/>
        </w:rPr>
        <w:t>护理服务类型。长护险护理服务机构提供的服务类型主要包括居家护理、社区护理和机构护理。</w:t>
      </w:r>
      <w:r>
        <w:rPr>
          <w:rFonts w:hint="default" w:ascii="Times New Roman" w:hAnsi="Times New Roman" w:eastAsia="方正仿宋_GBK" w:cs="Times New Roman"/>
          <w:sz w:val="32"/>
          <w:szCs w:val="32"/>
          <w:highlight w:val="none"/>
        </w:rPr>
        <w:t>失能人员在定点长护服务机构、护理人员提供护理服务期间，长护险服务项目执行《国家</w:t>
      </w:r>
      <w:r>
        <w:rPr>
          <w:rFonts w:hint="eastAsia" w:ascii="Times New Roman" w:hAnsi="Times New Roman" w:eastAsia="方正仿宋_GBK" w:cs="Times New Roman"/>
          <w:sz w:val="32"/>
          <w:szCs w:val="32"/>
          <w:highlight w:val="none"/>
        </w:rPr>
        <w:t>长期护理保险</w:t>
      </w:r>
      <w:r>
        <w:rPr>
          <w:rFonts w:hint="default" w:ascii="Times New Roman" w:hAnsi="Times New Roman" w:eastAsia="方正仿宋_GBK" w:cs="Times New Roman"/>
          <w:sz w:val="32"/>
          <w:szCs w:val="32"/>
          <w:highlight w:val="none"/>
        </w:rPr>
        <w:t>服务项目目录》。</w:t>
      </w:r>
    </w:p>
    <w:p>
      <w:pPr>
        <w:spacing w:line="560" w:lineRule="exact"/>
        <w:ind w:firstLine="640" w:firstLineChars="200"/>
        <w:rPr>
          <w:rFonts w:hint="default" w:ascii="Times New Roman" w:hAnsi="Times New Roman" w:eastAsia="方正仿宋_GBK" w:cs="Times New Roman"/>
          <w:kern w:val="21"/>
          <w:sz w:val="32"/>
          <w:szCs w:val="32"/>
          <w:highlight w:val="none"/>
        </w:rPr>
      </w:pPr>
      <w:r>
        <w:rPr>
          <w:rFonts w:hint="default" w:ascii="Times New Roman" w:hAnsi="Times New Roman" w:eastAsia="方正仿宋_GBK" w:cs="Times New Roman"/>
          <w:kern w:val="21"/>
          <w:sz w:val="32"/>
          <w:szCs w:val="32"/>
          <w:highlight w:val="none"/>
        </w:rPr>
        <w:t>（一）居家护理，是指长护服务机构在参保人员所居住的家庭住所内为</w:t>
      </w:r>
      <w:bookmarkStart w:id="13" w:name="OLE_LINK18"/>
      <w:r>
        <w:rPr>
          <w:rFonts w:hint="default" w:ascii="Times New Roman" w:hAnsi="Times New Roman" w:eastAsia="方正仿宋_GBK" w:cs="Times New Roman"/>
          <w:kern w:val="21"/>
          <w:sz w:val="32"/>
          <w:szCs w:val="32"/>
          <w:highlight w:val="none"/>
        </w:rPr>
        <w:t>参保人员提供长期护理服务</w:t>
      </w:r>
      <w:bookmarkEnd w:id="13"/>
      <w:r>
        <w:rPr>
          <w:rFonts w:hint="default" w:ascii="Times New Roman" w:hAnsi="Times New Roman" w:eastAsia="方正仿宋_GBK" w:cs="Times New Roman"/>
          <w:kern w:val="21"/>
          <w:sz w:val="32"/>
          <w:szCs w:val="32"/>
          <w:highlight w:val="none"/>
        </w:rPr>
        <w:t>。</w:t>
      </w:r>
    </w:p>
    <w:p>
      <w:pPr>
        <w:spacing w:line="560" w:lineRule="exact"/>
        <w:ind w:firstLine="640" w:firstLineChars="200"/>
        <w:rPr>
          <w:rFonts w:hint="default" w:ascii="Times New Roman" w:hAnsi="Times New Roman" w:eastAsia="方正仿宋_GBK" w:cs="Times New Roman"/>
          <w:kern w:val="21"/>
          <w:sz w:val="32"/>
          <w:szCs w:val="32"/>
          <w:highlight w:val="none"/>
        </w:rPr>
      </w:pPr>
      <w:r>
        <w:rPr>
          <w:rFonts w:hint="default" w:ascii="Times New Roman" w:hAnsi="Times New Roman" w:eastAsia="方正仿宋_GBK" w:cs="Times New Roman"/>
          <w:kern w:val="21"/>
          <w:sz w:val="32"/>
          <w:szCs w:val="32"/>
          <w:highlight w:val="none"/>
        </w:rPr>
        <w:t>（</w:t>
      </w:r>
      <w:r>
        <w:rPr>
          <w:rFonts w:hint="eastAsia" w:ascii="Times New Roman" w:hAnsi="Times New Roman" w:eastAsia="方正仿宋_GBK" w:cs="Times New Roman"/>
          <w:kern w:val="21"/>
          <w:sz w:val="32"/>
          <w:szCs w:val="32"/>
          <w:highlight w:val="none"/>
        </w:rPr>
        <w:t>二</w:t>
      </w:r>
      <w:r>
        <w:rPr>
          <w:rFonts w:hint="default" w:ascii="Times New Roman" w:hAnsi="Times New Roman" w:eastAsia="方正仿宋_GBK" w:cs="Times New Roman"/>
          <w:kern w:val="21"/>
          <w:sz w:val="32"/>
          <w:szCs w:val="32"/>
          <w:highlight w:val="none"/>
        </w:rPr>
        <w:t>）社区护理，是指长护服务机构以社区为依托为参保人员提供就近就便、非全日的长期护理服务。</w:t>
      </w:r>
    </w:p>
    <w:p>
      <w:pPr>
        <w:spacing w:line="560" w:lineRule="exact"/>
        <w:ind w:firstLine="640" w:firstLineChars="200"/>
        <w:rPr>
          <w:rFonts w:hint="default" w:ascii="Times New Roman" w:hAnsi="Times New Roman" w:eastAsia="方正仿宋_GBK" w:cs="Times New Roman"/>
          <w:kern w:val="21"/>
          <w:sz w:val="32"/>
          <w:szCs w:val="32"/>
          <w:highlight w:val="none"/>
        </w:rPr>
      </w:pPr>
      <w:r>
        <w:rPr>
          <w:rFonts w:hint="default" w:ascii="Times New Roman" w:hAnsi="Times New Roman" w:eastAsia="方正仿宋_GBK" w:cs="Times New Roman"/>
          <w:kern w:val="21"/>
          <w:sz w:val="32"/>
          <w:szCs w:val="32"/>
          <w:highlight w:val="none"/>
        </w:rPr>
        <w:t>（三）机构护理，是指长护服务机构在所开设的机构内为参保人员提供全日的长期护理服务。</w:t>
      </w:r>
    </w:p>
    <w:p>
      <w:pPr>
        <w:widowControl/>
        <w:spacing w:line="560" w:lineRule="exact"/>
        <w:ind w:firstLine="640" w:firstLineChars="200"/>
        <w:rPr>
          <w:rFonts w:hint="eastAsia" w:ascii="Times New Roman" w:hAnsi="Times New Roman" w:eastAsia="方正仿宋_GBK" w:cs="Times New Roman"/>
          <w:color w:val="000000"/>
          <w:sz w:val="32"/>
          <w:szCs w:val="32"/>
          <w:highlight w:val="none"/>
          <w:lang w:val="zh-TW"/>
        </w:rPr>
      </w:pPr>
      <w:bookmarkStart w:id="14" w:name="OLE_LINK65"/>
      <w:bookmarkStart w:id="15" w:name="OLE_LINK66"/>
      <w:r>
        <w:rPr>
          <w:rFonts w:hint="default" w:ascii="方正楷体_GBK" w:hAnsi="方正楷体_GBK" w:eastAsia="方正楷体_GBK" w:cs="方正楷体_GBK"/>
          <w:sz w:val="32"/>
          <w:szCs w:val="32"/>
          <w:highlight w:val="none"/>
        </w:rPr>
        <w:t>第十</w:t>
      </w:r>
      <w:r>
        <w:rPr>
          <w:rFonts w:hint="eastAsia" w:ascii="方正楷体_GBK" w:hAnsi="方正楷体_GBK" w:eastAsia="方正楷体_GBK" w:cs="方正楷体_GBK"/>
          <w:sz w:val="32"/>
          <w:szCs w:val="32"/>
          <w:highlight w:val="none"/>
        </w:rPr>
        <w:t>二</w:t>
      </w:r>
      <w:r>
        <w:rPr>
          <w:rFonts w:hint="default" w:ascii="方正楷体_GBK" w:hAnsi="方正楷体_GBK" w:eastAsia="方正楷体_GBK" w:cs="方正楷体_GBK"/>
          <w:sz w:val="32"/>
          <w:szCs w:val="32"/>
          <w:highlight w:val="none"/>
        </w:rPr>
        <w:t xml:space="preserve">条 </w:t>
      </w:r>
      <w:r>
        <w:rPr>
          <w:rFonts w:hint="default" w:ascii="Times New Roman" w:hAnsi="Times New Roman" w:eastAsia="方正仿宋_GBK" w:cs="Times New Roman"/>
          <w:kern w:val="21"/>
          <w:sz w:val="32"/>
          <w:szCs w:val="32"/>
          <w:highlight w:val="none"/>
        </w:rPr>
        <w:t>待遇标准。</w:t>
      </w:r>
      <w:r>
        <w:rPr>
          <w:rFonts w:hint="default" w:ascii="Times New Roman" w:hAnsi="Times New Roman" w:eastAsia="方正仿宋_GBK" w:cs="Times New Roman"/>
          <w:color w:val="000000"/>
          <w:sz w:val="32"/>
          <w:szCs w:val="32"/>
          <w:highlight w:val="none"/>
          <w:lang w:val="zh-TW"/>
        </w:rPr>
        <w:t>根据</w:t>
      </w:r>
      <w:r>
        <w:rPr>
          <w:rFonts w:hint="eastAsia" w:ascii="Times New Roman" w:hAnsi="Times New Roman" w:eastAsia="方正仿宋_GBK" w:cs="Times New Roman"/>
          <w:color w:val="000000"/>
          <w:sz w:val="32"/>
          <w:szCs w:val="32"/>
          <w:highlight w:val="none"/>
        </w:rPr>
        <w:t>失能</w:t>
      </w:r>
      <w:r>
        <w:rPr>
          <w:rFonts w:hint="default" w:ascii="Times New Roman" w:hAnsi="Times New Roman" w:eastAsia="方正仿宋_GBK" w:cs="Times New Roman"/>
          <w:color w:val="000000"/>
          <w:sz w:val="32"/>
          <w:szCs w:val="32"/>
          <w:highlight w:val="none"/>
          <w:lang w:val="zh-TW"/>
        </w:rPr>
        <w:t>等级</w:t>
      </w:r>
      <w:r>
        <w:rPr>
          <w:rFonts w:hint="eastAsia" w:ascii="Times New Roman" w:hAnsi="Times New Roman" w:eastAsia="方正仿宋_GBK" w:cs="Times New Roman"/>
          <w:color w:val="000000"/>
          <w:sz w:val="32"/>
          <w:szCs w:val="32"/>
          <w:highlight w:val="none"/>
        </w:rPr>
        <w:t>和</w:t>
      </w:r>
      <w:r>
        <w:rPr>
          <w:rFonts w:hint="default" w:ascii="Times New Roman" w:hAnsi="Times New Roman" w:eastAsia="方正仿宋_GBK" w:cs="Times New Roman"/>
          <w:color w:val="000000"/>
          <w:sz w:val="32"/>
          <w:szCs w:val="32"/>
          <w:highlight w:val="none"/>
          <w:lang w:val="zh-TW"/>
        </w:rPr>
        <w:t>服务方式</w:t>
      </w:r>
      <w:r>
        <w:rPr>
          <w:rFonts w:hint="default" w:ascii="Times New Roman" w:hAnsi="Times New Roman" w:eastAsia="方正仿宋_GBK" w:cs="Times New Roman"/>
          <w:color w:val="000000"/>
          <w:sz w:val="32"/>
          <w:szCs w:val="32"/>
          <w:highlight w:val="none"/>
        </w:rPr>
        <w:t>实行</w:t>
      </w:r>
      <w:r>
        <w:rPr>
          <w:rFonts w:hint="default" w:ascii="Times New Roman" w:hAnsi="Times New Roman" w:eastAsia="方正仿宋_GBK" w:cs="Times New Roman"/>
          <w:sz w:val="32"/>
          <w:szCs w:val="32"/>
          <w:highlight w:val="none"/>
        </w:rPr>
        <w:t>梯度差异性待遇保障政策</w:t>
      </w:r>
      <w:r>
        <w:rPr>
          <w:rFonts w:hint="default" w:ascii="Times New Roman" w:hAnsi="Times New Roman" w:eastAsia="方正仿宋_GBK" w:cs="Times New Roman"/>
          <w:color w:val="000000"/>
          <w:sz w:val="32"/>
          <w:szCs w:val="32"/>
          <w:highlight w:val="none"/>
          <w:lang w:val="zh-TW"/>
        </w:rPr>
        <w:t>。我市长护险支付标准以</w:t>
      </w:r>
      <w:r>
        <w:rPr>
          <w:rFonts w:hint="eastAsia" w:ascii="Times New Roman" w:hAnsi="Times New Roman" w:eastAsia="方正仿宋_GBK" w:cs="Times New Roman"/>
          <w:color w:val="000000"/>
          <w:sz w:val="32"/>
          <w:szCs w:val="32"/>
          <w:highlight w:val="none"/>
        </w:rPr>
        <w:t>乌鲁木齐市2025年全体居民</w:t>
      </w:r>
      <w:bookmarkStart w:id="16" w:name="OLE_LINK10"/>
      <w:bookmarkStart w:id="17" w:name="OLE_LINK11"/>
      <w:r>
        <w:rPr>
          <w:rFonts w:hint="eastAsia" w:ascii="Times New Roman" w:hAnsi="Times New Roman" w:eastAsia="方正仿宋_GBK" w:cs="Times New Roman"/>
          <w:color w:val="000000"/>
          <w:sz w:val="32"/>
          <w:szCs w:val="32"/>
          <w:highlight w:val="none"/>
        </w:rPr>
        <w:t>人均可支配收入</w:t>
      </w:r>
      <w:bookmarkEnd w:id="16"/>
      <w:bookmarkEnd w:id="17"/>
      <w:r>
        <w:rPr>
          <w:rFonts w:hint="default" w:ascii="Times New Roman" w:hAnsi="Times New Roman" w:eastAsia="方正仿宋_GBK" w:cs="Times New Roman"/>
          <w:color w:val="000000"/>
          <w:sz w:val="32"/>
          <w:szCs w:val="32"/>
          <w:highlight w:val="none"/>
          <w:lang w:val="zh-TW"/>
        </w:rPr>
        <w:t>的</w:t>
      </w:r>
      <w:r>
        <w:rPr>
          <w:rFonts w:hint="eastAsia" w:ascii="Times New Roman" w:hAnsi="Times New Roman" w:eastAsia="方正仿宋_GBK" w:cs="Times New Roman"/>
          <w:color w:val="000000"/>
          <w:kern w:val="0"/>
          <w:sz w:val="32"/>
          <w:szCs w:val="32"/>
          <w:highlight w:val="none"/>
        </w:rPr>
        <w:t>一定比例</w:t>
      </w:r>
      <w:r>
        <w:rPr>
          <w:rFonts w:hint="default" w:ascii="Times New Roman" w:hAnsi="Times New Roman" w:eastAsia="方正仿宋_GBK" w:cs="Times New Roman"/>
          <w:color w:val="000000"/>
          <w:sz w:val="32"/>
          <w:szCs w:val="32"/>
          <w:highlight w:val="none"/>
          <w:lang w:val="zh-TW"/>
        </w:rPr>
        <w:t>作为待遇支付基础，确定待遇支付基准为28</w:t>
      </w:r>
      <w:r>
        <w:rPr>
          <w:rFonts w:hint="eastAsia" w:ascii="Times New Roman" w:hAnsi="Times New Roman" w:eastAsia="方正仿宋_GBK" w:cs="Times New Roman"/>
          <w:color w:val="000000"/>
          <w:sz w:val="32"/>
          <w:szCs w:val="32"/>
          <w:highlight w:val="none"/>
        </w:rPr>
        <w:t>77</w:t>
      </w:r>
      <w:r>
        <w:rPr>
          <w:rFonts w:hint="default" w:ascii="Times New Roman" w:hAnsi="Times New Roman" w:eastAsia="方正仿宋_GBK" w:cs="Times New Roman"/>
          <w:color w:val="000000"/>
          <w:sz w:val="32"/>
          <w:szCs w:val="32"/>
          <w:highlight w:val="none"/>
          <w:lang w:val="zh-TW"/>
        </w:rPr>
        <w:t>元/月。</w:t>
      </w:r>
      <w:bookmarkStart w:id="18" w:name="OLE_LINK64"/>
      <w:bookmarkStart w:id="19" w:name="OLE_LINK3"/>
      <w:r>
        <w:rPr>
          <w:rFonts w:hint="eastAsia" w:ascii="Times New Roman" w:hAnsi="Times New Roman" w:eastAsia="方正仿宋_GBK" w:cs="Times New Roman"/>
          <w:kern w:val="0"/>
          <w:sz w:val="32"/>
          <w:szCs w:val="32"/>
          <w:highlight w:val="none"/>
          <w:lang w:val="en-US" w:eastAsia="zh-CN"/>
        </w:rPr>
        <w:t>乌鲁木齐市长护险试点期间确定的待遇标准与自治区待遇标准一致时，随自治区标准同步进行调整</w:t>
      </w:r>
      <w:r>
        <w:rPr>
          <w:rFonts w:hint="eastAsia" w:ascii="Times New Roman" w:hAnsi="Times New Roman" w:eastAsia="方正仿宋_GBK" w:cs="Times New Roman"/>
          <w:kern w:val="0"/>
          <w:sz w:val="32"/>
          <w:szCs w:val="32"/>
          <w:highlight w:val="none"/>
        </w:rPr>
        <w:t>。</w:t>
      </w:r>
      <w:bookmarkEnd w:id="18"/>
      <w:bookmarkEnd w:id="19"/>
      <w:r>
        <w:rPr>
          <w:rFonts w:hint="default" w:ascii="Times New Roman" w:hAnsi="Times New Roman" w:eastAsia="方正仿宋_GBK" w:cs="Times New Roman"/>
          <w:color w:val="000000"/>
          <w:sz w:val="32"/>
          <w:szCs w:val="32"/>
          <w:highlight w:val="none"/>
          <w:lang w:val="zh-TW"/>
        </w:rPr>
        <w:t>保障对象在接受</w:t>
      </w:r>
      <w:r>
        <w:rPr>
          <w:rFonts w:hint="default" w:ascii="Times New Roman" w:hAnsi="Times New Roman" w:eastAsia="方正仿宋_GBK" w:cs="Times New Roman"/>
          <w:color w:val="000000"/>
          <w:sz w:val="32"/>
          <w:szCs w:val="32"/>
          <w:highlight w:val="none"/>
        </w:rPr>
        <w:t>定点长护服务机构</w:t>
      </w:r>
      <w:r>
        <w:rPr>
          <w:rFonts w:hint="default" w:ascii="Times New Roman" w:hAnsi="Times New Roman" w:eastAsia="方正仿宋_GBK" w:cs="Times New Roman"/>
          <w:color w:val="000000"/>
          <w:sz w:val="32"/>
          <w:szCs w:val="32"/>
          <w:highlight w:val="none"/>
          <w:lang w:val="zh-TW"/>
        </w:rPr>
        <w:t>护理服务期间，发生符合规定的护理服务费</w:t>
      </w:r>
      <w:r>
        <w:rPr>
          <w:rFonts w:hint="eastAsia" w:ascii="Times New Roman" w:hAnsi="Times New Roman" w:eastAsia="方正仿宋_GBK" w:cs="Times New Roman"/>
          <w:color w:val="000000"/>
          <w:sz w:val="32"/>
          <w:szCs w:val="32"/>
          <w:highlight w:val="none"/>
        </w:rPr>
        <w:t>等</w:t>
      </w:r>
      <w:r>
        <w:rPr>
          <w:rFonts w:hint="default" w:ascii="Times New Roman" w:hAnsi="Times New Roman" w:eastAsia="方正仿宋_GBK" w:cs="Times New Roman"/>
          <w:color w:val="000000"/>
          <w:sz w:val="32"/>
          <w:szCs w:val="32"/>
          <w:highlight w:val="none"/>
          <w:lang w:val="zh-TW"/>
        </w:rPr>
        <w:t>费用纳入长护险基金支付范围，按床日、</w:t>
      </w:r>
      <w:r>
        <w:rPr>
          <w:rFonts w:hint="default" w:ascii="Times New Roman" w:hAnsi="Times New Roman" w:eastAsia="方正仿宋_GBK" w:cs="Times New Roman"/>
          <w:color w:val="000000"/>
          <w:sz w:val="32"/>
          <w:szCs w:val="32"/>
          <w:highlight w:val="none"/>
        </w:rPr>
        <w:t>按服务时长（服务包）</w:t>
      </w:r>
      <w:r>
        <w:rPr>
          <w:rFonts w:hint="default" w:ascii="Times New Roman" w:hAnsi="Times New Roman" w:eastAsia="方正仿宋_GBK" w:cs="Times New Roman"/>
          <w:color w:val="000000"/>
          <w:sz w:val="32"/>
          <w:szCs w:val="32"/>
          <w:highlight w:val="none"/>
          <w:lang w:val="zh-TW"/>
        </w:rPr>
        <w:t>实行限额管理。</w:t>
      </w:r>
      <w:r>
        <w:rPr>
          <w:rFonts w:hint="eastAsia" w:ascii="Times New Roman" w:hAnsi="Times New Roman" w:eastAsia="方正仿宋_GBK" w:cs="Times New Roman"/>
          <w:sz w:val="32"/>
          <w:szCs w:val="32"/>
          <w:highlight w:val="none"/>
        </w:rPr>
        <w:t>超出支付范围的护理服务费用由参保人员个人或其他渠道支付。</w:t>
      </w:r>
    </w:p>
    <w:p>
      <w:pPr>
        <w:widowControl/>
        <w:spacing w:line="560" w:lineRule="exact"/>
        <w:ind w:firstLine="640" w:firstLineChars="200"/>
        <w:rPr>
          <w:rFonts w:hint="default" w:ascii="方正楷体_GBK" w:hAnsi="方正楷体_GBK" w:eastAsia="方正楷体_GBK" w:cs="方正楷体_GBK"/>
          <w:sz w:val="32"/>
          <w:szCs w:val="32"/>
          <w:highlight w:val="none"/>
        </w:rPr>
      </w:pPr>
      <w:r>
        <w:rPr>
          <w:rFonts w:hint="eastAsia" w:ascii="方正楷体_GBK" w:hAnsi="方正楷体_GBK" w:eastAsia="方正楷体_GBK" w:cs="方正楷体_GBK"/>
          <w:sz w:val="32"/>
          <w:szCs w:val="32"/>
          <w:highlight w:val="none"/>
        </w:rPr>
        <w:t>（一）居家护理</w:t>
      </w:r>
    </w:p>
    <w:p>
      <w:pPr>
        <w:spacing w:line="560" w:lineRule="exact"/>
        <w:ind w:firstLine="960" w:firstLineChars="300"/>
        <w:rPr>
          <w:rFonts w:hint="eastAsia" w:ascii="Times New Roman" w:hAnsi="Times New Roman" w:eastAsia="方正仿宋_GBK" w:cs="Times New Roman"/>
          <w:color w:val="000000"/>
          <w:sz w:val="32"/>
          <w:szCs w:val="32"/>
          <w:highlight w:val="none"/>
        </w:rPr>
      </w:pPr>
      <w:bookmarkStart w:id="20" w:name="OLE_LINK45"/>
      <w:r>
        <w:rPr>
          <w:rFonts w:hint="eastAsia" w:ascii="Times New Roman" w:hAnsi="Times New Roman" w:eastAsia="方正仿宋_GBK" w:cs="Times New Roman"/>
          <w:color w:val="000000"/>
          <w:sz w:val="32"/>
          <w:szCs w:val="32"/>
          <w:highlight w:val="none"/>
        </w:rPr>
        <w:t>居家</w:t>
      </w:r>
      <w:r>
        <w:rPr>
          <w:rFonts w:hint="default" w:ascii="Times New Roman" w:hAnsi="Times New Roman" w:eastAsia="方正仿宋_GBK" w:cs="Times New Roman"/>
          <w:color w:val="000000"/>
          <w:sz w:val="32"/>
          <w:szCs w:val="32"/>
          <w:highlight w:val="none"/>
        </w:rPr>
        <w:t>护理待遇实行限额支付。</w:t>
      </w:r>
      <w:bookmarkStart w:id="21" w:name="OLE_LINK61"/>
      <w:r>
        <w:rPr>
          <w:rFonts w:hint="eastAsia" w:ascii="Times New Roman" w:hAnsi="+仿宋_GB2312" w:eastAsia="方正仿宋_GBK" w:cs="+仿宋_GB2312"/>
          <w:sz w:val="32"/>
          <w:szCs w:val="32"/>
          <w:highlight w:val="none"/>
        </w:rPr>
        <w:t>按单位职工参保的</w:t>
      </w:r>
      <w:bookmarkEnd w:id="21"/>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color w:val="000000"/>
          <w:sz w:val="32"/>
          <w:szCs w:val="32"/>
          <w:highlight w:val="none"/>
        </w:rPr>
        <w:t>重度</w:t>
      </w:r>
      <w:bookmarkStart w:id="22" w:name="OLE_LINK37"/>
      <w:bookmarkStart w:id="23" w:name="OLE_LINK36"/>
      <w:r>
        <w:rPr>
          <w:rFonts w:hint="default" w:ascii="Times New Roman" w:hAnsi="Times New Roman" w:eastAsia="方正仿宋_GBK" w:cs="Times New Roman"/>
          <w:color w:val="000000"/>
          <w:sz w:val="32"/>
          <w:szCs w:val="32"/>
          <w:highlight w:val="none"/>
        </w:rPr>
        <w:t>Ⅰ</w:t>
      </w:r>
      <w:bookmarkEnd w:id="22"/>
      <w:bookmarkEnd w:id="23"/>
      <w:r>
        <w:rPr>
          <w:rFonts w:hint="default" w:ascii="Times New Roman" w:hAnsi="Times New Roman" w:eastAsia="方正仿宋_GBK" w:cs="Times New Roman"/>
          <w:color w:val="000000"/>
          <w:sz w:val="32"/>
          <w:szCs w:val="32"/>
          <w:highlight w:val="none"/>
        </w:rPr>
        <w:t>级、重度</w:t>
      </w:r>
      <w:bookmarkStart w:id="24" w:name="OLE_LINK35"/>
      <w:bookmarkStart w:id="25" w:name="OLE_LINK34"/>
      <w:r>
        <w:rPr>
          <w:rFonts w:hint="default" w:ascii="Times New Roman" w:hAnsi="Times New Roman" w:eastAsia="方正仿宋_GBK" w:cs="Times New Roman"/>
          <w:color w:val="000000"/>
          <w:sz w:val="32"/>
          <w:szCs w:val="32"/>
          <w:highlight w:val="none"/>
        </w:rPr>
        <w:t>Ⅱ</w:t>
      </w:r>
      <w:bookmarkEnd w:id="24"/>
      <w:bookmarkEnd w:id="25"/>
      <w:r>
        <w:rPr>
          <w:rFonts w:hint="default" w:ascii="Times New Roman" w:hAnsi="Times New Roman" w:eastAsia="方正仿宋_GBK" w:cs="Times New Roman"/>
          <w:color w:val="000000"/>
          <w:sz w:val="32"/>
          <w:szCs w:val="32"/>
          <w:highlight w:val="none"/>
        </w:rPr>
        <w:t>级、重度</w:t>
      </w:r>
      <w:bookmarkStart w:id="26" w:name="OLE_LINK38"/>
      <w:bookmarkStart w:id="27" w:name="OLE_LINK39"/>
      <w:r>
        <w:rPr>
          <w:rFonts w:hint="default" w:ascii="Times New Roman" w:hAnsi="Times New Roman" w:eastAsia="方正仿宋_GBK" w:cs="Times New Roman"/>
          <w:color w:val="000000"/>
          <w:sz w:val="32"/>
          <w:szCs w:val="32"/>
          <w:highlight w:val="none"/>
        </w:rPr>
        <w:t>Ⅲ</w:t>
      </w:r>
      <w:bookmarkEnd w:id="26"/>
      <w:bookmarkEnd w:id="27"/>
      <w:r>
        <w:rPr>
          <w:rFonts w:hint="default" w:ascii="Times New Roman" w:hAnsi="Times New Roman" w:eastAsia="方正仿宋_GBK" w:cs="Times New Roman"/>
          <w:color w:val="000000"/>
          <w:sz w:val="32"/>
          <w:szCs w:val="32"/>
          <w:highlight w:val="none"/>
        </w:rPr>
        <w:t>级</w:t>
      </w:r>
      <w:bookmarkStart w:id="28" w:name="OLE_LINK55"/>
      <w:bookmarkStart w:id="29" w:name="OLE_LINK56"/>
      <w:r>
        <w:rPr>
          <w:rFonts w:hint="default" w:ascii="Times New Roman" w:hAnsi="Times New Roman" w:eastAsia="方正仿宋_GBK" w:cs="Times New Roman"/>
          <w:color w:val="000000"/>
          <w:sz w:val="32"/>
          <w:szCs w:val="32"/>
          <w:highlight w:val="none"/>
        </w:rPr>
        <w:t>分别</w:t>
      </w:r>
      <w:bookmarkEnd w:id="28"/>
      <w:bookmarkEnd w:id="29"/>
      <w:r>
        <w:rPr>
          <w:rFonts w:hint="default" w:ascii="Times New Roman" w:hAnsi="Times New Roman" w:eastAsia="方正仿宋_GBK" w:cs="Times New Roman"/>
          <w:color w:val="000000"/>
          <w:sz w:val="32"/>
          <w:szCs w:val="32"/>
          <w:highlight w:val="none"/>
        </w:rPr>
        <w:t>按待遇支付基准的</w:t>
      </w:r>
      <w:r>
        <w:rPr>
          <w:rFonts w:hint="eastAsia" w:ascii="Times New Roman" w:hAnsi="Times New Roman" w:eastAsia="方正仿宋_GBK" w:cs="Times New Roman"/>
          <w:color w:val="000000"/>
          <w:sz w:val="32"/>
          <w:szCs w:val="32"/>
          <w:highlight w:val="none"/>
        </w:rPr>
        <w:t>70</w:t>
      </w:r>
      <w:r>
        <w:rPr>
          <w:rFonts w:hint="default" w:ascii="Times New Roman" w:hAnsi="Times New Roman" w:eastAsia="方正仿宋_GBK" w:cs="Times New Roman"/>
          <w:color w:val="000000"/>
          <w:sz w:val="32"/>
          <w:szCs w:val="32"/>
          <w:highlight w:val="none"/>
        </w:rPr>
        <w:t>%、7</w:t>
      </w:r>
      <w:r>
        <w:rPr>
          <w:rFonts w:hint="eastAsia" w:ascii="Times New Roman" w:hAnsi="Times New Roman" w:eastAsia="方正仿宋_GBK" w:cs="Times New Roman"/>
          <w:color w:val="000000"/>
          <w:sz w:val="32"/>
          <w:szCs w:val="32"/>
          <w:highlight w:val="none"/>
        </w:rPr>
        <w:t>5</w:t>
      </w:r>
      <w:r>
        <w:rPr>
          <w:rFonts w:hint="default" w:ascii="Times New Roman" w:hAnsi="Times New Roman" w:eastAsia="方正仿宋_GBK" w:cs="Times New Roman"/>
          <w:color w:val="000000"/>
          <w:sz w:val="32"/>
          <w:szCs w:val="32"/>
          <w:highlight w:val="none"/>
        </w:rPr>
        <w:t>%、</w:t>
      </w:r>
      <w:r>
        <w:rPr>
          <w:rFonts w:hint="eastAsia" w:ascii="Times New Roman" w:hAnsi="Times New Roman" w:eastAsia="方正仿宋_GBK" w:cs="Times New Roman"/>
          <w:color w:val="000000"/>
          <w:sz w:val="32"/>
          <w:szCs w:val="32"/>
          <w:highlight w:val="none"/>
        </w:rPr>
        <w:t>80</w:t>
      </w:r>
      <w:r>
        <w:rPr>
          <w:rFonts w:hint="default" w:ascii="Times New Roman" w:hAnsi="Times New Roman" w:eastAsia="方正仿宋_GBK" w:cs="Times New Roman"/>
          <w:color w:val="000000"/>
          <w:sz w:val="32"/>
          <w:szCs w:val="32"/>
          <w:highlight w:val="none"/>
        </w:rPr>
        <w:t>%给予</w:t>
      </w:r>
      <w:r>
        <w:rPr>
          <w:rFonts w:hint="eastAsia" w:ascii="Times New Roman" w:hAnsi="Times New Roman" w:eastAsia="方正仿宋_GBK" w:cs="Times New Roman"/>
          <w:color w:val="000000"/>
          <w:sz w:val="32"/>
          <w:szCs w:val="32"/>
          <w:highlight w:val="none"/>
          <w:lang w:val="en-US" w:eastAsia="zh-CN"/>
        </w:rPr>
        <w:t>支付</w:t>
      </w:r>
      <w:r>
        <w:rPr>
          <w:rFonts w:hint="default" w:ascii="Times New Roman" w:hAnsi="Times New Roman" w:eastAsia="方正仿宋_GBK" w:cs="Times New Roman"/>
          <w:color w:val="000000"/>
          <w:sz w:val="32"/>
          <w:szCs w:val="32"/>
          <w:highlight w:val="none"/>
        </w:rPr>
        <w:t>。</w:t>
      </w:r>
      <w:r>
        <w:rPr>
          <w:rFonts w:hint="eastAsia" w:ascii="Times New Roman" w:hAnsi="Times New Roman" w:eastAsia="方正仿宋_GBK" w:cs="Times New Roman"/>
          <w:color w:val="000000"/>
          <w:sz w:val="32"/>
          <w:szCs w:val="32"/>
          <w:highlight w:val="none"/>
        </w:rPr>
        <w:t>按未就业城乡居民参保的，</w:t>
      </w:r>
      <w:r>
        <w:rPr>
          <w:rFonts w:hint="default" w:ascii="Times New Roman" w:hAnsi="Times New Roman" w:eastAsia="方正仿宋_GBK" w:cs="Times New Roman"/>
          <w:color w:val="000000"/>
          <w:sz w:val="32"/>
          <w:szCs w:val="32"/>
          <w:highlight w:val="none"/>
        </w:rPr>
        <w:t>重度Ⅰ级、重度Ⅱ级、重度Ⅲ级分别按待遇支付基准的5</w:t>
      </w:r>
      <w:r>
        <w:rPr>
          <w:rFonts w:hint="eastAsia" w:ascii="Times New Roman" w:hAnsi="Times New Roman" w:eastAsia="方正仿宋_GBK" w:cs="Times New Roman"/>
          <w:color w:val="000000"/>
          <w:sz w:val="32"/>
          <w:szCs w:val="32"/>
          <w:highlight w:val="none"/>
        </w:rPr>
        <w:t>5</w:t>
      </w:r>
      <w:r>
        <w:rPr>
          <w:rFonts w:hint="default" w:ascii="Times New Roman" w:hAnsi="Times New Roman" w:eastAsia="方正仿宋_GBK" w:cs="Times New Roman"/>
          <w:color w:val="000000"/>
          <w:sz w:val="32"/>
          <w:szCs w:val="32"/>
          <w:highlight w:val="none"/>
        </w:rPr>
        <w:t>%、</w:t>
      </w:r>
      <w:r>
        <w:rPr>
          <w:rFonts w:hint="eastAsia" w:ascii="Times New Roman" w:hAnsi="Times New Roman" w:eastAsia="方正仿宋_GBK" w:cs="Times New Roman"/>
          <w:color w:val="000000"/>
          <w:sz w:val="32"/>
          <w:szCs w:val="32"/>
          <w:highlight w:val="none"/>
        </w:rPr>
        <w:t>60%、65%</w:t>
      </w:r>
      <w:r>
        <w:rPr>
          <w:rFonts w:hint="default" w:ascii="Times New Roman" w:hAnsi="Times New Roman" w:eastAsia="方正仿宋_GBK" w:cs="Times New Roman"/>
          <w:color w:val="000000"/>
          <w:sz w:val="32"/>
          <w:szCs w:val="32"/>
          <w:highlight w:val="none"/>
        </w:rPr>
        <w:t>给予</w:t>
      </w:r>
      <w:r>
        <w:rPr>
          <w:rFonts w:hint="eastAsia" w:ascii="Times New Roman" w:hAnsi="Times New Roman" w:eastAsia="方正仿宋_GBK" w:cs="Times New Roman"/>
          <w:color w:val="000000"/>
          <w:sz w:val="32"/>
          <w:szCs w:val="32"/>
          <w:highlight w:val="none"/>
          <w:lang w:val="en-US" w:eastAsia="zh-CN"/>
        </w:rPr>
        <w:t>支付</w:t>
      </w:r>
      <w:r>
        <w:rPr>
          <w:rFonts w:hint="default" w:ascii="Times New Roman" w:hAnsi="Times New Roman" w:eastAsia="方正仿宋_GBK" w:cs="Times New Roman"/>
          <w:color w:val="000000"/>
          <w:sz w:val="32"/>
          <w:szCs w:val="32"/>
          <w:highlight w:val="none"/>
        </w:rPr>
        <w:t>。</w:t>
      </w:r>
    </w:p>
    <w:bookmarkEnd w:id="20"/>
    <w:p>
      <w:pPr>
        <w:spacing w:line="560" w:lineRule="exact"/>
        <w:ind w:firstLine="640" w:firstLineChars="200"/>
        <w:rPr>
          <w:rFonts w:hint="eastAsia" w:ascii="Times New Roman" w:hAnsi="Times New Roman" w:eastAsia="方正仿宋_GBK" w:cs="Times New Roman"/>
          <w:sz w:val="32"/>
          <w:szCs w:val="32"/>
          <w:highlight w:val="none"/>
        </w:rPr>
      </w:pPr>
      <w:r>
        <w:rPr>
          <w:rFonts w:hint="eastAsia" w:ascii="Times New Roman" w:hAnsi="Times New Roman" w:eastAsia="方正仿宋_GBK" w:cs="Times New Roman"/>
          <w:sz w:val="32"/>
          <w:szCs w:val="32"/>
          <w:highlight w:val="none"/>
        </w:rPr>
        <w:t>符合享受长护险待遇的参保人员或其监护人、委托代理人可根据自身需求，在居家护理服务方式中选择一种。</w:t>
      </w:r>
    </w:p>
    <w:p>
      <w:pPr>
        <w:spacing w:line="560" w:lineRule="exact"/>
        <w:ind w:firstLine="640" w:firstLineChars="200"/>
        <w:rPr>
          <w:rFonts w:hint="eastAsia" w:ascii="Times New Roman" w:hAnsi="Times New Roman" w:eastAsia="方正仿宋_GBK" w:cs="Times New Roman"/>
          <w:color w:val="000000"/>
          <w:sz w:val="32"/>
          <w:szCs w:val="32"/>
          <w:highlight w:val="none"/>
        </w:rPr>
      </w:pPr>
      <w:r>
        <w:rPr>
          <w:rFonts w:hint="eastAsia" w:ascii="方正楷体_GBK" w:hAnsi="Times New Roman" w:eastAsia="方正楷体_GBK" w:cs="Times New Roman"/>
          <w:sz w:val="32"/>
          <w:szCs w:val="32"/>
          <w:highlight w:val="none"/>
        </w:rPr>
        <w:t>方式一：机构上门护理。</w:t>
      </w:r>
      <w:r>
        <w:rPr>
          <w:rFonts w:hint="eastAsia" w:ascii="Times New Roman" w:hAnsi="Times New Roman" w:eastAsia="方正仿宋_GBK" w:cs="Times New Roman"/>
          <w:sz w:val="32"/>
          <w:szCs w:val="32"/>
          <w:highlight w:val="none"/>
        </w:rPr>
        <w:t>由定点长护服务机构提供标准化居家护理服务包，服务项目由参保人员在《国家长期护理保险服务项目目录》中选择。具体服务项目、服务频次按服务协议约定执行。</w:t>
      </w:r>
      <w:r>
        <w:rPr>
          <w:rFonts w:hint="eastAsia" w:ascii="Times New Roman" w:hAnsi="Times New Roman" w:eastAsia="方正仿宋_GBK" w:cs="Times New Roman"/>
          <w:color w:val="000000"/>
          <w:sz w:val="32"/>
          <w:szCs w:val="32"/>
          <w:highlight w:val="none"/>
        </w:rPr>
        <w:t>居家护理服务按服务时长收费，付费标准为100元/小时，服务时长</w:t>
      </w:r>
      <w:bookmarkStart w:id="30" w:name="OLE_LINK51"/>
      <w:r>
        <w:rPr>
          <w:rFonts w:hint="eastAsia" w:ascii="Times New Roman" w:hAnsi="Times New Roman" w:eastAsia="方正仿宋_GBK" w:cs="Times New Roman"/>
          <w:color w:val="000000"/>
          <w:sz w:val="32"/>
          <w:szCs w:val="32"/>
          <w:highlight w:val="none"/>
        </w:rPr>
        <w:t>每次不超过2小时</w:t>
      </w:r>
      <w:bookmarkEnd w:id="30"/>
      <w:r>
        <w:rPr>
          <w:rFonts w:hint="default" w:ascii="Times New Roman" w:hAnsi="Times New Roman" w:eastAsia="方正仿宋_GBK" w:cs="Times New Roman"/>
          <w:color w:val="000000"/>
          <w:sz w:val="32"/>
          <w:szCs w:val="32"/>
          <w:highlight w:val="none"/>
        </w:rPr>
        <w:t>。</w:t>
      </w:r>
    </w:p>
    <w:p>
      <w:pPr>
        <w:spacing w:line="560" w:lineRule="exact"/>
        <w:ind w:firstLine="640" w:firstLineChars="200"/>
        <w:rPr>
          <w:rFonts w:hint="eastAsia" w:ascii="Times New Roman" w:hAnsi="Times New Roman" w:eastAsia="方正仿宋_GBK" w:cs="Times New Roman"/>
          <w:sz w:val="32"/>
          <w:szCs w:val="32"/>
          <w:highlight w:val="none"/>
        </w:rPr>
      </w:pPr>
      <w:bookmarkStart w:id="31" w:name="OLE_LINK8"/>
      <w:r>
        <w:rPr>
          <w:rFonts w:hint="eastAsia" w:ascii="方正楷体_GBK" w:hAnsi="Times New Roman" w:eastAsia="方正楷体_GBK" w:cs="Times New Roman"/>
          <w:sz w:val="32"/>
          <w:szCs w:val="32"/>
          <w:highlight w:val="none"/>
        </w:rPr>
        <w:t>方式二：长期照护师+机构</w:t>
      </w:r>
      <w:bookmarkStart w:id="32" w:name="OLE_LINK58"/>
      <w:r>
        <w:rPr>
          <w:rFonts w:hint="eastAsia" w:ascii="方正楷体_GBK" w:hAnsi="Times New Roman" w:eastAsia="方正楷体_GBK" w:cs="Times New Roman"/>
          <w:sz w:val="32"/>
          <w:szCs w:val="32"/>
          <w:highlight w:val="none"/>
        </w:rPr>
        <w:t>上门服</w:t>
      </w:r>
      <w:bookmarkEnd w:id="32"/>
      <w:r>
        <w:rPr>
          <w:rFonts w:hint="eastAsia" w:ascii="方正楷体_GBK" w:hAnsi="Times New Roman" w:eastAsia="方正楷体_GBK" w:cs="Times New Roman"/>
          <w:sz w:val="32"/>
          <w:szCs w:val="32"/>
          <w:highlight w:val="none"/>
        </w:rPr>
        <w:t>务。</w:t>
      </w:r>
      <w:r>
        <w:rPr>
          <w:rFonts w:hint="eastAsia" w:ascii="Times New Roman" w:hAnsi="Times New Roman" w:eastAsia="方正仿宋_GBK" w:cs="Times New Roman"/>
          <w:sz w:val="32"/>
          <w:szCs w:val="32"/>
          <w:highlight w:val="none"/>
        </w:rPr>
        <w:t>已取得</w:t>
      </w:r>
      <w:bookmarkStart w:id="33" w:name="OLE_LINK57"/>
      <w:r>
        <w:rPr>
          <w:rFonts w:hint="eastAsia" w:ascii="Times New Roman" w:hAnsi="Times New Roman" w:eastAsia="方正仿宋_GBK" w:cs="Times New Roman"/>
          <w:sz w:val="32"/>
          <w:szCs w:val="32"/>
          <w:highlight w:val="none"/>
        </w:rPr>
        <w:t>长期照护师</w:t>
      </w:r>
      <w:bookmarkEnd w:id="33"/>
      <w:r>
        <w:rPr>
          <w:rFonts w:hint="eastAsia" w:ascii="Times New Roman" w:hAnsi="Times New Roman" w:eastAsia="方正仿宋_GBK" w:cs="Times New Roman"/>
          <w:sz w:val="32"/>
          <w:szCs w:val="32"/>
          <w:highlight w:val="none"/>
        </w:rPr>
        <w:t>职业技能等级证书，并与本市长护险定点护理服务机构签订护理服务协议的长期照护师从业人员，可在参保失能人员常住家庭住所内，为其</w:t>
      </w:r>
      <w:r>
        <w:rPr>
          <w:rFonts w:hint="default" w:ascii="Times New Roman" w:hAnsi="Times New Roman" w:eastAsia="方正仿宋_GBK" w:cs="Times New Roman"/>
          <w:kern w:val="21"/>
          <w:sz w:val="32"/>
          <w:szCs w:val="32"/>
          <w:highlight w:val="none"/>
        </w:rPr>
        <w:t>提供长期护理服务。</w:t>
      </w:r>
      <w:r>
        <w:rPr>
          <w:rFonts w:hint="default" w:ascii="Times New Roman" w:hAnsi="Times New Roman" w:eastAsia="方正仿宋_GBK" w:cs="Times New Roman"/>
          <w:sz w:val="32"/>
          <w:szCs w:val="32"/>
          <w:highlight w:val="none"/>
        </w:rPr>
        <w:t>长期照护师从事上述合规服务的相关待遇，仍按我市原有</w:t>
      </w:r>
      <w:r>
        <w:rPr>
          <w:rFonts w:hint="eastAsia" w:ascii="Times New Roman" w:hAnsi="Times New Roman" w:eastAsia="方正仿宋_GBK" w:cs="Times New Roman"/>
          <w:sz w:val="32"/>
          <w:szCs w:val="32"/>
          <w:highlight w:val="none"/>
          <w:lang w:val="en-US" w:eastAsia="zh-CN"/>
        </w:rPr>
        <w:t>不含上门护理服务的待遇标准执行</w:t>
      </w:r>
      <w:r>
        <w:rPr>
          <w:rFonts w:hint="default" w:ascii="Times New Roman" w:hAnsi="Times New Roman" w:eastAsia="方正仿宋_GBK" w:cs="Times New Roman"/>
          <w:sz w:val="32"/>
          <w:szCs w:val="32"/>
          <w:highlight w:val="none"/>
        </w:rPr>
        <w:t>。同时，参保失能人员可自主选择定点护理服务机构</w:t>
      </w:r>
      <w:r>
        <w:rPr>
          <w:rFonts w:hint="eastAsia" w:ascii="Times New Roman" w:hAnsi="+仿宋_GB2312" w:eastAsia="方正仿宋_GBK" w:cs="+仿宋_GB2312"/>
          <w:color w:val="000000"/>
          <w:kern w:val="0"/>
          <w:sz w:val="32"/>
          <w:szCs w:val="32"/>
          <w:highlight w:val="none"/>
        </w:rPr>
        <w:t>上门护理服务每月4次，</w:t>
      </w:r>
      <w:r>
        <w:rPr>
          <w:rFonts w:hint="default" w:ascii="Times New Roman" w:hAnsi="Times New Roman" w:eastAsia="方正仿宋_GBK" w:cs="Times New Roman"/>
          <w:sz w:val="32"/>
          <w:szCs w:val="32"/>
          <w:highlight w:val="none"/>
        </w:rPr>
        <w:t>单次</w:t>
      </w:r>
      <w:r>
        <w:rPr>
          <w:rFonts w:hint="eastAsia" w:ascii="Times New Roman" w:hAnsi="+仿宋_GB2312" w:eastAsia="方正仿宋_GBK" w:cs="+仿宋_GB2312"/>
          <w:color w:val="000000"/>
          <w:kern w:val="0"/>
          <w:sz w:val="32"/>
          <w:szCs w:val="32"/>
          <w:highlight w:val="none"/>
        </w:rPr>
        <w:t>服务时长1小</w:t>
      </w:r>
      <w:r>
        <w:rPr>
          <w:rFonts w:hint="eastAsia" w:ascii="仿宋_GB2312" w:hAnsi="Times New Roman" w:eastAsia="仿宋_GB2312" w:cs="Times New Roman"/>
          <w:color w:val="000000"/>
          <w:kern w:val="0"/>
          <w:sz w:val="32"/>
          <w:szCs w:val="32"/>
          <w:highlight w:val="none"/>
        </w:rPr>
        <w:t>时。</w:t>
      </w:r>
      <w:bookmarkStart w:id="34" w:name="OLE_LINK69"/>
      <w:bookmarkStart w:id="35" w:name="OLE_LINK68"/>
      <w:bookmarkStart w:id="36" w:name="OLE_LINK67"/>
      <w:r>
        <w:rPr>
          <w:rFonts w:hint="eastAsia" w:ascii="Times New Roman" w:hAnsi="Times New Roman" w:eastAsia="方正仿宋_GBK" w:cs="Times New Roman"/>
          <w:sz w:val="32"/>
          <w:szCs w:val="32"/>
          <w:highlight w:val="none"/>
        </w:rPr>
        <w:t>定点机构上门护理服务，由参保人员在《</w:t>
      </w:r>
      <w:bookmarkStart w:id="37" w:name="OLE_LINK47"/>
      <w:bookmarkStart w:id="38" w:name="OLE_LINK70"/>
      <w:r>
        <w:rPr>
          <w:rFonts w:hint="eastAsia" w:ascii="Times New Roman" w:hAnsi="Times New Roman" w:eastAsia="方正仿宋_GBK" w:cs="Times New Roman"/>
          <w:sz w:val="32"/>
          <w:szCs w:val="32"/>
          <w:highlight w:val="none"/>
        </w:rPr>
        <w:t>国家长期护理保险服务项目目录</w:t>
      </w:r>
      <w:bookmarkEnd w:id="37"/>
      <w:bookmarkEnd w:id="38"/>
      <w:r>
        <w:rPr>
          <w:rFonts w:hint="eastAsia" w:ascii="Times New Roman" w:hAnsi="Times New Roman" w:eastAsia="方正仿宋_GBK" w:cs="Times New Roman"/>
          <w:sz w:val="32"/>
          <w:szCs w:val="32"/>
          <w:highlight w:val="none"/>
        </w:rPr>
        <w:t>》中自主选择，对应护理费用由长护险经办机构与定点长护服务机构直接结算</w:t>
      </w:r>
      <w:bookmarkEnd w:id="34"/>
      <w:bookmarkEnd w:id="35"/>
      <w:bookmarkEnd w:id="36"/>
      <w:bookmarkStart w:id="39" w:name="OLE_LINK19"/>
      <w:bookmarkStart w:id="40" w:name="OLE_LINK17"/>
      <w:r>
        <w:rPr>
          <w:rFonts w:hint="eastAsia" w:ascii="Times New Roman" w:hAnsi="Times New Roman" w:eastAsia="方正仿宋_GBK" w:cs="Times New Roman"/>
          <w:sz w:val="32"/>
          <w:szCs w:val="32"/>
          <w:highlight w:val="none"/>
        </w:rPr>
        <w:t>。</w:t>
      </w:r>
      <w:bookmarkEnd w:id="39"/>
      <w:bookmarkEnd w:id="40"/>
    </w:p>
    <w:p>
      <w:pPr>
        <w:spacing w:line="560" w:lineRule="exact"/>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符合条件的</w:t>
      </w:r>
      <w:r>
        <w:rPr>
          <w:rFonts w:hint="eastAsia" w:ascii="Times New Roman" w:hAnsi="Times New Roman" w:eastAsia="方正仿宋_GBK" w:cs="Times New Roman"/>
          <w:sz w:val="32"/>
          <w:szCs w:val="32"/>
          <w:highlight w:val="none"/>
        </w:rPr>
        <w:t>重度失能人员，</w:t>
      </w:r>
      <w:r>
        <w:rPr>
          <w:rFonts w:hint="default" w:ascii="Times New Roman" w:hAnsi="Times New Roman" w:eastAsia="方正仿宋_GBK" w:cs="Times New Roman"/>
          <w:sz w:val="32"/>
          <w:szCs w:val="32"/>
          <w:highlight w:val="none"/>
        </w:rPr>
        <w:t>可</w:t>
      </w:r>
      <w:bookmarkStart w:id="41" w:name="OLE_LINK27"/>
      <w:bookmarkStart w:id="42" w:name="OLE_LINK28"/>
      <w:r>
        <w:rPr>
          <w:rFonts w:hint="default" w:ascii="Times New Roman" w:hAnsi="Times New Roman" w:eastAsia="方正仿宋_GBK" w:cs="Times New Roman"/>
          <w:sz w:val="32"/>
          <w:szCs w:val="32"/>
          <w:highlight w:val="none"/>
        </w:rPr>
        <w:t>自主选择</w:t>
      </w:r>
      <w:bookmarkEnd w:id="41"/>
      <w:bookmarkEnd w:id="42"/>
      <w:r>
        <w:rPr>
          <w:rFonts w:hint="default" w:ascii="Times New Roman" w:hAnsi="Times New Roman" w:eastAsia="方正仿宋_GBK" w:cs="Times New Roman"/>
          <w:sz w:val="32"/>
          <w:szCs w:val="32"/>
          <w:highlight w:val="none"/>
        </w:rPr>
        <w:t>本细则规定的两种居家护理服务方式。服务方式一经选定，一个自然年度内变更次数原则上不超过2次。</w:t>
      </w:r>
    </w:p>
    <w:bookmarkEnd w:id="14"/>
    <w:bookmarkEnd w:id="15"/>
    <w:bookmarkEnd w:id="31"/>
    <w:p>
      <w:pPr>
        <w:spacing w:line="560" w:lineRule="exact"/>
        <w:ind w:firstLine="640" w:firstLineChars="200"/>
        <w:rPr>
          <w:rFonts w:hint="eastAsia" w:ascii="Times New Roman" w:hAnsi="Times New Roman" w:eastAsia="方正仿宋_GBK" w:cs="Times New Roman"/>
          <w:sz w:val="32"/>
          <w:szCs w:val="32"/>
          <w:highlight w:val="none"/>
        </w:rPr>
      </w:pPr>
      <w:bookmarkStart w:id="43" w:name="OLE_LINK32"/>
      <w:bookmarkStart w:id="44" w:name="OLE_LINK31"/>
      <w:r>
        <w:rPr>
          <w:rFonts w:hint="eastAsia" w:ascii="Times New Roman" w:hAnsi="Times New Roman" w:eastAsia="方正仿宋_GBK" w:cs="Times New Roman"/>
          <w:sz w:val="32"/>
          <w:szCs w:val="32"/>
          <w:highlight w:val="none"/>
        </w:rPr>
        <w:t>本细则</w:t>
      </w:r>
      <w:r>
        <w:rPr>
          <w:rFonts w:hint="eastAsia" w:ascii="Times New Roman" w:hAnsi="Times New Roman" w:eastAsia="方正仿宋_GBK" w:cs="Times New Roman"/>
          <w:strike w:val="0"/>
          <w:dstrike w:val="0"/>
          <w:sz w:val="32"/>
          <w:szCs w:val="32"/>
          <w:highlight w:val="none"/>
          <w:lang w:val="en-US" w:eastAsia="zh-CN"/>
        </w:rPr>
        <w:t>实施</w:t>
      </w:r>
      <w:r>
        <w:rPr>
          <w:rFonts w:hint="eastAsia" w:ascii="Times New Roman" w:hAnsi="Times New Roman" w:eastAsia="方正仿宋_GBK" w:cs="Times New Roman"/>
          <w:sz w:val="32"/>
          <w:szCs w:val="32"/>
          <w:highlight w:val="none"/>
        </w:rPr>
        <w:t>前，已享受</w:t>
      </w:r>
      <w:r>
        <w:rPr>
          <w:rFonts w:hint="eastAsia" w:ascii="Times New Roman" w:hAnsi="Times New Roman" w:eastAsia="方正仿宋_GBK" w:cs="Times New Roman"/>
          <w:sz w:val="32"/>
          <w:szCs w:val="32"/>
          <w:highlight w:val="none"/>
          <w:lang w:val="en-US" w:eastAsia="zh-CN"/>
        </w:rPr>
        <w:t>我市</w:t>
      </w:r>
      <w:r>
        <w:rPr>
          <w:rFonts w:hint="eastAsia" w:ascii="Times New Roman" w:hAnsi="Times New Roman" w:eastAsia="方正仿宋_GBK" w:cs="Times New Roman"/>
          <w:sz w:val="32"/>
          <w:szCs w:val="32"/>
          <w:highlight w:val="none"/>
        </w:rPr>
        <w:t>长护险居家护理待遇的参保人员，参照本条方式二的待遇标准继续执行；也可根据个人意愿，申请转为按本条规定的新模式执行。待遇模式一经调整，不得再转回原政策模式。本细则</w:t>
      </w:r>
      <w:r>
        <w:rPr>
          <w:rFonts w:hint="eastAsia" w:ascii="Times New Roman" w:hAnsi="Times New Roman" w:eastAsia="方正仿宋_GBK" w:cs="Times New Roman"/>
          <w:strike w:val="0"/>
          <w:dstrike w:val="0"/>
          <w:sz w:val="32"/>
          <w:szCs w:val="32"/>
          <w:highlight w:val="none"/>
          <w:lang w:val="en-US" w:eastAsia="zh-CN"/>
        </w:rPr>
        <w:t>实施</w:t>
      </w:r>
      <w:r>
        <w:rPr>
          <w:rFonts w:hint="eastAsia" w:ascii="Times New Roman" w:hAnsi="Times New Roman" w:eastAsia="方正仿宋_GBK" w:cs="Times New Roman"/>
          <w:sz w:val="32"/>
          <w:szCs w:val="32"/>
          <w:highlight w:val="none"/>
        </w:rPr>
        <w:t>后，新申请享受长护险居家护理待遇的参保人员，按本条规定执行。</w:t>
      </w:r>
      <w:bookmarkEnd w:id="43"/>
      <w:bookmarkEnd w:id="44"/>
    </w:p>
    <w:p>
      <w:pPr>
        <w:spacing w:line="560" w:lineRule="exact"/>
        <w:ind w:firstLine="640" w:firstLineChars="200"/>
        <w:rPr>
          <w:rFonts w:hint="default" w:ascii="方正楷体_GBK" w:hAnsi="方正楷体_GBK" w:eastAsia="方正楷体_GBK" w:cs="方正楷体_GBK"/>
          <w:sz w:val="32"/>
          <w:szCs w:val="32"/>
          <w:highlight w:val="none"/>
        </w:rPr>
      </w:pPr>
      <w:r>
        <w:rPr>
          <w:rFonts w:hint="eastAsia" w:ascii="方正楷体_GBK" w:hAnsi="方正楷体_GBK" w:eastAsia="方正楷体_GBK" w:cs="方正楷体_GBK"/>
          <w:sz w:val="32"/>
          <w:szCs w:val="32"/>
          <w:highlight w:val="none"/>
        </w:rPr>
        <w:t>（二）</w:t>
      </w:r>
      <w:bookmarkStart w:id="45" w:name="OLE_LINK16"/>
      <w:r>
        <w:rPr>
          <w:rFonts w:hint="default" w:ascii="方正楷体_GBK" w:hAnsi="方正楷体_GBK" w:eastAsia="方正楷体_GBK" w:cs="方正楷体_GBK"/>
          <w:sz w:val="32"/>
          <w:szCs w:val="32"/>
          <w:highlight w:val="none"/>
        </w:rPr>
        <w:t>社区护理</w:t>
      </w:r>
      <w:bookmarkEnd w:id="45"/>
    </w:p>
    <w:p>
      <w:pPr>
        <w:widowControl/>
        <w:spacing w:line="560" w:lineRule="exact"/>
        <w:ind w:firstLine="640" w:firstLineChars="200"/>
        <w:rPr>
          <w:rFonts w:hint="default" w:ascii="Times New Roman" w:hAnsi="Times New Roman" w:eastAsia="方正仿宋_GBK" w:cs="Times New Roman"/>
          <w:color w:val="000000"/>
          <w:sz w:val="32"/>
          <w:szCs w:val="32"/>
          <w:highlight w:val="none"/>
        </w:rPr>
      </w:pPr>
      <w:bookmarkStart w:id="46" w:name="OLE_LINK62"/>
      <w:bookmarkStart w:id="47" w:name="OLE_LINK63"/>
      <w:bookmarkStart w:id="48" w:name="OLE_LINK54"/>
      <w:bookmarkStart w:id="49" w:name="OLE_LINK53"/>
      <w:r>
        <w:rPr>
          <w:rFonts w:hint="eastAsia" w:ascii="Times New Roman" w:hAnsi="+仿宋_GB2312" w:eastAsia="方正仿宋_GBK" w:cs="+仿宋_GB2312"/>
          <w:color w:val="000000"/>
          <w:sz w:val="32"/>
          <w:szCs w:val="32"/>
          <w:highlight w:val="none"/>
        </w:rPr>
        <w:t>按单位职工参保的</w:t>
      </w:r>
      <w:r>
        <w:rPr>
          <w:rFonts w:hint="default" w:ascii="Times New Roman" w:hAnsi="Times New Roman" w:eastAsia="方正仿宋_GBK" w:cs="Times New Roman"/>
          <w:b/>
          <w:bCs/>
          <w:color w:val="000000"/>
          <w:sz w:val="32"/>
          <w:szCs w:val="32"/>
          <w:highlight w:val="none"/>
        </w:rPr>
        <w:t>，</w:t>
      </w:r>
      <w:bookmarkEnd w:id="46"/>
      <w:bookmarkEnd w:id="47"/>
      <w:bookmarkStart w:id="50" w:name="OLE_LINK52"/>
      <w:r>
        <w:rPr>
          <w:rFonts w:hint="default" w:ascii="Times New Roman" w:hAnsi="Times New Roman" w:eastAsia="方正仿宋_GBK" w:cs="Times New Roman"/>
          <w:color w:val="000000"/>
          <w:sz w:val="32"/>
          <w:szCs w:val="32"/>
          <w:highlight w:val="none"/>
        </w:rPr>
        <w:t>重度Ⅰ级、重度Ⅱ级、重度Ⅲ级</w:t>
      </w:r>
      <w:bookmarkEnd w:id="50"/>
      <w:r>
        <w:rPr>
          <w:rFonts w:hint="default" w:ascii="Times New Roman" w:hAnsi="Times New Roman" w:eastAsia="方正仿宋_GBK" w:cs="Times New Roman"/>
          <w:color w:val="000000"/>
          <w:sz w:val="32"/>
          <w:szCs w:val="32"/>
          <w:highlight w:val="none"/>
        </w:rPr>
        <w:t>分别按待遇支付基准的65%、</w:t>
      </w:r>
      <w:r>
        <w:rPr>
          <w:rFonts w:hint="eastAsia" w:ascii="Times New Roman" w:hAnsi="Times New Roman" w:eastAsia="方正仿宋_GBK" w:cs="Times New Roman"/>
          <w:color w:val="000000"/>
          <w:sz w:val="32"/>
          <w:szCs w:val="32"/>
          <w:highlight w:val="none"/>
        </w:rPr>
        <w:t>70%、75%</w:t>
      </w:r>
      <w:bookmarkStart w:id="51" w:name="OLE_LINK46"/>
      <w:r>
        <w:rPr>
          <w:rFonts w:hint="default" w:ascii="Times New Roman" w:hAnsi="Times New Roman" w:eastAsia="方正仿宋_GBK" w:cs="Times New Roman"/>
          <w:color w:val="000000"/>
          <w:sz w:val="32"/>
          <w:szCs w:val="32"/>
          <w:highlight w:val="none"/>
        </w:rPr>
        <w:t>按床日</w:t>
      </w:r>
      <w:bookmarkEnd w:id="51"/>
      <w:r>
        <w:rPr>
          <w:rFonts w:hint="default" w:ascii="Times New Roman" w:hAnsi="Times New Roman" w:eastAsia="方正仿宋_GBK" w:cs="Times New Roman"/>
          <w:color w:val="000000"/>
          <w:sz w:val="32"/>
          <w:szCs w:val="32"/>
          <w:highlight w:val="none"/>
        </w:rPr>
        <w:t>给予</w:t>
      </w:r>
      <w:r>
        <w:rPr>
          <w:rFonts w:hint="eastAsia" w:ascii="Times New Roman" w:hAnsi="Times New Roman" w:eastAsia="方正仿宋_GBK" w:cs="Times New Roman"/>
          <w:color w:val="000000"/>
          <w:sz w:val="32"/>
          <w:szCs w:val="32"/>
          <w:highlight w:val="none"/>
          <w:lang w:val="en-US" w:eastAsia="zh-CN"/>
        </w:rPr>
        <w:t>支付</w:t>
      </w:r>
      <w:r>
        <w:rPr>
          <w:rFonts w:hint="default" w:ascii="Times New Roman" w:hAnsi="Times New Roman" w:eastAsia="方正仿宋_GBK" w:cs="Times New Roman"/>
          <w:color w:val="000000"/>
          <w:sz w:val="32"/>
          <w:szCs w:val="32"/>
          <w:highlight w:val="none"/>
        </w:rPr>
        <w:t>。</w:t>
      </w:r>
      <w:r>
        <w:rPr>
          <w:rFonts w:hint="eastAsia" w:ascii="Times New Roman" w:hAnsi="Times New Roman" w:eastAsia="方正仿宋_GBK" w:cs="Times New Roman"/>
          <w:color w:val="000000"/>
          <w:sz w:val="32"/>
          <w:szCs w:val="32"/>
          <w:highlight w:val="none"/>
        </w:rPr>
        <w:t>按未就业城乡居民参保的，重度Ⅰ级、重度Ⅱ级、重度Ⅲ级分别</w:t>
      </w:r>
      <w:r>
        <w:rPr>
          <w:rFonts w:hint="default" w:ascii="Times New Roman" w:hAnsi="Times New Roman" w:eastAsia="方正仿宋_GBK" w:cs="Times New Roman"/>
          <w:color w:val="000000"/>
          <w:sz w:val="32"/>
          <w:szCs w:val="32"/>
          <w:highlight w:val="none"/>
        </w:rPr>
        <w:t>按待遇支付基准的50%、</w:t>
      </w:r>
      <w:r>
        <w:rPr>
          <w:rFonts w:hint="eastAsia" w:ascii="Times New Roman" w:hAnsi="Times New Roman" w:eastAsia="方正仿宋_GBK" w:cs="Times New Roman"/>
          <w:color w:val="000000"/>
          <w:sz w:val="32"/>
          <w:szCs w:val="32"/>
          <w:highlight w:val="none"/>
        </w:rPr>
        <w:t>55%、60%</w:t>
      </w:r>
      <w:r>
        <w:rPr>
          <w:rFonts w:hint="default" w:ascii="Times New Roman" w:hAnsi="Times New Roman" w:eastAsia="方正仿宋_GBK" w:cs="Times New Roman"/>
          <w:color w:val="000000"/>
          <w:sz w:val="32"/>
          <w:szCs w:val="32"/>
          <w:highlight w:val="none"/>
        </w:rPr>
        <w:t>按床日给予</w:t>
      </w:r>
      <w:r>
        <w:rPr>
          <w:rFonts w:hint="eastAsia" w:ascii="Times New Roman" w:hAnsi="Times New Roman" w:eastAsia="方正仿宋_GBK" w:cs="Times New Roman"/>
          <w:color w:val="000000"/>
          <w:sz w:val="32"/>
          <w:szCs w:val="32"/>
          <w:highlight w:val="none"/>
          <w:lang w:val="en-US" w:eastAsia="zh-CN"/>
        </w:rPr>
        <w:t>支付</w:t>
      </w:r>
      <w:r>
        <w:rPr>
          <w:rFonts w:hint="default" w:ascii="Times New Roman" w:hAnsi="Times New Roman" w:eastAsia="方正仿宋_GBK" w:cs="Times New Roman"/>
          <w:color w:val="000000"/>
          <w:sz w:val="32"/>
          <w:szCs w:val="32"/>
          <w:highlight w:val="none"/>
        </w:rPr>
        <w:t>。</w:t>
      </w:r>
    </w:p>
    <w:bookmarkEnd w:id="48"/>
    <w:bookmarkEnd w:id="49"/>
    <w:p>
      <w:pPr>
        <w:spacing w:line="560" w:lineRule="exact"/>
        <w:ind w:firstLine="640" w:firstLineChars="200"/>
        <w:rPr>
          <w:rFonts w:hint="default" w:ascii="方正楷体_GBK" w:hAnsi="方正楷体_GBK" w:eastAsia="方正楷体_GBK" w:cs="方正楷体_GBK"/>
          <w:sz w:val="32"/>
          <w:szCs w:val="32"/>
          <w:highlight w:val="none"/>
        </w:rPr>
      </w:pPr>
      <w:r>
        <w:rPr>
          <w:rFonts w:hint="eastAsia" w:ascii="方正楷体_GBK" w:hAnsi="方正楷体_GBK" w:eastAsia="方正楷体_GBK" w:cs="方正楷体_GBK"/>
          <w:sz w:val="32"/>
          <w:szCs w:val="32"/>
          <w:highlight w:val="none"/>
        </w:rPr>
        <w:t>（三）</w:t>
      </w:r>
      <w:r>
        <w:rPr>
          <w:rFonts w:hint="default" w:ascii="方正楷体_GBK" w:hAnsi="方正楷体_GBK" w:eastAsia="方正楷体_GBK" w:cs="方正楷体_GBK"/>
          <w:sz w:val="32"/>
          <w:szCs w:val="32"/>
          <w:highlight w:val="none"/>
        </w:rPr>
        <w:t>机构护理</w:t>
      </w:r>
    </w:p>
    <w:p>
      <w:pPr>
        <w:widowControl/>
        <w:spacing w:line="560" w:lineRule="exact"/>
        <w:ind w:firstLine="640" w:firstLineChars="200"/>
        <w:rPr>
          <w:rFonts w:hint="default" w:ascii="Times New Roman" w:hAnsi="Times New Roman" w:eastAsia="方正仿宋_GBK" w:cs="Times New Roman"/>
          <w:color w:val="000000"/>
          <w:sz w:val="32"/>
          <w:szCs w:val="32"/>
          <w:highlight w:val="none"/>
        </w:rPr>
      </w:pPr>
      <w:r>
        <w:rPr>
          <w:rFonts w:hint="eastAsia" w:ascii="Times New Roman" w:hAnsi="+仿宋_GB2312" w:eastAsia="方正仿宋_GBK" w:cs="+仿宋_GB2312"/>
          <w:color w:val="000000"/>
          <w:sz w:val="32"/>
          <w:szCs w:val="32"/>
          <w:highlight w:val="none"/>
        </w:rPr>
        <w:t>按单位职工参保的</w:t>
      </w:r>
      <w:r>
        <w:rPr>
          <w:rFonts w:hint="eastAsia" w:ascii="Times New Roman" w:hAnsi="Times New Roman" w:eastAsia="方正仿宋_GBK" w:cs="Times New Roman"/>
          <w:b/>
          <w:bCs/>
          <w:color w:val="000000"/>
          <w:sz w:val="32"/>
          <w:szCs w:val="32"/>
          <w:highlight w:val="none"/>
        </w:rPr>
        <w:t>，</w:t>
      </w:r>
      <w:r>
        <w:rPr>
          <w:rFonts w:hint="default" w:ascii="Times New Roman" w:hAnsi="Times New Roman" w:eastAsia="方正仿宋_GBK" w:cs="Times New Roman"/>
          <w:color w:val="000000"/>
          <w:sz w:val="32"/>
          <w:szCs w:val="32"/>
          <w:highlight w:val="none"/>
        </w:rPr>
        <w:t>重度Ⅰ级、重度Ⅱ级、重度Ⅲ级分别按待遇支付基准的6</w:t>
      </w:r>
      <w:r>
        <w:rPr>
          <w:rFonts w:hint="eastAsia" w:ascii="Times New Roman" w:hAnsi="Times New Roman" w:eastAsia="方正仿宋_GBK" w:cs="Times New Roman"/>
          <w:color w:val="000000"/>
          <w:sz w:val="32"/>
          <w:szCs w:val="32"/>
          <w:highlight w:val="none"/>
        </w:rPr>
        <w:t>0</w:t>
      </w:r>
      <w:r>
        <w:rPr>
          <w:rFonts w:hint="default" w:ascii="Times New Roman" w:hAnsi="Times New Roman" w:eastAsia="方正仿宋_GBK" w:cs="Times New Roman"/>
          <w:color w:val="000000"/>
          <w:sz w:val="32"/>
          <w:szCs w:val="32"/>
          <w:highlight w:val="none"/>
        </w:rPr>
        <w:t>%、</w:t>
      </w:r>
      <w:r>
        <w:rPr>
          <w:rFonts w:hint="eastAsia" w:ascii="Times New Roman" w:hAnsi="Times New Roman" w:eastAsia="方正仿宋_GBK" w:cs="Times New Roman"/>
          <w:color w:val="000000"/>
          <w:sz w:val="32"/>
          <w:szCs w:val="32"/>
          <w:highlight w:val="none"/>
        </w:rPr>
        <w:t>65%、70%</w:t>
      </w:r>
      <w:r>
        <w:rPr>
          <w:rFonts w:hint="default" w:ascii="Times New Roman" w:hAnsi="Times New Roman" w:eastAsia="方正仿宋_GBK" w:cs="Times New Roman"/>
          <w:color w:val="000000"/>
          <w:sz w:val="32"/>
          <w:szCs w:val="32"/>
          <w:highlight w:val="none"/>
        </w:rPr>
        <w:t>按</w:t>
      </w:r>
      <w:bookmarkStart w:id="52" w:name="OLE_LINK12"/>
      <w:bookmarkStart w:id="53" w:name="OLE_LINK20"/>
      <w:bookmarkStart w:id="54" w:name="OLE_LINK21"/>
      <w:r>
        <w:rPr>
          <w:rFonts w:hint="default" w:ascii="Times New Roman" w:hAnsi="Times New Roman" w:eastAsia="方正仿宋_GBK" w:cs="Times New Roman"/>
          <w:color w:val="000000"/>
          <w:sz w:val="32"/>
          <w:szCs w:val="32"/>
          <w:highlight w:val="none"/>
        </w:rPr>
        <w:t>床</w:t>
      </w:r>
      <w:bookmarkEnd w:id="52"/>
      <w:bookmarkEnd w:id="53"/>
      <w:bookmarkEnd w:id="54"/>
      <w:r>
        <w:rPr>
          <w:rFonts w:hint="default" w:ascii="Times New Roman" w:hAnsi="Times New Roman" w:eastAsia="方正仿宋_GBK" w:cs="Times New Roman"/>
          <w:color w:val="000000"/>
          <w:sz w:val="32"/>
          <w:szCs w:val="32"/>
          <w:highlight w:val="none"/>
        </w:rPr>
        <w:t>日给予</w:t>
      </w:r>
      <w:r>
        <w:rPr>
          <w:rFonts w:hint="eastAsia" w:ascii="Times New Roman" w:hAnsi="Times New Roman" w:eastAsia="方正仿宋_GBK" w:cs="Times New Roman"/>
          <w:color w:val="000000"/>
          <w:sz w:val="32"/>
          <w:szCs w:val="32"/>
          <w:highlight w:val="none"/>
          <w:lang w:val="en-US" w:eastAsia="zh-CN"/>
        </w:rPr>
        <w:t>支付</w:t>
      </w:r>
      <w:r>
        <w:rPr>
          <w:rFonts w:hint="default" w:ascii="Times New Roman" w:hAnsi="Times New Roman" w:eastAsia="方正仿宋_GBK" w:cs="Times New Roman"/>
          <w:color w:val="000000"/>
          <w:sz w:val="32"/>
          <w:szCs w:val="32"/>
          <w:highlight w:val="none"/>
        </w:rPr>
        <w:t>。</w:t>
      </w:r>
      <w:bookmarkStart w:id="55" w:name="OLE_LINK59"/>
      <w:bookmarkStart w:id="56" w:name="OLE_LINK60"/>
      <w:r>
        <w:rPr>
          <w:rFonts w:hint="default" w:ascii="Times New Roman" w:hAnsi="Times New Roman" w:eastAsia="方正仿宋_GBK" w:cs="Times New Roman"/>
          <w:color w:val="000000"/>
          <w:sz w:val="32"/>
          <w:szCs w:val="32"/>
          <w:highlight w:val="none"/>
        </w:rPr>
        <w:t>按未就业城乡居民参保的，</w:t>
      </w:r>
      <w:bookmarkEnd w:id="55"/>
      <w:bookmarkEnd w:id="56"/>
      <w:r>
        <w:rPr>
          <w:rFonts w:hint="eastAsia" w:ascii="Times New Roman" w:hAnsi="Times New Roman" w:eastAsia="方正仿宋_GBK" w:cs="Times New Roman"/>
          <w:color w:val="000000"/>
          <w:sz w:val="32"/>
          <w:szCs w:val="32"/>
          <w:highlight w:val="none"/>
        </w:rPr>
        <w:t>重度Ⅰ级、重度Ⅱ级、重度Ⅲ级分别</w:t>
      </w:r>
      <w:r>
        <w:rPr>
          <w:rFonts w:hint="default" w:ascii="Times New Roman" w:hAnsi="Times New Roman" w:eastAsia="方正仿宋_GBK" w:cs="Times New Roman"/>
          <w:color w:val="000000"/>
          <w:sz w:val="32"/>
          <w:szCs w:val="32"/>
          <w:highlight w:val="none"/>
        </w:rPr>
        <w:t>按待遇支付基准的</w:t>
      </w:r>
      <w:r>
        <w:rPr>
          <w:rFonts w:hint="eastAsia" w:ascii="Times New Roman" w:hAnsi="Times New Roman" w:eastAsia="方正仿宋_GBK" w:cs="Times New Roman"/>
          <w:color w:val="000000"/>
          <w:sz w:val="32"/>
          <w:szCs w:val="32"/>
          <w:highlight w:val="none"/>
        </w:rPr>
        <w:t>45</w:t>
      </w:r>
      <w:r>
        <w:rPr>
          <w:rFonts w:hint="default" w:ascii="Times New Roman" w:hAnsi="Times New Roman" w:eastAsia="方正仿宋_GBK" w:cs="Times New Roman"/>
          <w:color w:val="000000"/>
          <w:sz w:val="32"/>
          <w:szCs w:val="32"/>
          <w:highlight w:val="none"/>
        </w:rPr>
        <w:t>%、</w:t>
      </w:r>
      <w:r>
        <w:rPr>
          <w:rFonts w:hint="eastAsia" w:ascii="Times New Roman" w:hAnsi="Times New Roman" w:eastAsia="方正仿宋_GBK" w:cs="Times New Roman"/>
          <w:color w:val="000000"/>
          <w:sz w:val="32"/>
          <w:szCs w:val="32"/>
          <w:highlight w:val="none"/>
        </w:rPr>
        <w:t>50%、55%</w:t>
      </w:r>
      <w:r>
        <w:rPr>
          <w:rFonts w:hint="default" w:ascii="Times New Roman" w:hAnsi="Times New Roman" w:eastAsia="方正仿宋_GBK" w:cs="Times New Roman"/>
          <w:color w:val="000000"/>
          <w:sz w:val="32"/>
          <w:szCs w:val="32"/>
          <w:highlight w:val="none"/>
        </w:rPr>
        <w:t>按床日给予</w:t>
      </w:r>
      <w:r>
        <w:rPr>
          <w:rFonts w:hint="eastAsia" w:ascii="Times New Roman" w:hAnsi="Times New Roman" w:eastAsia="方正仿宋_GBK" w:cs="Times New Roman"/>
          <w:color w:val="000000"/>
          <w:sz w:val="32"/>
          <w:szCs w:val="32"/>
          <w:highlight w:val="none"/>
          <w:lang w:val="en-US" w:eastAsia="zh-CN"/>
        </w:rPr>
        <w:t>支付</w:t>
      </w:r>
      <w:r>
        <w:rPr>
          <w:rFonts w:hint="default" w:ascii="Times New Roman" w:hAnsi="Times New Roman" w:eastAsia="方正仿宋_GBK" w:cs="Times New Roman"/>
          <w:color w:val="000000"/>
          <w:sz w:val="32"/>
          <w:szCs w:val="32"/>
          <w:highlight w:val="none"/>
        </w:rPr>
        <w:t>。</w:t>
      </w:r>
    </w:p>
    <w:p>
      <w:pPr>
        <w:spacing w:line="560" w:lineRule="exact"/>
        <w:ind w:firstLine="640" w:firstLineChars="200"/>
        <w:rPr>
          <w:rFonts w:hint="default" w:ascii="Times New Roman" w:hAnsi="Times New Roman" w:eastAsia="方正仿宋_GBK" w:cs="Times New Roman"/>
          <w:kern w:val="21"/>
          <w:sz w:val="32"/>
          <w:szCs w:val="32"/>
          <w:highlight w:val="none"/>
        </w:rPr>
      </w:pPr>
      <w:r>
        <w:rPr>
          <w:rFonts w:hint="default" w:ascii="方正楷体_GBK" w:hAnsi="方正楷体_GBK" w:eastAsia="方正楷体_GBK" w:cs="方正楷体_GBK"/>
          <w:sz w:val="32"/>
          <w:szCs w:val="32"/>
          <w:highlight w:val="none"/>
        </w:rPr>
        <w:t>第十</w:t>
      </w:r>
      <w:r>
        <w:rPr>
          <w:rFonts w:hint="eastAsia" w:ascii="方正楷体_GBK" w:hAnsi="方正楷体_GBK" w:eastAsia="方正楷体_GBK" w:cs="方正楷体_GBK"/>
          <w:sz w:val="32"/>
          <w:szCs w:val="32"/>
          <w:highlight w:val="none"/>
        </w:rPr>
        <w:t>三</w:t>
      </w:r>
      <w:r>
        <w:rPr>
          <w:rFonts w:hint="default" w:ascii="方正楷体_GBK" w:hAnsi="方正楷体_GBK" w:eastAsia="方正楷体_GBK" w:cs="方正楷体_GBK"/>
          <w:sz w:val="32"/>
          <w:szCs w:val="32"/>
          <w:highlight w:val="none"/>
        </w:rPr>
        <w:t xml:space="preserve">条 </w:t>
      </w:r>
      <w:r>
        <w:rPr>
          <w:rFonts w:hint="default" w:ascii="Times New Roman" w:hAnsi="Times New Roman" w:eastAsia="方正仿宋_GBK" w:cs="Times New Roman"/>
          <w:kern w:val="21"/>
          <w:sz w:val="32"/>
          <w:szCs w:val="32"/>
          <w:highlight w:val="none"/>
        </w:rPr>
        <w:t>建立长护险连续参保激励机制。2027年起连续缴费满4年及以上的未就业城乡居民，享受长护险待遇的基金支付比例提高5%；断保后再次参保的，按新参保重新计算。</w:t>
      </w:r>
    </w:p>
    <w:p>
      <w:pPr>
        <w:spacing w:line="560" w:lineRule="exact"/>
        <w:ind w:firstLine="640" w:firstLineChars="200"/>
        <w:rPr>
          <w:rFonts w:hint="default" w:ascii="Times New Roman" w:hAnsi="Times New Roman" w:eastAsia="方正仿宋_GBK" w:cs="Times New Roman"/>
          <w:kern w:val="21"/>
          <w:sz w:val="32"/>
          <w:szCs w:val="32"/>
          <w:highlight w:val="none"/>
        </w:rPr>
      </w:pPr>
      <w:r>
        <w:rPr>
          <w:rFonts w:hint="default" w:ascii="方正楷体_GBK" w:hAnsi="方正楷体_GBK" w:eastAsia="方正楷体_GBK" w:cs="方正楷体_GBK"/>
          <w:sz w:val="32"/>
          <w:szCs w:val="32"/>
          <w:highlight w:val="none"/>
        </w:rPr>
        <w:t>第十</w:t>
      </w:r>
      <w:r>
        <w:rPr>
          <w:rFonts w:hint="eastAsia" w:ascii="方正楷体_GBK" w:hAnsi="方正楷体_GBK" w:eastAsia="方正楷体_GBK" w:cs="方正楷体_GBK"/>
          <w:sz w:val="32"/>
          <w:szCs w:val="32"/>
          <w:highlight w:val="none"/>
        </w:rPr>
        <w:t>四</w:t>
      </w:r>
      <w:r>
        <w:rPr>
          <w:rFonts w:hint="default" w:ascii="方正楷体_GBK" w:hAnsi="方正楷体_GBK" w:eastAsia="方正楷体_GBK" w:cs="方正楷体_GBK"/>
          <w:sz w:val="32"/>
          <w:szCs w:val="32"/>
          <w:highlight w:val="none"/>
        </w:rPr>
        <w:t xml:space="preserve">条 </w:t>
      </w:r>
      <w:r>
        <w:rPr>
          <w:rFonts w:hint="default" w:ascii="Times New Roman" w:hAnsi="Times New Roman" w:eastAsia="方正仿宋_GBK" w:cs="Times New Roman"/>
          <w:kern w:val="21"/>
          <w:sz w:val="32"/>
          <w:szCs w:val="32"/>
          <w:highlight w:val="none"/>
        </w:rPr>
        <w:t>建立长护险参保约束机制。单位职工中断缴费超过3个月的，设置6个月待遇固定等待期；2027年起未就业城乡居民每多断保1年，在固定等待期6个月基础上增加变动等待期1个月，可通过缴费修复变动等待期，每多缴纳1年可修复1个月变动等待期。</w:t>
      </w:r>
    </w:p>
    <w:p>
      <w:pPr>
        <w:spacing w:line="560" w:lineRule="exact"/>
        <w:ind w:firstLine="640" w:firstLineChars="200"/>
        <w:rPr>
          <w:rFonts w:hint="default" w:ascii="Times New Roman" w:hAnsi="Times New Roman" w:eastAsia="方正仿宋_GBK" w:cs="Times New Roman"/>
          <w:kern w:val="21"/>
          <w:sz w:val="32"/>
          <w:szCs w:val="32"/>
          <w:highlight w:val="none"/>
        </w:rPr>
      </w:pPr>
      <w:r>
        <w:rPr>
          <w:rFonts w:hint="default" w:ascii="方正楷体_GBK" w:hAnsi="方正楷体_GBK" w:eastAsia="方正楷体_GBK" w:cs="方正楷体_GBK"/>
          <w:sz w:val="32"/>
          <w:szCs w:val="32"/>
          <w:highlight w:val="none"/>
        </w:rPr>
        <w:t>第十</w:t>
      </w:r>
      <w:r>
        <w:rPr>
          <w:rFonts w:hint="eastAsia" w:ascii="方正楷体_GBK" w:hAnsi="方正楷体_GBK" w:eastAsia="方正楷体_GBK" w:cs="方正楷体_GBK"/>
          <w:sz w:val="32"/>
          <w:szCs w:val="32"/>
          <w:highlight w:val="none"/>
        </w:rPr>
        <w:t>五</w:t>
      </w:r>
      <w:r>
        <w:rPr>
          <w:rFonts w:hint="default" w:ascii="方正楷体_GBK" w:hAnsi="方正楷体_GBK" w:eastAsia="方正楷体_GBK" w:cs="方正楷体_GBK"/>
          <w:sz w:val="32"/>
          <w:szCs w:val="32"/>
          <w:highlight w:val="none"/>
        </w:rPr>
        <w:t xml:space="preserve">条 </w:t>
      </w:r>
      <w:r>
        <w:rPr>
          <w:rFonts w:hint="default" w:ascii="Times New Roman" w:hAnsi="Times New Roman" w:eastAsia="方正仿宋_GBK" w:cs="Times New Roman"/>
          <w:kern w:val="21"/>
          <w:sz w:val="32"/>
          <w:szCs w:val="32"/>
          <w:highlight w:val="none"/>
        </w:rPr>
        <w:t>待遇变更。</w:t>
      </w:r>
      <w:r>
        <w:rPr>
          <w:rFonts w:hint="default" w:ascii="Times New Roman" w:hAnsi="Times New Roman" w:eastAsia="方正仿宋_GBK" w:cs="Times New Roman"/>
          <w:kern w:val="21"/>
          <w:sz w:val="32"/>
          <w:szCs w:val="32"/>
          <w:highlight w:val="none"/>
          <w:lang w:val="en"/>
        </w:rPr>
        <w:t>参</w:t>
      </w:r>
      <w:r>
        <w:rPr>
          <w:rFonts w:hint="default" w:ascii="Times New Roman" w:hAnsi="Times New Roman" w:eastAsia="方正仿宋_GBK" w:cs="Times New Roman"/>
          <w:kern w:val="21"/>
          <w:sz w:val="32"/>
          <w:szCs w:val="32"/>
          <w:highlight w:val="none"/>
        </w:rPr>
        <w:t>保人员已连续2年（含2年）以上参加长护险，因就业等个人状态</w:t>
      </w:r>
      <w:r>
        <w:rPr>
          <w:rFonts w:hint="eastAsia" w:ascii="Times New Roman" w:hAnsi="Times New Roman" w:eastAsia="方正仿宋_GBK" w:cs="Times New Roman"/>
          <w:kern w:val="21"/>
          <w:sz w:val="32"/>
          <w:szCs w:val="32"/>
          <w:highlight w:val="none"/>
          <w:lang w:val="en-US" w:eastAsia="zh-CN"/>
        </w:rPr>
        <w:t>变化</w:t>
      </w:r>
      <w:r>
        <w:rPr>
          <w:rFonts w:hint="default" w:ascii="Times New Roman" w:hAnsi="Times New Roman" w:eastAsia="方正仿宋_GBK" w:cs="Times New Roman"/>
          <w:kern w:val="21"/>
          <w:sz w:val="32"/>
          <w:szCs w:val="32"/>
          <w:highlight w:val="none"/>
        </w:rPr>
        <w:t>在职工参保和未就业城乡居民参保间切换参保关系，且中断缴费3个月（含）以内的，可按转入地规定办理长护险费补缴手续，享受相应长护险待遇。失能人员经申请评估，变更失能等级的，从评估结论下达的次</w:t>
      </w:r>
      <w:r>
        <w:rPr>
          <w:rFonts w:hint="default" w:ascii="Times New Roman" w:hAnsi="Times New Roman" w:eastAsia="方正仿宋_GBK" w:cs="Times New Roman"/>
          <w:kern w:val="21"/>
          <w:sz w:val="32"/>
          <w:szCs w:val="32"/>
          <w:highlight w:val="none"/>
          <w:lang w:val="en"/>
        </w:rPr>
        <w:t>日</w:t>
      </w:r>
      <w:r>
        <w:rPr>
          <w:rFonts w:hint="default" w:ascii="Times New Roman" w:hAnsi="Times New Roman" w:eastAsia="方正仿宋_GBK" w:cs="Times New Roman"/>
          <w:kern w:val="21"/>
          <w:sz w:val="32"/>
          <w:szCs w:val="32"/>
          <w:highlight w:val="none"/>
        </w:rPr>
        <w:t>起按照新的失能等级享受长护险待遇。失能人员死亡的，从死亡次日起终止长护险待遇。</w:t>
      </w:r>
    </w:p>
    <w:p>
      <w:pPr>
        <w:spacing w:line="560" w:lineRule="exact"/>
        <w:ind w:firstLine="640" w:firstLineChars="200"/>
        <w:rPr>
          <w:rFonts w:hint="default" w:ascii="Times New Roman" w:hAnsi="Times New Roman" w:eastAsia="方正仿宋_GBK" w:cs="Times New Roman"/>
          <w:kern w:val="21"/>
          <w:sz w:val="32"/>
          <w:szCs w:val="32"/>
          <w:highlight w:val="none"/>
        </w:rPr>
      </w:pPr>
      <w:r>
        <w:rPr>
          <w:rFonts w:hint="default" w:ascii="Times New Roman" w:hAnsi="Times New Roman" w:eastAsia="方正仿宋_GBK" w:cs="Times New Roman"/>
          <w:kern w:val="21"/>
          <w:sz w:val="32"/>
          <w:szCs w:val="32"/>
          <w:highlight w:val="none"/>
        </w:rPr>
        <w:t>已享受长护险待遇的失能人员，因病情需要住院治疗的，从参保人员住院治疗的当日起暂停长护险待遇，从出院当日起恢复原长护险待遇；失能状态发生变化的，可重新申请评估。</w:t>
      </w:r>
      <w:r>
        <w:rPr>
          <w:rFonts w:hint="default" w:ascii="Times New Roman" w:hAnsi="Times New Roman" w:eastAsia="方正仿宋_GBK" w:cs="Times New Roman"/>
          <w:color w:val="222222"/>
          <w:sz w:val="32"/>
          <w:szCs w:val="32"/>
          <w:highlight w:val="none"/>
          <w:shd w:val="clear" w:color="auto" w:fill="FFFFFF"/>
        </w:rPr>
        <w:t>失能人员可根据自身需求变更护理服务类型，并自办理变更手续次</w:t>
      </w:r>
      <w:r>
        <w:rPr>
          <w:rFonts w:hint="eastAsia" w:ascii="Times New Roman" w:hAnsi="Times New Roman" w:eastAsia="方正仿宋_GBK" w:cs="Times New Roman"/>
          <w:color w:val="222222"/>
          <w:sz w:val="32"/>
          <w:szCs w:val="32"/>
          <w:highlight w:val="none"/>
          <w:shd w:val="clear" w:color="auto" w:fill="FFFFFF"/>
        </w:rPr>
        <w:t>日</w:t>
      </w:r>
      <w:r>
        <w:rPr>
          <w:rFonts w:hint="default" w:ascii="Times New Roman" w:hAnsi="Times New Roman" w:eastAsia="方正仿宋_GBK" w:cs="Times New Roman"/>
          <w:color w:val="222222"/>
          <w:sz w:val="32"/>
          <w:szCs w:val="32"/>
          <w:highlight w:val="none"/>
          <w:shd w:val="clear" w:color="auto" w:fill="FFFFFF"/>
        </w:rPr>
        <w:t>起享受变更后的待遇。一个自然年度内护理服务类型变更次数不超过2次。</w:t>
      </w:r>
    </w:p>
    <w:p>
      <w:pPr>
        <w:spacing w:line="560" w:lineRule="exact"/>
        <w:ind w:firstLine="640" w:firstLineChars="200"/>
        <w:rPr>
          <w:rFonts w:hint="default" w:ascii="Times New Roman" w:hAnsi="Times New Roman" w:eastAsia="方正仿宋_GBK" w:cs="Times New Roman"/>
          <w:kern w:val="21"/>
          <w:sz w:val="32"/>
          <w:szCs w:val="32"/>
          <w:highlight w:val="none"/>
        </w:rPr>
      </w:pPr>
      <w:r>
        <w:rPr>
          <w:rFonts w:hint="default" w:ascii="方正楷体_GBK" w:hAnsi="方正楷体_GBK" w:eastAsia="方正楷体_GBK" w:cs="方正楷体_GBK"/>
          <w:sz w:val="32"/>
          <w:szCs w:val="32"/>
          <w:highlight w:val="none"/>
        </w:rPr>
        <w:t>第十</w:t>
      </w:r>
      <w:r>
        <w:rPr>
          <w:rFonts w:hint="eastAsia" w:ascii="方正楷体_GBK" w:hAnsi="方正楷体_GBK" w:eastAsia="方正楷体_GBK" w:cs="方正楷体_GBK"/>
          <w:sz w:val="32"/>
          <w:szCs w:val="32"/>
          <w:highlight w:val="none"/>
        </w:rPr>
        <w:t>六</w:t>
      </w:r>
      <w:r>
        <w:rPr>
          <w:rFonts w:hint="default" w:ascii="方正楷体_GBK" w:hAnsi="方正楷体_GBK" w:eastAsia="方正楷体_GBK" w:cs="方正楷体_GBK"/>
          <w:sz w:val="32"/>
          <w:szCs w:val="32"/>
          <w:highlight w:val="none"/>
        </w:rPr>
        <w:t xml:space="preserve">条 </w:t>
      </w:r>
      <w:r>
        <w:rPr>
          <w:rFonts w:hint="default" w:ascii="Times New Roman" w:hAnsi="Times New Roman" w:eastAsia="方正仿宋_GBK" w:cs="Times New Roman"/>
          <w:kern w:val="21"/>
          <w:sz w:val="32"/>
          <w:szCs w:val="32"/>
          <w:highlight w:val="none"/>
        </w:rPr>
        <w:t>参加长护险人员出现下列情形之一的，经办机构应当及时办理长护险待遇暂停或终止手续，同步停止相关服务计费。</w:t>
      </w:r>
    </w:p>
    <w:p>
      <w:pPr>
        <w:spacing w:line="560" w:lineRule="exact"/>
        <w:ind w:firstLine="640" w:firstLineChars="200"/>
        <w:rPr>
          <w:rFonts w:hint="default" w:ascii="Times New Roman" w:hAnsi="Times New Roman" w:eastAsia="方正仿宋_GBK" w:cs="Times New Roman"/>
          <w:kern w:val="21"/>
          <w:sz w:val="32"/>
          <w:szCs w:val="32"/>
          <w:highlight w:val="none"/>
        </w:rPr>
      </w:pPr>
      <w:r>
        <w:rPr>
          <w:rFonts w:hint="default" w:ascii="Times New Roman" w:hAnsi="Times New Roman" w:eastAsia="方正仿宋_GBK" w:cs="Times New Roman"/>
          <w:kern w:val="21"/>
          <w:sz w:val="32"/>
          <w:szCs w:val="32"/>
          <w:highlight w:val="none"/>
        </w:rPr>
        <w:t>（一）参加长护险人员死亡的；</w:t>
      </w:r>
    </w:p>
    <w:p>
      <w:pPr>
        <w:spacing w:line="560" w:lineRule="exact"/>
        <w:ind w:firstLine="640" w:firstLineChars="200"/>
        <w:rPr>
          <w:rFonts w:hint="default" w:ascii="Times New Roman" w:hAnsi="Times New Roman" w:eastAsia="方正仿宋_GBK" w:cs="Times New Roman"/>
          <w:kern w:val="21"/>
          <w:sz w:val="32"/>
          <w:szCs w:val="32"/>
          <w:highlight w:val="none"/>
        </w:rPr>
      </w:pPr>
      <w:r>
        <w:rPr>
          <w:rFonts w:hint="default" w:ascii="Times New Roman" w:hAnsi="Times New Roman" w:eastAsia="方正仿宋_GBK" w:cs="Times New Roman"/>
          <w:kern w:val="21"/>
          <w:sz w:val="32"/>
          <w:szCs w:val="32"/>
          <w:highlight w:val="none"/>
        </w:rPr>
        <w:t>（二）经重新评估未达到重度失能等级标准的；</w:t>
      </w:r>
    </w:p>
    <w:p>
      <w:pPr>
        <w:spacing w:line="560" w:lineRule="exact"/>
        <w:ind w:firstLine="640" w:firstLineChars="200"/>
        <w:rPr>
          <w:rFonts w:hint="default" w:ascii="Times New Roman" w:hAnsi="Times New Roman" w:eastAsia="方正仿宋_GBK" w:cs="Times New Roman"/>
          <w:kern w:val="21"/>
          <w:sz w:val="32"/>
          <w:szCs w:val="32"/>
          <w:highlight w:val="none"/>
        </w:rPr>
      </w:pPr>
      <w:r>
        <w:rPr>
          <w:rFonts w:hint="default" w:ascii="Times New Roman" w:hAnsi="Times New Roman" w:eastAsia="方正仿宋_GBK" w:cs="Times New Roman"/>
          <w:kern w:val="21"/>
          <w:sz w:val="32"/>
          <w:szCs w:val="32"/>
          <w:highlight w:val="none"/>
        </w:rPr>
        <w:t>（三）</w:t>
      </w:r>
      <w:r>
        <w:rPr>
          <w:rFonts w:hint="eastAsia" w:ascii="Times New Roman" w:hAnsi="Times New Roman" w:eastAsia="方正仿宋_GBK" w:cs="Times New Roman"/>
          <w:kern w:val="21"/>
          <w:sz w:val="32"/>
          <w:szCs w:val="32"/>
          <w:highlight w:val="none"/>
        </w:rPr>
        <w:t>未按长护险相关规定按时参加复评的</w:t>
      </w:r>
      <w:r>
        <w:rPr>
          <w:rFonts w:hint="default" w:ascii="Times New Roman" w:hAnsi="Times New Roman" w:eastAsia="方正仿宋_GBK" w:cs="Times New Roman"/>
          <w:kern w:val="21"/>
          <w:sz w:val="32"/>
          <w:szCs w:val="32"/>
          <w:highlight w:val="none"/>
        </w:rPr>
        <w:t>；</w:t>
      </w:r>
    </w:p>
    <w:p>
      <w:pPr>
        <w:spacing w:line="560" w:lineRule="exact"/>
        <w:ind w:firstLine="640" w:firstLineChars="200"/>
        <w:rPr>
          <w:rFonts w:hint="default" w:ascii="Times New Roman" w:hAnsi="Times New Roman" w:eastAsia="方正仿宋_GBK" w:cs="Times New Roman"/>
          <w:kern w:val="21"/>
          <w:sz w:val="32"/>
          <w:szCs w:val="32"/>
          <w:highlight w:val="none"/>
        </w:rPr>
      </w:pPr>
      <w:r>
        <w:rPr>
          <w:rFonts w:hint="default" w:ascii="Times New Roman" w:hAnsi="Times New Roman" w:eastAsia="方正仿宋_GBK" w:cs="Times New Roman"/>
          <w:kern w:val="21"/>
          <w:sz w:val="32"/>
          <w:szCs w:val="32"/>
          <w:highlight w:val="none"/>
        </w:rPr>
        <w:t>（四）参保人员中止参保或中断缴费的；</w:t>
      </w:r>
    </w:p>
    <w:p>
      <w:pPr>
        <w:spacing w:line="560" w:lineRule="exact"/>
        <w:ind w:firstLine="640" w:firstLineChars="200"/>
        <w:rPr>
          <w:rFonts w:hint="default" w:ascii="Times New Roman" w:hAnsi="Times New Roman" w:eastAsia="方正仿宋_GBK" w:cs="Times New Roman"/>
          <w:kern w:val="21"/>
          <w:sz w:val="32"/>
          <w:szCs w:val="32"/>
          <w:highlight w:val="none"/>
        </w:rPr>
      </w:pPr>
      <w:r>
        <w:rPr>
          <w:rFonts w:hint="default" w:ascii="Times New Roman" w:hAnsi="Times New Roman" w:eastAsia="方正仿宋_GBK" w:cs="Times New Roman"/>
          <w:kern w:val="21"/>
          <w:sz w:val="32"/>
          <w:szCs w:val="32"/>
          <w:highlight w:val="none"/>
        </w:rPr>
        <w:t>（五）法律法规和政策规定暂停或终止享受待遇的其他情形。</w:t>
      </w:r>
    </w:p>
    <w:p>
      <w:pPr>
        <w:spacing w:line="560" w:lineRule="exact"/>
        <w:ind w:firstLine="640" w:firstLineChars="200"/>
        <w:rPr>
          <w:rFonts w:hint="default" w:ascii="Times New Roman" w:hAnsi="Times New Roman" w:eastAsia="方正仿宋_GBK" w:cs="Times New Roman"/>
          <w:kern w:val="21"/>
          <w:sz w:val="32"/>
          <w:szCs w:val="32"/>
          <w:highlight w:val="none"/>
        </w:rPr>
      </w:pPr>
      <w:r>
        <w:rPr>
          <w:rFonts w:hint="default" w:ascii="方正楷体_GBK" w:hAnsi="方正楷体_GBK" w:eastAsia="方正楷体_GBK" w:cs="方正楷体_GBK"/>
          <w:sz w:val="32"/>
          <w:szCs w:val="32"/>
          <w:highlight w:val="none"/>
        </w:rPr>
        <w:t>第十</w:t>
      </w:r>
      <w:r>
        <w:rPr>
          <w:rFonts w:hint="eastAsia" w:ascii="方正楷体_GBK" w:hAnsi="方正楷体_GBK" w:eastAsia="方正楷体_GBK" w:cs="方正楷体_GBK"/>
          <w:sz w:val="32"/>
          <w:szCs w:val="32"/>
          <w:highlight w:val="none"/>
        </w:rPr>
        <w:t>七</w:t>
      </w:r>
      <w:r>
        <w:rPr>
          <w:rFonts w:hint="default" w:ascii="方正楷体_GBK" w:hAnsi="方正楷体_GBK" w:eastAsia="方正楷体_GBK" w:cs="方正楷体_GBK"/>
          <w:sz w:val="32"/>
          <w:szCs w:val="32"/>
          <w:highlight w:val="none"/>
        </w:rPr>
        <w:t xml:space="preserve">条 </w:t>
      </w:r>
      <w:r>
        <w:rPr>
          <w:rFonts w:hint="default" w:ascii="Times New Roman" w:hAnsi="Times New Roman" w:eastAsia="方正仿宋_GBK" w:cs="Times New Roman"/>
          <w:kern w:val="21"/>
          <w:sz w:val="32"/>
          <w:szCs w:val="32"/>
          <w:highlight w:val="none"/>
        </w:rPr>
        <w:t>长护险不予支付下列费用。</w:t>
      </w:r>
    </w:p>
    <w:p>
      <w:pPr>
        <w:spacing w:line="560" w:lineRule="exact"/>
        <w:ind w:firstLine="640" w:firstLineChars="200"/>
        <w:rPr>
          <w:rFonts w:hint="default" w:ascii="Times New Roman" w:hAnsi="Times New Roman" w:eastAsia="方正仿宋_GBK" w:cs="Times New Roman"/>
          <w:kern w:val="21"/>
          <w:sz w:val="32"/>
          <w:szCs w:val="32"/>
          <w:highlight w:val="none"/>
        </w:rPr>
      </w:pPr>
      <w:r>
        <w:rPr>
          <w:rFonts w:hint="default" w:ascii="Times New Roman" w:hAnsi="Times New Roman" w:eastAsia="方正仿宋_GBK" w:cs="Times New Roman"/>
          <w:kern w:val="21"/>
          <w:sz w:val="32"/>
          <w:szCs w:val="32"/>
          <w:highlight w:val="none"/>
        </w:rPr>
        <w:t>（一）机构床位费、膳食费等非护理服务费用；</w:t>
      </w:r>
    </w:p>
    <w:p>
      <w:pPr>
        <w:spacing w:line="560" w:lineRule="exact"/>
        <w:ind w:firstLine="640" w:firstLineChars="200"/>
        <w:rPr>
          <w:rFonts w:hint="default" w:ascii="Times New Roman" w:hAnsi="Times New Roman" w:eastAsia="方正仿宋_GBK" w:cs="Times New Roman"/>
          <w:kern w:val="21"/>
          <w:sz w:val="32"/>
          <w:szCs w:val="32"/>
          <w:highlight w:val="none"/>
        </w:rPr>
      </w:pPr>
      <w:r>
        <w:rPr>
          <w:rFonts w:hint="default" w:ascii="Times New Roman" w:hAnsi="Times New Roman" w:eastAsia="方正仿宋_GBK" w:cs="Times New Roman"/>
          <w:kern w:val="21"/>
          <w:sz w:val="32"/>
          <w:szCs w:val="32"/>
          <w:highlight w:val="none"/>
        </w:rPr>
        <w:t>（二）按规定</w:t>
      </w:r>
      <w:r>
        <w:rPr>
          <w:rFonts w:hint="eastAsia" w:ascii="Times New Roman" w:hAnsi="Times New Roman" w:eastAsia="方正仿宋_GBK" w:cs="Times New Roman"/>
          <w:kern w:val="21"/>
          <w:sz w:val="32"/>
          <w:szCs w:val="32"/>
          <w:highlight w:val="none"/>
        </w:rPr>
        <w:t>应由医疗保险支付的医药费用</w:t>
      </w:r>
      <w:r>
        <w:rPr>
          <w:rFonts w:hint="default" w:ascii="Times New Roman" w:hAnsi="Times New Roman" w:eastAsia="方正仿宋_GBK" w:cs="Times New Roman"/>
          <w:kern w:val="21"/>
          <w:sz w:val="32"/>
          <w:szCs w:val="32"/>
          <w:highlight w:val="none"/>
        </w:rPr>
        <w:t>；</w:t>
      </w:r>
    </w:p>
    <w:p>
      <w:pPr>
        <w:spacing w:line="560" w:lineRule="exact"/>
        <w:ind w:firstLine="640" w:firstLineChars="200"/>
        <w:rPr>
          <w:rFonts w:hint="default" w:ascii="Times New Roman" w:hAnsi="Times New Roman" w:eastAsia="方正仿宋_GBK" w:cs="Times New Roman"/>
          <w:kern w:val="21"/>
          <w:sz w:val="32"/>
          <w:szCs w:val="32"/>
          <w:highlight w:val="none"/>
        </w:rPr>
      </w:pPr>
      <w:bookmarkStart w:id="57" w:name="OLE_LINK49"/>
      <w:bookmarkStart w:id="58" w:name="OLE_LINK44"/>
      <w:r>
        <w:rPr>
          <w:rFonts w:hint="default" w:ascii="Times New Roman" w:hAnsi="Times New Roman" w:eastAsia="方正仿宋_GBK" w:cs="Times New Roman"/>
          <w:kern w:val="21"/>
          <w:sz w:val="32"/>
          <w:szCs w:val="32"/>
          <w:highlight w:val="none"/>
        </w:rPr>
        <w:t>（三）</w:t>
      </w:r>
      <w:r>
        <w:rPr>
          <w:rFonts w:hint="eastAsia" w:ascii="Times New Roman" w:hAnsi="Times New Roman" w:eastAsia="方正仿宋_GBK" w:cs="Times New Roman"/>
          <w:kern w:val="21"/>
          <w:sz w:val="32"/>
          <w:szCs w:val="32"/>
          <w:highlight w:val="none"/>
        </w:rPr>
        <w:t>领取工伤保险生活护理费的参保人员，不重复享受长期护理保险相关服务待遇；</w:t>
      </w:r>
    </w:p>
    <w:bookmarkEnd w:id="57"/>
    <w:bookmarkEnd w:id="58"/>
    <w:p>
      <w:pPr>
        <w:spacing w:line="560" w:lineRule="exact"/>
        <w:ind w:firstLine="640" w:firstLineChars="200"/>
        <w:rPr>
          <w:rFonts w:hint="default" w:ascii="Times New Roman" w:hAnsi="Times New Roman" w:eastAsia="方正仿宋_GBK" w:cs="Times New Roman"/>
          <w:kern w:val="21"/>
          <w:sz w:val="32"/>
          <w:szCs w:val="32"/>
          <w:highlight w:val="none"/>
        </w:rPr>
      </w:pPr>
      <w:r>
        <w:rPr>
          <w:rFonts w:hint="default" w:ascii="Times New Roman" w:hAnsi="Times New Roman" w:eastAsia="方正仿宋_GBK" w:cs="Times New Roman"/>
          <w:kern w:val="21"/>
          <w:sz w:val="32"/>
          <w:szCs w:val="32"/>
          <w:highlight w:val="none"/>
        </w:rPr>
        <w:t>（四）应当由第三人依法负担的护理费用；</w:t>
      </w:r>
    </w:p>
    <w:p>
      <w:pPr>
        <w:spacing w:line="560" w:lineRule="exact"/>
        <w:ind w:firstLine="640" w:firstLineChars="200"/>
        <w:rPr>
          <w:rFonts w:hint="default" w:ascii="Times New Roman" w:hAnsi="Times New Roman" w:eastAsia="方正仿宋_GBK" w:cs="Times New Roman"/>
          <w:kern w:val="21"/>
          <w:sz w:val="32"/>
          <w:szCs w:val="32"/>
          <w:highlight w:val="none"/>
        </w:rPr>
      </w:pPr>
      <w:r>
        <w:rPr>
          <w:rFonts w:hint="default" w:ascii="Times New Roman" w:hAnsi="Times New Roman" w:eastAsia="方正仿宋_GBK" w:cs="Times New Roman"/>
          <w:kern w:val="21"/>
          <w:sz w:val="32"/>
          <w:szCs w:val="32"/>
          <w:highlight w:val="none"/>
        </w:rPr>
        <w:t>（五）在非长护险定点护理机构发生的费用；</w:t>
      </w:r>
    </w:p>
    <w:p>
      <w:pPr>
        <w:spacing w:line="560" w:lineRule="exact"/>
        <w:ind w:firstLine="640" w:firstLineChars="200"/>
        <w:rPr>
          <w:rFonts w:hint="default" w:ascii="Times New Roman" w:hAnsi="Times New Roman" w:eastAsia="方正仿宋_GBK" w:cs="Times New Roman"/>
          <w:sz w:val="32"/>
          <w:highlight w:val="none"/>
        </w:rPr>
      </w:pPr>
      <w:r>
        <w:rPr>
          <w:rFonts w:hint="default" w:ascii="Times New Roman" w:hAnsi="Times New Roman" w:eastAsia="方正仿宋_GBK" w:cs="Times New Roman"/>
          <w:kern w:val="21"/>
          <w:sz w:val="32"/>
          <w:szCs w:val="32"/>
          <w:highlight w:val="none"/>
        </w:rPr>
        <w:t>（</w:t>
      </w:r>
      <w:r>
        <w:rPr>
          <w:rFonts w:hint="eastAsia" w:ascii="Times New Roman" w:hAnsi="Times New Roman" w:eastAsia="方正仿宋_GBK" w:cs="Times New Roman"/>
          <w:kern w:val="21"/>
          <w:sz w:val="32"/>
          <w:szCs w:val="32"/>
          <w:highlight w:val="none"/>
        </w:rPr>
        <w:t>六</w:t>
      </w:r>
      <w:r>
        <w:rPr>
          <w:rFonts w:hint="default" w:ascii="Times New Roman" w:hAnsi="Times New Roman" w:eastAsia="方正仿宋_GBK" w:cs="Times New Roman"/>
          <w:kern w:val="21"/>
          <w:sz w:val="32"/>
          <w:szCs w:val="32"/>
          <w:highlight w:val="none"/>
        </w:rPr>
        <w:t>）按有关规定不予支付的其他情况。</w:t>
      </w:r>
    </w:p>
    <w:p>
      <w:pPr>
        <w:spacing w:line="560" w:lineRule="exact"/>
        <w:ind w:firstLine="640" w:firstLineChars="200"/>
        <w:rPr>
          <w:rFonts w:hint="default" w:ascii="Times New Roman" w:hAnsi="Times New Roman" w:eastAsia="方正仿宋_GBK" w:cs="Times New Roman"/>
          <w:sz w:val="32"/>
          <w:szCs w:val="32"/>
          <w:highlight w:val="none"/>
        </w:rPr>
      </w:pPr>
      <w:r>
        <w:rPr>
          <w:rFonts w:hint="default" w:ascii="方正楷体_GBK" w:hAnsi="方正楷体_GBK" w:eastAsia="方正楷体_GBK" w:cs="方正楷体_GBK"/>
          <w:sz w:val="32"/>
          <w:szCs w:val="32"/>
          <w:highlight w:val="none"/>
          <w:lang w:val="zh-TW"/>
        </w:rPr>
        <w:t>第十</w:t>
      </w:r>
      <w:r>
        <w:rPr>
          <w:rFonts w:hint="eastAsia" w:ascii="方正楷体_GBK" w:hAnsi="方正楷体_GBK" w:eastAsia="方正楷体_GBK" w:cs="方正楷体_GBK"/>
          <w:sz w:val="32"/>
          <w:szCs w:val="32"/>
          <w:highlight w:val="none"/>
        </w:rPr>
        <w:t>八</w:t>
      </w:r>
      <w:r>
        <w:rPr>
          <w:rFonts w:hint="default" w:ascii="方正楷体_GBK" w:hAnsi="方正楷体_GBK" w:eastAsia="方正楷体_GBK" w:cs="方正楷体_GBK"/>
          <w:sz w:val="32"/>
          <w:szCs w:val="32"/>
          <w:highlight w:val="none"/>
          <w:lang w:val="zh-TW"/>
        </w:rPr>
        <w:t>条</w:t>
      </w:r>
      <w:r>
        <w:rPr>
          <w:rFonts w:hint="default" w:ascii="方正楷体_GBK" w:hAnsi="方正楷体_GBK" w:eastAsia="方正楷体_GBK" w:cs="方正楷体_GBK"/>
          <w:sz w:val="32"/>
          <w:szCs w:val="32"/>
          <w:highlight w:val="none"/>
        </w:rPr>
        <w:t xml:space="preserve"> </w:t>
      </w:r>
      <w:r>
        <w:rPr>
          <w:rFonts w:hint="default" w:ascii="Times New Roman" w:hAnsi="Times New Roman" w:eastAsia="方正仿宋_GBK" w:cs="Times New Roman"/>
          <w:sz w:val="32"/>
          <w:szCs w:val="32"/>
          <w:highlight w:val="none"/>
        </w:rPr>
        <w:t>按照自治区</w:t>
      </w:r>
      <w:r>
        <w:rPr>
          <w:rFonts w:hint="eastAsia" w:ascii="Times New Roman" w:hAnsi="Times New Roman" w:eastAsia="方正仿宋_GBK" w:cs="Times New Roman"/>
          <w:sz w:val="32"/>
          <w:szCs w:val="32"/>
          <w:highlight w:val="none"/>
          <w:lang w:val="en-US" w:eastAsia="zh-CN"/>
        </w:rPr>
        <w:t>统一</w:t>
      </w:r>
      <w:r>
        <w:rPr>
          <w:rFonts w:hint="default" w:ascii="Times New Roman" w:hAnsi="Times New Roman" w:eastAsia="方正仿宋_GBK" w:cs="Times New Roman"/>
          <w:sz w:val="32"/>
          <w:szCs w:val="32"/>
          <w:highlight w:val="none"/>
        </w:rPr>
        <w:t>部署做好长护险与经济困难的高龄、失能老年人补贴以及重度残疾人护理补贴等政策的衔接。具体衔接办法按相关政策执行。</w:t>
      </w:r>
    </w:p>
    <w:p>
      <w:pPr>
        <w:pStyle w:val="7"/>
        <w:spacing w:after="0" w:line="560" w:lineRule="exact"/>
        <w:ind w:firstLine="0" w:firstLineChars="0"/>
        <w:jc w:val="center"/>
        <w:rPr>
          <w:rFonts w:ascii="方正黑体_GBK" w:hAnsi="方正黑体_GBK" w:eastAsia="方正黑体_GBK" w:cs="方正黑体_GBK"/>
          <w:szCs w:val="32"/>
          <w:highlight w:val="none"/>
        </w:rPr>
      </w:pPr>
      <w:r>
        <w:rPr>
          <w:rFonts w:ascii="方正黑体_GBK" w:hAnsi="方正黑体_GBK" w:eastAsia="方正黑体_GBK" w:cs="方正黑体_GBK"/>
          <w:szCs w:val="32"/>
          <w:highlight w:val="none"/>
        </w:rPr>
        <w:t>第四章 失能评估</w:t>
      </w:r>
    </w:p>
    <w:p>
      <w:pPr>
        <w:spacing w:line="560" w:lineRule="exact"/>
        <w:ind w:firstLine="640" w:firstLineChars="200"/>
        <w:rPr>
          <w:rFonts w:hint="eastAsia" w:ascii="Times New Roman" w:hAnsi="Times New Roman" w:eastAsia="方正仿宋_GBK" w:cs="Times New Roman"/>
          <w:kern w:val="21"/>
          <w:sz w:val="32"/>
          <w:szCs w:val="32"/>
          <w:highlight w:val="none"/>
          <w:lang w:eastAsia="zh-CN"/>
        </w:rPr>
      </w:pPr>
      <w:r>
        <w:rPr>
          <w:rFonts w:hint="default" w:ascii="方正楷体_GBK" w:hAnsi="方正楷体_GBK" w:eastAsia="方正楷体_GBK" w:cs="方正楷体_GBK"/>
          <w:sz w:val="32"/>
          <w:szCs w:val="32"/>
          <w:highlight w:val="none"/>
          <w:lang w:val="zh-TW"/>
        </w:rPr>
        <w:t>第</w:t>
      </w:r>
      <w:r>
        <w:rPr>
          <w:rFonts w:hint="eastAsia" w:ascii="方正楷体_GBK" w:hAnsi="方正楷体_GBK" w:eastAsia="方正楷体_GBK" w:cs="方正楷体_GBK"/>
          <w:sz w:val="32"/>
          <w:szCs w:val="32"/>
          <w:highlight w:val="none"/>
        </w:rPr>
        <w:t>十九</w:t>
      </w:r>
      <w:r>
        <w:rPr>
          <w:rFonts w:hint="default" w:ascii="方正楷体_GBK" w:hAnsi="方正楷体_GBK" w:eastAsia="方正楷体_GBK" w:cs="方正楷体_GBK"/>
          <w:sz w:val="32"/>
          <w:szCs w:val="32"/>
          <w:highlight w:val="none"/>
          <w:lang w:val="zh-TW"/>
        </w:rPr>
        <w:t>条</w:t>
      </w:r>
      <w:r>
        <w:rPr>
          <w:rFonts w:hint="default" w:ascii="方正楷体_GBK" w:hAnsi="方正楷体_GBK" w:eastAsia="方正楷体_GBK" w:cs="方正楷体_GBK"/>
          <w:sz w:val="30"/>
          <w:szCs w:val="30"/>
          <w:highlight w:val="none"/>
          <w:lang w:val="zh-TW"/>
        </w:rPr>
        <w:t xml:space="preserve"> </w:t>
      </w:r>
      <w:r>
        <w:rPr>
          <w:rFonts w:hint="default" w:ascii="Times New Roman" w:hAnsi="Times New Roman" w:eastAsia="方正仿宋_GBK" w:cs="Times New Roman"/>
          <w:kern w:val="21"/>
          <w:sz w:val="32"/>
          <w:szCs w:val="32"/>
          <w:highlight w:val="none"/>
        </w:rPr>
        <w:t>符合条件的参保人员因年老、疾病、伤残等原因，基本生活不能自理，失能状态持续6个月以上，失能状态基本稳定，经申请通过评估认定的失能人员，自评估结论送达次日起可按规定享受长护险待遇。</w:t>
      </w:r>
    </w:p>
    <w:p>
      <w:pPr>
        <w:spacing w:line="560" w:lineRule="exact"/>
        <w:ind w:firstLine="640" w:firstLineChars="200"/>
        <w:rPr>
          <w:rFonts w:hint="eastAsia" w:ascii="Times New Roman" w:hAnsi="Times New Roman" w:eastAsia="方正仿宋_GBK" w:cs="Times New Roman"/>
          <w:color w:val="000000"/>
          <w:sz w:val="32"/>
          <w:szCs w:val="32"/>
          <w:highlight w:val="none"/>
        </w:rPr>
      </w:pPr>
      <w:r>
        <w:rPr>
          <w:rFonts w:hint="default" w:ascii="方正楷体_GBK" w:hAnsi="方正楷体_GBK" w:eastAsia="方正楷体_GBK" w:cs="方正楷体_GBK"/>
          <w:sz w:val="32"/>
          <w:szCs w:val="32"/>
          <w:highlight w:val="none"/>
          <w:lang w:val="zh-TW"/>
        </w:rPr>
        <w:t>第二十条</w:t>
      </w:r>
      <w:r>
        <w:rPr>
          <w:rFonts w:hint="eastAsia" w:ascii="方正楷体_GBK" w:hAnsi="方正楷体_GBK" w:eastAsia="方正楷体_GBK" w:cs="方正楷体_GBK"/>
          <w:sz w:val="32"/>
          <w:szCs w:val="32"/>
          <w:highlight w:val="none"/>
          <w:lang w:val="zh-TW"/>
        </w:rPr>
        <w:t xml:space="preserve"> </w:t>
      </w:r>
      <w:r>
        <w:rPr>
          <w:rFonts w:hint="default" w:ascii="Times New Roman" w:hAnsi="Times New Roman" w:eastAsia="方正仿宋_GBK" w:cs="Times New Roman"/>
          <w:color w:val="000000"/>
          <w:sz w:val="32"/>
          <w:szCs w:val="32"/>
          <w:highlight w:val="none"/>
        </w:rPr>
        <w:t>市</w:t>
      </w:r>
      <w:r>
        <w:rPr>
          <w:rFonts w:hint="eastAsia" w:ascii="Times New Roman" w:hAnsi="Times New Roman" w:eastAsia="方正仿宋_GBK" w:cs="Times New Roman"/>
          <w:color w:val="000000"/>
          <w:sz w:val="32"/>
          <w:szCs w:val="32"/>
          <w:highlight w:val="none"/>
        </w:rPr>
        <w:t>医疗保障</w:t>
      </w:r>
      <w:r>
        <w:rPr>
          <w:rFonts w:hint="default" w:ascii="Times New Roman" w:hAnsi="Times New Roman" w:eastAsia="方正仿宋_GBK" w:cs="Times New Roman"/>
          <w:color w:val="000000"/>
          <w:sz w:val="32"/>
          <w:szCs w:val="32"/>
          <w:highlight w:val="none"/>
        </w:rPr>
        <w:t>部门</w:t>
      </w:r>
      <w:r>
        <w:rPr>
          <w:rFonts w:hint="default" w:ascii="Times New Roman" w:hAnsi="Times New Roman" w:eastAsia="方正仿宋_GBK" w:cs="Times New Roman"/>
          <w:sz w:val="32"/>
          <w:szCs w:val="32"/>
          <w:highlight w:val="none"/>
        </w:rPr>
        <w:t>积极</w:t>
      </w:r>
      <w:r>
        <w:rPr>
          <w:rFonts w:hint="eastAsia" w:ascii="Times New Roman" w:hAnsi="Times New Roman" w:eastAsia="方正仿宋_GBK" w:cs="Times New Roman"/>
          <w:sz w:val="32"/>
          <w:szCs w:val="32"/>
          <w:highlight w:val="none"/>
        </w:rPr>
        <w:t>引入</w:t>
      </w:r>
      <w:r>
        <w:rPr>
          <w:rFonts w:hint="default" w:ascii="Times New Roman" w:hAnsi="Times New Roman" w:eastAsia="方正仿宋_GBK" w:cs="Times New Roman"/>
          <w:sz w:val="32"/>
          <w:szCs w:val="32"/>
          <w:highlight w:val="none"/>
        </w:rPr>
        <w:t>专业、独立、规范的社会化第三方评估机构，按规定实行协议定点管理</w:t>
      </w:r>
      <w:r>
        <w:rPr>
          <w:rFonts w:hint="default" w:ascii="Times New Roman" w:hAnsi="Times New Roman" w:eastAsia="方正仿宋_GBK" w:cs="Times New Roman"/>
          <w:color w:val="000000"/>
          <w:sz w:val="32"/>
          <w:szCs w:val="32"/>
          <w:highlight w:val="none"/>
        </w:rPr>
        <w:t>。</w:t>
      </w:r>
      <w:r>
        <w:rPr>
          <w:rFonts w:hint="default" w:ascii="Times New Roman" w:hAnsi="Times New Roman" w:eastAsia="方正仿宋_GBK" w:cs="Times New Roman"/>
          <w:sz w:val="32"/>
          <w:szCs w:val="32"/>
          <w:highlight w:val="none"/>
        </w:rPr>
        <w:t>承担失能等级评估的机构，不得同时承担长护服务和经办工作。</w:t>
      </w:r>
      <w:r>
        <w:rPr>
          <w:rFonts w:hint="eastAsia" w:ascii="Times New Roman" w:hAnsi="Times New Roman" w:eastAsia="方正仿宋_GBK" w:cs="Times New Roman"/>
          <w:color w:val="000000"/>
          <w:sz w:val="32"/>
          <w:szCs w:val="32"/>
          <w:highlight w:val="none"/>
        </w:rPr>
        <w:t>市劳动能力鉴定中心在失能等级评估社会化第三方机构培育过渡期间，继续承担长护险参保人员失能评定工作。</w:t>
      </w:r>
    </w:p>
    <w:p>
      <w:pPr>
        <w:spacing w:line="560" w:lineRule="exact"/>
        <w:ind w:firstLine="640" w:firstLineChars="200"/>
        <w:rPr>
          <w:rFonts w:hint="eastAsia" w:ascii="Times New Roman" w:hAnsi="Times New Roman" w:eastAsia="方正仿宋_GBK" w:cs="Times New Roman"/>
          <w:sz w:val="32"/>
          <w:szCs w:val="32"/>
          <w:highlight w:val="none"/>
        </w:rPr>
      </w:pPr>
      <w:r>
        <w:rPr>
          <w:rFonts w:hint="default" w:ascii="方正楷体_GBK" w:hAnsi="方正楷体_GBK" w:eastAsia="方正楷体_GBK" w:cs="方正楷体_GBK"/>
          <w:sz w:val="32"/>
          <w:szCs w:val="32"/>
          <w:highlight w:val="none"/>
          <w:lang w:val="zh-TW"/>
        </w:rPr>
        <w:t>第二十</w:t>
      </w:r>
      <w:r>
        <w:rPr>
          <w:rFonts w:hint="eastAsia" w:ascii="方正楷体_GBK" w:hAnsi="方正楷体_GBK" w:eastAsia="方正楷体_GBK" w:cs="方正楷体_GBK"/>
          <w:sz w:val="32"/>
          <w:szCs w:val="32"/>
          <w:highlight w:val="none"/>
        </w:rPr>
        <w:t>一</w:t>
      </w:r>
      <w:r>
        <w:rPr>
          <w:rFonts w:hint="default" w:ascii="方正楷体_GBK" w:hAnsi="方正楷体_GBK" w:eastAsia="方正楷体_GBK" w:cs="方正楷体_GBK"/>
          <w:sz w:val="32"/>
          <w:szCs w:val="32"/>
          <w:highlight w:val="none"/>
          <w:lang w:val="zh-TW"/>
        </w:rPr>
        <w:t>条</w:t>
      </w:r>
      <w:bookmarkStart w:id="59" w:name="OLE_LINK40"/>
      <w:bookmarkStart w:id="60" w:name="OLE_LINK26"/>
      <w:r>
        <w:rPr>
          <w:rFonts w:hint="default" w:ascii="方正楷体_GBK" w:hAnsi="方正楷体_GBK" w:eastAsia="方正楷体_GBK" w:cs="方正楷体_GBK"/>
          <w:sz w:val="32"/>
          <w:szCs w:val="32"/>
          <w:highlight w:val="none"/>
          <w:lang w:val="zh-TW"/>
        </w:rPr>
        <w:t xml:space="preserve"> </w:t>
      </w:r>
      <w:r>
        <w:rPr>
          <w:rFonts w:hint="default" w:ascii="Times New Roman" w:hAnsi="Times New Roman" w:eastAsia="方正仿宋_GBK" w:cs="Times New Roman"/>
          <w:sz w:val="32"/>
          <w:szCs w:val="32"/>
          <w:highlight w:val="none"/>
        </w:rPr>
        <w:t>失能等级评估</w:t>
      </w:r>
      <w:r>
        <w:rPr>
          <w:rFonts w:hint="eastAsia" w:ascii="Times New Roman" w:hAnsi="Times New Roman" w:eastAsia="方正仿宋_GBK" w:cs="Times New Roman"/>
          <w:sz w:val="32"/>
          <w:szCs w:val="32"/>
          <w:highlight w:val="none"/>
        </w:rPr>
        <w:t>基金最高支付标准300元/人次</w:t>
      </w:r>
      <w:bookmarkEnd w:id="59"/>
      <w:bookmarkEnd w:id="60"/>
      <w:r>
        <w:rPr>
          <w:rFonts w:hint="eastAsia" w:ascii="Times New Roman" w:hAnsi="Times New Roman" w:eastAsia="方正仿宋_GBK" w:cs="Times New Roman"/>
          <w:sz w:val="32"/>
          <w:szCs w:val="32"/>
          <w:highlight w:val="none"/>
        </w:rPr>
        <w:t>，</w:t>
      </w:r>
      <w:r>
        <w:rPr>
          <w:rFonts w:hint="eastAsia" w:ascii="+仿宋_GB2312" w:hAnsi="+仿宋_GB2312" w:eastAsia="方正仿宋_GBK" w:cs="Times New Roman"/>
          <w:color w:val="000000"/>
          <w:kern w:val="0"/>
          <w:sz w:val="32"/>
          <w:szCs w:val="32"/>
          <w:highlight w:val="none"/>
          <w:lang w:bidi="ar"/>
        </w:rPr>
        <w:t>结合本地社会经济发展水平适时动态调整</w:t>
      </w:r>
      <w:r>
        <w:rPr>
          <w:rFonts w:hint="default" w:ascii="Times New Roman" w:hAnsi="Times New Roman" w:eastAsia="方正仿宋_GBK" w:cs="Times New Roman"/>
          <w:sz w:val="32"/>
          <w:szCs w:val="32"/>
          <w:highlight w:val="none"/>
        </w:rPr>
        <w:t>。参保人员首次申请失能评估且评估通过的</w:t>
      </w:r>
      <w:r>
        <w:rPr>
          <w:rFonts w:hint="eastAsia" w:ascii="Times New Roman" w:hAnsi="Times New Roman" w:eastAsia="方正仿宋_GBK" w:cs="Times New Roman"/>
          <w:sz w:val="32"/>
          <w:szCs w:val="32"/>
          <w:highlight w:val="none"/>
        </w:rPr>
        <w:t>、评估未通过在公示期内提出复评通过的、</w:t>
      </w:r>
      <w:r>
        <w:rPr>
          <w:rFonts w:hint="default" w:ascii="Times New Roman" w:hAnsi="Times New Roman" w:eastAsia="方正仿宋_GBK" w:cs="Times New Roman"/>
          <w:sz w:val="32"/>
          <w:szCs w:val="32"/>
          <w:highlight w:val="none"/>
        </w:rPr>
        <w:t>按规定开展定期复评的</w:t>
      </w:r>
      <w:r>
        <w:rPr>
          <w:rFonts w:hint="eastAsia"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rPr>
        <w:t>经争议复评符合待遇享受条件的</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以及因医疗保障部门工作需要组织开展稽核抽查、监管复核等复评的，评估费用由长护险基金承担。</w:t>
      </w:r>
      <w:r>
        <w:rPr>
          <w:rFonts w:hint="eastAsia" w:ascii="Times New Roman" w:hAnsi="Times New Roman" w:eastAsia="方正仿宋_GBK" w:cs="Times New Roman"/>
          <w:sz w:val="32"/>
          <w:szCs w:val="32"/>
          <w:highlight w:val="none"/>
        </w:rPr>
        <w:t>因被评估人员自身原因导致评估工作中断或无法完成的，以及经评估未达到重度失能等级标准的，评估费用由个人承担。</w:t>
      </w:r>
    </w:p>
    <w:p>
      <w:pPr>
        <w:spacing w:line="560" w:lineRule="exact"/>
        <w:ind w:firstLine="640" w:firstLineChars="200"/>
        <w:rPr>
          <w:rFonts w:hint="default" w:ascii="Times New Roman" w:hAnsi="Times New Roman" w:eastAsia="方正仿宋_GBK" w:cs="Times New Roman"/>
          <w:sz w:val="32"/>
          <w:szCs w:val="32"/>
          <w:highlight w:val="none"/>
        </w:rPr>
      </w:pPr>
      <w:r>
        <w:rPr>
          <w:rFonts w:hint="default" w:ascii="方正楷体_GBK" w:hAnsi="方正楷体_GBK" w:eastAsia="方正楷体_GBK" w:cs="方正楷体_GBK"/>
          <w:sz w:val="32"/>
          <w:szCs w:val="32"/>
          <w:highlight w:val="none"/>
          <w:lang w:val="zh-TW"/>
        </w:rPr>
        <w:t>第二十</w:t>
      </w:r>
      <w:r>
        <w:rPr>
          <w:rFonts w:hint="eastAsia" w:ascii="方正楷体_GBK" w:hAnsi="方正楷体_GBK" w:eastAsia="方正楷体_GBK" w:cs="方正楷体_GBK"/>
          <w:sz w:val="32"/>
          <w:szCs w:val="32"/>
          <w:highlight w:val="none"/>
        </w:rPr>
        <w:t>二</w:t>
      </w:r>
      <w:r>
        <w:rPr>
          <w:rFonts w:hint="default" w:ascii="方正楷体_GBK" w:hAnsi="方正楷体_GBK" w:eastAsia="方正楷体_GBK" w:cs="方正楷体_GBK"/>
          <w:sz w:val="32"/>
          <w:szCs w:val="32"/>
          <w:highlight w:val="none"/>
          <w:lang w:val="zh-TW"/>
        </w:rPr>
        <w:t xml:space="preserve">条 </w:t>
      </w:r>
      <w:r>
        <w:rPr>
          <w:rFonts w:hint="default" w:ascii="Times New Roman" w:hAnsi="Times New Roman" w:eastAsia="方正仿宋_GBK" w:cs="Times New Roman"/>
          <w:sz w:val="32"/>
          <w:szCs w:val="32"/>
          <w:highlight w:val="none"/>
        </w:rPr>
        <w:t>评估对象或其监护人、委托代理人自愿向长护险经办机构提出评估申请，提交相关材料。长护险经办机构收到评估申请后，应及时对申请材料进行审核，并组织定点评估机构对参保人开展失能评估。</w:t>
      </w:r>
    </w:p>
    <w:p>
      <w:pPr>
        <w:spacing w:line="560" w:lineRule="exact"/>
        <w:ind w:firstLine="640" w:firstLineChars="200"/>
        <w:rPr>
          <w:rFonts w:hint="default" w:ascii="Times New Roman" w:hAnsi="Times New Roman" w:eastAsia="方正仿宋_GBK" w:cs="Times New Roman"/>
          <w:sz w:val="32"/>
          <w:szCs w:val="32"/>
          <w:highlight w:val="none"/>
        </w:rPr>
      </w:pPr>
      <w:r>
        <w:rPr>
          <w:rFonts w:hint="default" w:ascii="方正楷体_GBK" w:hAnsi="方正楷体_GBK" w:eastAsia="方正楷体_GBK" w:cs="方正楷体_GBK"/>
          <w:sz w:val="32"/>
          <w:szCs w:val="32"/>
          <w:highlight w:val="none"/>
          <w:lang w:val="zh-TW"/>
        </w:rPr>
        <w:t>第二十</w:t>
      </w:r>
      <w:r>
        <w:rPr>
          <w:rFonts w:hint="eastAsia" w:ascii="方正楷体_GBK" w:hAnsi="方正楷体_GBK" w:eastAsia="方正楷体_GBK" w:cs="方正楷体_GBK"/>
          <w:sz w:val="32"/>
          <w:szCs w:val="32"/>
          <w:highlight w:val="none"/>
        </w:rPr>
        <w:t>三</w:t>
      </w:r>
      <w:r>
        <w:rPr>
          <w:rFonts w:hint="default" w:ascii="方正楷体_GBK" w:hAnsi="方正楷体_GBK" w:eastAsia="方正楷体_GBK" w:cs="方正楷体_GBK"/>
          <w:sz w:val="32"/>
          <w:szCs w:val="32"/>
          <w:highlight w:val="none"/>
          <w:lang w:val="zh-TW"/>
        </w:rPr>
        <w:t xml:space="preserve">条 </w:t>
      </w:r>
      <w:r>
        <w:rPr>
          <w:rFonts w:hint="default" w:ascii="Times New Roman" w:hAnsi="Times New Roman" w:eastAsia="方正仿宋_GBK" w:cs="Times New Roman"/>
          <w:sz w:val="32"/>
          <w:szCs w:val="32"/>
          <w:highlight w:val="none"/>
        </w:rPr>
        <w:t>失能等级评估流程主要包括评估申请、受理审核、现场评估、提出结论、公示与送达等环节。原则上从申请受理到结论书送达时限不超过30个工作日。</w:t>
      </w:r>
    </w:p>
    <w:p>
      <w:pPr>
        <w:widowControl/>
        <w:spacing w:line="560" w:lineRule="exact"/>
        <w:ind w:firstLine="640" w:firstLineChars="200"/>
        <w:rPr>
          <w:rFonts w:hint="default" w:ascii="Times New Roman" w:hAnsi="Times New Roman" w:eastAsia="方正仿宋_GBK" w:cs="Times New Roman"/>
          <w:sz w:val="32"/>
          <w:szCs w:val="32"/>
          <w:highlight w:val="none"/>
        </w:rPr>
      </w:pPr>
      <w:r>
        <w:rPr>
          <w:rFonts w:hint="default" w:ascii="方正楷体_GBK" w:hAnsi="方正楷体_GBK" w:eastAsia="方正楷体_GBK" w:cs="方正楷体_GBK"/>
          <w:sz w:val="32"/>
          <w:szCs w:val="32"/>
          <w:highlight w:val="none"/>
          <w:lang w:val="zh-TW"/>
        </w:rPr>
        <w:t>第二十</w:t>
      </w:r>
      <w:r>
        <w:rPr>
          <w:rFonts w:hint="eastAsia" w:ascii="方正楷体_GBK" w:hAnsi="方正楷体_GBK" w:eastAsia="方正楷体_GBK" w:cs="方正楷体_GBK"/>
          <w:sz w:val="32"/>
          <w:szCs w:val="32"/>
          <w:highlight w:val="none"/>
        </w:rPr>
        <w:t>四</w:t>
      </w:r>
      <w:r>
        <w:rPr>
          <w:rFonts w:hint="default" w:ascii="方正楷体_GBK" w:hAnsi="方正楷体_GBK" w:eastAsia="方正楷体_GBK" w:cs="方正楷体_GBK"/>
          <w:sz w:val="32"/>
          <w:szCs w:val="32"/>
          <w:highlight w:val="none"/>
          <w:lang w:val="zh-TW"/>
        </w:rPr>
        <w:t>条</w:t>
      </w:r>
      <w:r>
        <w:rPr>
          <w:rFonts w:hint="eastAsia" w:ascii="方正楷体_GBK" w:hAnsi="方正楷体_GBK" w:eastAsia="方正楷体_GBK" w:cs="方正楷体_GBK"/>
          <w:sz w:val="32"/>
          <w:szCs w:val="32"/>
          <w:highlight w:val="none"/>
          <w:lang w:val="zh-TW"/>
        </w:rPr>
        <w:t xml:space="preserve"> </w:t>
      </w:r>
      <w:r>
        <w:rPr>
          <w:rFonts w:hint="eastAsia" w:ascii="Times New Roman" w:hAnsi="Times New Roman" w:eastAsia="方正仿宋_GBK" w:cs="Times New Roman"/>
          <w:sz w:val="32"/>
          <w:szCs w:val="32"/>
          <w:highlight w:val="none"/>
        </w:rPr>
        <w:t>长护险</w:t>
      </w:r>
      <w:r>
        <w:rPr>
          <w:rFonts w:hint="default" w:ascii="Times New Roman" w:hAnsi="Times New Roman" w:eastAsia="方正仿宋_GBK" w:cs="Times New Roman"/>
          <w:sz w:val="32"/>
          <w:szCs w:val="32"/>
          <w:highlight w:val="none"/>
        </w:rPr>
        <w:t>经办机构将</w:t>
      </w:r>
      <w:r>
        <w:rPr>
          <w:rFonts w:hint="eastAsia" w:ascii="Times New Roman" w:hAnsi="Times New Roman" w:eastAsia="方正仿宋_GBK" w:cs="Times New Roman"/>
          <w:sz w:val="32"/>
          <w:szCs w:val="32"/>
          <w:highlight w:val="none"/>
        </w:rPr>
        <w:t>评估</w:t>
      </w:r>
      <w:r>
        <w:rPr>
          <w:rFonts w:hint="default" w:ascii="Times New Roman" w:hAnsi="Times New Roman" w:eastAsia="方正仿宋_GBK" w:cs="Times New Roman"/>
          <w:sz w:val="32"/>
          <w:szCs w:val="32"/>
          <w:highlight w:val="none"/>
        </w:rPr>
        <w:t>结论在市医疗保障局及</w:t>
      </w:r>
      <w:r>
        <w:rPr>
          <w:rFonts w:hint="eastAsia" w:ascii="Times New Roman" w:hAnsi="Times New Roman" w:eastAsia="方正仿宋_GBK" w:cs="Times New Roman"/>
          <w:sz w:val="32"/>
          <w:szCs w:val="32"/>
          <w:highlight w:val="none"/>
        </w:rPr>
        <w:t>各区（县）医疗保障局、第三方经办机构和定点长护服务机构</w:t>
      </w:r>
      <w:r>
        <w:rPr>
          <w:rFonts w:hint="default" w:ascii="Times New Roman" w:hAnsi="Times New Roman" w:eastAsia="方正仿宋_GBK" w:cs="Times New Roman"/>
          <w:sz w:val="32"/>
          <w:szCs w:val="32"/>
          <w:highlight w:val="none"/>
        </w:rPr>
        <w:t>进行公示，公示时间不少于7日。</w:t>
      </w:r>
      <w:r>
        <w:rPr>
          <w:rFonts w:hint="eastAsia" w:ascii="Times New Roman" w:hAnsi="Times New Roman" w:eastAsia="方正仿宋_GBK" w:cs="Times New Roman"/>
          <w:color w:val="000000"/>
          <w:sz w:val="32"/>
          <w:szCs w:val="32"/>
          <w:highlight w:val="none"/>
        </w:rPr>
        <w:t>评估通过且</w:t>
      </w:r>
      <w:r>
        <w:rPr>
          <w:rFonts w:hint="default" w:ascii="Times New Roman" w:hAnsi="Times New Roman" w:eastAsia="方正仿宋_GBK" w:cs="Times New Roman"/>
          <w:color w:val="000000"/>
          <w:sz w:val="32"/>
          <w:szCs w:val="32"/>
          <w:highlight w:val="none"/>
        </w:rPr>
        <w:t>公示</w:t>
      </w:r>
      <w:r>
        <w:rPr>
          <w:rFonts w:hint="eastAsia" w:ascii="Times New Roman" w:hAnsi="Times New Roman" w:eastAsia="方正仿宋_GBK" w:cs="Times New Roman"/>
          <w:color w:val="000000"/>
          <w:sz w:val="32"/>
          <w:szCs w:val="32"/>
          <w:highlight w:val="none"/>
        </w:rPr>
        <w:t>期内</w:t>
      </w:r>
      <w:r>
        <w:rPr>
          <w:rFonts w:hint="default" w:ascii="Times New Roman" w:hAnsi="Times New Roman" w:eastAsia="方正仿宋_GBK" w:cs="Times New Roman"/>
          <w:color w:val="000000"/>
          <w:sz w:val="32"/>
          <w:szCs w:val="32"/>
          <w:highlight w:val="none"/>
        </w:rPr>
        <w:t>无异议的，由长护险经办机构及时纳入长护险保障范围。对公示期内评估结论有异议的，在规定期限内，由申请人提出复评申请，并按要求提供相关复评材料。</w:t>
      </w:r>
    </w:p>
    <w:p>
      <w:pPr>
        <w:pStyle w:val="6"/>
        <w:widowControl/>
        <w:shd w:val="clear" w:color="auto" w:fill="FFFFFF"/>
        <w:spacing w:line="560" w:lineRule="exact"/>
        <w:ind w:firstLine="640" w:firstLineChars="200"/>
        <w:jc w:val="both"/>
        <w:rPr>
          <w:rFonts w:hint="default" w:eastAsia="方正仿宋_GBK"/>
          <w:color w:val="222222"/>
          <w:sz w:val="32"/>
          <w:szCs w:val="32"/>
          <w:highlight w:val="none"/>
          <w:shd w:val="clear" w:color="auto" w:fill="FFFFFF"/>
        </w:rPr>
      </w:pPr>
      <w:r>
        <w:rPr>
          <w:rFonts w:hint="default" w:ascii="方正楷体_GBK" w:hAnsi="方正楷体_GBK" w:eastAsia="方正楷体_GBK" w:cs="方正楷体_GBK"/>
          <w:kern w:val="2"/>
          <w:sz w:val="32"/>
          <w:szCs w:val="32"/>
          <w:highlight w:val="none"/>
          <w:lang w:val="zh-TW"/>
        </w:rPr>
        <w:t>第二十</w:t>
      </w:r>
      <w:r>
        <w:rPr>
          <w:rFonts w:ascii="方正楷体_GBK" w:hAnsi="方正楷体_GBK" w:eastAsia="方正楷体_GBK" w:cs="方正楷体_GBK"/>
          <w:kern w:val="2"/>
          <w:sz w:val="32"/>
          <w:szCs w:val="32"/>
          <w:highlight w:val="none"/>
        </w:rPr>
        <w:t>五</w:t>
      </w:r>
      <w:r>
        <w:rPr>
          <w:rFonts w:hint="default" w:ascii="方正楷体_GBK" w:hAnsi="方正楷体_GBK" w:eastAsia="方正楷体_GBK" w:cs="方正楷体_GBK"/>
          <w:kern w:val="2"/>
          <w:sz w:val="32"/>
          <w:szCs w:val="32"/>
          <w:highlight w:val="none"/>
          <w:lang w:val="zh-TW"/>
        </w:rPr>
        <w:t>条</w:t>
      </w:r>
      <w:r>
        <w:rPr>
          <w:rFonts w:hint="default" w:ascii="方正楷体_GBK" w:hAnsi="方正楷体_GBK" w:eastAsia="方正楷体_GBK" w:cs="方正楷体_GBK"/>
          <w:kern w:val="2"/>
          <w:sz w:val="32"/>
          <w:szCs w:val="32"/>
          <w:highlight w:val="none"/>
        </w:rPr>
        <w:t xml:space="preserve"> </w:t>
      </w:r>
      <w:r>
        <w:rPr>
          <w:rFonts w:hint="default" w:eastAsia="方正仿宋_GBK"/>
          <w:color w:val="222222"/>
          <w:sz w:val="32"/>
          <w:szCs w:val="32"/>
          <w:highlight w:val="none"/>
          <w:shd w:val="clear" w:color="auto" w:fill="FFFFFF"/>
        </w:rPr>
        <w:t>参保人员在上一次评估结论作出满6个月（含）后，因失能状态变化，可再次提出失能等级评估申请。经评估失能等级发生变化或不符合保障范围的，应及时调整或</w:t>
      </w:r>
      <w:r>
        <w:rPr>
          <w:rFonts w:eastAsia="方正仿宋_GBK"/>
          <w:color w:val="222222"/>
          <w:sz w:val="32"/>
          <w:szCs w:val="32"/>
          <w:highlight w:val="none"/>
          <w:shd w:val="clear" w:color="auto" w:fill="FFFFFF"/>
        </w:rPr>
        <w:t>终</w:t>
      </w:r>
      <w:r>
        <w:rPr>
          <w:rFonts w:hint="default" w:eastAsia="方正仿宋_GBK"/>
          <w:color w:val="222222"/>
          <w:sz w:val="32"/>
          <w:szCs w:val="32"/>
          <w:highlight w:val="none"/>
          <w:shd w:val="clear" w:color="auto" w:fill="FFFFFF"/>
        </w:rPr>
        <w:t>止长护险待遇。</w:t>
      </w:r>
    </w:p>
    <w:p>
      <w:pPr>
        <w:spacing w:line="560" w:lineRule="exact"/>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color w:val="333333"/>
          <w:sz w:val="32"/>
          <w:szCs w:val="32"/>
          <w:highlight w:val="none"/>
          <w:shd w:val="clear" w:color="auto" w:fill="FFFFFF"/>
        </w:rPr>
        <w:t>医疗保障行政部门可根据失能等级确定评估结论有效期，其中重度失能等级评估结论有效期一般不超过2年。</w:t>
      </w:r>
      <w:r>
        <w:rPr>
          <w:rFonts w:hint="default" w:ascii="Times New Roman" w:hAnsi="Times New Roman" w:eastAsia="方正仿宋_GBK" w:cs="Times New Roman"/>
          <w:sz w:val="32"/>
          <w:szCs w:val="32"/>
          <w:highlight w:val="none"/>
        </w:rPr>
        <w:t>申请人有下列情形的，不予受理失能等级评估申请。</w:t>
      </w:r>
    </w:p>
    <w:p>
      <w:pPr>
        <w:spacing w:line="560" w:lineRule="exact"/>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（一）未参加长护险的；</w:t>
      </w:r>
    </w:p>
    <w:p>
      <w:pPr>
        <w:spacing w:line="560" w:lineRule="exact"/>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（二）不符合待遇享受条件的；</w:t>
      </w:r>
    </w:p>
    <w:p>
      <w:pPr>
        <w:spacing w:line="560" w:lineRule="exact"/>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（三）发生护理服务费用不属于长护险基金支付范围的；</w:t>
      </w:r>
    </w:p>
    <w:p>
      <w:pPr>
        <w:spacing w:line="560" w:lineRule="exact"/>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（四）申报材料不全或提供虚假材料的</w:t>
      </w:r>
      <w:bookmarkStart w:id="61" w:name="OLE_LINK41"/>
      <w:bookmarkStart w:id="62" w:name="OLE_LINK42"/>
      <w:r>
        <w:rPr>
          <w:rFonts w:hint="default" w:ascii="Times New Roman" w:hAnsi="Times New Roman" w:eastAsia="方正仿宋_GBK" w:cs="Times New Roman"/>
          <w:sz w:val="32"/>
          <w:szCs w:val="32"/>
          <w:highlight w:val="none"/>
        </w:rPr>
        <w:t>；</w:t>
      </w:r>
      <w:bookmarkEnd w:id="61"/>
      <w:bookmarkEnd w:id="62"/>
    </w:p>
    <w:p>
      <w:pPr>
        <w:spacing w:line="560" w:lineRule="exact"/>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（五）</w:t>
      </w:r>
      <w:r>
        <w:rPr>
          <w:rFonts w:hint="default" w:ascii="Times New Roman" w:hAnsi="Times New Roman" w:eastAsia="方正仿宋_GBK" w:cs="Times New Roman"/>
          <w:color w:val="000000"/>
          <w:sz w:val="32"/>
          <w:szCs w:val="32"/>
          <w:highlight w:val="none"/>
        </w:rPr>
        <w:t>距上次失能</w:t>
      </w:r>
      <w:r>
        <w:rPr>
          <w:rFonts w:hint="eastAsia" w:ascii="Times New Roman" w:hAnsi="Times New Roman" w:eastAsia="方正仿宋_GBK" w:cs="Times New Roman"/>
          <w:color w:val="000000"/>
          <w:sz w:val="32"/>
          <w:szCs w:val="32"/>
          <w:highlight w:val="none"/>
        </w:rPr>
        <w:t>评估</w:t>
      </w:r>
      <w:r>
        <w:rPr>
          <w:rFonts w:hint="default" w:ascii="Times New Roman" w:hAnsi="Times New Roman" w:eastAsia="方正仿宋_GBK" w:cs="Times New Roman"/>
          <w:color w:val="000000"/>
          <w:sz w:val="32"/>
          <w:szCs w:val="32"/>
          <w:highlight w:val="none"/>
        </w:rPr>
        <w:t>不通过结论作出之日起不足6个月的，且参保人员病情及日常生活活动能力无明显变化的</w:t>
      </w:r>
      <w:r>
        <w:rPr>
          <w:rFonts w:hint="default" w:ascii="Times New Roman" w:hAnsi="Times New Roman" w:eastAsia="方正仿宋_GBK" w:cs="Times New Roman"/>
          <w:sz w:val="32"/>
          <w:szCs w:val="32"/>
          <w:highlight w:val="none"/>
        </w:rPr>
        <w:t>；</w:t>
      </w:r>
    </w:p>
    <w:p>
      <w:pPr>
        <w:spacing w:line="560" w:lineRule="exact"/>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（六）其他</w:t>
      </w:r>
      <w:r>
        <w:rPr>
          <w:rFonts w:hint="default" w:ascii="Times New Roman" w:hAnsi="Times New Roman" w:eastAsia="方正仿宋_GBK" w:cs="Times New Roman"/>
          <w:strike w:val="0"/>
          <w:dstrike w:val="0"/>
          <w:sz w:val="32"/>
          <w:szCs w:val="32"/>
          <w:highlight w:val="none"/>
        </w:rPr>
        <w:t>长护险</w:t>
      </w:r>
      <w:r>
        <w:rPr>
          <w:rFonts w:hint="default" w:ascii="Times New Roman" w:hAnsi="Times New Roman" w:eastAsia="方正仿宋_GBK" w:cs="Times New Roman"/>
          <w:sz w:val="32"/>
          <w:szCs w:val="32"/>
          <w:highlight w:val="none"/>
        </w:rPr>
        <w:t>不予受理评估申请的情形。</w:t>
      </w:r>
    </w:p>
    <w:p>
      <w:pPr>
        <w:spacing w:line="560" w:lineRule="exact"/>
        <w:ind w:firstLine="640" w:firstLineChars="200"/>
        <w:rPr>
          <w:rFonts w:hint="default" w:ascii="Times New Roman" w:hAnsi="Times New Roman" w:eastAsia="方正仿宋_GBK" w:cs="Times New Roman"/>
          <w:sz w:val="32"/>
          <w:szCs w:val="32"/>
          <w:highlight w:val="none"/>
        </w:rPr>
      </w:pPr>
      <w:r>
        <w:rPr>
          <w:rFonts w:hint="eastAsia" w:ascii="方正楷体_GBK" w:hAnsi="方正楷体_GBK" w:eastAsia="方正楷体_GBK" w:cs="方正楷体_GBK"/>
          <w:sz w:val="32"/>
          <w:szCs w:val="32"/>
          <w:highlight w:val="none"/>
          <w:lang w:val="zh-TW"/>
        </w:rPr>
        <w:t>第二十</w:t>
      </w:r>
      <w:r>
        <w:rPr>
          <w:rFonts w:hint="eastAsia" w:ascii="方正楷体_GBK" w:hAnsi="方正楷体_GBK" w:eastAsia="方正楷体_GBK" w:cs="方正楷体_GBK"/>
          <w:sz w:val="32"/>
          <w:szCs w:val="32"/>
          <w:highlight w:val="none"/>
        </w:rPr>
        <w:t>六</w:t>
      </w:r>
      <w:r>
        <w:rPr>
          <w:rFonts w:hint="eastAsia" w:ascii="方正楷体_GBK" w:hAnsi="方正楷体_GBK" w:eastAsia="方正楷体_GBK" w:cs="方正楷体_GBK"/>
          <w:sz w:val="32"/>
          <w:szCs w:val="32"/>
          <w:highlight w:val="none"/>
          <w:lang w:val="zh-TW"/>
        </w:rPr>
        <w:t>条</w:t>
      </w:r>
      <w:r>
        <w:rPr>
          <w:rFonts w:hint="eastAsia" w:ascii="方正楷体_GBK" w:hAnsi="方正楷体_GBK" w:eastAsia="方正楷体_GBK" w:cs="方正楷体_GBK"/>
          <w:sz w:val="32"/>
          <w:szCs w:val="32"/>
          <w:highlight w:val="none"/>
        </w:rPr>
        <w:t xml:space="preserve"> </w:t>
      </w:r>
      <w:r>
        <w:rPr>
          <w:rFonts w:hint="default" w:ascii="Times New Roman" w:hAnsi="Times New Roman" w:eastAsia="方正仿宋_GBK" w:cs="Times New Roman"/>
          <w:sz w:val="32"/>
          <w:szCs w:val="32"/>
          <w:highlight w:val="none"/>
        </w:rPr>
        <w:t>评估对象或其监护人、委托代理人应当积极配合开展现场评估工作。有下列情形之一的，评估终止。</w:t>
      </w:r>
    </w:p>
    <w:p>
      <w:pPr>
        <w:spacing w:line="560" w:lineRule="exact"/>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（一）拒不接受失能等级评估信息采集的；</w:t>
      </w:r>
    </w:p>
    <w:p>
      <w:pPr>
        <w:spacing w:line="560" w:lineRule="exact"/>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（二）无正当理由不配合失能等级评估的；</w:t>
      </w:r>
    </w:p>
    <w:p>
      <w:pPr>
        <w:spacing w:line="560" w:lineRule="exact"/>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（三）其他原因导致失能等级评估终止的。</w:t>
      </w:r>
    </w:p>
    <w:p>
      <w:pPr>
        <w:spacing w:line="560" w:lineRule="exact"/>
        <w:jc w:val="center"/>
        <w:rPr>
          <w:rFonts w:hint="default" w:ascii="方正黑体_GBK" w:hAnsi="方正黑体_GBK" w:eastAsia="方正黑体_GBK" w:cs="方正黑体_GBK"/>
          <w:sz w:val="32"/>
          <w:szCs w:val="32"/>
          <w:highlight w:val="none"/>
        </w:rPr>
      </w:pPr>
      <w:r>
        <w:rPr>
          <w:rFonts w:hint="default" w:ascii="方正黑体_GBK" w:hAnsi="方正黑体_GBK" w:eastAsia="方正黑体_GBK" w:cs="方正黑体_GBK"/>
          <w:sz w:val="32"/>
          <w:szCs w:val="32"/>
          <w:highlight w:val="none"/>
        </w:rPr>
        <w:t>第五章</w:t>
      </w:r>
      <w:r>
        <w:rPr>
          <w:rFonts w:hint="eastAsia" w:ascii="方正黑体_GBK" w:hAnsi="方正黑体_GBK" w:eastAsia="方正黑体_GBK" w:cs="方正黑体_GBK"/>
          <w:sz w:val="32"/>
          <w:szCs w:val="32"/>
          <w:highlight w:val="none"/>
        </w:rPr>
        <w:t xml:space="preserve"> </w:t>
      </w:r>
      <w:r>
        <w:rPr>
          <w:rFonts w:hint="default" w:ascii="方正黑体_GBK" w:hAnsi="方正黑体_GBK" w:eastAsia="方正黑体_GBK" w:cs="方正黑体_GBK"/>
          <w:sz w:val="32"/>
          <w:szCs w:val="32"/>
          <w:highlight w:val="none"/>
        </w:rPr>
        <w:t>服务供给</w:t>
      </w:r>
    </w:p>
    <w:p>
      <w:pPr>
        <w:spacing w:line="560" w:lineRule="exact"/>
        <w:ind w:firstLine="600" w:firstLineChars="200"/>
        <w:rPr>
          <w:rFonts w:hint="default" w:ascii="Times New Roman" w:hAnsi="Times New Roman" w:eastAsia="方正仿宋_GBK" w:cs="Times New Roman"/>
          <w:sz w:val="32"/>
          <w:szCs w:val="32"/>
          <w:highlight w:val="none"/>
        </w:rPr>
      </w:pPr>
      <w:r>
        <w:rPr>
          <w:rFonts w:hint="eastAsia" w:ascii="方正楷体_GBK" w:hAnsi="方正楷体_GBK" w:eastAsia="方正楷体_GBK" w:cs="方正楷体_GBK"/>
          <w:sz w:val="30"/>
          <w:szCs w:val="30"/>
          <w:highlight w:val="none"/>
          <w:lang w:val="zh-TW"/>
        </w:rPr>
        <w:t>第二十</w:t>
      </w:r>
      <w:r>
        <w:rPr>
          <w:rFonts w:hint="eastAsia" w:ascii="方正楷体_GBK" w:hAnsi="方正楷体_GBK" w:eastAsia="方正楷体_GBK" w:cs="方正楷体_GBK"/>
          <w:sz w:val="30"/>
          <w:szCs w:val="30"/>
          <w:highlight w:val="none"/>
        </w:rPr>
        <w:t>七</w:t>
      </w:r>
      <w:r>
        <w:rPr>
          <w:rFonts w:hint="eastAsia" w:ascii="方正楷体_GBK" w:hAnsi="方正楷体_GBK" w:eastAsia="方正楷体_GBK" w:cs="方正楷体_GBK"/>
          <w:sz w:val="30"/>
          <w:szCs w:val="30"/>
          <w:highlight w:val="none"/>
          <w:lang w:val="zh-TW"/>
        </w:rPr>
        <w:t>条</w:t>
      </w:r>
      <w:r>
        <w:rPr>
          <w:rFonts w:hint="eastAsia" w:ascii="方正楷体_GBK" w:hAnsi="方正楷体_GBK" w:eastAsia="方正楷体_GBK" w:cs="方正楷体_GBK"/>
          <w:sz w:val="32"/>
          <w:szCs w:val="32"/>
          <w:highlight w:val="none"/>
        </w:rPr>
        <w:t xml:space="preserve"> </w:t>
      </w:r>
      <w:r>
        <w:rPr>
          <w:rFonts w:hint="default" w:ascii="Times New Roman" w:hAnsi="Times New Roman" w:eastAsia="方正仿宋_GBK" w:cs="Times New Roman"/>
          <w:sz w:val="32"/>
          <w:szCs w:val="32"/>
          <w:highlight w:val="none"/>
        </w:rPr>
        <w:t>定点长护服务机构是指依法成立，经审核合格后与医疗保障经办机构签订长护险服务协议，为参保人员提供长期护理服务的养老机构、医疗机构或者业务范围包括养老服务、照护服务或者护理服务的其他服务机构。</w:t>
      </w:r>
    </w:p>
    <w:p>
      <w:pPr>
        <w:spacing w:line="560" w:lineRule="exact"/>
        <w:ind w:firstLine="640" w:firstLineChars="200"/>
        <w:rPr>
          <w:rFonts w:hint="default" w:ascii="Times New Roman" w:hAnsi="Times New Roman" w:eastAsia="方正仿宋_GBK" w:cs="Times New Roman"/>
          <w:sz w:val="32"/>
          <w:szCs w:val="32"/>
          <w:highlight w:val="none"/>
        </w:rPr>
      </w:pPr>
      <w:r>
        <w:rPr>
          <w:rFonts w:hint="eastAsia" w:ascii="方正楷体_GBK" w:hAnsi="方正楷体_GBK" w:eastAsia="方正楷体_GBK" w:cs="方正楷体_GBK"/>
          <w:sz w:val="32"/>
          <w:szCs w:val="32"/>
          <w:highlight w:val="none"/>
          <w:lang w:val="zh-TW"/>
        </w:rPr>
        <w:t>第</w:t>
      </w:r>
      <w:r>
        <w:rPr>
          <w:rFonts w:hint="eastAsia" w:ascii="方正楷体_GBK" w:hAnsi="方正楷体_GBK" w:eastAsia="方正楷体_GBK" w:cs="方正楷体_GBK"/>
          <w:sz w:val="32"/>
          <w:szCs w:val="32"/>
          <w:highlight w:val="none"/>
        </w:rPr>
        <w:t>二十八</w:t>
      </w:r>
      <w:r>
        <w:rPr>
          <w:rFonts w:hint="eastAsia" w:ascii="方正楷体_GBK" w:hAnsi="方正楷体_GBK" w:eastAsia="方正楷体_GBK" w:cs="方正楷体_GBK"/>
          <w:sz w:val="32"/>
          <w:szCs w:val="32"/>
          <w:highlight w:val="none"/>
          <w:lang w:val="zh-TW"/>
        </w:rPr>
        <w:t>条</w:t>
      </w:r>
      <w:r>
        <w:rPr>
          <w:rFonts w:hint="default" w:ascii="方正楷体_GBK" w:hAnsi="方正楷体_GBK" w:eastAsia="方正楷体_GBK" w:cs="方正楷体_GBK"/>
          <w:sz w:val="32"/>
          <w:szCs w:val="32"/>
          <w:highlight w:val="none"/>
          <w:lang w:val="zh-TW"/>
        </w:rPr>
        <w:t xml:space="preserve"> </w:t>
      </w:r>
      <w:r>
        <w:rPr>
          <w:rFonts w:hint="eastAsia" w:ascii="Times New Roman" w:hAnsi="Times New Roman" w:eastAsia="方正仿宋_GBK" w:cs="Times New Roman"/>
          <w:sz w:val="32"/>
          <w:szCs w:val="32"/>
          <w:highlight w:val="none"/>
          <w:lang w:eastAsia="zh-CN"/>
        </w:rPr>
        <w:t>定点长护服务机构和评估机构的确定</w:t>
      </w:r>
      <w:r>
        <w:rPr>
          <w:rFonts w:hint="default" w:ascii="Times New Roman" w:hAnsi="Times New Roman" w:eastAsia="方正仿宋_GBK" w:cs="Times New Roman"/>
          <w:sz w:val="32"/>
          <w:szCs w:val="32"/>
          <w:highlight w:val="none"/>
        </w:rPr>
        <w:t>，按照《国家医疗保障局办公室关于印发〈</w:t>
      </w:r>
      <w:r>
        <w:rPr>
          <w:rFonts w:hint="eastAsia" w:ascii="Times New Roman" w:hAnsi="Times New Roman" w:eastAsia="方正仿宋_GBK" w:cs="Times New Roman"/>
          <w:sz w:val="32"/>
          <w:szCs w:val="32"/>
          <w:highlight w:val="none"/>
        </w:rPr>
        <w:t>长期护理保险</w:t>
      </w:r>
      <w:r>
        <w:rPr>
          <w:rFonts w:hint="default" w:ascii="Times New Roman" w:hAnsi="Times New Roman" w:eastAsia="方正仿宋_GBK" w:cs="Times New Roman"/>
          <w:sz w:val="32"/>
          <w:szCs w:val="32"/>
          <w:highlight w:val="none"/>
        </w:rPr>
        <w:t>护理服务机构定点管理办法（试行）〉的通知》《国家医保局关于印发</w:t>
      </w:r>
      <w:bookmarkStart w:id="63" w:name="OLE_LINK25"/>
      <w:bookmarkStart w:id="64" w:name="OLE_LINK24"/>
      <w:r>
        <w:rPr>
          <w:rFonts w:hint="default" w:ascii="Times New Roman" w:hAnsi="Times New Roman" w:eastAsia="方正仿宋_GBK" w:cs="Times New Roman"/>
          <w:sz w:val="32"/>
          <w:szCs w:val="32"/>
          <w:highlight w:val="none"/>
        </w:rPr>
        <w:t>〈</w:t>
      </w:r>
      <w:bookmarkEnd w:id="63"/>
      <w:bookmarkEnd w:id="64"/>
      <w:r>
        <w:rPr>
          <w:rFonts w:hint="default" w:ascii="Times New Roman" w:hAnsi="Times New Roman" w:eastAsia="方正仿宋_GBK" w:cs="Times New Roman"/>
          <w:sz w:val="32"/>
          <w:szCs w:val="32"/>
          <w:highlight w:val="none"/>
        </w:rPr>
        <w:t>长期护理保险失能等级评估机构定点管理办法</w:t>
      </w:r>
      <w:bookmarkStart w:id="65" w:name="OLE_LINK22"/>
      <w:bookmarkStart w:id="66" w:name="OLE_LINK23"/>
      <w:r>
        <w:rPr>
          <w:rFonts w:hint="default" w:ascii="Times New Roman" w:hAnsi="Times New Roman" w:eastAsia="方正仿宋_GBK" w:cs="Times New Roman"/>
          <w:sz w:val="32"/>
          <w:szCs w:val="32"/>
          <w:highlight w:val="none"/>
        </w:rPr>
        <w:t>（试行）〉</w:t>
      </w:r>
      <w:bookmarkEnd w:id="65"/>
      <w:bookmarkEnd w:id="66"/>
      <w:r>
        <w:rPr>
          <w:rFonts w:hint="default" w:ascii="Times New Roman" w:hAnsi="Times New Roman" w:eastAsia="方正仿宋_GBK" w:cs="Times New Roman"/>
          <w:sz w:val="32"/>
          <w:szCs w:val="32"/>
          <w:highlight w:val="none"/>
        </w:rPr>
        <w:t>的通知》《国家医疗保障局办公室关于印发〈</w:t>
      </w:r>
      <w:r>
        <w:rPr>
          <w:rFonts w:hint="eastAsia" w:ascii="Times New Roman" w:hAnsi="Times New Roman" w:eastAsia="方正仿宋_GBK" w:cs="Times New Roman"/>
          <w:sz w:val="32"/>
          <w:szCs w:val="32"/>
          <w:highlight w:val="none"/>
        </w:rPr>
        <w:t>长期护理保险</w:t>
      </w:r>
      <w:r>
        <w:rPr>
          <w:rFonts w:hint="default" w:ascii="Times New Roman" w:hAnsi="Times New Roman" w:eastAsia="方正仿宋_GBK" w:cs="Times New Roman"/>
          <w:sz w:val="32"/>
          <w:szCs w:val="32"/>
          <w:highlight w:val="none"/>
        </w:rPr>
        <w:t>经办规程（试行）</w:t>
      </w:r>
      <w:r>
        <w:rPr>
          <w:rFonts w:hint="eastAsia"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rPr>
        <w:t>的通知》《新疆维吾尔自治区 新疆生产建设兵团</w:t>
      </w:r>
      <w:r>
        <w:rPr>
          <w:rFonts w:hint="eastAsia" w:ascii="Times New Roman" w:hAnsi="Times New Roman" w:eastAsia="方正仿宋_GBK" w:cs="Times New Roman"/>
          <w:sz w:val="32"/>
          <w:szCs w:val="32"/>
          <w:highlight w:val="none"/>
        </w:rPr>
        <w:t>长期护理保险</w:t>
      </w:r>
      <w:r>
        <w:rPr>
          <w:rFonts w:hint="default" w:ascii="Times New Roman" w:hAnsi="Times New Roman" w:eastAsia="方正仿宋_GBK" w:cs="Times New Roman"/>
          <w:sz w:val="32"/>
          <w:szCs w:val="32"/>
          <w:highlight w:val="none"/>
        </w:rPr>
        <w:t>护理服务机构定点管理实施细则》等文件相关规定执行。</w:t>
      </w:r>
    </w:p>
    <w:p>
      <w:pPr>
        <w:spacing w:line="560" w:lineRule="exact"/>
        <w:ind w:firstLine="640" w:firstLineChars="200"/>
        <w:rPr>
          <w:rFonts w:hint="default" w:ascii="Times New Roman" w:hAnsi="Times New Roman" w:eastAsia="方正仿宋_GBK" w:cs="Times New Roman"/>
          <w:sz w:val="32"/>
          <w:szCs w:val="32"/>
          <w:highlight w:val="none"/>
        </w:rPr>
      </w:pPr>
      <w:r>
        <w:rPr>
          <w:rFonts w:hint="default" w:ascii="方正楷体_GBK" w:hAnsi="方正楷体_GBK" w:eastAsia="方正楷体_GBK" w:cs="方正楷体_GBK"/>
          <w:sz w:val="32"/>
          <w:szCs w:val="32"/>
          <w:highlight w:val="none"/>
          <w:lang w:val="zh-TW"/>
        </w:rPr>
        <w:t>第</w:t>
      </w:r>
      <w:r>
        <w:rPr>
          <w:rFonts w:hint="eastAsia" w:ascii="方正楷体_GBK" w:hAnsi="方正楷体_GBK" w:eastAsia="方正楷体_GBK" w:cs="方正楷体_GBK"/>
          <w:sz w:val="32"/>
          <w:szCs w:val="32"/>
          <w:highlight w:val="none"/>
          <w:lang w:val="zh-TW"/>
        </w:rPr>
        <w:t>二十九</w:t>
      </w:r>
      <w:r>
        <w:rPr>
          <w:rFonts w:hint="default" w:ascii="方正楷体_GBK" w:hAnsi="方正楷体_GBK" w:eastAsia="方正楷体_GBK" w:cs="方正楷体_GBK"/>
          <w:sz w:val="32"/>
          <w:szCs w:val="32"/>
          <w:highlight w:val="none"/>
          <w:lang w:val="zh-TW"/>
        </w:rPr>
        <w:t xml:space="preserve">条 </w:t>
      </w:r>
      <w:r>
        <w:rPr>
          <w:rFonts w:hint="default" w:ascii="Times New Roman" w:hAnsi="Times New Roman" w:eastAsia="方正仿宋_GBK" w:cs="Times New Roman"/>
          <w:sz w:val="32"/>
          <w:szCs w:val="32"/>
          <w:highlight w:val="none"/>
        </w:rPr>
        <w:t>本市范围内具备护理能力和资质的医疗机构、养老服务机构、护理机构或者业务范围包括养老服务、照护服务、护理服务的其他服务机构，可自愿向医疗保障经办机构申请成为定点长护服务机构。支持符合条件的基层医疗卫生机构、基层养老服务机构申请纳入长护定点管理。</w:t>
      </w:r>
    </w:p>
    <w:p>
      <w:pPr>
        <w:spacing w:line="560" w:lineRule="exact"/>
        <w:ind w:firstLine="640" w:firstLineChars="200"/>
        <w:rPr>
          <w:rFonts w:hint="default" w:ascii="Times New Roman" w:hAnsi="Times New Roman" w:eastAsia="方正仿宋_GBK" w:cs="Times New Roman"/>
          <w:sz w:val="32"/>
          <w:szCs w:val="32"/>
          <w:highlight w:val="none"/>
        </w:rPr>
      </w:pPr>
      <w:r>
        <w:rPr>
          <w:rFonts w:hint="default" w:ascii="方正楷体_GBK" w:hAnsi="方正楷体_GBK" w:eastAsia="方正楷体_GBK" w:cs="方正楷体_GBK"/>
          <w:sz w:val="32"/>
          <w:szCs w:val="32"/>
          <w:highlight w:val="none"/>
          <w:lang w:val="zh-TW"/>
        </w:rPr>
        <w:t xml:space="preserve">第三十条 </w:t>
      </w:r>
      <w:r>
        <w:rPr>
          <w:rFonts w:hint="default" w:ascii="Times New Roman" w:hAnsi="Times New Roman" w:eastAsia="方正仿宋_GBK" w:cs="Times New Roman"/>
          <w:sz w:val="32"/>
          <w:szCs w:val="32"/>
          <w:highlight w:val="none"/>
        </w:rPr>
        <w:t>在确保基金安全运行和管理的前提下，通过公开招标等竞争性方式有序规范引入的社会力量第三方机构，可参与长护险经办管理服务，有关费用按协议约定从基金中支付。</w:t>
      </w:r>
    </w:p>
    <w:p>
      <w:pPr>
        <w:spacing w:line="560" w:lineRule="exact"/>
        <w:ind w:firstLine="640" w:firstLineChars="200"/>
        <w:rPr>
          <w:rFonts w:hint="eastAsia" w:ascii="Times New Roman" w:hAnsi="Times New Roman" w:eastAsia="方正仿宋_GBK" w:cs="Times New Roman"/>
          <w:sz w:val="32"/>
          <w:szCs w:val="32"/>
          <w:highlight w:val="none"/>
        </w:rPr>
      </w:pPr>
      <w:r>
        <w:rPr>
          <w:rFonts w:hint="default" w:ascii="方正楷体_GBK" w:hAnsi="方正楷体_GBK" w:eastAsia="方正楷体_GBK" w:cs="方正楷体_GBK"/>
          <w:sz w:val="32"/>
          <w:szCs w:val="32"/>
          <w:highlight w:val="none"/>
          <w:lang w:val="zh-TW"/>
        </w:rPr>
        <w:t>第三十</w:t>
      </w:r>
      <w:r>
        <w:rPr>
          <w:rFonts w:hint="eastAsia" w:ascii="方正楷体_GBK" w:hAnsi="方正楷体_GBK" w:eastAsia="方正楷体_GBK" w:cs="方正楷体_GBK"/>
          <w:sz w:val="32"/>
          <w:szCs w:val="32"/>
          <w:highlight w:val="none"/>
          <w:lang w:val="zh-TW"/>
        </w:rPr>
        <w:t>一</w:t>
      </w:r>
      <w:r>
        <w:rPr>
          <w:rFonts w:hint="default" w:ascii="方正楷体_GBK" w:hAnsi="方正楷体_GBK" w:eastAsia="方正楷体_GBK" w:cs="方正楷体_GBK"/>
          <w:sz w:val="32"/>
          <w:szCs w:val="32"/>
          <w:highlight w:val="none"/>
          <w:lang w:val="zh-TW"/>
        </w:rPr>
        <w:t xml:space="preserve">条 </w:t>
      </w:r>
      <w:r>
        <w:rPr>
          <w:rFonts w:hint="default" w:ascii="Times New Roman" w:hAnsi="Times New Roman" w:eastAsia="方正仿宋_GBK" w:cs="Times New Roman"/>
          <w:sz w:val="32"/>
          <w:szCs w:val="32"/>
          <w:highlight w:val="none"/>
        </w:rPr>
        <w:t>建立健全对定点失能等级评估机构、定点长护服务机构及第三方</w:t>
      </w:r>
      <w:bookmarkStart w:id="67" w:name="OLE_LINK14"/>
      <w:bookmarkStart w:id="68" w:name="OLE_LINK13"/>
      <w:bookmarkStart w:id="69" w:name="OLE_LINK15"/>
      <w:r>
        <w:rPr>
          <w:rFonts w:hint="eastAsia" w:ascii="Times New Roman" w:hAnsi="Times New Roman" w:eastAsia="方正仿宋_GBK" w:cs="Times New Roman"/>
          <w:sz w:val="32"/>
          <w:szCs w:val="32"/>
          <w:highlight w:val="none"/>
        </w:rPr>
        <w:t>经办机构</w:t>
      </w:r>
      <w:bookmarkEnd w:id="67"/>
      <w:bookmarkEnd w:id="68"/>
      <w:bookmarkEnd w:id="69"/>
      <w:r>
        <w:rPr>
          <w:rFonts w:hint="default" w:ascii="Times New Roman" w:hAnsi="Times New Roman" w:eastAsia="方正仿宋_GBK" w:cs="Times New Roman"/>
          <w:sz w:val="32"/>
          <w:szCs w:val="32"/>
          <w:highlight w:val="none"/>
        </w:rPr>
        <w:t>的考核评价机制。构建长护险经办、失能等级评估和护理服务文书体系，统一规范全流程文书管理。</w:t>
      </w:r>
    </w:p>
    <w:p>
      <w:pPr>
        <w:spacing w:line="560" w:lineRule="exact"/>
        <w:ind w:firstLine="640" w:firstLineChars="200"/>
        <w:rPr>
          <w:rFonts w:hint="default" w:ascii="Times New Roman" w:hAnsi="Times New Roman" w:eastAsia="方正仿宋_GBK" w:cs="Times New Roman"/>
          <w:sz w:val="32"/>
          <w:szCs w:val="32"/>
          <w:highlight w:val="none"/>
        </w:rPr>
      </w:pPr>
      <w:r>
        <w:rPr>
          <w:rFonts w:hint="default" w:ascii="方正楷体_GBK" w:hAnsi="方正楷体_GBK" w:eastAsia="方正楷体_GBK" w:cs="方正楷体_GBK"/>
          <w:sz w:val="32"/>
          <w:szCs w:val="32"/>
          <w:highlight w:val="none"/>
          <w:lang w:val="zh-TW"/>
        </w:rPr>
        <w:t>第三十</w:t>
      </w:r>
      <w:r>
        <w:rPr>
          <w:rFonts w:hint="eastAsia" w:ascii="方正楷体_GBK" w:hAnsi="方正楷体_GBK" w:eastAsia="方正楷体_GBK" w:cs="方正楷体_GBK"/>
          <w:sz w:val="32"/>
          <w:szCs w:val="32"/>
          <w:highlight w:val="none"/>
          <w:lang w:val="zh-TW"/>
        </w:rPr>
        <w:t>二</w:t>
      </w:r>
      <w:r>
        <w:rPr>
          <w:rFonts w:hint="default" w:ascii="方正楷体_GBK" w:hAnsi="方正楷体_GBK" w:eastAsia="方正楷体_GBK" w:cs="方正楷体_GBK"/>
          <w:sz w:val="32"/>
          <w:szCs w:val="32"/>
          <w:highlight w:val="none"/>
          <w:lang w:val="zh-TW"/>
        </w:rPr>
        <w:t xml:space="preserve">条 </w:t>
      </w:r>
      <w:r>
        <w:rPr>
          <w:rFonts w:hint="default" w:ascii="Times New Roman" w:hAnsi="Times New Roman" w:eastAsia="方正仿宋_GBK" w:cs="Times New Roman"/>
          <w:sz w:val="32"/>
          <w:szCs w:val="32"/>
          <w:highlight w:val="none"/>
        </w:rPr>
        <w:t>定点长护服务机构应当核验参保人员的有效身份凭证，与参保人员或者其监护人、委托代理人签订服务合同。为参保人员建立护理服务档案，按照</w:t>
      </w:r>
      <w:r>
        <w:rPr>
          <w:rFonts w:hint="eastAsia" w:ascii="方正仿宋_GBK" w:hAnsi="方正仿宋_GBK" w:eastAsia="方正仿宋_GBK" w:cs="方正仿宋_GBK"/>
          <w:sz w:val="32"/>
          <w:szCs w:val="32"/>
          <w:highlight w:val="none"/>
        </w:rPr>
        <w:t>“一人一档”</w:t>
      </w:r>
      <w:r>
        <w:rPr>
          <w:rFonts w:hint="default" w:ascii="Times New Roman" w:hAnsi="Times New Roman" w:eastAsia="方正仿宋_GBK" w:cs="Times New Roman"/>
          <w:sz w:val="32"/>
          <w:szCs w:val="32"/>
          <w:highlight w:val="none"/>
        </w:rPr>
        <w:t>要求，做好护理服务全过程记录、护理文书、服务档案等资料的留存归档工作，按照行业规范提供护理服务。</w:t>
      </w:r>
    </w:p>
    <w:p>
      <w:pPr>
        <w:spacing w:line="560" w:lineRule="exact"/>
        <w:ind w:firstLine="640" w:firstLineChars="200"/>
        <w:rPr>
          <w:rFonts w:hint="default" w:ascii="Times New Roman" w:hAnsi="Times New Roman" w:eastAsia="方正仿宋_GBK" w:cs="Times New Roman"/>
          <w:sz w:val="32"/>
          <w:szCs w:val="32"/>
          <w:highlight w:val="none"/>
        </w:rPr>
      </w:pPr>
      <w:r>
        <w:rPr>
          <w:rFonts w:hint="default" w:ascii="方正楷体_GBK" w:hAnsi="方正楷体_GBK" w:eastAsia="方正楷体_GBK" w:cs="方正楷体_GBK"/>
          <w:sz w:val="32"/>
          <w:szCs w:val="32"/>
          <w:highlight w:val="none"/>
          <w:lang w:val="zh-TW"/>
        </w:rPr>
        <w:t>第三十</w:t>
      </w:r>
      <w:r>
        <w:rPr>
          <w:rFonts w:hint="eastAsia" w:ascii="方正楷体_GBK" w:hAnsi="方正楷体_GBK" w:eastAsia="方正楷体_GBK" w:cs="方正楷体_GBK"/>
          <w:sz w:val="32"/>
          <w:szCs w:val="32"/>
          <w:highlight w:val="none"/>
          <w:lang w:val="zh-TW"/>
        </w:rPr>
        <w:t>三</w:t>
      </w:r>
      <w:r>
        <w:rPr>
          <w:rFonts w:hint="default" w:ascii="方正楷体_GBK" w:hAnsi="方正楷体_GBK" w:eastAsia="方正楷体_GBK" w:cs="方正楷体_GBK"/>
          <w:sz w:val="32"/>
          <w:szCs w:val="32"/>
          <w:highlight w:val="none"/>
          <w:lang w:val="zh-TW"/>
        </w:rPr>
        <w:t xml:space="preserve">条 </w:t>
      </w:r>
      <w:r>
        <w:rPr>
          <w:rFonts w:hint="default" w:ascii="Times New Roman" w:hAnsi="Times New Roman" w:eastAsia="方正仿宋_GBK" w:cs="Times New Roman"/>
          <w:sz w:val="32"/>
          <w:szCs w:val="32"/>
          <w:highlight w:val="none"/>
        </w:rPr>
        <w:t>定点长护服务机构应当自觉加强行业自律，遵守国家和自治区有关服务价格管理的法律法规、标准和规范，全面实行收费公示和费用清单制度。</w:t>
      </w:r>
    </w:p>
    <w:p>
      <w:pPr>
        <w:spacing w:line="560" w:lineRule="exact"/>
        <w:ind w:firstLine="640" w:firstLineChars="200"/>
        <w:rPr>
          <w:rFonts w:hint="default" w:ascii="Times New Roman" w:hAnsi="Times New Roman" w:eastAsia="方正仿宋_GBK" w:cs="Times New Roman"/>
          <w:sz w:val="32"/>
          <w:szCs w:val="32"/>
          <w:highlight w:val="none"/>
        </w:rPr>
      </w:pPr>
      <w:r>
        <w:rPr>
          <w:rFonts w:hint="default" w:ascii="方正楷体_GBK" w:hAnsi="方正楷体_GBK" w:eastAsia="方正楷体_GBK" w:cs="方正楷体_GBK"/>
          <w:sz w:val="32"/>
          <w:szCs w:val="32"/>
          <w:highlight w:val="none"/>
          <w:lang w:val="zh-TW"/>
        </w:rPr>
        <w:t>第三十</w:t>
      </w:r>
      <w:r>
        <w:rPr>
          <w:rFonts w:hint="eastAsia" w:ascii="方正楷体_GBK" w:hAnsi="方正楷体_GBK" w:eastAsia="方正楷体_GBK" w:cs="方正楷体_GBK"/>
          <w:sz w:val="32"/>
          <w:szCs w:val="32"/>
          <w:highlight w:val="none"/>
          <w:lang w:val="zh-TW"/>
        </w:rPr>
        <w:t>四</w:t>
      </w:r>
      <w:r>
        <w:rPr>
          <w:rFonts w:hint="default" w:ascii="方正楷体_GBK" w:hAnsi="方正楷体_GBK" w:eastAsia="方正楷体_GBK" w:cs="方正楷体_GBK"/>
          <w:sz w:val="32"/>
          <w:szCs w:val="32"/>
          <w:highlight w:val="none"/>
          <w:lang w:val="zh-TW"/>
        </w:rPr>
        <w:t xml:space="preserve">条 </w:t>
      </w:r>
      <w:r>
        <w:rPr>
          <w:rFonts w:hint="default" w:ascii="Times New Roman" w:hAnsi="Times New Roman" w:eastAsia="方正仿宋_GBK" w:cs="Times New Roman"/>
          <w:sz w:val="32"/>
          <w:szCs w:val="32"/>
          <w:highlight w:val="none"/>
        </w:rPr>
        <w:t>定点</w:t>
      </w:r>
      <w:bookmarkStart w:id="70" w:name="OLE_LINK73"/>
      <w:bookmarkStart w:id="71" w:name="OLE_LINK72"/>
      <w:r>
        <w:rPr>
          <w:rFonts w:hint="default" w:ascii="Times New Roman" w:hAnsi="Times New Roman" w:eastAsia="方正仿宋_GBK" w:cs="Times New Roman"/>
          <w:sz w:val="32"/>
          <w:szCs w:val="32"/>
          <w:highlight w:val="none"/>
        </w:rPr>
        <w:t>长护服务机构</w:t>
      </w:r>
      <w:bookmarkEnd w:id="70"/>
      <w:bookmarkEnd w:id="71"/>
      <w:r>
        <w:rPr>
          <w:rFonts w:hint="default" w:ascii="Times New Roman" w:hAnsi="Times New Roman" w:eastAsia="方正仿宋_GBK" w:cs="Times New Roman"/>
          <w:sz w:val="32"/>
          <w:szCs w:val="32"/>
          <w:highlight w:val="none"/>
        </w:rPr>
        <w:t>不得重复、分解收取护理服务费用，或者收费价格高于公示价格；不得实行不公平、歧视性高价，同一项目收费价格不得高于非参保人员收费价格。</w:t>
      </w:r>
    </w:p>
    <w:p>
      <w:pPr>
        <w:spacing w:line="560" w:lineRule="exact"/>
        <w:ind w:firstLine="640" w:firstLineChars="200"/>
        <w:rPr>
          <w:rFonts w:hint="eastAsia" w:ascii="Times New Roman" w:hAnsi="Times New Roman" w:eastAsia="方正仿宋_GBK" w:cs="Times New Roman"/>
          <w:sz w:val="32"/>
          <w:szCs w:val="32"/>
          <w:highlight w:val="none"/>
        </w:rPr>
      </w:pPr>
      <w:r>
        <w:rPr>
          <w:rFonts w:hint="default" w:ascii="方正楷体_GBK" w:hAnsi="方正楷体_GBK" w:eastAsia="方正楷体_GBK" w:cs="方正楷体_GBK"/>
          <w:sz w:val="32"/>
          <w:szCs w:val="32"/>
          <w:highlight w:val="none"/>
          <w:lang w:val="zh-TW"/>
        </w:rPr>
        <w:t>第三十</w:t>
      </w:r>
      <w:r>
        <w:rPr>
          <w:rFonts w:hint="eastAsia" w:ascii="方正楷体_GBK" w:hAnsi="方正楷体_GBK" w:eastAsia="方正楷体_GBK" w:cs="方正楷体_GBK"/>
          <w:sz w:val="32"/>
          <w:szCs w:val="32"/>
          <w:highlight w:val="none"/>
          <w:lang w:val="zh-TW"/>
        </w:rPr>
        <w:t>五</w:t>
      </w:r>
      <w:r>
        <w:rPr>
          <w:rFonts w:hint="default" w:ascii="方正楷体_GBK" w:hAnsi="方正楷体_GBK" w:eastAsia="方正楷体_GBK" w:cs="方正楷体_GBK"/>
          <w:sz w:val="32"/>
          <w:szCs w:val="32"/>
          <w:highlight w:val="none"/>
          <w:lang w:val="zh-TW"/>
        </w:rPr>
        <w:t>条</w:t>
      </w:r>
      <w:r>
        <w:rPr>
          <w:rFonts w:hint="eastAsia" w:ascii="方正楷体_GBK" w:hAnsi="方正楷体_GBK" w:eastAsia="方正楷体_GBK" w:cs="方正楷体_GBK"/>
          <w:sz w:val="32"/>
          <w:szCs w:val="32"/>
          <w:highlight w:val="none"/>
          <w:lang w:val="zh-TW"/>
        </w:rPr>
        <w:t xml:space="preserve"> </w:t>
      </w:r>
      <w:r>
        <w:rPr>
          <w:rFonts w:hint="eastAsia" w:ascii="Times New Roman" w:hAnsi="Times New Roman" w:eastAsia="方正仿宋_GBK" w:cs="Times New Roman"/>
          <w:sz w:val="32"/>
          <w:szCs w:val="32"/>
          <w:highlight w:val="none"/>
        </w:rPr>
        <w:t>定点长护服务机构应当加强长期照护师队伍建设，落实长期照护师职业技能等级认定相关要求。建立与长期照护师职业技能等级相衔接的激励机制，将职业技能等级与岗位使用、</w:t>
      </w:r>
      <w:bookmarkStart w:id="72" w:name="OLE_LINK74"/>
      <w:r>
        <w:rPr>
          <w:rFonts w:hint="eastAsia" w:ascii="Times New Roman" w:hAnsi="Times New Roman" w:eastAsia="方正仿宋_GBK" w:cs="Times New Roman"/>
          <w:sz w:val="32"/>
          <w:szCs w:val="32"/>
          <w:highlight w:val="none"/>
        </w:rPr>
        <w:t>薪酬</w:t>
      </w:r>
      <w:bookmarkEnd w:id="72"/>
      <w:r>
        <w:rPr>
          <w:rFonts w:hint="eastAsia" w:ascii="Times New Roman" w:hAnsi="Times New Roman" w:eastAsia="方正仿宋_GBK" w:cs="Times New Roman"/>
          <w:sz w:val="32"/>
          <w:szCs w:val="32"/>
          <w:highlight w:val="none"/>
        </w:rPr>
        <w:t>分配挂钩，提升护理服务专业化水平。</w:t>
      </w:r>
    </w:p>
    <w:p>
      <w:pPr>
        <w:spacing w:line="560" w:lineRule="exact"/>
        <w:ind w:firstLine="640" w:firstLineChars="200"/>
        <w:rPr>
          <w:rFonts w:hint="default" w:ascii="Times New Roman" w:hAnsi="Times New Roman" w:eastAsia="方正仿宋_GBK" w:cs="Times New Roman"/>
          <w:sz w:val="32"/>
          <w:szCs w:val="32"/>
          <w:highlight w:val="none"/>
        </w:rPr>
      </w:pPr>
      <w:r>
        <w:rPr>
          <w:rFonts w:hint="default" w:ascii="方正楷体_GBK" w:hAnsi="方正楷体_GBK" w:eastAsia="方正楷体_GBK" w:cs="方正楷体_GBK"/>
          <w:sz w:val="32"/>
          <w:szCs w:val="32"/>
          <w:highlight w:val="none"/>
          <w:lang w:val="zh-TW"/>
        </w:rPr>
        <w:t>第三十</w:t>
      </w:r>
      <w:r>
        <w:rPr>
          <w:rFonts w:hint="eastAsia" w:ascii="方正楷体_GBK" w:hAnsi="方正楷体_GBK" w:eastAsia="方正楷体_GBK" w:cs="方正楷体_GBK"/>
          <w:sz w:val="32"/>
          <w:szCs w:val="32"/>
          <w:highlight w:val="none"/>
          <w:lang w:val="zh-TW"/>
        </w:rPr>
        <w:t>六</w:t>
      </w:r>
      <w:r>
        <w:rPr>
          <w:rFonts w:hint="default" w:ascii="方正楷体_GBK" w:hAnsi="方正楷体_GBK" w:eastAsia="方正楷体_GBK" w:cs="方正楷体_GBK"/>
          <w:sz w:val="32"/>
          <w:szCs w:val="32"/>
          <w:highlight w:val="none"/>
          <w:lang w:val="zh-TW"/>
        </w:rPr>
        <w:t xml:space="preserve">条 </w:t>
      </w:r>
      <w:r>
        <w:rPr>
          <w:rFonts w:hint="default" w:ascii="Times New Roman" w:hAnsi="Times New Roman" w:eastAsia="方正仿宋_GBK" w:cs="Times New Roman"/>
          <w:sz w:val="32"/>
          <w:szCs w:val="32"/>
          <w:highlight w:val="none"/>
        </w:rPr>
        <w:t>建立健全长护险信息化管理制度，确保工作全流程可控、事后可追溯。定点长护服务机构应当配备适应长护险结算、监管、服务等要求的信息系统</w:t>
      </w:r>
      <w:r>
        <w:rPr>
          <w:rFonts w:hint="eastAsia" w:ascii="Times New Roman" w:hAnsi="Times New Roman" w:eastAsia="方正仿宋_GBK" w:cs="Times New Roman"/>
          <w:sz w:val="32"/>
          <w:szCs w:val="32"/>
          <w:highlight w:val="none"/>
        </w:rPr>
        <w:t>和</w:t>
      </w:r>
      <w:r>
        <w:rPr>
          <w:rFonts w:hint="default" w:ascii="Times New Roman" w:hAnsi="Times New Roman" w:eastAsia="方正仿宋_GBK" w:cs="Times New Roman"/>
          <w:sz w:val="32"/>
          <w:szCs w:val="32"/>
          <w:highlight w:val="none"/>
        </w:rPr>
        <w:t>网络环境，实现对长护险业务办理、人员管理、服务及</w:t>
      </w:r>
      <w:r>
        <w:rPr>
          <w:rFonts w:hint="eastAsia" w:ascii="Times New Roman" w:hAnsi="Times New Roman" w:eastAsia="方正仿宋_GBK" w:cs="Times New Roman"/>
          <w:sz w:val="32"/>
          <w:szCs w:val="32"/>
          <w:highlight w:val="none"/>
        </w:rPr>
        <w:t>结算</w:t>
      </w:r>
      <w:r>
        <w:rPr>
          <w:rFonts w:hint="default" w:ascii="Times New Roman" w:hAnsi="Times New Roman" w:eastAsia="方正仿宋_GBK" w:cs="Times New Roman"/>
          <w:sz w:val="32"/>
          <w:szCs w:val="32"/>
          <w:highlight w:val="none"/>
        </w:rPr>
        <w:t>等信息的上传、监控和统计分析。</w:t>
      </w:r>
    </w:p>
    <w:p>
      <w:pPr>
        <w:spacing w:line="560" w:lineRule="exact"/>
        <w:ind w:firstLine="640" w:firstLineChars="200"/>
        <w:rPr>
          <w:rFonts w:hint="eastAsia" w:ascii="Times New Roman" w:hAnsi="Times New Roman" w:eastAsia="方正仿宋_GBK" w:cs="Times New Roman"/>
          <w:sz w:val="32"/>
          <w:szCs w:val="32"/>
          <w:highlight w:val="none"/>
        </w:rPr>
      </w:pPr>
      <w:r>
        <w:rPr>
          <w:rFonts w:hint="default" w:ascii="方正楷体_GBK" w:hAnsi="方正楷体_GBK" w:eastAsia="方正楷体_GBK" w:cs="方正楷体_GBK"/>
          <w:sz w:val="32"/>
          <w:szCs w:val="32"/>
          <w:highlight w:val="none"/>
          <w:lang w:val="zh-TW"/>
        </w:rPr>
        <w:t>第三十</w:t>
      </w:r>
      <w:r>
        <w:rPr>
          <w:rFonts w:hint="eastAsia" w:ascii="方正楷体_GBK" w:hAnsi="方正楷体_GBK" w:eastAsia="方正楷体_GBK" w:cs="方正楷体_GBK"/>
          <w:sz w:val="32"/>
          <w:szCs w:val="32"/>
          <w:highlight w:val="none"/>
          <w:lang w:val="zh-TW"/>
        </w:rPr>
        <w:t>七</w:t>
      </w:r>
      <w:r>
        <w:rPr>
          <w:rFonts w:hint="default" w:ascii="方正楷体_GBK" w:hAnsi="方正楷体_GBK" w:eastAsia="方正楷体_GBK" w:cs="方正楷体_GBK"/>
          <w:sz w:val="32"/>
          <w:szCs w:val="32"/>
          <w:highlight w:val="none"/>
          <w:lang w:val="zh-TW"/>
        </w:rPr>
        <w:t xml:space="preserve">条 </w:t>
      </w:r>
      <w:r>
        <w:rPr>
          <w:rFonts w:hint="default" w:ascii="Times New Roman" w:hAnsi="Times New Roman" w:eastAsia="方正仿宋_GBK" w:cs="Times New Roman"/>
          <w:sz w:val="32"/>
          <w:szCs w:val="32"/>
          <w:highlight w:val="none"/>
        </w:rPr>
        <w:t>定点长护服务机构应按要求及时向医疗保障经办机构报送结算相关材料，由医疗保障经办机构审核后按协议约定结算。</w:t>
      </w:r>
    </w:p>
    <w:p>
      <w:pPr>
        <w:spacing w:line="560" w:lineRule="exact"/>
        <w:ind w:firstLine="640" w:firstLineChars="200"/>
        <w:rPr>
          <w:rFonts w:hint="default" w:ascii="Times New Roman" w:hAnsi="Times New Roman" w:eastAsia="方正仿宋_GBK" w:cs="Times New Roman"/>
          <w:sz w:val="32"/>
          <w:szCs w:val="32"/>
          <w:highlight w:val="none"/>
        </w:rPr>
      </w:pPr>
      <w:r>
        <w:rPr>
          <w:rFonts w:hint="default" w:ascii="方正楷体_GBK" w:hAnsi="方正楷体_GBK" w:eastAsia="方正楷体_GBK" w:cs="方正楷体_GBK"/>
          <w:sz w:val="32"/>
          <w:szCs w:val="32"/>
          <w:highlight w:val="none"/>
          <w:lang w:val="zh-TW"/>
        </w:rPr>
        <w:t>第三十</w:t>
      </w:r>
      <w:r>
        <w:rPr>
          <w:rFonts w:hint="eastAsia" w:ascii="方正楷体_GBK" w:hAnsi="方正楷体_GBK" w:eastAsia="方正楷体_GBK" w:cs="方正楷体_GBK"/>
          <w:sz w:val="32"/>
          <w:szCs w:val="32"/>
          <w:highlight w:val="none"/>
          <w:lang w:val="zh-TW"/>
        </w:rPr>
        <w:t>八</w:t>
      </w:r>
      <w:r>
        <w:rPr>
          <w:rFonts w:hint="default" w:ascii="方正楷体_GBK" w:hAnsi="方正楷体_GBK" w:eastAsia="方正楷体_GBK" w:cs="方正楷体_GBK"/>
          <w:sz w:val="32"/>
          <w:szCs w:val="32"/>
          <w:highlight w:val="none"/>
          <w:lang w:val="zh-TW"/>
        </w:rPr>
        <w:t>条</w:t>
      </w:r>
      <w:r>
        <w:rPr>
          <w:rFonts w:hint="eastAsia" w:ascii="Times New Roman" w:hAnsi="Times New Roman" w:eastAsia="方正仿宋_GBK" w:cs="Times New Roman"/>
          <w:sz w:val="32"/>
          <w:szCs w:val="32"/>
          <w:highlight w:val="none"/>
        </w:rPr>
        <w:t xml:space="preserve"> 适时将长期护理相关智能化服务设施和支持性辅助器具等纳入支付范围。具体纳入项目、支付条件、待遇标准及管理规范等内容另行制定。</w:t>
      </w:r>
    </w:p>
    <w:p>
      <w:pPr>
        <w:spacing w:line="560" w:lineRule="exact"/>
        <w:jc w:val="center"/>
        <w:rPr>
          <w:rFonts w:hint="default" w:ascii="方正黑体_GBK" w:hAnsi="方正黑体_GBK" w:eastAsia="方正黑体_GBK" w:cs="方正黑体_GBK"/>
          <w:sz w:val="32"/>
          <w:szCs w:val="32"/>
          <w:highlight w:val="none"/>
        </w:rPr>
      </w:pPr>
      <w:r>
        <w:rPr>
          <w:rFonts w:hint="default" w:ascii="方正黑体_GBK" w:hAnsi="方正黑体_GBK" w:eastAsia="方正黑体_GBK" w:cs="方正黑体_GBK"/>
          <w:sz w:val="32"/>
          <w:szCs w:val="32"/>
          <w:highlight w:val="none"/>
        </w:rPr>
        <w:t>第六章</w:t>
      </w:r>
      <w:r>
        <w:rPr>
          <w:rFonts w:hint="eastAsia" w:ascii="方正黑体_GBK" w:hAnsi="方正黑体_GBK" w:eastAsia="方正黑体_GBK" w:cs="方正黑体_GBK"/>
          <w:sz w:val="32"/>
          <w:szCs w:val="32"/>
          <w:highlight w:val="none"/>
        </w:rPr>
        <w:t xml:space="preserve"> </w:t>
      </w:r>
      <w:r>
        <w:rPr>
          <w:rFonts w:hint="default" w:ascii="方正黑体_GBK" w:hAnsi="方正黑体_GBK" w:eastAsia="方正黑体_GBK" w:cs="方正黑体_GBK"/>
          <w:sz w:val="32"/>
          <w:szCs w:val="32"/>
          <w:highlight w:val="none"/>
        </w:rPr>
        <w:t>基金管理和监督</w:t>
      </w:r>
    </w:p>
    <w:p>
      <w:pPr>
        <w:pStyle w:val="6"/>
        <w:widowControl/>
        <w:shd w:val="clear" w:color="auto" w:fill="FFFFFF"/>
        <w:spacing w:line="560" w:lineRule="exact"/>
        <w:ind w:firstLine="640" w:firstLineChars="200"/>
        <w:jc w:val="both"/>
        <w:rPr>
          <w:rFonts w:hint="default" w:eastAsia="方正仿宋_GBK"/>
          <w:color w:val="222222"/>
          <w:sz w:val="32"/>
          <w:szCs w:val="32"/>
          <w:highlight w:val="none"/>
        </w:rPr>
      </w:pPr>
      <w:r>
        <w:rPr>
          <w:rFonts w:ascii="方正楷体_GBK" w:hAnsi="方正楷体_GBK" w:eastAsia="方正楷体_GBK" w:cs="方正楷体_GBK"/>
          <w:sz w:val="32"/>
          <w:szCs w:val="32"/>
          <w:highlight w:val="none"/>
          <w:lang w:val="zh-TW"/>
        </w:rPr>
        <w:t>第三十九条</w:t>
      </w:r>
      <w:r>
        <w:rPr>
          <w:rFonts w:hint="default" w:ascii="方正楷体_GBK" w:hAnsi="方正楷体_GBK" w:eastAsia="方正楷体_GBK" w:cs="方正楷体_GBK"/>
          <w:kern w:val="2"/>
          <w:sz w:val="32"/>
          <w:szCs w:val="32"/>
          <w:highlight w:val="none"/>
          <w:lang w:val="zh-TW"/>
        </w:rPr>
        <w:t xml:space="preserve"> </w:t>
      </w:r>
      <w:r>
        <w:rPr>
          <w:rFonts w:hint="default" w:eastAsia="方正仿宋_GBK"/>
          <w:color w:val="222222"/>
          <w:sz w:val="32"/>
          <w:szCs w:val="32"/>
          <w:highlight w:val="none"/>
          <w:shd w:val="clear" w:color="auto" w:fill="FFFFFF"/>
        </w:rPr>
        <w:t>长护险基金来源由下列各项构成。</w:t>
      </w:r>
    </w:p>
    <w:p>
      <w:pPr>
        <w:pStyle w:val="6"/>
        <w:widowControl/>
        <w:shd w:val="clear" w:color="auto" w:fill="FFFFFF"/>
        <w:spacing w:line="560" w:lineRule="exact"/>
        <w:ind w:firstLine="640" w:firstLineChars="200"/>
        <w:jc w:val="both"/>
        <w:rPr>
          <w:rFonts w:hint="default" w:eastAsia="方正仿宋_GBK"/>
          <w:color w:val="222222"/>
          <w:sz w:val="32"/>
          <w:szCs w:val="32"/>
          <w:highlight w:val="none"/>
        </w:rPr>
      </w:pPr>
      <w:r>
        <w:rPr>
          <w:rFonts w:hint="default" w:eastAsia="方正仿宋_GBK"/>
          <w:color w:val="222222"/>
          <w:sz w:val="32"/>
          <w:szCs w:val="32"/>
          <w:highlight w:val="none"/>
          <w:shd w:val="clear" w:color="auto" w:fill="FFFFFF"/>
        </w:rPr>
        <w:t>（一）长护险费收入；</w:t>
      </w:r>
    </w:p>
    <w:p>
      <w:pPr>
        <w:pStyle w:val="6"/>
        <w:widowControl/>
        <w:shd w:val="clear" w:color="auto" w:fill="FFFFFF"/>
        <w:spacing w:line="560" w:lineRule="exact"/>
        <w:ind w:firstLine="640" w:firstLineChars="200"/>
        <w:jc w:val="both"/>
        <w:rPr>
          <w:rFonts w:hint="default" w:eastAsia="方正仿宋_GBK"/>
          <w:color w:val="222222"/>
          <w:sz w:val="32"/>
          <w:szCs w:val="32"/>
          <w:highlight w:val="none"/>
        </w:rPr>
      </w:pPr>
      <w:r>
        <w:rPr>
          <w:rFonts w:hint="default" w:eastAsia="方正仿宋_GBK"/>
          <w:color w:val="222222"/>
          <w:sz w:val="32"/>
          <w:szCs w:val="32"/>
          <w:highlight w:val="none"/>
          <w:shd w:val="clear" w:color="auto" w:fill="FFFFFF"/>
        </w:rPr>
        <w:t>（二）各级财政补助资金；</w:t>
      </w:r>
    </w:p>
    <w:p>
      <w:pPr>
        <w:pStyle w:val="6"/>
        <w:widowControl/>
        <w:shd w:val="clear" w:color="auto" w:fill="FFFFFF"/>
        <w:spacing w:line="560" w:lineRule="exact"/>
        <w:ind w:firstLine="640" w:firstLineChars="200"/>
        <w:jc w:val="both"/>
        <w:rPr>
          <w:rFonts w:hint="default" w:eastAsia="方正仿宋_GBK"/>
          <w:color w:val="222222"/>
          <w:sz w:val="32"/>
          <w:szCs w:val="32"/>
          <w:highlight w:val="none"/>
        </w:rPr>
      </w:pPr>
      <w:r>
        <w:rPr>
          <w:rFonts w:hint="default" w:eastAsia="方正仿宋_GBK"/>
          <w:color w:val="222222"/>
          <w:sz w:val="32"/>
          <w:szCs w:val="32"/>
          <w:highlight w:val="none"/>
          <w:shd w:val="clear" w:color="auto" w:fill="FFFFFF"/>
        </w:rPr>
        <w:t>（三）利息收入；</w:t>
      </w:r>
    </w:p>
    <w:p>
      <w:pPr>
        <w:spacing w:line="560" w:lineRule="exact"/>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color w:val="222222"/>
          <w:sz w:val="32"/>
          <w:szCs w:val="32"/>
          <w:highlight w:val="none"/>
          <w:shd w:val="clear" w:color="auto" w:fill="FFFFFF"/>
        </w:rPr>
        <w:t>（四）其他收入。</w:t>
      </w:r>
    </w:p>
    <w:p>
      <w:pPr>
        <w:spacing w:line="560" w:lineRule="exact"/>
        <w:ind w:firstLine="640" w:firstLineChars="200"/>
        <w:rPr>
          <w:rFonts w:hint="default" w:ascii="Times New Roman" w:hAnsi="Times New Roman" w:eastAsia="方正仿宋_GBK" w:cs="Times New Roman"/>
          <w:color w:val="222222"/>
          <w:sz w:val="32"/>
          <w:szCs w:val="32"/>
          <w:highlight w:val="none"/>
          <w:shd w:val="clear" w:color="auto" w:fill="FFFFFF"/>
        </w:rPr>
      </w:pPr>
      <w:r>
        <w:rPr>
          <w:rFonts w:hint="default" w:ascii="方正楷体_GBK" w:hAnsi="方正楷体_GBK" w:eastAsia="方正楷体_GBK" w:cs="方正楷体_GBK"/>
          <w:sz w:val="32"/>
          <w:szCs w:val="32"/>
          <w:highlight w:val="none"/>
          <w:lang w:val="zh-TW"/>
        </w:rPr>
        <w:t>第</w:t>
      </w:r>
      <w:r>
        <w:rPr>
          <w:rFonts w:hint="eastAsia" w:ascii="方正楷体_GBK" w:hAnsi="方正楷体_GBK" w:eastAsia="方正楷体_GBK" w:cs="方正楷体_GBK"/>
          <w:sz w:val="32"/>
          <w:szCs w:val="32"/>
          <w:highlight w:val="none"/>
          <w:lang w:val="zh-TW"/>
        </w:rPr>
        <w:t>四十</w:t>
      </w:r>
      <w:r>
        <w:rPr>
          <w:rFonts w:hint="default" w:ascii="方正楷体_GBK" w:hAnsi="方正楷体_GBK" w:eastAsia="方正楷体_GBK" w:cs="方正楷体_GBK"/>
          <w:sz w:val="32"/>
          <w:szCs w:val="32"/>
          <w:highlight w:val="none"/>
          <w:lang w:val="zh-TW"/>
        </w:rPr>
        <w:t>条</w:t>
      </w:r>
      <w:r>
        <w:rPr>
          <w:rFonts w:hint="eastAsia" w:ascii="方正楷体_GBK" w:hAnsi="方正楷体_GBK" w:eastAsia="方正楷体_GBK" w:cs="方正楷体_GBK"/>
          <w:sz w:val="32"/>
          <w:szCs w:val="32"/>
          <w:highlight w:val="none"/>
          <w:lang w:val="zh-TW"/>
        </w:rPr>
        <w:t xml:space="preserve"> </w:t>
      </w:r>
      <w:bookmarkStart w:id="73" w:name="OLE_LINK48"/>
      <w:r>
        <w:rPr>
          <w:rFonts w:hint="eastAsia" w:ascii="Times New Roman" w:hAnsi="Times New Roman" w:eastAsia="方正仿宋_GBK" w:cs="Times New Roman"/>
          <w:color w:val="222222"/>
          <w:sz w:val="32"/>
          <w:szCs w:val="32"/>
          <w:highlight w:val="none"/>
          <w:shd w:val="clear" w:color="auto" w:fill="FFFFFF"/>
        </w:rPr>
        <w:t>长期护理保险基金按规定支付定点长护服务机构提供的长期护理服务费用、失能等级定点评估机构提供的失能等级评估服务费用，以及依法依规引入社会力量参与经办管理服务产生的费用。</w:t>
      </w:r>
      <w:bookmarkEnd w:id="73"/>
    </w:p>
    <w:p>
      <w:pPr>
        <w:spacing w:line="560" w:lineRule="exact"/>
        <w:ind w:firstLine="640" w:firstLineChars="200"/>
        <w:rPr>
          <w:rFonts w:hint="default" w:ascii="Times New Roman" w:hAnsi="Times New Roman" w:eastAsia="方正仿宋_GBK" w:cs="Times New Roman"/>
          <w:sz w:val="32"/>
          <w:szCs w:val="32"/>
          <w:highlight w:val="none"/>
        </w:rPr>
      </w:pPr>
      <w:r>
        <w:rPr>
          <w:rFonts w:hint="default" w:ascii="方正楷体_GBK" w:hAnsi="方正楷体_GBK" w:eastAsia="方正楷体_GBK" w:cs="方正楷体_GBK"/>
          <w:sz w:val="32"/>
          <w:szCs w:val="32"/>
          <w:highlight w:val="none"/>
          <w:lang w:val="zh-TW"/>
        </w:rPr>
        <w:t xml:space="preserve">第四十一条 </w:t>
      </w:r>
      <w:r>
        <w:rPr>
          <w:rFonts w:hint="default" w:ascii="Times New Roman" w:hAnsi="Times New Roman" w:eastAsia="方正仿宋_GBK" w:cs="Times New Roman"/>
          <w:color w:val="222222"/>
          <w:sz w:val="32"/>
          <w:szCs w:val="32"/>
          <w:highlight w:val="none"/>
          <w:shd w:val="clear" w:color="auto" w:fill="FFFFFF"/>
        </w:rPr>
        <w:t>长护险基金纳入财政专户管理，按险种建账</w:t>
      </w:r>
      <w:r>
        <w:rPr>
          <w:rFonts w:hint="eastAsia" w:ascii="Times New Roman" w:hAnsi="Times New Roman" w:eastAsia="方正仿宋_GBK" w:cs="Times New Roman"/>
          <w:color w:val="222222"/>
          <w:sz w:val="32"/>
          <w:szCs w:val="32"/>
          <w:highlight w:val="none"/>
          <w:shd w:val="clear" w:color="auto" w:fill="FFFFFF"/>
        </w:rPr>
        <w:t>、</w:t>
      </w:r>
      <w:r>
        <w:rPr>
          <w:rFonts w:hint="default" w:ascii="Times New Roman" w:hAnsi="Times New Roman" w:eastAsia="方正仿宋_GBK" w:cs="Times New Roman"/>
          <w:color w:val="222222"/>
          <w:sz w:val="32"/>
          <w:szCs w:val="32"/>
          <w:highlight w:val="none"/>
          <w:shd w:val="clear" w:color="auto" w:fill="FFFFFF"/>
        </w:rPr>
        <w:t>核算，专款专用，任何单位和个人不得挤占挪用。严格执行长护险基金财务管理制度。长护险基金实行市级统筹。</w:t>
      </w:r>
    </w:p>
    <w:p>
      <w:pPr>
        <w:spacing w:line="560" w:lineRule="exact"/>
        <w:ind w:firstLine="640" w:firstLineChars="200"/>
        <w:rPr>
          <w:rFonts w:hint="default" w:ascii="Times New Roman" w:hAnsi="Times New Roman" w:eastAsia="方正仿宋_GBK" w:cs="Times New Roman"/>
          <w:sz w:val="32"/>
          <w:szCs w:val="32"/>
          <w:highlight w:val="none"/>
        </w:rPr>
      </w:pPr>
      <w:r>
        <w:rPr>
          <w:rFonts w:hint="default" w:ascii="方正楷体_GBK" w:hAnsi="方正楷体_GBK" w:eastAsia="方正楷体_GBK" w:cs="方正楷体_GBK"/>
          <w:sz w:val="32"/>
          <w:szCs w:val="32"/>
          <w:highlight w:val="none"/>
          <w:lang w:val="zh-TW"/>
        </w:rPr>
        <w:t>第四十</w:t>
      </w:r>
      <w:r>
        <w:rPr>
          <w:rFonts w:hint="eastAsia" w:ascii="方正楷体_GBK" w:hAnsi="方正楷体_GBK" w:eastAsia="方正楷体_GBK" w:cs="方正楷体_GBK"/>
          <w:sz w:val="32"/>
          <w:szCs w:val="32"/>
          <w:highlight w:val="none"/>
          <w:lang w:val="zh-TW"/>
        </w:rPr>
        <w:t>二</w:t>
      </w:r>
      <w:r>
        <w:rPr>
          <w:rFonts w:hint="default" w:ascii="方正楷体_GBK" w:hAnsi="方正楷体_GBK" w:eastAsia="方正楷体_GBK" w:cs="方正楷体_GBK"/>
          <w:sz w:val="32"/>
          <w:szCs w:val="32"/>
          <w:highlight w:val="none"/>
          <w:lang w:val="zh-TW"/>
        </w:rPr>
        <w:t xml:space="preserve">条 </w:t>
      </w:r>
      <w:r>
        <w:rPr>
          <w:rFonts w:hint="default" w:ascii="Times New Roman" w:hAnsi="Times New Roman" w:eastAsia="方正仿宋_GBK" w:cs="Times New Roman"/>
          <w:color w:val="222222"/>
          <w:sz w:val="32"/>
          <w:szCs w:val="32"/>
          <w:highlight w:val="none"/>
          <w:shd w:val="clear" w:color="auto" w:fill="FFFFFF"/>
        </w:rPr>
        <w:t>坚持以收定支、收支平衡。长护险纳入社会保险基金预算编制范围，科学编制收支预算，建立基金预算管理制度，规范基金收支。加强预算绩效管理，全面实施绩效运行监控，建立基金运行风险防范机制，做好中长期精算分析，促进基金精算平衡。</w:t>
      </w:r>
    </w:p>
    <w:p>
      <w:pPr>
        <w:widowControl/>
        <w:spacing w:line="560" w:lineRule="exact"/>
        <w:ind w:firstLine="640" w:firstLineChars="200"/>
        <w:outlineLvl w:val="1"/>
        <w:rPr>
          <w:rFonts w:hint="default" w:ascii="Times New Roman" w:hAnsi="Times New Roman" w:eastAsia="方正仿宋_GBK" w:cs="Times New Roman"/>
          <w:sz w:val="32"/>
          <w:szCs w:val="32"/>
          <w:highlight w:val="none"/>
          <w:lang w:val="zh-TW"/>
        </w:rPr>
      </w:pPr>
      <w:r>
        <w:rPr>
          <w:rFonts w:hint="default" w:ascii="方正楷体_GBK" w:hAnsi="方正楷体_GBK" w:eastAsia="方正楷体_GBK" w:cs="方正楷体_GBK"/>
          <w:sz w:val="32"/>
          <w:szCs w:val="32"/>
          <w:highlight w:val="none"/>
          <w:lang w:val="zh-TW"/>
        </w:rPr>
        <w:t>第四十</w:t>
      </w:r>
      <w:r>
        <w:rPr>
          <w:rFonts w:hint="eastAsia" w:ascii="方正楷体_GBK" w:hAnsi="方正楷体_GBK" w:eastAsia="方正楷体_GBK" w:cs="方正楷体_GBK"/>
          <w:sz w:val="32"/>
          <w:szCs w:val="32"/>
          <w:highlight w:val="none"/>
          <w:lang w:val="zh-TW"/>
        </w:rPr>
        <w:t>三</w:t>
      </w:r>
      <w:r>
        <w:rPr>
          <w:rFonts w:hint="default" w:ascii="方正楷体_GBK" w:hAnsi="方正楷体_GBK" w:eastAsia="方正楷体_GBK" w:cs="方正楷体_GBK"/>
          <w:sz w:val="32"/>
          <w:szCs w:val="32"/>
          <w:highlight w:val="none"/>
          <w:lang w:val="zh-TW"/>
        </w:rPr>
        <w:t>条</w:t>
      </w:r>
      <w:r>
        <w:rPr>
          <w:rFonts w:hint="eastAsia" w:ascii="方正楷体_GBK" w:hAnsi="方正楷体_GBK" w:eastAsia="方正楷体_GBK" w:cs="方正楷体_GBK"/>
          <w:sz w:val="32"/>
          <w:szCs w:val="32"/>
          <w:highlight w:val="none"/>
          <w:lang w:val="zh-TW"/>
        </w:rPr>
        <w:t xml:space="preserve"> </w:t>
      </w:r>
      <w:r>
        <w:rPr>
          <w:rFonts w:hint="default" w:ascii="Times New Roman" w:hAnsi="Times New Roman" w:eastAsia="方正仿宋_GBK" w:cs="Times New Roman"/>
          <w:sz w:val="32"/>
          <w:szCs w:val="32"/>
          <w:highlight w:val="none"/>
          <w:lang w:val="zh-TW"/>
        </w:rPr>
        <w:t>医疗保障经办机构应对定点评估机构、定点长护服务机构和第三方</w:t>
      </w:r>
      <w:r>
        <w:rPr>
          <w:rFonts w:hint="eastAsia" w:ascii="Times New Roman" w:hAnsi="Times New Roman" w:eastAsia="方正仿宋_GBK" w:cs="Times New Roman"/>
          <w:sz w:val="32"/>
          <w:szCs w:val="32"/>
          <w:highlight w:val="none"/>
        </w:rPr>
        <w:t>经办</w:t>
      </w:r>
      <w:r>
        <w:rPr>
          <w:rFonts w:hint="default" w:ascii="Times New Roman" w:hAnsi="Times New Roman" w:eastAsia="方正仿宋_GBK" w:cs="Times New Roman"/>
          <w:sz w:val="32"/>
          <w:szCs w:val="32"/>
          <w:highlight w:val="none"/>
          <w:lang w:val="zh-TW"/>
        </w:rPr>
        <w:t>机构建立管理服务质效的激励约束及质量评价机制，实施履约情况核查。定点评估机构、定点长护服务机构违反长护险相关规定和服务协议约定的，由医疗保障经办机构追回违规费用，按照服务协议及时处理；涉及行政处罚的，移交医疗保障行政部门处理；涉嫌犯罪的，由医疗保障行政部门移交司法机关追究刑事责任；涉及其他部门职责的，移交相关部门处理。</w:t>
      </w:r>
    </w:p>
    <w:p>
      <w:pPr>
        <w:widowControl/>
        <w:spacing w:line="560" w:lineRule="exact"/>
        <w:ind w:firstLine="640" w:firstLineChars="200"/>
        <w:outlineLvl w:val="1"/>
        <w:rPr>
          <w:rFonts w:hint="default" w:ascii="Times New Roman" w:hAnsi="Times New Roman" w:eastAsia="方正仿宋_GBK" w:cs="Times New Roman"/>
          <w:sz w:val="32"/>
          <w:szCs w:val="32"/>
          <w:highlight w:val="none"/>
          <w:lang w:val="zh-TW"/>
        </w:rPr>
      </w:pPr>
      <w:r>
        <w:rPr>
          <w:rFonts w:hint="eastAsia" w:ascii="方正楷体_GBK" w:hAnsi="方正楷体_GBK" w:eastAsia="方正楷体_GBK" w:cs="方正楷体_GBK"/>
          <w:sz w:val="32"/>
          <w:szCs w:val="32"/>
          <w:highlight w:val="none"/>
          <w:lang w:val="zh-TW"/>
        </w:rPr>
        <w:t xml:space="preserve">第四十四条 </w:t>
      </w:r>
      <w:r>
        <w:rPr>
          <w:rFonts w:hint="default" w:ascii="Times New Roman" w:hAnsi="Times New Roman" w:eastAsia="方正仿宋_GBK" w:cs="Times New Roman"/>
          <w:sz w:val="32"/>
          <w:szCs w:val="32"/>
          <w:highlight w:val="none"/>
          <w:lang w:val="zh-TW"/>
        </w:rPr>
        <w:t>财政部门</w:t>
      </w:r>
      <w:r>
        <w:rPr>
          <w:rFonts w:hint="eastAsia" w:ascii="Times New Roman" w:hAnsi="Times New Roman" w:eastAsia="方正仿宋_GBK" w:cs="Times New Roman"/>
          <w:sz w:val="32"/>
          <w:szCs w:val="32"/>
          <w:highlight w:val="none"/>
          <w:lang w:val="zh-TW"/>
        </w:rPr>
        <w:t>、</w:t>
      </w:r>
      <w:r>
        <w:rPr>
          <w:rFonts w:hint="default" w:ascii="Times New Roman" w:hAnsi="Times New Roman" w:eastAsia="方正仿宋_GBK" w:cs="Times New Roman"/>
          <w:sz w:val="32"/>
          <w:szCs w:val="32"/>
          <w:highlight w:val="none"/>
          <w:lang w:val="zh-TW"/>
        </w:rPr>
        <w:t>审计机关按照各自职责，对社会保险基金的收支，管理和投资运营情况实施监督。</w:t>
      </w:r>
    </w:p>
    <w:p>
      <w:pPr>
        <w:spacing w:line="560" w:lineRule="exact"/>
        <w:jc w:val="center"/>
        <w:rPr>
          <w:rFonts w:hint="default" w:ascii="方正楷体_GBK" w:hAnsi="方正楷体_GBK" w:eastAsia="方正楷体_GBK" w:cs="方正楷体_GBK"/>
          <w:sz w:val="32"/>
          <w:szCs w:val="32"/>
          <w:highlight w:val="none"/>
          <w:lang w:val="zh-TW"/>
        </w:rPr>
      </w:pPr>
      <w:r>
        <w:rPr>
          <w:rFonts w:hint="eastAsia" w:ascii="方正黑体_GBK" w:hAnsi="方正黑体_GBK" w:eastAsia="方正黑体_GBK" w:cs="方正黑体_GBK"/>
          <w:sz w:val="32"/>
          <w:szCs w:val="32"/>
          <w:highlight w:val="none"/>
        </w:rPr>
        <w:t>第七章 附</w:t>
      </w:r>
      <w:r>
        <w:rPr>
          <w:rFonts w:hint="eastAsia" w:ascii="方正黑体_GBK" w:hAnsi="方正黑体_GBK" w:eastAsia="方正黑体_GBK" w:cs="方正黑体_GBK"/>
          <w:sz w:val="32"/>
          <w:szCs w:val="32"/>
          <w:highlight w:val="none"/>
          <w:lang w:val="en-US" w:eastAsia="zh-CN"/>
        </w:rPr>
        <w:t xml:space="preserve"> </w:t>
      </w:r>
      <w:r>
        <w:rPr>
          <w:rFonts w:hint="eastAsia" w:ascii="方正黑体_GBK" w:hAnsi="方正黑体_GBK" w:eastAsia="方正黑体_GBK" w:cs="方正黑体_GBK"/>
          <w:sz w:val="32"/>
          <w:szCs w:val="32"/>
          <w:highlight w:val="none"/>
        </w:rPr>
        <w:t>则</w:t>
      </w:r>
    </w:p>
    <w:p>
      <w:pPr>
        <w:widowControl/>
        <w:spacing w:line="560" w:lineRule="exact"/>
        <w:ind w:firstLine="640" w:firstLineChars="200"/>
        <w:outlineLvl w:val="1"/>
        <w:rPr>
          <w:rFonts w:hint="default" w:ascii="方正楷体_GBK" w:hAnsi="方正楷体_GBK" w:eastAsia="方正楷体_GBK" w:cs="方正楷体_GBK"/>
          <w:sz w:val="32"/>
          <w:szCs w:val="32"/>
          <w:highlight w:val="none"/>
          <w:lang w:val="zh-TW"/>
        </w:rPr>
      </w:pPr>
      <w:r>
        <w:rPr>
          <w:rFonts w:hint="eastAsia" w:ascii="方正楷体_GBK" w:hAnsi="方正楷体_GBK" w:eastAsia="方正楷体_GBK" w:cs="方正楷体_GBK"/>
          <w:sz w:val="32"/>
          <w:szCs w:val="32"/>
          <w:highlight w:val="none"/>
          <w:lang w:val="zh-TW"/>
        </w:rPr>
        <w:t>第四十</w:t>
      </w:r>
      <w:r>
        <w:rPr>
          <w:rFonts w:hint="eastAsia" w:ascii="方正楷体_GBK" w:hAnsi="方正楷体_GBK" w:eastAsia="方正楷体_GBK" w:cs="方正楷体_GBK"/>
          <w:sz w:val="32"/>
          <w:szCs w:val="32"/>
          <w:highlight w:val="none"/>
        </w:rPr>
        <w:t>五</w:t>
      </w:r>
      <w:r>
        <w:rPr>
          <w:rFonts w:hint="eastAsia" w:ascii="方正楷体_GBK" w:hAnsi="方正楷体_GBK" w:eastAsia="方正楷体_GBK" w:cs="方正楷体_GBK"/>
          <w:sz w:val="32"/>
          <w:szCs w:val="32"/>
          <w:highlight w:val="none"/>
          <w:lang w:val="zh-TW"/>
        </w:rPr>
        <w:t xml:space="preserve">条 </w:t>
      </w:r>
      <w:r>
        <w:rPr>
          <w:rFonts w:hint="eastAsia" w:ascii="方正仿宋_GBK" w:hAnsi="方正仿宋_GBK" w:eastAsia="方正仿宋_GBK" w:cs="方正仿宋_GBK"/>
          <w:sz w:val="32"/>
          <w:szCs w:val="32"/>
          <w:highlight w:val="none"/>
          <w:lang w:val="zh-TW"/>
        </w:rPr>
        <w:t>本</w:t>
      </w:r>
      <w:r>
        <w:rPr>
          <w:rFonts w:hint="default" w:ascii="Times New Roman" w:hAnsi="Times New Roman" w:eastAsia="方正仿宋_GBK" w:cs="Times New Roman"/>
          <w:color w:val="000000"/>
          <w:sz w:val="32"/>
          <w:szCs w:val="32"/>
          <w:highlight w:val="none"/>
          <w:lang w:val="zh-TW"/>
        </w:rPr>
        <w:t>细则自2027年</w:t>
      </w:r>
      <w:r>
        <w:rPr>
          <w:rFonts w:hint="eastAsia" w:ascii="Times New Roman" w:hAnsi="Times New Roman" w:eastAsia="方正仿宋_GBK" w:cs="Times New Roman"/>
          <w:color w:val="000000"/>
          <w:sz w:val="32"/>
          <w:szCs w:val="32"/>
          <w:highlight w:val="none"/>
        </w:rPr>
        <w:t>1</w:t>
      </w:r>
      <w:r>
        <w:rPr>
          <w:rFonts w:hint="default" w:ascii="Times New Roman" w:hAnsi="Times New Roman" w:eastAsia="方正仿宋_GBK" w:cs="Times New Roman"/>
          <w:color w:val="000000"/>
          <w:sz w:val="32"/>
          <w:szCs w:val="32"/>
          <w:highlight w:val="none"/>
          <w:lang w:val="zh-TW"/>
        </w:rPr>
        <w:t>月1日起</w:t>
      </w:r>
      <w:r>
        <w:rPr>
          <w:rFonts w:hint="eastAsia" w:ascii="Times New Roman" w:hAnsi="Times New Roman" w:eastAsia="方正仿宋_GBK" w:cs="Times New Roman"/>
          <w:strike w:val="0"/>
          <w:dstrike w:val="0"/>
          <w:color w:val="000000"/>
          <w:sz w:val="32"/>
          <w:szCs w:val="32"/>
          <w:highlight w:val="none"/>
          <w:lang w:val="en-US" w:eastAsia="zh-CN"/>
        </w:rPr>
        <w:t>实施</w:t>
      </w:r>
      <w:r>
        <w:rPr>
          <w:rFonts w:hint="default" w:ascii="Times New Roman" w:hAnsi="Times New Roman" w:eastAsia="方正仿宋_GBK" w:cs="Times New Roman"/>
          <w:color w:val="000000"/>
          <w:sz w:val="32"/>
          <w:szCs w:val="32"/>
          <w:highlight w:val="none"/>
          <w:lang w:val="zh-TW"/>
        </w:rPr>
        <w:t>，有效期</w:t>
      </w:r>
      <w:r>
        <w:rPr>
          <w:rFonts w:hint="eastAsia" w:ascii="Times New Roman" w:hAnsi="Times New Roman" w:eastAsia="方正仿宋_GBK" w:cs="Times New Roman"/>
          <w:color w:val="000000"/>
          <w:sz w:val="32"/>
          <w:szCs w:val="32"/>
          <w:highlight w:val="none"/>
          <w:lang w:val="zh-TW"/>
        </w:rPr>
        <w:t>5年。</w:t>
      </w:r>
    </w:p>
    <w:p>
      <w:pPr>
        <w:widowControl/>
        <w:spacing w:line="560" w:lineRule="exact"/>
        <w:ind w:firstLine="640" w:firstLineChars="200"/>
        <w:outlineLvl w:val="1"/>
        <w:rPr>
          <w:rFonts w:hint="eastAsia" w:ascii="Times New Roman" w:hAnsi="Times New Roman" w:eastAsia="方正仿宋_GBK" w:cs="Times New Roman"/>
          <w:sz w:val="32"/>
          <w:szCs w:val="32"/>
          <w:highlight w:val="none"/>
        </w:rPr>
      </w:pPr>
      <w:r>
        <w:rPr>
          <w:rFonts w:hint="eastAsia" w:ascii="方正楷体_GBK" w:hAnsi="方正楷体_GBK" w:eastAsia="方正楷体_GBK" w:cs="方正楷体_GBK"/>
          <w:sz w:val="32"/>
          <w:szCs w:val="32"/>
          <w:highlight w:val="none"/>
          <w:lang w:val="zh-TW"/>
        </w:rPr>
        <w:t>第四十六条</w:t>
      </w:r>
      <w:r>
        <w:rPr>
          <w:rFonts w:hint="default" w:ascii="方正楷体_GBK" w:hAnsi="方正楷体_GBK" w:eastAsia="方正楷体_GBK" w:cs="方正楷体_GBK"/>
          <w:sz w:val="32"/>
          <w:szCs w:val="32"/>
          <w:highlight w:val="none"/>
          <w:lang w:val="zh-TW"/>
        </w:rPr>
        <w:t xml:space="preserve"> </w:t>
      </w:r>
      <w:r>
        <w:rPr>
          <w:rFonts w:hint="default" w:ascii="Times New Roman" w:hAnsi="Times New Roman" w:eastAsia="方正仿宋_GBK" w:cs="Times New Roman"/>
          <w:color w:val="000000"/>
          <w:sz w:val="32"/>
          <w:szCs w:val="32"/>
          <w:highlight w:val="none"/>
        </w:rPr>
        <w:t>《乌鲁木齐市长期护理保险办法》（</w:t>
      </w:r>
      <w:r>
        <w:rPr>
          <w:rFonts w:hint="eastAsia" w:ascii="Times New Roman" w:hAnsi="Times New Roman" w:eastAsia="方正仿宋_GBK" w:cs="Times New Roman"/>
          <w:color w:val="000000"/>
          <w:sz w:val="32"/>
          <w:szCs w:val="32"/>
          <w:highlight w:val="none"/>
        </w:rPr>
        <w:t>乌政办</w:t>
      </w:r>
      <w:r>
        <w:rPr>
          <w:rFonts w:hint="eastAsia" w:ascii="Times New Roman" w:hAnsi="Times New Roman" w:eastAsia="方正仿宋_GBK" w:cs="Times New Roman"/>
          <w:color w:val="000000"/>
          <w:sz w:val="32"/>
          <w:szCs w:val="32"/>
          <w:highlight w:val="none"/>
          <w:lang w:val="en-US" w:eastAsia="zh-CN"/>
        </w:rPr>
        <w:t>规</w:t>
      </w:r>
      <w:r>
        <w:rPr>
          <w:rFonts w:hint="default" w:ascii="Times New Roman" w:hAnsi="Times New Roman" w:eastAsia="方正仿宋_GBK" w:cs="Times New Roman"/>
          <w:color w:val="000000"/>
          <w:sz w:val="32"/>
          <w:szCs w:val="32"/>
          <w:highlight w:val="none"/>
        </w:rPr>
        <w:t>〔20</w:t>
      </w:r>
      <w:r>
        <w:rPr>
          <w:rFonts w:hint="eastAsia" w:ascii="Times New Roman" w:hAnsi="Times New Roman" w:eastAsia="方正仿宋_GBK" w:cs="Times New Roman"/>
          <w:color w:val="000000"/>
          <w:sz w:val="32"/>
          <w:szCs w:val="32"/>
          <w:highlight w:val="none"/>
        </w:rPr>
        <w:t>21</w:t>
      </w:r>
      <w:r>
        <w:rPr>
          <w:rFonts w:hint="default" w:ascii="Times New Roman" w:hAnsi="Times New Roman" w:eastAsia="方正仿宋_GBK" w:cs="Times New Roman"/>
          <w:color w:val="000000"/>
          <w:sz w:val="32"/>
          <w:szCs w:val="32"/>
          <w:highlight w:val="none"/>
        </w:rPr>
        <w:t>〕</w:t>
      </w:r>
      <w:r>
        <w:rPr>
          <w:rFonts w:hint="eastAsia" w:ascii="Times New Roman" w:hAnsi="Times New Roman" w:eastAsia="方正仿宋_GBK" w:cs="Times New Roman"/>
          <w:color w:val="000000"/>
          <w:sz w:val="32"/>
          <w:szCs w:val="32"/>
          <w:highlight w:val="none"/>
        </w:rPr>
        <w:t>1</w:t>
      </w:r>
      <w:r>
        <w:rPr>
          <w:rFonts w:hint="default" w:ascii="Times New Roman" w:hAnsi="Times New Roman" w:eastAsia="方正仿宋_GBK" w:cs="Times New Roman"/>
          <w:color w:val="000000"/>
          <w:sz w:val="32"/>
          <w:szCs w:val="32"/>
          <w:highlight w:val="none"/>
        </w:rPr>
        <w:t>号）</w:t>
      </w:r>
      <w:r>
        <w:rPr>
          <w:rFonts w:hint="eastAsia" w:ascii="Times New Roman" w:hAnsi="Times New Roman" w:eastAsia="方正仿宋_GBK" w:cs="Times New Roman"/>
          <w:sz w:val="32"/>
          <w:szCs w:val="32"/>
          <w:highlight w:val="none"/>
        </w:rPr>
        <w:t>文件同步废止。</w:t>
      </w:r>
    </w:p>
    <w:p>
      <w:pPr>
        <w:widowControl/>
        <w:spacing w:line="560" w:lineRule="exact"/>
        <w:ind w:firstLine="640" w:firstLineChars="200"/>
        <w:outlineLvl w:val="1"/>
        <w:rPr>
          <w:rFonts w:hint="default" w:ascii="+仿宋_GB2312" w:hAnsi="+仿宋_GB2312" w:eastAsia="+仿宋_GB2312" w:cs="+仿宋_GB2312"/>
          <w:sz w:val="32"/>
          <w:highlight w:val="none"/>
        </w:rPr>
      </w:pPr>
      <w:r>
        <w:rPr>
          <w:rFonts w:hint="default" w:ascii="方正楷体_GBK" w:hAnsi="方正楷体_GBK" w:eastAsia="方正楷体_GBK" w:cs="方正楷体_GBK"/>
          <w:sz w:val="32"/>
          <w:szCs w:val="32"/>
          <w:highlight w:val="none"/>
          <w:lang w:val="zh-TW"/>
        </w:rPr>
        <w:t>第四十</w:t>
      </w:r>
      <w:r>
        <w:rPr>
          <w:rFonts w:hint="eastAsia" w:ascii="方正楷体_GBK" w:hAnsi="方正楷体_GBK" w:eastAsia="方正楷体_GBK" w:cs="方正楷体_GBK"/>
          <w:sz w:val="32"/>
          <w:szCs w:val="32"/>
          <w:highlight w:val="none"/>
        </w:rPr>
        <w:t>七</w:t>
      </w:r>
      <w:r>
        <w:rPr>
          <w:rFonts w:hint="default" w:ascii="方正楷体_GBK" w:hAnsi="方正楷体_GBK" w:eastAsia="方正楷体_GBK" w:cs="方正楷体_GBK"/>
          <w:sz w:val="32"/>
          <w:szCs w:val="32"/>
          <w:highlight w:val="none"/>
          <w:lang w:val="zh-TW"/>
        </w:rPr>
        <w:t>条</w:t>
      </w:r>
      <w:r>
        <w:rPr>
          <w:rFonts w:hint="eastAsia" w:ascii="方正楷体_GBK" w:hAnsi="方正楷体_GBK" w:eastAsia="方正楷体_GBK" w:cs="方正楷体_GBK"/>
          <w:sz w:val="32"/>
          <w:szCs w:val="32"/>
          <w:highlight w:val="none"/>
          <w:lang w:val="zh-TW"/>
        </w:rPr>
        <w:t xml:space="preserve"> </w:t>
      </w:r>
      <w:r>
        <w:rPr>
          <w:rFonts w:hint="default" w:ascii="Times New Roman" w:hAnsi="Times New Roman" w:eastAsia="方正仿宋_GBK" w:cs="Times New Roman"/>
          <w:sz w:val="32"/>
          <w:szCs w:val="32"/>
          <w:highlight w:val="none"/>
          <w:lang w:val="zh-TW"/>
        </w:rPr>
        <w:t>本</w:t>
      </w:r>
      <w:r>
        <w:rPr>
          <w:rFonts w:hint="default" w:ascii="Times New Roman" w:hAnsi="Times New Roman" w:eastAsia="方正仿宋_GBK" w:cs="Times New Roman"/>
          <w:color w:val="000000"/>
          <w:sz w:val="32"/>
          <w:szCs w:val="32"/>
          <w:highlight w:val="none"/>
        </w:rPr>
        <w:t>细则由乌鲁木齐市医疗保障部门负责解释</w:t>
      </w:r>
      <w:r>
        <w:rPr>
          <w:rFonts w:hint="default" w:ascii="Times New Roman" w:hAnsi="Times New Roman" w:eastAsia="方正仿宋_GBK" w:cs="Times New Roman"/>
          <w:color w:val="000000"/>
          <w:sz w:val="32"/>
          <w:szCs w:val="32"/>
          <w:highlight w:val="none"/>
          <w:lang w:val="zh-TW"/>
        </w:rPr>
        <w:t>。</w:t>
      </w:r>
      <w:r>
        <w:rPr>
          <w:rFonts w:hint="default" w:ascii="Times New Roman" w:hAnsi="Times New Roman" w:eastAsia="方正仿宋_GBK" w:cs="Times New Roman"/>
          <w:sz w:val="32"/>
          <w:szCs w:val="32"/>
          <w:highlight w:val="none"/>
        </w:rPr>
        <w:t>实施过程中，国家、自治区另有规定的，从其规定。</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仿宋_GBK" w:cs="方正仿宋_GBK"/>
          <w:sz w:val="32"/>
          <w:szCs w:val="32"/>
          <w:highlight w:val="none"/>
          <w:lang w:val="en-US" w:eastAsia="zh-CN"/>
        </w:rPr>
      </w:pPr>
    </w:p>
    <w:sectPr>
      <w:footerReference r:id="rId3" w:type="default"/>
      <w:pgSz w:w="11906" w:h="16838"/>
      <w:pgMar w:top="2098" w:right="1531" w:bottom="1984" w:left="1531"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395E2F2-DD4F-428A-AC57-0228C32E06E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00"/>
    <w:family w:val="auto"/>
    <w:pitch w:val="default"/>
    <w:sig w:usb0="00000000" w:usb1="00000000" w:usb2="00000000" w:usb3="00000000" w:csb0="00040001" w:csb1="00000000"/>
  </w:font>
  <w:font w:name="方正黑体_GBK">
    <w:panose1 w:val="03000509000000000000"/>
    <w:charset w:val="86"/>
    <w:family w:val="auto"/>
    <w:pitch w:val="default"/>
    <w:sig w:usb0="00000001" w:usb1="080E0000" w:usb2="00000000" w:usb3="00000000" w:csb0="00040000" w:csb1="00000000"/>
    <w:embedRegular r:id="rId2" w:fontKey="{3471541C-B774-44CC-9DD5-994B39894DB1}"/>
  </w:font>
  <w:font w:name="方正小标宋_GBK">
    <w:panose1 w:val="03000509000000000000"/>
    <w:charset w:val="86"/>
    <w:family w:val="script"/>
    <w:pitch w:val="default"/>
    <w:sig w:usb0="00000001" w:usb1="080E0000" w:usb2="00000000" w:usb3="00000000" w:csb0="00040000" w:csb1="00000000"/>
    <w:embedRegular r:id="rId3" w:fontKey="{E7511FBE-BA38-49EA-BE26-BC403B50C220}"/>
  </w:font>
  <w:font w:name="方正仿宋_GBK">
    <w:panose1 w:val="03000509000000000000"/>
    <w:charset w:val="86"/>
    <w:family w:val="script"/>
    <w:pitch w:val="default"/>
    <w:sig w:usb0="00000001" w:usb1="080E0000" w:usb2="00000000" w:usb3="00000000" w:csb0="00040000" w:csb1="00000000"/>
    <w:embedRegular r:id="rId4" w:fontKey="{F79A82B5-6AC4-421B-BC36-DD63B56A9352}"/>
  </w:font>
  <w:font w:name="方正楷体_GBK">
    <w:panose1 w:val="03000509000000000000"/>
    <w:charset w:val="86"/>
    <w:family w:val="script"/>
    <w:pitch w:val="default"/>
    <w:sig w:usb0="00000001" w:usb1="080E0000" w:usb2="00000000" w:usb3="00000000" w:csb0="00040000" w:csb1="00000000"/>
    <w:embedRegular r:id="rId5" w:fontKey="{C1E90525-D3D3-45E9-9AA6-0B9DBEA15E8E}"/>
  </w:font>
  <w:font w:name="仿宋_GB2312">
    <w:panose1 w:val="02010609030101010101"/>
    <w:charset w:val="86"/>
    <w:family w:val="modern"/>
    <w:pitch w:val="default"/>
    <w:sig w:usb0="00000001" w:usb1="080E0000" w:usb2="00000000" w:usb3="00000000" w:csb0="00040000" w:csb1="00000000"/>
    <w:embedRegular r:id="rId6" w:fontKey="{5A2E903E-82EE-4D93-B942-BD6E02F1A278}"/>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4"/>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5E3957"/>
    <w:rsid w:val="187D33E6"/>
    <w:rsid w:val="1DBE4EE8"/>
    <w:rsid w:val="1FCF7439"/>
    <w:rsid w:val="223B0EAD"/>
    <w:rsid w:val="225B7A20"/>
    <w:rsid w:val="252D7996"/>
    <w:rsid w:val="26330B38"/>
    <w:rsid w:val="30963613"/>
    <w:rsid w:val="315F229D"/>
    <w:rsid w:val="37382FFA"/>
    <w:rsid w:val="3DD634F0"/>
    <w:rsid w:val="40BC08F6"/>
    <w:rsid w:val="451312C9"/>
    <w:rsid w:val="46A303B3"/>
    <w:rsid w:val="4ED84B4D"/>
    <w:rsid w:val="4F3E73E2"/>
    <w:rsid w:val="58937D37"/>
    <w:rsid w:val="5ADF0318"/>
    <w:rsid w:val="5C2754EB"/>
    <w:rsid w:val="6BE741CA"/>
    <w:rsid w:val="710D1904"/>
    <w:rsid w:val="74566ADB"/>
    <w:rsid w:val="75FF053F"/>
    <w:rsid w:val="7C736F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9">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3">
    <w:name w:val="Body Text"/>
    <w:next w:val="1"/>
    <w:unhideWhenUsed/>
    <w:qFormat/>
    <w:uiPriority w:val="0"/>
    <w:pPr>
      <w:widowControl w:val="0"/>
      <w:spacing w:after="120"/>
      <w:jc w:val="both"/>
    </w:pPr>
    <w:rPr>
      <w:rFonts w:hint="eastAsia" w:ascii="+仿宋_GB2312" w:hAnsi="+仿宋_GB2312" w:eastAsia="+仿宋_GB2312" w:cs="+仿宋_GB2312"/>
      <w:kern w:val="2"/>
      <w:sz w:val="32"/>
      <w:szCs w:val="24"/>
      <w:lang w:val="en-US" w:eastAsia="zh-CN" w:bidi="ar-SA"/>
    </w:rPr>
  </w:style>
  <w:style w:type="paragraph" w:styleId="4">
    <w:name w:val="footer"/>
    <w:qFormat/>
    <w:uiPriority w:val="0"/>
    <w:pPr>
      <w:widowControl w:val="0"/>
      <w:tabs>
        <w:tab w:val="center" w:pos="4153"/>
        <w:tab w:val="right" w:pos="8306"/>
      </w:tabs>
      <w:snapToGrid w:val="0"/>
      <w:jc w:val="left"/>
    </w:pPr>
    <w:rPr>
      <w:rFonts w:hint="eastAsia" w:ascii="+仿宋_GB2312" w:hAnsi="+仿宋_GB2312" w:eastAsia="+仿宋_GB2312" w:cs="+仿宋_GB2312"/>
      <w:kern w:val="2"/>
      <w:sz w:val="18"/>
      <w:szCs w:val="24"/>
      <w:lang w:val="en-US" w:eastAsia="zh-CN" w:bidi="ar-SA"/>
    </w:rPr>
  </w:style>
  <w:style w:type="paragraph" w:styleId="5">
    <w:name w:val="header"/>
    <w:qFormat/>
    <w:uiPriority w:val="0"/>
    <w:pPr>
      <w:widowControl w:val="0"/>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hint="eastAsia" w:ascii="Times New Roman" w:hAnsi="Times New Roman" w:eastAsia="+仿宋_GB2312" w:cs="+仿宋_GB2312"/>
      <w:kern w:val="2"/>
      <w:sz w:val="18"/>
      <w:szCs w:val="24"/>
      <w:lang w:val="en-US" w:eastAsia="zh-CN" w:bidi="ar-SA"/>
    </w:rPr>
  </w:style>
  <w:style w:type="paragraph" w:styleId="6">
    <w:name w:val="Normal (Web)"/>
    <w:qFormat/>
    <w:uiPriority w:val="0"/>
    <w:pPr>
      <w:widowControl w:val="0"/>
      <w:jc w:val="left"/>
    </w:pPr>
    <w:rPr>
      <w:rFonts w:hint="eastAsia" w:ascii="Times New Roman" w:hAnsi="Times New Roman" w:eastAsia="宋体" w:cs="Times New Roman"/>
      <w:kern w:val="0"/>
      <w:sz w:val="24"/>
      <w:szCs w:val="24"/>
      <w:lang w:val="en-US" w:eastAsia="zh-CN" w:bidi="ar-SA"/>
    </w:rPr>
  </w:style>
  <w:style w:type="paragraph" w:styleId="7">
    <w:name w:val="Body Text First Indent"/>
    <w:next w:val="1"/>
    <w:unhideWhenUsed/>
    <w:qFormat/>
    <w:uiPriority w:val="0"/>
    <w:pPr>
      <w:widowControl w:val="0"/>
      <w:spacing w:after="120"/>
      <w:ind w:firstLine="420" w:firstLineChars="100"/>
      <w:jc w:val="both"/>
    </w:pPr>
    <w:rPr>
      <w:rFonts w:hint="eastAsia" w:ascii="+仿宋_GB2312" w:hAnsi="+仿宋_GB2312" w:eastAsia="+仿宋_GB2312" w:cs="+仿宋_GB2312"/>
      <w:kern w:val="2"/>
      <w:sz w:val="32"/>
      <w:szCs w:val="24"/>
      <w:lang w:val="en-US" w:eastAsia="zh-CN" w:bidi="ar-SA"/>
    </w:rPr>
  </w:style>
  <w:style w:type="character" w:styleId="10">
    <w:name w:val="page number"/>
    <w:qFormat/>
    <w:uiPriority w:val="0"/>
    <w:rPr>
      <w:rFonts w:ascii="Times New Roman" w:hAnsi="Times New Roman" w:eastAsia="宋体" w:cs="Times New Roman"/>
    </w:rPr>
  </w:style>
  <w:style w:type="character" w:styleId="11">
    <w:name w:val="Hyperlink"/>
    <w:basedOn w:val="9"/>
    <w:qFormat/>
    <w:uiPriority w:val="0"/>
    <w:rPr>
      <w:color w:val="0000FF"/>
      <w:u w:val="single"/>
    </w:rPr>
  </w:style>
  <w:style w:type="paragraph" w:customStyle="1" w:styleId="12">
    <w:name w:val="文章一级标题"/>
    <w:basedOn w:val="2"/>
    <w:next w:val="1"/>
    <w:qFormat/>
    <w:uiPriority w:val="0"/>
    <w:pPr>
      <w:spacing w:line="560" w:lineRule="exact"/>
      <w:ind w:firstLine="640" w:firstLineChars="200"/>
    </w:pPr>
    <w:rPr>
      <w:rFonts w:hint="eastAsia" w:ascii="方正黑体_GBK" w:hAnsi="方正黑体_GBK" w:eastAsia="方正黑体_GBK" w:cs="方正黑体_GBK"/>
      <w:b w:val="0"/>
      <w:sz w:val="32"/>
      <w:szCs w:val="32"/>
    </w:rPr>
  </w:style>
  <w:style w:type="paragraph" w:customStyle="1" w:styleId="13">
    <w:name w:val="Char"/>
    <w:qFormat/>
    <w:uiPriority w:val="99"/>
    <w:pPr>
      <w:widowControl/>
      <w:spacing w:after="160" w:line="240" w:lineRule="exact"/>
      <w:jc w:val="left"/>
    </w:pPr>
    <w:rPr>
      <w:rFonts w:hint="eastAsia" w:ascii="+仿宋_GB2312" w:hAnsi="+仿宋_GB2312" w:eastAsia="+仿宋_GB2312" w:cs="+仿宋_GB2312"/>
      <w:kern w:val="2"/>
      <w:sz w:val="32"/>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afb07e3f-4c5a-4e5c-911a-1018af45d1f6</errorID>
      <errorWord>。</errorWord>
      <group>L1_Punc</group>
      <groupName>标点问题</groupName>
      <ability>L2_Punc_CN</ability>
      <abilityName>标点符号问题</abilityName>
      <candidateList>
        <item>，</item>
      </candidateList>
      <explain/>
      <paraID>40C64AB9</paraID>
      <start>56</start>
      <end>57</end>
      <status>unmodified</status>
      <modifiedWord/>
      <trackRevisions>false</trackRevisions>
    </reviewItem>
    <reviewItem>
      <errorID>d6d8464f-2240-4475-a7a4-fb88a5649136</errorID>
      <errorWord>乌鲁木齐市长</errorWord>
      <group>L1_Political</group>
      <groupName>政治性问题</groupName>
      <ability>L2_Unpolitical</ability>
      <abilityName>政治敏感错误</abilityName>
      <candidateList>
        <item>乌鲁木齐市市长</item>
      </candidateList>
      <explain/>
      <paraID> 6B0CDE7</paraID>
      <start>108</start>
      <end>114</end>
      <status>unmodified</status>
      <modifiedWord/>
      <trackRevisions>false</trackRevisions>
    </reviewItem>
    <reviewItem>
      <errorID>8c2e60ce-e354-4520-929d-a08bb3342aaa</errorID>
      <errorWord>乌鲁木齐市长</errorWord>
      <group>L1_Political</group>
      <groupName>政治性问题</groupName>
      <ability>L2_Unpolitical</ability>
      <abilityName>政治敏感错误</abilityName>
      <candidateList>
        <item>乌鲁木齐市市长</item>
      </candidateList>
      <explain/>
      <paraID>30531733</paraID>
      <start>97</start>
      <end>103</end>
      <status>unmodified</status>
      <modifiedWord/>
      <trackRevisions>false</trackRevisions>
    </reviewItem>
    <reviewItem>
      <errorID>9a3f21fd-fc8c-4c50-8d98-e25220e0d11b</errorID>
      <errorWord>城乡居民参保</errorWord>
      <group>L1_Political</group>
      <groupName>政治性问题</groupName>
      <ability>L2_Keyword</ability>
      <abilityName>固定表述</abilityName>
      <candidateList>
        <item>城乡居民医保</item>
      </candidateList>
      <explain>词汇“城乡居民医保”在特定场景下为固定表述形式，请确认此处的“城乡居民参保”是否存在不当。</explain>
      <paraID>252E0648</paraID>
      <start>66</start>
      <end>72</end>
      <status>unmodified</status>
      <modifiedWord/>
      <trackRevisions>false</trackRevisions>
    </reviewItem>
    <reviewItem>
      <errorID>322982c5-df05-4f6b-acf8-cfa7e4522dd8</errorID>
      <errorWord>城乡居民参保</errorWord>
      <group>L1_Political</group>
      <groupName>政治性问题</groupName>
      <ability>L2_Keyword</ability>
      <abilityName>固定表述</abilityName>
      <candidateList>
        <item>城乡居民医保</item>
      </candidateList>
      <explain>词汇“城乡居民医保”在特定场景下为固定表述形式，请确认此处的“城乡居民参保”是否存在不当。</explain>
      <paraID>4CBCE88A</paraID>
      <start>56</start>
      <end>62</end>
      <status>unmodified</status>
      <modifiedWord/>
      <trackRevisions>false</trackRevisions>
    </reviewItem>
    <reviewItem>
      <errorID>e889676f-0e6c-49ad-91ab-0ac7068e68aa</errorID>
      <errorWord>城乡居民参保</errorWord>
      <group>L1_Political</group>
      <groupName>政治性问题</groupName>
      <ability>L2_Keyword</ability>
      <abilityName>固定表述</abilityName>
      <candidateList>
        <item>城乡居民医保</item>
      </candidateList>
      <explain>词汇“城乡居民医保”在特定场景下为固定表述形式，请确认此处的“城乡居民参保”是否存在不当。</explain>
      <paraID>5A8367BB</paraID>
      <start>56</start>
      <end>62</end>
      <status>unmodified</status>
      <modifiedWord/>
      <trackRevisions>false</trackRevisions>
    </reviewItem>
    <reviewItem>
      <errorID>2323eba8-147a-48b6-9b31-76bdc6249aab</errorID>
      <errorWord>城乡居民参保</errorWord>
      <group>L1_Political</group>
      <groupName>政治性问题</groupName>
      <ability>L2_Keyword</ability>
      <abilityName>固定表述</abilityName>
      <candidateList>
        <item>城乡居民医保</item>
      </candidateList>
      <explain>词汇“城乡居民医保”在特定场景下为固定表述形式，请确认此处的“城乡居民参保”是否存在不当。</explain>
      <paraID> F05CCC8</paraID>
      <start>51</start>
      <end>57</end>
      <status>unmodified</status>
      <modifiedWord/>
      <trackRevisions>false</trackRevisions>
    </reviewItem>
    <reviewItem>
      <errorID>e31d1fce-179e-4142-ab12-ec9dfcd59db4</errorID>
      <errorWord>应对</errorWord>
      <group>L1_Word</group>
      <groupName>字词问题</groupName>
      <ability>L2_Typo</ability>
      <abilityName>字词错误</abilityName>
      <candidateList>
        <item>应为</item>
      </candidateList>
      <explain/>
      <paraID>4D38D4BE</paraID>
      <start>14</start>
      <end>16</end>
      <status>unmodified</status>
      <modifiedWord/>
      <trackRevisions>false</trackRevisions>
    </reviewItem>
    <reviewItem>
      <errorID>d6794a3a-25db-4d56-ad4b-62d9e77893f1</errorID>
      <errorWord>，</errorWord>
      <group>L1_Punc</group>
      <groupName>标点问题</groupName>
      <ability>L2_Punc_CN</ability>
      <abilityName>标点符号问题</abilityName>
      <candidateList>
        <item>、</item>
      </candidateList>
      <explain/>
      <paraID>255AB4B1</paraID>
      <start>32</start>
      <end>33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af4e5b-9346-4b6b-92fc-54ce029e6545}">
  <ds:schemaRefs/>
</ds:datastoreItem>
</file>

<file path=docProps/app.xml><?xml version="1.0" encoding="utf-8"?>
<Properties xmlns="http://schemas.openxmlformats.org/officeDocument/2006/extended-properties" xmlns:vt="http://schemas.openxmlformats.org/officeDocument/2006/docPropsVTypes">
  <Template>Normal.dotm</Template>
  <Pages>17</Pages>
  <Words>7773</Words>
  <Characters>7932</Characters>
  <Lines>0</Lines>
  <Paragraphs>0</Paragraphs>
  <TotalTime>53</TotalTime>
  <ScaleCrop>false</ScaleCrop>
  <LinksUpToDate>false</LinksUpToDate>
  <CharactersWithSpaces>7989</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2025-08-12T18:53:00Z</dcterms:created>
  <dc:creator>taiKang</dc:creator>
  <cp:lastModifiedBy>yibaoshouli1</cp:lastModifiedBy>
  <cp:lastPrinted>2026-09-23T04:17:00Z</cp:lastPrinted>
  <dcterms:modified xsi:type="dcterms:W3CDTF">2026-09-28T03:16:29Z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KSOTemplateDocerSaveRecord">
    <vt:lpwstr>eyJoZGlkIjoiNDlmOTAzOGJkNWRiZGZiMDE2ZDgzMjAzZjRlNmM0MzQiLCJ1c2VySWQiOiIyOTkxOTgwODUifQ==</vt:lpwstr>
  </property>
  <property fmtid="{D5CDD505-2E9C-101B-9397-08002B2CF9AE}" pid="4" name="ICV">
    <vt:lpwstr>07F5A133F40B44A2BCE292C8624DAD5A_13</vt:lpwstr>
  </property>
</Properties>
</file>